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4BE9F" w14:textId="179DDDBB" w:rsidR="00E36D94" w:rsidRPr="002B0227" w:rsidRDefault="00E36D94" w:rsidP="00E36D94">
      <w:pPr>
        <w:jc w:val="center"/>
        <w:rPr>
          <w:rFonts w:cs="Times New Roman"/>
          <w:b/>
          <w:szCs w:val="24"/>
          <w:lang w:val="en-US"/>
        </w:rPr>
      </w:pPr>
      <w:bookmarkStart w:id="0" w:name="_GoBack"/>
      <w:bookmarkEnd w:id="0"/>
      <w:r>
        <w:rPr>
          <w:rFonts w:cs="Times New Roman"/>
          <w:b/>
          <w:szCs w:val="24"/>
          <w:lang w:val="en-US"/>
        </w:rPr>
        <w:t>Incorporating the Impact of Spatio-Temporal Interactions o</w:t>
      </w:r>
      <w:r w:rsidRPr="002B0227">
        <w:rPr>
          <w:rFonts w:cs="Times New Roman"/>
          <w:b/>
          <w:szCs w:val="24"/>
          <w:lang w:val="en-US"/>
        </w:rPr>
        <w:t>n Bicycle Sharing System Demand</w:t>
      </w:r>
      <w:r>
        <w:rPr>
          <w:rFonts w:cs="Times New Roman"/>
          <w:b/>
          <w:szCs w:val="24"/>
          <w:lang w:val="en-US"/>
        </w:rPr>
        <w:t>: A Case Study of New York Citi</w:t>
      </w:r>
      <w:r w:rsidR="007F1AC6">
        <w:rPr>
          <w:rFonts w:cs="Times New Roman"/>
          <w:b/>
          <w:szCs w:val="24"/>
          <w:lang w:val="en-US"/>
        </w:rPr>
        <w:t>B</w:t>
      </w:r>
      <w:r>
        <w:rPr>
          <w:rFonts w:cs="Times New Roman"/>
          <w:b/>
          <w:szCs w:val="24"/>
          <w:lang w:val="en-US"/>
        </w:rPr>
        <w:t>ike System</w:t>
      </w:r>
    </w:p>
    <w:p w14:paraId="53DDE8A9" w14:textId="77777777" w:rsidR="003C62D5" w:rsidRDefault="003C62D5" w:rsidP="003C62D5">
      <w:pPr>
        <w:rPr>
          <w:rFonts w:cs="Times New Roman"/>
        </w:rPr>
      </w:pPr>
    </w:p>
    <w:p w14:paraId="4D485BD2" w14:textId="77777777" w:rsidR="007F5783" w:rsidRDefault="007F5783" w:rsidP="003C62D5">
      <w:pPr>
        <w:rPr>
          <w:rFonts w:cs="Times New Roman"/>
        </w:rPr>
      </w:pPr>
    </w:p>
    <w:p w14:paraId="6BF76E17" w14:textId="77777777" w:rsidR="007F5783" w:rsidRPr="008A07C9" w:rsidRDefault="007F5783" w:rsidP="003C62D5">
      <w:pPr>
        <w:rPr>
          <w:rFonts w:cs="Times New Roman"/>
        </w:rPr>
      </w:pPr>
    </w:p>
    <w:p w14:paraId="03337A1C" w14:textId="77777777" w:rsidR="003C62D5" w:rsidRPr="008A07C9" w:rsidRDefault="003C62D5" w:rsidP="003C62D5">
      <w:pPr>
        <w:rPr>
          <w:rFonts w:cs="Times New Roman"/>
        </w:rPr>
      </w:pPr>
    </w:p>
    <w:p w14:paraId="68E0280F" w14:textId="77777777" w:rsidR="00E93F8E" w:rsidRPr="008A07C9" w:rsidRDefault="00045B00" w:rsidP="00E93F8E">
      <w:pPr>
        <w:spacing w:before="0" w:after="0"/>
        <w:jc w:val="center"/>
        <w:rPr>
          <w:rFonts w:cs="Times New Roman"/>
          <w:bCs/>
        </w:rPr>
      </w:pPr>
      <w:r>
        <w:rPr>
          <w:rFonts w:cs="Times New Roman"/>
          <w:bCs/>
        </w:rPr>
        <w:t>Ahmadreza Faghih-</w:t>
      </w:r>
      <w:r w:rsidR="00E93F8E" w:rsidRPr="008A07C9">
        <w:rPr>
          <w:rFonts w:cs="Times New Roman"/>
          <w:bCs/>
        </w:rPr>
        <w:t>Imani</w:t>
      </w:r>
    </w:p>
    <w:p w14:paraId="7A6DC7E0" w14:textId="1F0D3258" w:rsidR="00E93F8E" w:rsidRPr="008A07C9" w:rsidRDefault="00E93F8E" w:rsidP="00E93F8E">
      <w:pPr>
        <w:spacing w:before="0" w:after="0"/>
        <w:jc w:val="center"/>
        <w:rPr>
          <w:rFonts w:cs="Times New Roman"/>
          <w:bCs/>
        </w:rPr>
      </w:pPr>
      <w:r w:rsidRPr="008A07C9">
        <w:rPr>
          <w:rFonts w:cs="Times New Roman"/>
          <w:bCs/>
        </w:rPr>
        <w:t>PhD Student</w:t>
      </w:r>
    </w:p>
    <w:p w14:paraId="6099D9F4" w14:textId="3A6C20D8" w:rsidR="00E93F8E" w:rsidRPr="008A07C9" w:rsidRDefault="00E93F8E" w:rsidP="00E93F8E">
      <w:pPr>
        <w:spacing w:before="0" w:after="0"/>
        <w:jc w:val="center"/>
        <w:rPr>
          <w:rFonts w:cs="Times New Roman"/>
          <w:bCs/>
        </w:rPr>
      </w:pPr>
      <w:r w:rsidRPr="008A07C9">
        <w:rPr>
          <w:rFonts w:cs="Times New Roman"/>
          <w:bCs/>
        </w:rPr>
        <w:t>Department of Civil Engineering and Applied Mechanics</w:t>
      </w:r>
    </w:p>
    <w:p w14:paraId="094B4FF8" w14:textId="77777777" w:rsidR="00E93F8E" w:rsidRPr="008A07C9" w:rsidRDefault="00E93F8E" w:rsidP="00E93F8E">
      <w:pPr>
        <w:spacing w:before="0" w:after="0"/>
        <w:jc w:val="center"/>
        <w:rPr>
          <w:rFonts w:cs="Times New Roman"/>
          <w:bCs/>
        </w:rPr>
      </w:pPr>
      <w:r w:rsidRPr="008A07C9">
        <w:rPr>
          <w:rFonts w:cs="Times New Roman"/>
          <w:bCs/>
        </w:rPr>
        <w:t>McGill University</w:t>
      </w:r>
    </w:p>
    <w:p w14:paraId="294786E8" w14:textId="7F774F38" w:rsidR="00E93F8E" w:rsidRPr="008A07C9" w:rsidRDefault="00E93F8E" w:rsidP="00E93F8E">
      <w:pPr>
        <w:spacing w:before="0" w:after="0"/>
        <w:jc w:val="center"/>
        <w:rPr>
          <w:rFonts w:cs="Times New Roman"/>
          <w:bCs/>
          <w:lang w:val="en-US"/>
        </w:rPr>
      </w:pPr>
      <w:r w:rsidRPr="008A07C9">
        <w:rPr>
          <w:rFonts w:cs="Times New Roman"/>
          <w:bCs/>
          <w:lang w:val="en-US"/>
        </w:rPr>
        <w:t>Ph: 514-398-</w:t>
      </w:r>
      <w:r w:rsidRPr="008A07C9">
        <w:rPr>
          <w:rFonts w:cs="Times New Roman"/>
          <w:bCs/>
        </w:rPr>
        <w:t>6823</w:t>
      </w:r>
      <w:r w:rsidRPr="008A07C9">
        <w:rPr>
          <w:rFonts w:cs="Times New Roman"/>
          <w:bCs/>
          <w:lang w:val="en-US"/>
        </w:rPr>
        <w:t>, Fax: 514-398-7361</w:t>
      </w:r>
    </w:p>
    <w:p w14:paraId="380F3365" w14:textId="77777777" w:rsidR="00E93F8E" w:rsidRPr="008A07C9" w:rsidRDefault="00E93F8E" w:rsidP="00E93F8E">
      <w:pPr>
        <w:spacing w:before="0" w:after="0"/>
        <w:jc w:val="center"/>
        <w:rPr>
          <w:rFonts w:cs="Times New Roman"/>
          <w:bCs/>
          <w:lang w:val="en-US"/>
        </w:rPr>
      </w:pPr>
      <w:r w:rsidRPr="008A07C9">
        <w:rPr>
          <w:rFonts w:cs="Times New Roman"/>
          <w:bCs/>
          <w:lang w:val="en-US"/>
        </w:rPr>
        <w:t>E-mail</w:t>
      </w:r>
      <w:r w:rsidRPr="008A07C9">
        <w:rPr>
          <w:rFonts w:cs="Times New Roman"/>
          <w:bCs/>
        </w:rPr>
        <w:t xml:space="preserve">: </w:t>
      </w:r>
      <w:hyperlink r:id="rId8" w:history="1">
        <w:r w:rsidRPr="008A07C9">
          <w:rPr>
            <w:rStyle w:val="Hyperlink"/>
            <w:rFonts w:cs="Times New Roman"/>
            <w:bCs/>
            <w:color w:val="auto"/>
          </w:rPr>
          <w:t>seyed.faghihimani@mail.mcgill.ca</w:t>
        </w:r>
      </w:hyperlink>
      <w:r w:rsidRPr="008A07C9">
        <w:rPr>
          <w:rFonts w:cs="Times New Roman"/>
          <w:bCs/>
        </w:rPr>
        <w:t xml:space="preserve"> </w:t>
      </w:r>
    </w:p>
    <w:p w14:paraId="3A337D9D" w14:textId="77777777" w:rsidR="00E93F8E" w:rsidRPr="008A07C9" w:rsidRDefault="00E93F8E" w:rsidP="00E93F8E">
      <w:pPr>
        <w:spacing w:before="0" w:after="0"/>
        <w:rPr>
          <w:rFonts w:cs="Times New Roman"/>
        </w:rPr>
      </w:pPr>
    </w:p>
    <w:p w14:paraId="6466B44B" w14:textId="77777777" w:rsidR="00E93F8E" w:rsidRPr="008A07C9" w:rsidRDefault="00E93F8E" w:rsidP="00E93F8E">
      <w:pPr>
        <w:spacing w:before="0" w:after="0"/>
        <w:rPr>
          <w:rFonts w:cs="Times New Roman"/>
        </w:rPr>
      </w:pPr>
    </w:p>
    <w:p w14:paraId="531F8D4B" w14:textId="77777777" w:rsidR="003C62D5" w:rsidRDefault="003C62D5" w:rsidP="00D2679B">
      <w:pPr>
        <w:jc w:val="center"/>
        <w:rPr>
          <w:rFonts w:cs="Times New Roman"/>
        </w:rPr>
      </w:pPr>
    </w:p>
    <w:p w14:paraId="7C7C4D3C" w14:textId="0E474A4A" w:rsidR="00D2679B" w:rsidRPr="008A07C9" w:rsidRDefault="00D2679B" w:rsidP="00D2679B">
      <w:pPr>
        <w:spacing w:before="0" w:after="0"/>
        <w:jc w:val="center"/>
        <w:rPr>
          <w:rFonts w:cs="Times New Roman"/>
        </w:rPr>
      </w:pPr>
      <w:r>
        <w:rPr>
          <w:rFonts w:cs="Times New Roman"/>
        </w:rPr>
        <w:t>Naveen Eluru</w:t>
      </w:r>
      <w:r w:rsidR="007F5783">
        <w:rPr>
          <w:rFonts w:cs="Times New Roman"/>
        </w:rPr>
        <w:t>*</w:t>
      </w:r>
    </w:p>
    <w:p w14:paraId="47ABF294" w14:textId="39352DD1" w:rsidR="00D2679B" w:rsidRDefault="006525E3" w:rsidP="00D2679B">
      <w:pPr>
        <w:spacing w:before="0" w:after="0"/>
        <w:jc w:val="center"/>
        <w:rPr>
          <w:rFonts w:cs="Times New Roman"/>
          <w:bCs/>
        </w:rPr>
      </w:pPr>
      <w:r>
        <w:rPr>
          <w:rFonts w:cs="Times New Roman"/>
          <w:bCs/>
        </w:rPr>
        <w:t>Associate Professor</w:t>
      </w:r>
    </w:p>
    <w:p w14:paraId="2A85F44E" w14:textId="44B1717E" w:rsidR="00D2679B" w:rsidRPr="00D2679B" w:rsidRDefault="00D2679B" w:rsidP="00D2679B">
      <w:pPr>
        <w:spacing w:before="0" w:after="0"/>
        <w:jc w:val="center"/>
        <w:rPr>
          <w:rFonts w:cs="Times New Roman"/>
          <w:bCs/>
        </w:rPr>
      </w:pPr>
      <w:r w:rsidRPr="00D2679B">
        <w:rPr>
          <w:rFonts w:cs="Times New Roman"/>
          <w:bCs/>
        </w:rPr>
        <w:t>Department of Civil, Environmental and Construction Engineering</w:t>
      </w:r>
    </w:p>
    <w:p w14:paraId="6FFA1452" w14:textId="77777777" w:rsidR="00D2679B" w:rsidRPr="007F5783" w:rsidRDefault="00D2679B" w:rsidP="00D2679B">
      <w:pPr>
        <w:spacing w:before="0" w:after="0"/>
        <w:jc w:val="center"/>
        <w:rPr>
          <w:rFonts w:cs="Times New Roman"/>
          <w:bCs/>
        </w:rPr>
      </w:pPr>
      <w:r w:rsidRPr="007F5783">
        <w:rPr>
          <w:rFonts w:cs="Times New Roman"/>
          <w:bCs/>
        </w:rPr>
        <w:t>University of Central Florida</w:t>
      </w:r>
    </w:p>
    <w:p w14:paraId="67EA92A3" w14:textId="7A045068" w:rsidR="00D2679B" w:rsidRPr="007F5783" w:rsidRDefault="00D2679B" w:rsidP="00D2679B">
      <w:pPr>
        <w:spacing w:before="0" w:after="0"/>
        <w:jc w:val="center"/>
        <w:rPr>
          <w:rFonts w:cs="Times New Roman"/>
        </w:rPr>
      </w:pPr>
      <w:r w:rsidRPr="007F5783">
        <w:rPr>
          <w:rFonts w:cs="Times New Roman"/>
          <w:bCs/>
        </w:rPr>
        <w:t>Ph: 407-823-4815; Fax: 407-823-3315</w:t>
      </w:r>
    </w:p>
    <w:p w14:paraId="2D085301" w14:textId="77777777" w:rsidR="00D2679B" w:rsidRPr="007F5783" w:rsidRDefault="00D2679B" w:rsidP="00D2679B">
      <w:pPr>
        <w:spacing w:before="0" w:after="0"/>
        <w:jc w:val="center"/>
        <w:rPr>
          <w:rFonts w:cs="Times New Roman"/>
          <w:bCs/>
        </w:rPr>
      </w:pPr>
      <w:r w:rsidRPr="007F5783">
        <w:rPr>
          <w:rFonts w:cs="Times New Roman"/>
          <w:bCs/>
        </w:rPr>
        <w:t xml:space="preserve">E-mail: </w:t>
      </w:r>
      <w:hyperlink r:id="rId9" w:history="1">
        <w:r w:rsidRPr="007F5783">
          <w:rPr>
            <w:rStyle w:val="Hyperlink"/>
            <w:rFonts w:cs="Times New Roman"/>
            <w:bCs/>
            <w:color w:val="auto"/>
          </w:rPr>
          <w:t>naveen.eluru@ucf.edu</w:t>
        </w:r>
      </w:hyperlink>
    </w:p>
    <w:p w14:paraId="33651465" w14:textId="77777777" w:rsidR="00A07CFC" w:rsidRPr="008A07C9" w:rsidRDefault="00A07CFC" w:rsidP="00A07CFC">
      <w:pPr>
        <w:spacing w:before="0" w:after="0"/>
        <w:rPr>
          <w:rFonts w:cs="Times New Roman"/>
        </w:rPr>
      </w:pPr>
    </w:p>
    <w:p w14:paraId="61D0FCB8" w14:textId="77777777" w:rsidR="003C62D5" w:rsidRPr="008A07C9" w:rsidRDefault="003C62D5" w:rsidP="003C62D5">
      <w:pPr>
        <w:rPr>
          <w:rFonts w:cs="Times New Roman"/>
        </w:rPr>
      </w:pPr>
    </w:p>
    <w:p w14:paraId="297C1289" w14:textId="77777777" w:rsidR="003C62D5" w:rsidRPr="008A07C9" w:rsidRDefault="003C62D5" w:rsidP="003C62D5">
      <w:pPr>
        <w:rPr>
          <w:rFonts w:cs="Times New Roman"/>
        </w:rPr>
      </w:pPr>
    </w:p>
    <w:p w14:paraId="17DFEDA2" w14:textId="77777777" w:rsidR="003C62D5" w:rsidRPr="008A07C9" w:rsidRDefault="003C62D5" w:rsidP="003C62D5">
      <w:pPr>
        <w:rPr>
          <w:rFonts w:cs="Times New Roman"/>
        </w:rPr>
      </w:pPr>
    </w:p>
    <w:p w14:paraId="04AC2DDB" w14:textId="77777777" w:rsidR="003C62D5" w:rsidRPr="008A07C9" w:rsidRDefault="003C62D5" w:rsidP="003C62D5">
      <w:pPr>
        <w:rPr>
          <w:rFonts w:cs="Times New Roman"/>
        </w:rPr>
      </w:pPr>
    </w:p>
    <w:p w14:paraId="5C67E168" w14:textId="77777777" w:rsidR="003C62D5" w:rsidRPr="008A07C9" w:rsidRDefault="003C62D5" w:rsidP="003C62D5">
      <w:pPr>
        <w:rPr>
          <w:rFonts w:cs="Times New Roman"/>
        </w:rPr>
      </w:pPr>
    </w:p>
    <w:p w14:paraId="183F2B20" w14:textId="77777777" w:rsidR="003C62D5" w:rsidRDefault="003C62D5" w:rsidP="003C62D5">
      <w:pPr>
        <w:rPr>
          <w:rFonts w:cs="Times New Roman"/>
        </w:rPr>
      </w:pPr>
    </w:p>
    <w:p w14:paraId="54EFA3B4" w14:textId="77777777" w:rsidR="007F5783" w:rsidRDefault="007F5783" w:rsidP="003C62D5">
      <w:pPr>
        <w:rPr>
          <w:rFonts w:cs="Times New Roman"/>
        </w:rPr>
      </w:pPr>
    </w:p>
    <w:p w14:paraId="08680C1B" w14:textId="77777777" w:rsidR="007F5783" w:rsidRDefault="007F5783" w:rsidP="003C62D5">
      <w:pPr>
        <w:rPr>
          <w:rFonts w:cs="Times New Roman"/>
        </w:rPr>
      </w:pPr>
    </w:p>
    <w:p w14:paraId="1AA527E0" w14:textId="77777777" w:rsidR="007F5783" w:rsidRDefault="007F5783" w:rsidP="003C62D5">
      <w:pPr>
        <w:rPr>
          <w:rFonts w:cs="Times New Roman"/>
        </w:rPr>
      </w:pPr>
    </w:p>
    <w:p w14:paraId="4CF77B77" w14:textId="77777777" w:rsidR="007F5783" w:rsidRPr="008A07C9" w:rsidRDefault="007F5783" w:rsidP="003C62D5">
      <w:pPr>
        <w:rPr>
          <w:rFonts w:cs="Times New Roman"/>
        </w:rPr>
      </w:pPr>
    </w:p>
    <w:p w14:paraId="4A662405" w14:textId="77777777" w:rsidR="003C62D5" w:rsidRPr="008A07C9" w:rsidRDefault="003C62D5" w:rsidP="003C62D5">
      <w:pPr>
        <w:pBdr>
          <w:top w:val="single" w:sz="4" w:space="1" w:color="auto"/>
        </w:pBdr>
        <w:rPr>
          <w:rFonts w:cs="Times New Roman"/>
          <w:b/>
          <w:u w:val="single"/>
        </w:rPr>
      </w:pPr>
      <w:r w:rsidRPr="008A07C9">
        <w:rPr>
          <w:rFonts w:cs="Times New Roman"/>
        </w:rPr>
        <w:t>*Corresponding author</w:t>
      </w:r>
    </w:p>
    <w:p w14:paraId="4B80B2E6" w14:textId="77777777" w:rsidR="00F325F4" w:rsidRDefault="00F325F4">
      <w:pPr>
        <w:spacing w:before="0" w:after="0"/>
        <w:rPr>
          <w:rFonts w:cs="Times New Roman"/>
          <w:u w:val="single"/>
        </w:rPr>
      </w:pPr>
      <w:r>
        <w:rPr>
          <w:rFonts w:cs="Times New Roman"/>
          <w:b/>
          <w:u w:val="single"/>
        </w:rPr>
        <w:br w:type="page"/>
      </w:r>
    </w:p>
    <w:p w14:paraId="235C0EA7" w14:textId="77777777" w:rsidR="00F325F4" w:rsidRDefault="00F325F4" w:rsidP="00F325F4">
      <w:pPr>
        <w:spacing w:before="0" w:after="0"/>
        <w:rPr>
          <w:rFonts w:cs="Times New Roman"/>
          <w:b/>
        </w:rPr>
      </w:pPr>
      <w:r w:rsidRPr="00DE6EB3">
        <w:rPr>
          <w:rFonts w:cs="Times New Roman"/>
          <w:b/>
        </w:rPr>
        <w:lastRenderedPageBreak/>
        <w:t>Abstract</w:t>
      </w:r>
    </w:p>
    <w:p w14:paraId="1DAAE221" w14:textId="61D9CA55" w:rsidR="00336B12" w:rsidRDefault="00C40378" w:rsidP="00A91D34">
      <w:pPr>
        <w:rPr>
          <w:rFonts w:cs="Times New Roman"/>
        </w:rPr>
      </w:pPr>
      <w:r>
        <w:rPr>
          <w:rFonts w:cs="Times New Roman"/>
        </w:rPr>
        <w:t>Recent success</w:t>
      </w:r>
      <w:r w:rsidR="00A91D34">
        <w:rPr>
          <w:rFonts w:cs="Times New Roman"/>
        </w:rPr>
        <w:t xml:space="preserve"> of bicycle-sharing systems (BSS) have led to the</w:t>
      </w:r>
      <w:r>
        <w:rPr>
          <w:rFonts w:cs="Times New Roman"/>
        </w:rPr>
        <w:t>ir</w:t>
      </w:r>
      <w:r w:rsidR="00A91D34">
        <w:rPr>
          <w:rFonts w:cs="Times New Roman"/>
        </w:rPr>
        <w:t xml:space="preserve"> growth around the world. </w:t>
      </w:r>
      <w:r>
        <w:rPr>
          <w:rFonts w:cs="Times New Roman"/>
        </w:rPr>
        <w:t>Not surprisingly</w:t>
      </w:r>
      <w:r w:rsidR="002C2996">
        <w:rPr>
          <w:rFonts w:cs="Times New Roman"/>
        </w:rPr>
        <w:t>, t</w:t>
      </w:r>
      <w:r w:rsidR="002C2996">
        <w:t xml:space="preserve">here is </w:t>
      </w:r>
      <w:r w:rsidR="00AF319B">
        <w:t>increased research</w:t>
      </w:r>
      <w:r w:rsidR="002C2996">
        <w:t xml:space="preserve"> to</w:t>
      </w:r>
      <w:r w:rsidR="00AF319B">
        <w:t>ward</w:t>
      </w:r>
      <w:r w:rsidR="002C2996">
        <w:t xml:space="preserve"> better understand</w:t>
      </w:r>
      <w:r w:rsidR="00AF319B">
        <w:t xml:space="preserve">ing </w:t>
      </w:r>
      <w:r>
        <w:t xml:space="preserve">of </w:t>
      </w:r>
      <w:r w:rsidR="00AF319B">
        <w:t>the</w:t>
      </w:r>
      <w:r w:rsidR="002C2996">
        <w:t xml:space="preserve"> contributing factors </w:t>
      </w:r>
      <w:r w:rsidR="00AF319B">
        <w:t xml:space="preserve">for </w:t>
      </w:r>
      <w:r w:rsidR="002C2996">
        <w:t xml:space="preserve">BSS </w:t>
      </w:r>
      <w:r w:rsidR="0065202C">
        <w:t>demand</w:t>
      </w:r>
      <w:r w:rsidR="002C2996">
        <w:t>.</w:t>
      </w:r>
      <w:r w:rsidR="002C2996">
        <w:rPr>
          <w:rFonts w:cs="Times New Roman"/>
        </w:rPr>
        <w:t xml:space="preserve"> However, these</w:t>
      </w:r>
      <w:r w:rsidR="002C2996" w:rsidRPr="008A07C9">
        <w:rPr>
          <w:rFonts w:cs="Times New Roman"/>
        </w:rPr>
        <w:t xml:space="preserve"> research efforts</w:t>
      </w:r>
      <w:r w:rsidR="002C2996" w:rsidRPr="007C6CA7">
        <w:rPr>
          <w:rFonts w:cs="Times New Roman"/>
          <w:szCs w:val="24"/>
          <w:lang w:val="en-US"/>
        </w:rPr>
        <w:t xml:space="preserve"> </w:t>
      </w:r>
      <w:r w:rsidR="002C2996">
        <w:rPr>
          <w:rFonts w:cs="Times New Roman"/>
          <w:szCs w:val="24"/>
          <w:lang w:val="en-US"/>
        </w:rPr>
        <w:t xml:space="preserve">have neglected to adequately consider </w:t>
      </w:r>
      <w:r w:rsidR="002C2996">
        <w:rPr>
          <w:rFonts w:cs="Times New Roman"/>
        </w:rPr>
        <w:t>spatial</w:t>
      </w:r>
      <w:r w:rsidR="002C2996" w:rsidRPr="009E61D3">
        <w:t xml:space="preserve"> </w:t>
      </w:r>
      <w:r w:rsidR="002C2996">
        <w:t>and temporal</w:t>
      </w:r>
      <w:r w:rsidR="002C2996">
        <w:rPr>
          <w:rFonts w:cs="Times New Roman"/>
        </w:rPr>
        <w:t xml:space="preserve"> interaction of </w:t>
      </w:r>
      <w:r w:rsidR="002C2996">
        <w:t>BSS station’s demand (arrivals and departures). I</w:t>
      </w:r>
      <w:r w:rsidR="002C2996">
        <w:rPr>
          <w:rFonts w:cs="Times New Roman"/>
          <w:szCs w:val="24"/>
          <w:lang w:val="en-US"/>
        </w:rPr>
        <w:t xml:space="preserve">t is possible that </w:t>
      </w:r>
      <w:r w:rsidR="002C2996" w:rsidRPr="00641B79">
        <w:rPr>
          <w:rFonts w:cs="Times New Roman"/>
          <w:szCs w:val="24"/>
          <w:lang w:val="en-US"/>
        </w:rPr>
        <w:t xml:space="preserve">bicycle arrival and departure rates of one BSS station are potentially </w:t>
      </w:r>
      <w:r w:rsidR="002C2996">
        <w:rPr>
          <w:rFonts w:cs="Times New Roman"/>
          <w:szCs w:val="24"/>
          <w:lang w:val="en-US"/>
        </w:rPr>
        <w:t>inter connected</w:t>
      </w:r>
      <w:r w:rsidR="002C2996" w:rsidRPr="00641B79">
        <w:rPr>
          <w:rFonts w:cs="Times New Roman"/>
          <w:szCs w:val="24"/>
          <w:lang w:val="en-US"/>
        </w:rPr>
        <w:t xml:space="preserve"> with bicycle flow rates </w:t>
      </w:r>
      <w:r w:rsidR="002C2996">
        <w:rPr>
          <w:rFonts w:cs="Times New Roman"/>
          <w:szCs w:val="24"/>
          <w:lang w:val="en-US"/>
        </w:rPr>
        <w:t xml:space="preserve">for neighboring </w:t>
      </w:r>
      <w:r w:rsidR="002C2996" w:rsidRPr="00641B79">
        <w:rPr>
          <w:rFonts w:cs="Times New Roman"/>
          <w:szCs w:val="24"/>
          <w:lang w:val="en-US"/>
        </w:rPr>
        <w:t xml:space="preserve">stations. </w:t>
      </w:r>
      <w:r w:rsidR="002C2996">
        <w:rPr>
          <w:rFonts w:cs="Times New Roman"/>
          <w:szCs w:val="24"/>
          <w:lang w:val="en-US"/>
        </w:rPr>
        <w:t xml:space="preserve">It is also plausible that </w:t>
      </w:r>
      <w:r w:rsidR="002C2996" w:rsidRPr="00641B79">
        <w:rPr>
          <w:rFonts w:cs="Times New Roman"/>
          <w:szCs w:val="24"/>
          <w:lang w:val="en-US"/>
        </w:rPr>
        <w:t xml:space="preserve">the arrival and departure rates at one time period </w:t>
      </w:r>
      <w:r w:rsidR="002C2996">
        <w:rPr>
          <w:rFonts w:cs="Times New Roman"/>
          <w:szCs w:val="24"/>
          <w:lang w:val="en-US"/>
        </w:rPr>
        <w:t>are</w:t>
      </w:r>
      <w:r w:rsidR="002C2996" w:rsidRPr="00641B79">
        <w:rPr>
          <w:rFonts w:cs="Times New Roman"/>
          <w:szCs w:val="24"/>
          <w:lang w:val="en-US"/>
        </w:rPr>
        <w:t xml:space="preserve"> influenced by the arrival and departure rates of earlier time periods for that station and </w:t>
      </w:r>
      <w:r w:rsidR="002C2996">
        <w:rPr>
          <w:rFonts w:cs="Times New Roman"/>
          <w:szCs w:val="24"/>
          <w:lang w:val="en-US"/>
        </w:rPr>
        <w:t>neighboring</w:t>
      </w:r>
      <w:r w:rsidR="002C2996" w:rsidRPr="00641B79">
        <w:rPr>
          <w:rFonts w:cs="Times New Roman"/>
          <w:szCs w:val="24"/>
          <w:lang w:val="en-US"/>
        </w:rPr>
        <w:t xml:space="preserve"> stations.</w:t>
      </w:r>
      <w:r w:rsidR="002C2996">
        <w:rPr>
          <w:rFonts w:cs="Times New Roman"/>
          <w:szCs w:val="24"/>
          <w:lang w:val="en-US"/>
        </w:rPr>
        <w:t xml:space="preserve"> Neglecting the presence of such effects, when they are actually present will result in biased model estimates. The major objective of this study is to accommodate for spatial and temporal effects (observed and unobserved) for modeling bicycle demand</w:t>
      </w:r>
      <w:r w:rsidR="0065202C">
        <w:rPr>
          <w:rFonts w:cs="Times New Roman"/>
          <w:szCs w:val="24"/>
          <w:lang w:val="en-US"/>
        </w:rPr>
        <w:t xml:space="preserve"> employing data </w:t>
      </w:r>
      <w:r w:rsidR="002C2996">
        <w:rPr>
          <w:rFonts w:cs="Times New Roman"/>
          <w:szCs w:val="24"/>
          <w:lang w:val="en-US"/>
        </w:rPr>
        <w:t xml:space="preserve">from </w:t>
      </w:r>
      <w:r w:rsidR="002C2996">
        <w:t>New York City’s bicycle-sharing system (CitiBike)</w:t>
      </w:r>
      <w:r w:rsidR="0065202C">
        <w:t>.</w:t>
      </w:r>
      <w:r w:rsidR="002C2996">
        <w:t xml:space="preserve"> </w:t>
      </w:r>
      <w:r>
        <w:t xml:space="preserve">Towards this end, </w:t>
      </w:r>
      <w:r w:rsidR="00BF098C">
        <w:t>S</w:t>
      </w:r>
      <w:r>
        <w:t xml:space="preserve">patial Error and Spatial Lag models that accommodate for the influence </w:t>
      </w:r>
      <w:r w:rsidR="00BF098C">
        <w:t>of</w:t>
      </w:r>
      <w:r>
        <w:t xml:space="preserve"> </w:t>
      </w:r>
      <w:r>
        <w:rPr>
          <w:rFonts w:cs="Times New Roman"/>
        </w:rPr>
        <w:t>spatial</w:t>
      </w:r>
      <w:r w:rsidRPr="009E61D3">
        <w:t xml:space="preserve"> </w:t>
      </w:r>
      <w:r>
        <w:t>and temporal</w:t>
      </w:r>
      <w:r>
        <w:rPr>
          <w:rFonts w:cs="Times New Roman"/>
        </w:rPr>
        <w:t xml:space="preserve"> interaction</w:t>
      </w:r>
      <w:r w:rsidR="00BF098C">
        <w:rPr>
          <w:rFonts w:cs="Times New Roman"/>
        </w:rPr>
        <w:t>s</w:t>
      </w:r>
      <w:r>
        <w:rPr>
          <w:rFonts w:cs="Times New Roman"/>
        </w:rPr>
        <w:t xml:space="preserve"> are estimated</w:t>
      </w:r>
      <w:r>
        <w:t xml:space="preserve">. The exogenous variables for these models are drawn from </w:t>
      </w:r>
      <w:r w:rsidR="00A91D34" w:rsidRPr="008A07C9">
        <w:rPr>
          <w:rFonts w:cs="Times New Roman"/>
        </w:rPr>
        <w:t>BSS infrastructure</w:t>
      </w:r>
      <w:r w:rsidR="00A91D34">
        <w:rPr>
          <w:rFonts w:cs="Times New Roman"/>
        </w:rPr>
        <w:t>,</w:t>
      </w:r>
      <w:r w:rsidR="00A91D34" w:rsidRPr="008A07C9">
        <w:rPr>
          <w:rFonts w:cs="Times New Roman"/>
        </w:rPr>
        <w:t xml:space="preserve"> transportation network infrastructure</w:t>
      </w:r>
      <w:r w:rsidR="00A91D34">
        <w:rPr>
          <w:rFonts w:cs="Times New Roman"/>
        </w:rPr>
        <w:t>,</w:t>
      </w:r>
      <w:r w:rsidR="00A91D34" w:rsidRPr="008A07C9">
        <w:rPr>
          <w:rFonts w:cs="Times New Roman"/>
        </w:rPr>
        <w:t xml:space="preserve"> land use</w:t>
      </w:r>
      <w:r w:rsidR="00A91D34">
        <w:rPr>
          <w:rFonts w:cs="Times New Roman"/>
        </w:rPr>
        <w:t>, point of interests</w:t>
      </w:r>
      <w:r w:rsidR="00A91D34" w:rsidRPr="008A07C9">
        <w:rPr>
          <w:rFonts w:cs="Times New Roman"/>
        </w:rPr>
        <w:t xml:space="preserve">, </w:t>
      </w:r>
      <w:r w:rsidR="00A91D34">
        <w:rPr>
          <w:rFonts w:cs="Times New Roman"/>
        </w:rPr>
        <w:t xml:space="preserve">and </w:t>
      </w:r>
      <w:r w:rsidR="00A91D34" w:rsidRPr="008A07C9">
        <w:rPr>
          <w:rFonts w:cs="Times New Roman"/>
        </w:rPr>
        <w:t xml:space="preserve">meteorological </w:t>
      </w:r>
      <w:r w:rsidR="00A91D34">
        <w:rPr>
          <w:rFonts w:cs="Times New Roman"/>
        </w:rPr>
        <w:t>and temporal</w:t>
      </w:r>
      <w:r w:rsidR="00A91D34" w:rsidRPr="008A07C9">
        <w:rPr>
          <w:rFonts w:cs="Times New Roman"/>
        </w:rPr>
        <w:t xml:space="preserve"> </w:t>
      </w:r>
      <w:r w:rsidR="00A91D34">
        <w:rPr>
          <w:rFonts w:cs="Times New Roman"/>
        </w:rPr>
        <w:t>attributes</w:t>
      </w:r>
      <w:r w:rsidR="00F97C1D">
        <w:t xml:space="preserve">. </w:t>
      </w:r>
      <w:r w:rsidR="002C2996">
        <w:t xml:space="preserve">The results </w:t>
      </w:r>
      <w:r w:rsidR="00F97C1D">
        <w:t xml:space="preserve">provide </w:t>
      </w:r>
      <w:r w:rsidR="002C2996">
        <w:t>strong evidence for the presence of spatial and temporal</w:t>
      </w:r>
      <w:r w:rsidR="001805A2">
        <w:t xml:space="preserve"> dependency</w:t>
      </w:r>
      <w:r w:rsidR="002C2996">
        <w:t xml:space="preserve"> </w:t>
      </w:r>
      <w:r w:rsidR="00C4759B">
        <w:t>for</w:t>
      </w:r>
      <w:r w:rsidR="002C2996">
        <w:t xml:space="preserve"> BSS station’s </w:t>
      </w:r>
      <w:r w:rsidR="002B0227">
        <w:t>arrival and departure rates</w:t>
      </w:r>
      <w:r w:rsidR="002C2996">
        <w:t>.</w:t>
      </w:r>
      <w:r w:rsidR="002C0219">
        <w:t xml:space="preserve"> A hold out sample validation exercise further emphasize</w:t>
      </w:r>
      <w:r w:rsidR="00826AF7">
        <w:t>s</w:t>
      </w:r>
      <w:r w:rsidR="002C0219">
        <w:t xml:space="preserve"> the improved accuracy of the models with spatial and temporal interactions.</w:t>
      </w:r>
    </w:p>
    <w:p w14:paraId="3FB1CE13" w14:textId="77777777" w:rsidR="00F325F4" w:rsidRDefault="00F325F4" w:rsidP="00F325F4"/>
    <w:p w14:paraId="233B90B0" w14:textId="77777777" w:rsidR="001858C7" w:rsidRPr="00023F4F" w:rsidRDefault="00EC7626" w:rsidP="00EC7626">
      <w:pPr>
        <w:jc w:val="left"/>
        <w:sectPr w:rsidR="001858C7" w:rsidRPr="00023F4F" w:rsidSect="007F5783">
          <w:footerReference w:type="default" r:id="rId10"/>
          <w:pgSz w:w="12240" w:h="15840"/>
          <w:pgMar w:top="1440" w:right="1440" w:bottom="1440" w:left="1440" w:header="708" w:footer="708" w:gutter="0"/>
          <w:pgNumType w:start="0"/>
          <w:cols w:space="708"/>
          <w:titlePg/>
          <w:docGrid w:linePitch="360"/>
        </w:sectPr>
      </w:pPr>
      <w:r>
        <w:t>Keywords</w:t>
      </w:r>
      <w:r w:rsidR="00336B12">
        <w:t xml:space="preserve">: bicycle sharing systems, </w:t>
      </w:r>
      <w:r w:rsidR="002B58D2">
        <w:t>CitiBike</w:t>
      </w:r>
      <w:r>
        <w:t xml:space="preserve"> </w:t>
      </w:r>
      <w:r w:rsidR="002B58D2">
        <w:t>New York</w:t>
      </w:r>
      <w:r>
        <w:t xml:space="preserve">, </w:t>
      </w:r>
      <w:r w:rsidR="002B58D2">
        <w:t xml:space="preserve">spatial panel models, spatial lag, spatial error, </w:t>
      </w:r>
      <w:r w:rsidRPr="00EC7626">
        <w:t>bi</w:t>
      </w:r>
      <w:r>
        <w:t>cycle infrastructure, land use a</w:t>
      </w:r>
      <w:r w:rsidRPr="00EC7626">
        <w:t>nd built environment</w:t>
      </w:r>
      <w:r>
        <w:t xml:space="preserve"> </w:t>
      </w:r>
    </w:p>
    <w:p w14:paraId="3F2A64FD" w14:textId="3DAE7B32" w:rsidR="00DA1214" w:rsidRDefault="006E2072" w:rsidP="00DA1214">
      <w:pPr>
        <w:pStyle w:val="Heading1"/>
        <w:autoSpaceDE w:val="0"/>
        <w:autoSpaceDN w:val="0"/>
        <w:adjustRightInd w:val="0"/>
        <w:jc w:val="left"/>
        <w:rPr>
          <w:rFonts w:cs="Times New Roman"/>
        </w:rPr>
      </w:pPr>
      <w:r w:rsidRPr="008A07C9">
        <w:rPr>
          <w:rFonts w:cs="Times New Roman"/>
        </w:rPr>
        <w:lastRenderedPageBreak/>
        <w:t>INTRODUCTIO</w:t>
      </w:r>
      <w:r>
        <w:rPr>
          <w:rFonts w:cs="Times New Roman"/>
        </w:rPr>
        <w:t>N</w:t>
      </w:r>
    </w:p>
    <w:p w14:paraId="58710876" w14:textId="6AD23C95" w:rsidR="0027000F" w:rsidRDefault="003D19B3" w:rsidP="006F35AA">
      <w:pPr>
        <w:rPr>
          <w:rFonts w:cs="Times New Roman"/>
        </w:rPr>
      </w:pPr>
      <w:r>
        <w:rPr>
          <w:rFonts w:cs="Times New Roman"/>
        </w:rPr>
        <w:t xml:space="preserve">Many benefits of bicycle sharing systems (BSS) have led to the </w:t>
      </w:r>
      <w:r w:rsidR="00A91D34">
        <w:rPr>
          <w:rFonts w:cs="Times New Roman"/>
        </w:rPr>
        <w:t xml:space="preserve">rapid </w:t>
      </w:r>
      <w:r>
        <w:rPr>
          <w:rFonts w:cs="Times New Roman"/>
        </w:rPr>
        <w:t>growth of these systems around the world in the recent years</w:t>
      </w:r>
      <w:r w:rsidR="00C40378">
        <w:rPr>
          <w:rFonts w:cs="Times New Roman"/>
        </w:rPr>
        <w:t xml:space="preserve">. In fact, </w:t>
      </w:r>
      <w:r w:rsidR="00B671D6">
        <w:rPr>
          <w:rFonts w:cs="Times New Roman"/>
        </w:rPr>
        <w:t xml:space="preserve">over </w:t>
      </w:r>
      <w:r>
        <w:rPr>
          <w:rFonts w:cs="Times New Roman"/>
        </w:rPr>
        <w:t xml:space="preserve">1000 cities </w:t>
      </w:r>
      <w:r w:rsidR="009036B2">
        <w:rPr>
          <w:rFonts w:cs="Times New Roman"/>
        </w:rPr>
        <w:t>have</w:t>
      </w:r>
      <w:r>
        <w:rPr>
          <w:rFonts w:cs="Times New Roman"/>
        </w:rPr>
        <w:t xml:space="preserve"> </w:t>
      </w:r>
      <w:r w:rsidR="006F35AA">
        <w:rPr>
          <w:rFonts w:cs="Times New Roman"/>
        </w:rPr>
        <w:t xml:space="preserve">already </w:t>
      </w:r>
      <w:r w:rsidR="009B34CA">
        <w:rPr>
          <w:rFonts w:cs="Times New Roman"/>
        </w:rPr>
        <w:t>started</w:t>
      </w:r>
      <w:r w:rsidR="006F35AA">
        <w:rPr>
          <w:rFonts w:cs="Times New Roman"/>
        </w:rPr>
        <w:t xml:space="preserve"> </w:t>
      </w:r>
      <w:r>
        <w:rPr>
          <w:rFonts w:cs="Times New Roman"/>
        </w:rPr>
        <w:t xml:space="preserve">or </w:t>
      </w:r>
      <w:r w:rsidR="00B671D6">
        <w:rPr>
          <w:rFonts w:cs="Times New Roman"/>
        </w:rPr>
        <w:t xml:space="preserve">are </w:t>
      </w:r>
      <w:r w:rsidR="009B34CA">
        <w:rPr>
          <w:rFonts w:cs="Times New Roman"/>
        </w:rPr>
        <w:t>considering</w:t>
      </w:r>
      <w:r w:rsidR="006F35AA">
        <w:rPr>
          <w:rFonts w:cs="Times New Roman"/>
        </w:rPr>
        <w:t xml:space="preserve"> </w:t>
      </w:r>
      <w:r w:rsidR="009B34CA">
        <w:rPr>
          <w:rFonts w:cs="Times New Roman"/>
        </w:rPr>
        <w:t xml:space="preserve">the initiation of </w:t>
      </w:r>
      <w:r>
        <w:rPr>
          <w:rFonts w:cs="Times New Roman"/>
        </w:rPr>
        <w:t xml:space="preserve">a </w:t>
      </w:r>
      <w:r w:rsidR="00B671D6">
        <w:rPr>
          <w:rFonts w:cs="Times New Roman"/>
        </w:rPr>
        <w:t>BSS</w:t>
      </w:r>
      <w:r w:rsidR="00907247">
        <w:rPr>
          <w:rFonts w:cs="Times New Roman"/>
        </w:rPr>
        <w:t xml:space="preserve"> </w:t>
      </w:r>
      <w:r w:rsidR="00907247">
        <w:rPr>
          <w:rFonts w:cs="Times New Roman"/>
          <w:szCs w:val="24"/>
        </w:rPr>
        <w:t>(Meddin, and DeMaio, 2015)</w:t>
      </w:r>
      <w:r>
        <w:rPr>
          <w:rFonts w:cs="Times New Roman"/>
        </w:rPr>
        <w:t xml:space="preserve">. </w:t>
      </w:r>
      <w:r w:rsidR="005C1B32">
        <w:t>A bicycle</w:t>
      </w:r>
      <w:r w:rsidR="00C40378">
        <w:t xml:space="preserve"> </w:t>
      </w:r>
      <w:r w:rsidR="005C1B32">
        <w:t>sharing system provide</w:t>
      </w:r>
      <w:r w:rsidR="007F1BD2">
        <w:t>s</w:t>
      </w:r>
      <w:r w:rsidR="005C1B32">
        <w:t xml:space="preserve"> </w:t>
      </w:r>
      <w:r w:rsidR="007F1BD2">
        <w:t>individuals increased flexibility to bicycle</w:t>
      </w:r>
      <w:r w:rsidR="005C1B32">
        <w:t xml:space="preserve"> without the </w:t>
      </w:r>
      <w:r w:rsidR="007F1BD2">
        <w:t xml:space="preserve">traditional </w:t>
      </w:r>
      <w:r w:rsidR="00B671D6">
        <w:t>burden</w:t>
      </w:r>
      <w:r w:rsidR="00C40378">
        <w:t>s</w:t>
      </w:r>
      <w:r w:rsidR="005C1B32">
        <w:t xml:space="preserve"> </w:t>
      </w:r>
      <w:r w:rsidR="00B671D6">
        <w:t>of</w:t>
      </w:r>
      <w:r w:rsidR="005C1B32">
        <w:t xml:space="preserve"> owning a bicycle </w:t>
      </w:r>
      <w:r w:rsidR="007F1BD2">
        <w:t>(</w:t>
      </w:r>
      <w:r w:rsidR="005C1B32">
        <w:t>such as the need to secure their bicycles</w:t>
      </w:r>
      <w:r w:rsidR="007F1BD2">
        <w:t xml:space="preserve"> or perform regular maintenance)</w:t>
      </w:r>
      <w:r w:rsidR="005C1B32">
        <w:t xml:space="preserve">. </w:t>
      </w:r>
      <w:r>
        <w:rPr>
          <w:rFonts w:cs="Times New Roman"/>
        </w:rPr>
        <w:t xml:space="preserve">BSS provides a healthier and affordable transport mode for short trips </w:t>
      </w:r>
      <w:r w:rsidR="0027000F">
        <w:rPr>
          <w:rFonts w:cs="Times New Roman"/>
        </w:rPr>
        <w:t>especially</w:t>
      </w:r>
      <w:r>
        <w:rPr>
          <w:rFonts w:cs="Times New Roman"/>
        </w:rPr>
        <w:t xml:space="preserve"> in dense urban area</w:t>
      </w:r>
      <w:r w:rsidR="003D5976">
        <w:rPr>
          <w:rFonts w:cs="Times New Roman"/>
        </w:rPr>
        <w:t>s</w:t>
      </w:r>
      <w:r w:rsidR="0027000F">
        <w:rPr>
          <w:rFonts w:cs="Times New Roman"/>
        </w:rPr>
        <w:t>.</w:t>
      </w:r>
      <w:r w:rsidR="0027000F" w:rsidRPr="0027000F">
        <w:t xml:space="preserve"> </w:t>
      </w:r>
      <w:r w:rsidR="00BE02C8">
        <w:t>A well designed and planned bicycle-sharing system can serve as an access/egress for other public transportation systems</w:t>
      </w:r>
      <w:r w:rsidR="007F1BD2">
        <w:t xml:space="preserve"> mode – a potential last mile solution</w:t>
      </w:r>
      <w:r w:rsidR="00877BAB">
        <w:t xml:space="preserve"> </w:t>
      </w:r>
      <w:r w:rsidR="005C1B32" w:rsidRPr="00B0330A">
        <w:rPr>
          <w:rFonts w:cs="Times New Roman"/>
        </w:rPr>
        <w:t>(</w:t>
      </w:r>
      <w:r w:rsidR="005C1B32" w:rsidRPr="008E72F3">
        <w:rPr>
          <w:rFonts w:cs="Times New Roman"/>
          <w:bCs/>
          <w:szCs w:val="24"/>
        </w:rPr>
        <w:t>Jäppinen</w:t>
      </w:r>
      <w:r w:rsidR="005C1B32" w:rsidRPr="00B0330A">
        <w:rPr>
          <w:rFonts w:cs="Times New Roman"/>
        </w:rPr>
        <w:t xml:space="preserve"> et al., 201</w:t>
      </w:r>
      <w:r w:rsidR="005C1B32">
        <w:rPr>
          <w:rFonts w:cs="Times New Roman"/>
        </w:rPr>
        <w:t>3</w:t>
      </w:r>
      <w:r w:rsidR="005C1B32" w:rsidRPr="00B0330A">
        <w:rPr>
          <w:rFonts w:cs="Times New Roman"/>
        </w:rPr>
        <w:t>)</w:t>
      </w:r>
      <w:r w:rsidR="005C1B32">
        <w:rPr>
          <w:rFonts w:cs="Times New Roman"/>
        </w:rPr>
        <w:t>.</w:t>
      </w:r>
      <w:r w:rsidR="00BE02C8">
        <w:rPr>
          <w:rFonts w:cs="Times New Roman"/>
        </w:rPr>
        <w:t xml:space="preserve"> </w:t>
      </w:r>
      <w:r w:rsidR="00B671D6">
        <w:rPr>
          <w:rFonts w:cs="Times New Roman"/>
        </w:rPr>
        <w:t>BSS are in tune with the</w:t>
      </w:r>
      <w:r w:rsidR="00A374B1">
        <w:rPr>
          <w:rFonts w:cs="Times New Roman"/>
        </w:rPr>
        <w:t xml:space="preserve"> millennials’ </w:t>
      </w:r>
      <w:r w:rsidR="00C40378">
        <w:rPr>
          <w:rFonts w:cs="Times New Roman"/>
        </w:rPr>
        <w:t>proclivity</w:t>
      </w:r>
      <w:r w:rsidR="00A374B1">
        <w:rPr>
          <w:rFonts w:cs="Times New Roman"/>
        </w:rPr>
        <w:t xml:space="preserve"> </w:t>
      </w:r>
      <w:r w:rsidR="00C40378">
        <w:rPr>
          <w:rFonts w:cs="Times New Roman"/>
        </w:rPr>
        <w:t xml:space="preserve">for </w:t>
      </w:r>
      <w:r w:rsidR="005C1B32">
        <w:rPr>
          <w:rFonts w:cs="Times New Roman"/>
        </w:rPr>
        <w:t>shared transportation systems (</w:t>
      </w:r>
      <w:r w:rsidR="00FC384D">
        <w:rPr>
          <w:rFonts w:cs="Times New Roman"/>
        </w:rPr>
        <w:t>Davis</w:t>
      </w:r>
      <w:r w:rsidR="005C1B32">
        <w:rPr>
          <w:rFonts w:cs="Times New Roman"/>
        </w:rPr>
        <w:t xml:space="preserve"> et al., 2012; </w:t>
      </w:r>
      <w:r w:rsidR="005C1B32" w:rsidRPr="008C25C2">
        <w:rPr>
          <w:rFonts w:cs="Times New Roman"/>
          <w:bCs/>
          <w:szCs w:val="24"/>
        </w:rPr>
        <w:t xml:space="preserve">Dutzik </w:t>
      </w:r>
      <w:r w:rsidR="005C1B32">
        <w:rPr>
          <w:rFonts w:cs="Times New Roman"/>
          <w:bCs/>
          <w:szCs w:val="24"/>
        </w:rPr>
        <w:t>and</w:t>
      </w:r>
      <w:r w:rsidR="005C1B32" w:rsidRPr="008C25C2">
        <w:rPr>
          <w:rFonts w:cs="Times New Roman"/>
          <w:bCs/>
          <w:szCs w:val="24"/>
        </w:rPr>
        <w:t xml:space="preserve"> Baxandall</w:t>
      </w:r>
      <w:r w:rsidR="005C1B32">
        <w:rPr>
          <w:rFonts w:cs="Times New Roman"/>
          <w:bCs/>
          <w:szCs w:val="24"/>
        </w:rPr>
        <w:t>, 2013</w:t>
      </w:r>
      <w:r w:rsidR="005C1B32">
        <w:rPr>
          <w:rFonts w:cs="Times New Roman"/>
        </w:rPr>
        <w:t>).</w:t>
      </w:r>
      <w:r w:rsidR="00390A31">
        <w:rPr>
          <w:rFonts w:cs="Times New Roman"/>
        </w:rPr>
        <w:t xml:space="preserve"> </w:t>
      </w:r>
      <w:r w:rsidR="00390A31">
        <w:t xml:space="preserve">Further, earlier research efforts </w:t>
      </w:r>
      <w:r w:rsidR="003D5976">
        <w:t xml:space="preserve">provide evidence </w:t>
      </w:r>
      <w:r w:rsidR="00390A31">
        <w:t xml:space="preserve">that BSS </w:t>
      </w:r>
      <w:r w:rsidR="00542C0A">
        <w:t>were successful in improving</w:t>
      </w:r>
      <w:r w:rsidR="00390A31">
        <w:t xml:space="preserve"> the </w:t>
      </w:r>
      <w:r w:rsidR="00542C0A">
        <w:t xml:space="preserve">driver </w:t>
      </w:r>
      <w:r w:rsidR="00390A31">
        <w:t>aw</w:t>
      </w:r>
      <w:r w:rsidR="00542C0A">
        <w:t>areness towards cyclist</w:t>
      </w:r>
      <w:r w:rsidR="003D5976">
        <w:t>s</w:t>
      </w:r>
      <w:r w:rsidR="00542C0A">
        <w:t xml:space="preserve"> and consequently </w:t>
      </w:r>
      <w:r w:rsidR="00390A31">
        <w:t>increas</w:t>
      </w:r>
      <w:r w:rsidR="003D5976">
        <w:t>ed</w:t>
      </w:r>
      <w:r w:rsidR="00390A31">
        <w:t xml:space="preserve"> the safety </w:t>
      </w:r>
      <w:r w:rsidR="003D5976">
        <w:t xml:space="preserve">for </w:t>
      </w:r>
      <w:r w:rsidR="00390A31">
        <w:t>cyclists (Murphy and</w:t>
      </w:r>
      <w:r w:rsidR="00390A31" w:rsidRPr="00390A31">
        <w:t xml:space="preserve"> Usher</w:t>
      </w:r>
      <w:r w:rsidR="006E331F">
        <w:t>,</w:t>
      </w:r>
      <w:r w:rsidR="00390A31" w:rsidRPr="00390A31">
        <w:t xml:space="preserve"> 2015</w:t>
      </w:r>
      <w:r w:rsidR="00390A31">
        <w:t>)</w:t>
      </w:r>
      <w:r w:rsidR="00AF319B">
        <w:t xml:space="preserve">. BSS have also assisted in </w:t>
      </w:r>
      <w:r w:rsidR="009B34CA">
        <w:rPr>
          <w:rFonts w:cs="Times New Roman"/>
        </w:rPr>
        <w:t xml:space="preserve">encouraging </w:t>
      </w:r>
      <w:r w:rsidR="00390A31">
        <w:rPr>
          <w:rFonts w:cs="Times New Roman"/>
        </w:rPr>
        <w:t xml:space="preserve">the </w:t>
      </w:r>
      <w:r w:rsidR="009B34CA">
        <w:rPr>
          <w:rFonts w:cs="Times New Roman"/>
        </w:rPr>
        <w:t xml:space="preserve">public perception </w:t>
      </w:r>
      <w:r w:rsidR="00390A31">
        <w:rPr>
          <w:rFonts w:cs="Times New Roman"/>
        </w:rPr>
        <w:t>of cycling as an everyday travel mode and thus broadening the cycling demographic (Goodman et al., 2014).</w:t>
      </w:r>
      <w:r w:rsidR="003D5976">
        <w:rPr>
          <w:rFonts w:cs="Times New Roman"/>
        </w:rPr>
        <w:t xml:space="preserve"> Cities, b</w:t>
      </w:r>
      <w:r w:rsidR="003D5976">
        <w:t xml:space="preserve">y installing BSS, are focusing on inducing a modal shift to cycling, and subsequently </w:t>
      </w:r>
      <w:r w:rsidR="003D5976">
        <w:rPr>
          <w:rFonts w:cs="Times New Roman"/>
        </w:rPr>
        <w:t>decrease traffic congestion and air pollution.</w:t>
      </w:r>
    </w:p>
    <w:p w14:paraId="3F582A29" w14:textId="225BAC4B" w:rsidR="00630468" w:rsidRDefault="005C1B32" w:rsidP="00D05973">
      <w:pPr>
        <w:ind w:firstLine="720"/>
        <w:rPr>
          <w:rFonts w:cs="Times New Roman"/>
          <w:szCs w:val="24"/>
          <w:lang w:val="en-US"/>
        </w:rPr>
      </w:pPr>
      <w:r>
        <w:rPr>
          <w:rFonts w:cs="Times New Roman"/>
        </w:rPr>
        <w:t xml:space="preserve">Given the </w:t>
      </w:r>
      <w:r w:rsidR="00062AC4">
        <w:rPr>
          <w:rFonts w:cs="Times New Roman"/>
        </w:rPr>
        <w:t>growing</w:t>
      </w:r>
      <w:r>
        <w:rPr>
          <w:rFonts w:cs="Times New Roman"/>
        </w:rPr>
        <w:t xml:space="preserve"> attention towards bicycle-sharing systems,</w:t>
      </w:r>
      <w:r w:rsidR="00A374B1">
        <w:rPr>
          <w:rFonts w:cs="Times New Roman"/>
        </w:rPr>
        <w:t xml:space="preserve"> it is important to examine the </w:t>
      </w:r>
      <w:r w:rsidR="001B4229">
        <w:t xml:space="preserve">current performance of </w:t>
      </w:r>
      <w:r w:rsidR="00A374B1">
        <w:t>BSS</w:t>
      </w:r>
      <w:r w:rsidR="00AF319B">
        <w:t xml:space="preserve"> operation</w:t>
      </w:r>
      <w:r w:rsidR="001B4229">
        <w:t xml:space="preserve"> </w:t>
      </w:r>
      <w:r w:rsidR="00A374B1">
        <w:t xml:space="preserve">to </w:t>
      </w:r>
      <w:r w:rsidR="001B4229">
        <w:t xml:space="preserve">improve </w:t>
      </w:r>
      <w:r w:rsidR="009036B2" w:rsidRPr="00055120">
        <w:t>the effectiveness</w:t>
      </w:r>
      <w:r w:rsidR="009036B2">
        <w:t xml:space="preserve"> of </w:t>
      </w:r>
      <w:r w:rsidR="00A374B1">
        <w:t>BSS</w:t>
      </w:r>
      <w:r w:rsidR="009036B2">
        <w:t xml:space="preserve"> </w:t>
      </w:r>
      <w:r w:rsidR="00A374B1">
        <w:t xml:space="preserve">schemes </w:t>
      </w:r>
      <w:r w:rsidR="00455A0F">
        <w:t>(Fishman et al.</w:t>
      </w:r>
      <w:r w:rsidR="006E331F">
        <w:t>,</w:t>
      </w:r>
      <w:r w:rsidR="00455A0F">
        <w:t xml:space="preserve"> 2013)</w:t>
      </w:r>
      <w:r w:rsidR="009036B2">
        <w:t xml:space="preserve">. </w:t>
      </w:r>
      <w:r w:rsidR="00BF098C">
        <w:t xml:space="preserve">Further, </w:t>
      </w:r>
      <w:r w:rsidR="00C40378">
        <w:rPr>
          <w:rFonts w:cs="Times New Roman"/>
          <w:szCs w:val="24"/>
          <w:lang w:val="en-US"/>
        </w:rPr>
        <w:t xml:space="preserve">understanding factors influencing BSS demand will allow us to better coordinate the installation of new systems or modify existing systems. A useful characterization of BSS demand involves considering bicycle </w:t>
      </w:r>
      <w:r w:rsidR="00C40378" w:rsidRPr="00641B79">
        <w:rPr>
          <w:rFonts w:cs="Times New Roman"/>
          <w:szCs w:val="24"/>
          <w:lang w:val="en-US"/>
        </w:rPr>
        <w:t xml:space="preserve">usage as arrivals (depositing bicycles) and </w:t>
      </w:r>
      <w:r w:rsidR="00C40378" w:rsidRPr="00B12D72">
        <w:rPr>
          <w:rFonts w:cs="Times New Roman"/>
        </w:rPr>
        <w:t>departures</w:t>
      </w:r>
      <w:r w:rsidR="00C40378" w:rsidRPr="00641B79">
        <w:rPr>
          <w:rFonts w:cs="Times New Roman"/>
          <w:szCs w:val="24"/>
          <w:lang w:val="en-US"/>
        </w:rPr>
        <w:t xml:space="preserve"> (removal of bicycles)</w:t>
      </w:r>
      <w:r w:rsidR="00C40378">
        <w:rPr>
          <w:rFonts w:cs="Times New Roman"/>
          <w:szCs w:val="24"/>
          <w:lang w:val="en-US"/>
        </w:rPr>
        <w:t xml:space="preserve"> at BSS stations</w:t>
      </w:r>
      <w:r w:rsidR="00C40378" w:rsidRPr="00641B79">
        <w:rPr>
          <w:rFonts w:cs="Times New Roman"/>
          <w:szCs w:val="24"/>
          <w:lang w:val="en-US"/>
        </w:rPr>
        <w:t>.</w:t>
      </w:r>
      <w:r w:rsidR="00C40378">
        <w:rPr>
          <w:rFonts w:cs="Times New Roman"/>
          <w:szCs w:val="24"/>
          <w:lang w:val="en-US"/>
        </w:rPr>
        <w:t xml:space="preserve"> </w:t>
      </w:r>
      <w:r w:rsidR="00C40378">
        <w:t>R</w:t>
      </w:r>
      <w:r w:rsidR="00A374B1">
        <w:t>esearchers have examined BSS</w:t>
      </w:r>
      <w:r w:rsidR="00EB2C51">
        <w:t xml:space="preserve"> usage</w:t>
      </w:r>
      <w:r w:rsidR="00A374B1">
        <w:t xml:space="preserve"> </w:t>
      </w:r>
      <w:r w:rsidR="00EB2C51">
        <w:t>to determine contributing factors to BSS demand (</w:t>
      </w:r>
      <w:r w:rsidR="00EB2C51" w:rsidRPr="008A07C9">
        <w:rPr>
          <w:rFonts w:cs="Times New Roman"/>
        </w:rPr>
        <w:t>Nair et al.</w:t>
      </w:r>
      <w:r w:rsidR="003803D7">
        <w:rPr>
          <w:rFonts w:cs="Times New Roman"/>
        </w:rPr>
        <w:t>,</w:t>
      </w:r>
      <w:r w:rsidR="00EB2C51" w:rsidRPr="008A07C9">
        <w:rPr>
          <w:rFonts w:cs="Times New Roman"/>
        </w:rPr>
        <w:t xml:space="preserve"> 2013</w:t>
      </w:r>
      <w:r w:rsidR="00EB2C51">
        <w:rPr>
          <w:rFonts w:cs="Times New Roman"/>
        </w:rPr>
        <w:t>;</w:t>
      </w:r>
      <w:r w:rsidR="00EB2C51" w:rsidRPr="0043327D">
        <w:rPr>
          <w:rFonts w:cs="Times New Roman"/>
          <w:bCs/>
          <w:szCs w:val="24"/>
        </w:rPr>
        <w:t xml:space="preserve"> </w:t>
      </w:r>
      <w:r w:rsidR="00EB2C51" w:rsidRPr="008A07C9">
        <w:rPr>
          <w:rFonts w:cs="Times New Roman"/>
          <w:bCs/>
          <w:szCs w:val="24"/>
        </w:rPr>
        <w:t>Rixey</w:t>
      </w:r>
      <w:r w:rsidR="003803D7">
        <w:rPr>
          <w:rFonts w:cs="Times New Roman"/>
          <w:bCs/>
          <w:szCs w:val="24"/>
        </w:rPr>
        <w:t>,</w:t>
      </w:r>
      <w:r w:rsidR="00EB2C51" w:rsidRPr="008A07C9">
        <w:rPr>
          <w:rFonts w:cs="Times New Roman"/>
          <w:bCs/>
          <w:szCs w:val="24"/>
        </w:rPr>
        <w:t xml:space="preserve"> 201</w:t>
      </w:r>
      <w:r w:rsidR="00EB2C51">
        <w:rPr>
          <w:rFonts w:cs="Times New Roman"/>
          <w:bCs/>
          <w:szCs w:val="24"/>
        </w:rPr>
        <w:t>3;</w:t>
      </w:r>
      <w:r w:rsidR="00EB2C51">
        <w:rPr>
          <w:rFonts w:cs="Times New Roman"/>
        </w:rPr>
        <w:t xml:space="preserve"> </w:t>
      </w:r>
      <w:r w:rsidR="00EB2C51" w:rsidRPr="008A07C9">
        <w:rPr>
          <w:rFonts w:cs="Times New Roman"/>
        </w:rPr>
        <w:t>Faghih-Imani et al.</w:t>
      </w:r>
      <w:r w:rsidR="003803D7">
        <w:rPr>
          <w:rFonts w:cs="Times New Roman"/>
        </w:rPr>
        <w:t>,</w:t>
      </w:r>
      <w:r w:rsidR="00EB2C51" w:rsidRPr="008A07C9">
        <w:rPr>
          <w:rFonts w:cs="Times New Roman"/>
        </w:rPr>
        <w:t xml:space="preserve"> 2014</w:t>
      </w:r>
      <w:r w:rsidR="00EB2C51">
        <w:rPr>
          <w:rFonts w:cs="Times New Roman"/>
        </w:rPr>
        <w:t xml:space="preserve">; </w:t>
      </w:r>
      <w:r w:rsidR="00EB2C51" w:rsidRPr="008A07C9">
        <w:rPr>
          <w:rFonts w:cs="Times New Roman"/>
          <w:bCs/>
          <w:szCs w:val="24"/>
        </w:rPr>
        <w:t>Gebhart and Noland</w:t>
      </w:r>
      <w:r w:rsidR="003803D7">
        <w:rPr>
          <w:rFonts w:cs="Times New Roman"/>
          <w:bCs/>
          <w:szCs w:val="24"/>
        </w:rPr>
        <w:t>,</w:t>
      </w:r>
      <w:r w:rsidR="00EB2C51" w:rsidRPr="008A07C9">
        <w:rPr>
          <w:rFonts w:cs="Times New Roman"/>
        </w:rPr>
        <w:t xml:space="preserve"> 201</w:t>
      </w:r>
      <w:r w:rsidR="00EB2C51">
        <w:rPr>
          <w:rFonts w:cs="Times New Roman"/>
        </w:rPr>
        <w:t>4;</w:t>
      </w:r>
      <w:r w:rsidR="00EB2C51" w:rsidRPr="008A07C9">
        <w:rPr>
          <w:rFonts w:cs="Times New Roman"/>
          <w:bCs/>
          <w:szCs w:val="24"/>
        </w:rPr>
        <w:t xml:space="preserve"> O’Brien et al.</w:t>
      </w:r>
      <w:r w:rsidR="003803D7">
        <w:rPr>
          <w:rFonts w:cs="Times New Roman"/>
          <w:bCs/>
          <w:szCs w:val="24"/>
        </w:rPr>
        <w:t>,</w:t>
      </w:r>
      <w:r w:rsidR="00EB2C51" w:rsidRPr="008A07C9">
        <w:rPr>
          <w:rFonts w:cs="Times New Roman"/>
          <w:bCs/>
          <w:szCs w:val="24"/>
        </w:rPr>
        <w:t xml:space="preserve"> 201</w:t>
      </w:r>
      <w:r w:rsidR="00EB2C51">
        <w:rPr>
          <w:rFonts w:cs="Times New Roman"/>
          <w:bCs/>
          <w:szCs w:val="24"/>
        </w:rPr>
        <w:t>4;</w:t>
      </w:r>
      <w:r w:rsidR="00EB2C51" w:rsidRPr="008A07C9">
        <w:rPr>
          <w:rFonts w:cs="Times New Roman"/>
          <w:bCs/>
          <w:szCs w:val="24"/>
        </w:rPr>
        <w:t xml:space="preserve"> Rudloff and Lackner</w:t>
      </w:r>
      <w:r w:rsidR="003803D7">
        <w:rPr>
          <w:rFonts w:cs="Times New Roman"/>
          <w:bCs/>
          <w:szCs w:val="24"/>
        </w:rPr>
        <w:t>,</w:t>
      </w:r>
      <w:r w:rsidR="00EB2C51" w:rsidRPr="008A07C9">
        <w:rPr>
          <w:rFonts w:cs="Times New Roman"/>
          <w:bCs/>
          <w:szCs w:val="24"/>
        </w:rPr>
        <w:t xml:space="preserve"> 201</w:t>
      </w:r>
      <w:r w:rsidR="00EB2C51">
        <w:rPr>
          <w:rFonts w:cs="Times New Roman"/>
          <w:bCs/>
          <w:szCs w:val="24"/>
        </w:rPr>
        <w:t>4</w:t>
      </w:r>
      <w:r w:rsidR="00EB2C51">
        <w:t>).</w:t>
      </w:r>
      <w:r w:rsidR="00A374B1">
        <w:t xml:space="preserve"> </w:t>
      </w:r>
      <w:r w:rsidR="00062AC4">
        <w:rPr>
          <w:rFonts w:cs="Times New Roman"/>
        </w:rPr>
        <w:t xml:space="preserve">These studies </w:t>
      </w:r>
      <w:r w:rsidR="005419DD">
        <w:rPr>
          <w:rFonts w:cs="Times New Roman"/>
        </w:rPr>
        <w:t xml:space="preserve">usually </w:t>
      </w:r>
      <w:r w:rsidR="00062AC4">
        <w:rPr>
          <w:rFonts w:cs="Times New Roman"/>
        </w:rPr>
        <w:t>examine</w:t>
      </w:r>
      <w:r w:rsidR="005419DD">
        <w:rPr>
          <w:rFonts w:cs="Times New Roman"/>
        </w:rPr>
        <w:t xml:space="preserve"> the impact of various attributes on BSS usage at different level</w:t>
      </w:r>
      <w:r w:rsidR="00C40378">
        <w:rPr>
          <w:rFonts w:cs="Times New Roman"/>
        </w:rPr>
        <w:t>s</w:t>
      </w:r>
      <w:r w:rsidR="005419DD">
        <w:rPr>
          <w:rFonts w:cs="Times New Roman"/>
        </w:rPr>
        <w:t xml:space="preserve"> of temporal and spatial aggregation. Variables considered </w:t>
      </w:r>
      <w:r w:rsidR="00C40378">
        <w:rPr>
          <w:rFonts w:cs="Times New Roman"/>
        </w:rPr>
        <w:t>include</w:t>
      </w:r>
      <w:r w:rsidR="00062AC4" w:rsidRPr="008A07C9">
        <w:rPr>
          <w:rFonts w:cs="Times New Roman"/>
        </w:rPr>
        <w:t xml:space="preserve"> BSS infrastructure (</w:t>
      </w:r>
      <w:r w:rsidR="00062AC4">
        <w:rPr>
          <w:rFonts w:cs="Times New Roman"/>
        </w:rPr>
        <w:t>such as</w:t>
      </w:r>
      <w:r w:rsidR="00062AC4" w:rsidRPr="008A07C9">
        <w:rPr>
          <w:rFonts w:cs="Times New Roman"/>
        </w:rPr>
        <w:t xml:space="preserve"> number of BSS stations and stations’ capacity), transportation network infrastructure (</w:t>
      </w:r>
      <w:r w:rsidR="00062AC4">
        <w:rPr>
          <w:rFonts w:cs="Times New Roman"/>
        </w:rPr>
        <w:t>such as</w:t>
      </w:r>
      <w:r w:rsidR="00062AC4" w:rsidRPr="008A07C9">
        <w:rPr>
          <w:rFonts w:cs="Times New Roman"/>
        </w:rPr>
        <w:t xml:space="preserve"> length of bicycle facilities, streets and major roads), land use</w:t>
      </w:r>
      <w:r w:rsidR="005419DD">
        <w:rPr>
          <w:rFonts w:cs="Times New Roman"/>
        </w:rPr>
        <w:t xml:space="preserve"> (such as population and job density), point of interests (</w:t>
      </w:r>
      <w:r w:rsidR="00062AC4">
        <w:rPr>
          <w:rFonts w:cs="Times New Roman"/>
        </w:rPr>
        <w:t>such as</w:t>
      </w:r>
      <w:r w:rsidR="00062AC4" w:rsidRPr="008A07C9">
        <w:rPr>
          <w:rFonts w:cs="Times New Roman"/>
        </w:rPr>
        <w:t xml:space="preserve"> presence of </w:t>
      </w:r>
      <w:r w:rsidR="00B7094B">
        <w:rPr>
          <w:rFonts w:cs="Times New Roman"/>
        </w:rPr>
        <w:t>subway</w:t>
      </w:r>
      <w:r w:rsidR="00062AC4" w:rsidRPr="008A07C9">
        <w:rPr>
          <w:rFonts w:cs="Times New Roman"/>
        </w:rPr>
        <w:t xml:space="preserve"> stations, restaurants, businesses and universities), </w:t>
      </w:r>
      <w:r w:rsidR="005419DD">
        <w:rPr>
          <w:rFonts w:cs="Times New Roman"/>
        </w:rPr>
        <w:t xml:space="preserve">and </w:t>
      </w:r>
      <w:r w:rsidR="00062AC4" w:rsidRPr="008A07C9">
        <w:rPr>
          <w:rFonts w:cs="Times New Roman"/>
        </w:rPr>
        <w:t xml:space="preserve">meteorological </w:t>
      </w:r>
      <w:r w:rsidR="005419DD">
        <w:rPr>
          <w:rFonts w:cs="Times New Roman"/>
        </w:rPr>
        <w:t>and temporal</w:t>
      </w:r>
      <w:r w:rsidR="005419DD" w:rsidRPr="008A07C9">
        <w:rPr>
          <w:rFonts w:cs="Times New Roman"/>
        </w:rPr>
        <w:t xml:space="preserve"> </w:t>
      </w:r>
      <w:r w:rsidR="005419DD">
        <w:rPr>
          <w:rFonts w:cs="Times New Roman"/>
        </w:rPr>
        <w:t xml:space="preserve">attributes </w:t>
      </w:r>
      <w:r w:rsidR="00062AC4" w:rsidRPr="008A07C9">
        <w:rPr>
          <w:rFonts w:cs="Times New Roman"/>
        </w:rPr>
        <w:t>(</w:t>
      </w:r>
      <w:r w:rsidR="00062AC4">
        <w:rPr>
          <w:rFonts w:cs="Times New Roman"/>
        </w:rPr>
        <w:t>such as</w:t>
      </w:r>
      <w:r w:rsidR="00062AC4" w:rsidRPr="008A07C9">
        <w:rPr>
          <w:rFonts w:cs="Times New Roman"/>
        </w:rPr>
        <w:t xml:space="preserve"> temperature</w:t>
      </w:r>
      <w:r w:rsidR="005419DD">
        <w:rPr>
          <w:rFonts w:cs="Times New Roman"/>
        </w:rPr>
        <w:t xml:space="preserve"> and </w:t>
      </w:r>
      <w:r w:rsidR="00062AC4" w:rsidRPr="008A07C9">
        <w:rPr>
          <w:rFonts w:cs="Times New Roman"/>
        </w:rPr>
        <w:t xml:space="preserve">time of day). </w:t>
      </w:r>
      <w:r w:rsidR="00BF098C">
        <w:rPr>
          <w:rFonts w:cs="Times New Roman"/>
        </w:rPr>
        <w:t>However, t</w:t>
      </w:r>
      <w:r w:rsidR="0089386E">
        <w:rPr>
          <w:rFonts w:cs="Times New Roman"/>
        </w:rPr>
        <w:t>he</w:t>
      </w:r>
      <w:r w:rsidR="004175DD">
        <w:rPr>
          <w:rFonts w:cs="Times New Roman"/>
        </w:rPr>
        <w:t xml:space="preserve"> earlier</w:t>
      </w:r>
      <w:r w:rsidR="009E61D3" w:rsidRPr="008A07C9">
        <w:rPr>
          <w:rFonts w:cs="Times New Roman"/>
        </w:rPr>
        <w:t xml:space="preserve"> research efforts</w:t>
      </w:r>
      <w:r w:rsidR="007C6CA7" w:rsidRPr="007C6CA7">
        <w:rPr>
          <w:rFonts w:cs="Times New Roman"/>
          <w:szCs w:val="24"/>
          <w:lang w:val="en-US"/>
        </w:rPr>
        <w:t xml:space="preserve"> </w:t>
      </w:r>
      <w:r w:rsidR="007C6CA7">
        <w:rPr>
          <w:rFonts w:cs="Times New Roman"/>
          <w:szCs w:val="24"/>
          <w:lang w:val="en-US"/>
        </w:rPr>
        <w:t xml:space="preserve">have neglected to adequately </w:t>
      </w:r>
      <w:r w:rsidR="00632182">
        <w:rPr>
          <w:rFonts w:cs="Times New Roman"/>
          <w:szCs w:val="24"/>
          <w:lang w:val="en-US"/>
        </w:rPr>
        <w:t xml:space="preserve">consider </w:t>
      </w:r>
      <w:r w:rsidR="009E61D3">
        <w:rPr>
          <w:rFonts w:cs="Times New Roman"/>
        </w:rPr>
        <w:t>spatial</w:t>
      </w:r>
      <w:r w:rsidR="009E61D3" w:rsidRPr="009E61D3">
        <w:t xml:space="preserve"> </w:t>
      </w:r>
      <w:r w:rsidR="009E61D3">
        <w:t>and temporal</w:t>
      </w:r>
      <w:r w:rsidR="009E61D3">
        <w:rPr>
          <w:rFonts w:cs="Times New Roman"/>
        </w:rPr>
        <w:t xml:space="preserve"> </w:t>
      </w:r>
      <w:r w:rsidR="007C6CA7">
        <w:rPr>
          <w:rFonts w:cs="Times New Roman"/>
        </w:rPr>
        <w:t>interaction</w:t>
      </w:r>
      <w:r w:rsidR="009E61D3">
        <w:rPr>
          <w:rFonts w:cs="Times New Roman"/>
        </w:rPr>
        <w:t xml:space="preserve"> of </w:t>
      </w:r>
      <w:r w:rsidR="009E61D3">
        <w:t xml:space="preserve">BSS station’s demand (arrivals and departures). </w:t>
      </w:r>
      <w:r w:rsidR="007C6CA7">
        <w:rPr>
          <w:rFonts w:cs="Times New Roman"/>
          <w:szCs w:val="24"/>
          <w:lang w:val="en-US"/>
        </w:rPr>
        <w:t xml:space="preserve">To elaborate, it is possible that </w:t>
      </w:r>
      <w:r w:rsidR="007C6CA7" w:rsidRPr="00641B79">
        <w:rPr>
          <w:rFonts w:cs="Times New Roman"/>
          <w:szCs w:val="24"/>
          <w:lang w:val="en-US"/>
        </w:rPr>
        <w:t xml:space="preserve">bicycle arrival and departure rates of one BSS station are potentially </w:t>
      </w:r>
      <w:r w:rsidR="007C6CA7">
        <w:rPr>
          <w:rFonts w:cs="Times New Roman"/>
          <w:szCs w:val="24"/>
          <w:lang w:val="en-US"/>
        </w:rPr>
        <w:t>inter connected</w:t>
      </w:r>
      <w:r w:rsidR="007C6CA7" w:rsidRPr="00641B79">
        <w:rPr>
          <w:rFonts w:cs="Times New Roman"/>
          <w:szCs w:val="24"/>
          <w:lang w:val="en-US"/>
        </w:rPr>
        <w:t xml:space="preserve"> with bicycle flow rates </w:t>
      </w:r>
      <w:r w:rsidR="007C6CA7">
        <w:rPr>
          <w:rFonts w:cs="Times New Roman"/>
          <w:szCs w:val="24"/>
          <w:lang w:val="en-US"/>
        </w:rPr>
        <w:t xml:space="preserve">for neighboring </w:t>
      </w:r>
      <w:r w:rsidR="007C6CA7" w:rsidRPr="00641B79">
        <w:rPr>
          <w:rFonts w:cs="Times New Roman"/>
          <w:szCs w:val="24"/>
          <w:lang w:val="en-US"/>
        </w:rPr>
        <w:t>stations.</w:t>
      </w:r>
      <w:r w:rsidR="00A36ABA">
        <w:rPr>
          <w:rFonts w:cs="Times New Roman"/>
          <w:szCs w:val="24"/>
          <w:lang w:val="en-US"/>
        </w:rPr>
        <w:t xml:space="preserve"> </w:t>
      </w:r>
      <w:r w:rsidR="00B52378" w:rsidRPr="00B52378">
        <w:rPr>
          <w:rFonts w:cs="Times New Roman"/>
          <w:szCs w:val="24"/>
          <w:lang w:val="en-US"/>
        </w:rPr>
        <w:t>The demand (for an empty slot or a bicycle) might materialize at a neighboring station when a station is totally full or empty.</w:t>
      </w:r>
      <w:r w:rsidR="00B52378">
        <w:rPr>
          <w:rFonts w:cs="Times New Roman"/>
          <w:szCs w:val="24"/>
          <w:lang w:val="en-US"/>
        </w:rPr>
        <w:t xml:space="preserve"> </w:t>
      </w:r>
      <w:r w:rsidR="007F1BD2">
        <w:rPr>
          <w:rFonts w:cs="Times New Roman"/>
          <w:szCs w:val="24"/>
          <w:lang w:val="en-US"/>
        </w:rPr>
        <w:t>I</w:t>
      </w:r>
      <w:r w:rsidR="007C6CA7">
        <w:rPr>
          <w:rFonts w:cs="Times New Roman"/>
          <w:szCs w:val="24"/>
          <w:lang w:val="en-US"/>
        </w:rPr>
        <w:t xml:space="preserve">t is also plausible that </w:t>
      </w:r>
      <w:r w:rsidR="007C6CA7" w:rsidRPr="00641B79">
        <w:rPr>
          <w:rFonts w:cs="Times New Roman"/>
          <w:szCs w:val="24"/>
          <w:lang w:val="en-US"/>
        </w:rPr>
        <w:t xml:space="preserve">the arrival and departure rates at one time period </w:t>
      </w:r>
      <w:r w:rsidR="007C6CA7">
        <w:rPr>
          <w:rFonts w:cs="Times New Roman"/>
          <w:szCs w:val="24"/>
          <w:lang w:val="en-US"/>
        </w:rPr>
        <w:t>are</w:t>
      </w:r>
      <w:r w:rsidR="007C6CA7" w:rsidRPr="00641B79">
        <w:rPr>
          <w:rFonts w:cs="Times New Roman"/>
          <w:szCs w:val="24"/>
          <w:lang w:val="en-US"/>
        </w:rPr>
        <w:t xml:space="preserve"> influenced by the arrival and departure rates of earlier time periods for that station and </w:t>
      </w:r>
      <w:r w:rsidR="007C6CA7">
        <w:rPr>
          <w:rFonts w:cs="Times New Roman"/>
          <w:szCs w:val="24"/>
          <w:lang w:val="en-US"/>
        </w:rPr>
        <w:t>neighboring</w:t>
      </w:r>
      <w:r w:rsidR="007C6CA7" w:rsidRPr="00641B79">
        <w:rPr>
          <w:rFonts w:cs="Times New Roman"/>
          <w:szCs w:val="24"/>
          <w:lang w:val="en-US"/>
        </w:rPr>
        <w:t xml:space="preserve"> stations.</w:t>
      </w:r>
      <w:r w:rsidR="007C6CA7">
        <w:rPr>
          <w:rFonts w:cs="Times New Roman"/>
          <w:szCs w:val="24"/>
          <w:lang w:val="en-US"/>
        </w:rPr>
        <w:t xml:space="preserve"> Neglecting the presence of such effects, when they are actually present will result in biased model estimates. </w:t>
      </w:r>
    </w:p>
    <w:p w14:paraId="5D4C90ED" w14:textId="3817ACF7" w:rsidR="007C6CA7" w:rsidRPr="007C6CA7" w:rsidRDefault="007C6CA7" w:rsidP="001B585E">
      <w:pPr>
        <w:ind w:firstLine="720"/>
      </w:pPr>
      <w:r>
        <w:rPr>
          <w:rFonts w:cs="Times New Roman"/>
          <w:szCs w:val="24"/>
          <w:lang w:val="en-US"/>
        </w:rPr>
        <w:t>The major objective of this study is to accommodate for spatial and temporal effects (observed and unobserved) for modeling bicycle demand in a bicycle-sharing system.</w:t>
      </w:r>
      <w:r w:rsidR="00D95E08">
        <w:rPr>
          <w:rFonts w:cs="Times New Roman"/>
          <w:szCs w:val="24"/>
          <w:lang w:val="en-US"/>
        </w:rPr>
        <w:t xml:space="preserve"> For this purpose, trip data from </w:t>
      </w:r>
      <w:r w:rsidR="00D95E08">
        <w:t xml:space="preserve">New York City’s </w:t>
      </w:r>
      <w:r w:rsidR="00037327">
        <w:t>bicycle- sharing system (</w:t>
      </w:r>
      <w:r w:rsidR="00457EDB">
        <w:t>CitiBike</w:t>
      </w:r>
      <w:r w:rsidR="00037327">
        <w:t xml:space="preserve">) </w:t>
      </w:r>
      <w:r w:rsidR="00D95E08">
        <w:t>is used</w:t>
      </w:r>
      <w:r w:rsidR="00632182">
        <w:t xml:space="preserve"> to obtain hourly stations’ arrivals and departures</w:t>
      </w:r>
      <w:r w:rsidR="00D95E08">
        <w:t>.</w:t>
      </w:r>
      <w:r w:rsidR="00E16EBA">
        <w:t xml:space="preserve"> </w:t>
      </w:r>
      <w:r w:rsidR="00A91D34">
        <w:t>Along with t</w:t>
      </w:r>
      <w:r w:rsidR="00CB2158">
        <w:t xml:space="preserve">he </w:t>
      </w:r>
      <w:r w:rsidR="00A91D34">
        <w:t xml:space="preserve">compiled </w:t>
      </w:r>
      <w:r w:rsidR="00CB2158">
        <w:t>arrivals and departures data</w:t>
      </w:r>
      <w:r w:rsidR="00A91D34">
        <w:t xml:space="preserve">, we take into account the impact of several exogenous attributes including </w:t>
      </w:r>
      <w:r w:rsidR="00A91D34" w:rsidRPr="008A07C9">
        <w:rPr>
          <w:rFonts w:cs="Times New Roman"/>
        </w:rPr>
        <w:t>BSS infrastructure</w:t>
      </w:r>
      <w:r w:rsidR="00A91D34">
        <w:rPr>
          <w:rFonts w:cs="Times New Roman"/>
        </w:rPr>
        <w:t>,</w:t>
      </w:r>
      <w:r w:rsidR="00A91D34" w:rsidRPr="008A07C9">
        <w:rPr>
          <w:rFonts w:cs="Times New Roman"/>
        </w:rPr>
        <w:t xml:space="preserve"> transportation network infrastructure</w:t>
      </w:r>
      <w:r w:rsidR="00A91D34">
        <w:rPr>
          <w:rFonts w:cs="Times New Roman"/>
        </w:rPr>
        <w:t>,</w:t>
      </w:r>
      <w:r w:rsidR="00A91D34" w:rsidRPr="008A07C9">
        <w:rPr>
          <w:rFonts w:cs="Times New Roman"/>
        </w:rPr>
        <w:t xml:space="preserve"> land use</w:t>
      </w:r>
      <w:r w:rsidR="00A91D34">
        <w:rPr>
          <w:rFonts w:cs="Times New Roman"/>
        </w:rPr>
        <w:t>, point of interests</w:t>
      </w:r>
      <w:r w:rsidR="00A91D34" w:rsidRPr="008A07C9">
        <w:rPr>
          <w:rFonts w:cs="Times New Roman"/>
        </w:rPr>
        <w:t xml:space="preserve">, </w:t>
      </w:r>
      <w:r w:rsidR="00A91D34">
        <w:rPr>
          <w:rFonts w:cs="Times New Roman"/>
        </w:rPr>
        <w:t xml:space="preserve">and </w:t>
      </w:r>
      <w:r w:rsidR="00A91D34" w:rsidRPr="008A07C9">
        <w:rPr>
          <w:rFonts w:cs="Times New Roman"/>
        </w:rPr>
        <w:t xml:space="preserve">meteorological </w:t>
      </w:r>
      <w:r w:rsidR="00A91D34">
        <w:rPr>
          <w:rFonts w:cs="Times New Roman"/>
        </w:rPr>
        <w:t>and temporal</w:t>
      </w:r>
      <w:r w:rsidR="00A91D34" w:rsidRPr="008A07C9">
        <w:rPr>
          <w:rFonts w:cs="Times New Roman"/>
        </w:rPr>
        <w:t xml:space="preserve"> </w:t>
      </w:r>
      <w:r w:rsidR="00A91D34">
        <w:rPr>
          <w:rFonts w:cs="Times New Roman"/>
        </w:rPr>
        <w:t>attributes.</w:t>
      </w:r>
      <w:r w:rsidR="00CB2158">
        <w:t xml:space="preserve"> </w:t>
      </w:r>
      <w:r w:rsidR="00AF319B">
        <w:t xml:space="preserve">The proposed research effort </w:t>
      </w:r>
      <w:r w:rsidR="00CB2158">
        <w:t>allow</w:t>
      </w:r>
      <w:r w:rsidR="00AF319B">
        <w:t>s</w:t>
      </w:r>
      <w:r w:rsidR="00CB2158">
        <w:t xml:space="preserve"> us to examine the </w:t>
      </w:r>
      <w:r w:rsidR="006F35AA">
        <w:t xml:space="preserve">impact </w:t>
      </w:r>
      <w:r w:rsidR="00CB2158">
        <w:t xml:space="preserve">of these </w:t>
      </w:r>
      <w:r w:rsidR="00AF319B">
        <w:t xml:space="preserve">aforementioned </w:t>
      </w:r>
      <w:r w:rsidR="00CB2158">
        <w:lastRenderedPageBreak/>
        <w:t xml:space="preserve">factors on BSS demand while incorporating the </w:t>
      </w:r>
      <w:r w:rsidR="00CB2158">
        <w:rPr>
          <w:rFonts w:cs="Times New Roman"/>
        </w:rPr>
        <w:t>spatial</w:t>
      </w:r>
      <w:r w:rsidR="00CB2158" w:rsidRPr="009E61D3">
        <w:t xml:space="preserve"> </w:t>
      </w:r>
      <w:r w:rsidR="00CB2158">
        <w:t>and temporal</w:t>
      </w:r>
      <w:r w:rsidR="00CB2158">
        <w:rPr>
          <w:rFonts w:cs="Times New Roman"/>
        </w:rPr>
        <w:t xml:space="preserve"> interaction of </w:t>
      </w:r>
      <w:r w:rsidR="00CB2158">
        <w:t>arriv</w:t>
      </w:r>
      <w:r w:rsidR="007E32FF">
        <w:t xml:space="preserve">als and departures. We also account for any spatial dependency between the stations’ </w:t>
      </w:r>
      <w:r w:rsidR="006D78E1">
        <w:t>usage</w:t>
      </w:r>
      <w:r w:rsidR="005F664B">
        <w:t xml:space="preserve"> and their nearby stations</w:t>
      </w:r>
      <w:r w:rsidR="007E32FF">
        <w:t>.</w:t>
      </w:r>
      <w:r w:rsidR="006D78E1">
        <w:t xml:space="preserve"> We investigate the relation between arrivals</w:t>
      </w:r>
      <w:r w:rsidR="00EC34D9">
        <w:t xml:space="preserve"> (departures)</w:t>
      </w:r>
      <w:r w:rsidR="006D78E1">
        <w:t xml:space="preserve"> at one station with arrivals</w:t>
      </w:r>
      <w:r w:rsidR="00EC34D9">
        <w:t xml:space="preserve"> (departures)</w:t>
      </w:r>
      <w:r w:rsidR="006D78E1">
        <w:t xml:space="preserve"> at its neighbouring stations. </w:t>
      </w:r>
      <w:r w:rsidR="003803D7">
        <w:t xml:space="preserve"> </w:t>
      </w:r>
      <w:r w:rsidR="007F1BD2">
        <w:t xml:space="preserve">Furthermore, as </w:t>
      </w:r>
      <w:r w:rsidR="007E32FF">
        <w:t>we have multiple repeated observation</w:t>
      </w:r>
      <w:r w:rsidR="003D5976">
        <w:t>s</w:t>
      </w:r>
      <w:r w:rsidR="007E32FF">
        <w:t xml:space="preserve"> of </w:t>
      </w:r>
      <w:r w:rsidR="007F1BD2">
        <w:t xml:space="preserve">the </w:t>
      </w:r>
      <w:r w:rsidR="007E32FF">
        <w:t xml:space="preserve">dependent variable (hourly rates for each station) we </w:t>
      </w:r>
      <w:r w:rsidR="005355D0">
        <w:t xml:space="preserve">employ </w:t>
      </w:r>
      <w:r w:rsidR="008A0FC4">
        <w:t xml:space="preserve">spatial </w:t>
      </w:r>
      <w:r w:rsidR="003D5976">
        <w:t xml:space="preserve">panel </w:t>
      </w:r>
      <w:r w:rsidR="005355D0">
        <w:t>models in our analysis. Although spatial panel models have recently become prevalent in econometric literature in general, we believe our study is the first attempt to ad</w:t>
      </w:r>
      <w:r w:rsidR="00B7094B">
        <w:t>o</w:t>
      </w:r>
      <w:r w:rsidR="005355D0">
        <w:t xml:space="preserve">pt such models </w:t>
      </w:r>
      <w:r w:rsidR="00AF319B">
        <w:t>with such a large number of repeated observations</w:t>
      </w:r>
      <w:r w:rsidR="005355D0">
        <w:t xml:space="preserve">. </w:t>
      </w:r>
      <w:r w:rsidR="007E32FF">
        <w:t xml:space="preserve">  </w:t>
      </w:r>
    </w:p>
    <w:p w14:paraId="5D60C8FC" w14:textId="271C927E" w:rsidR="00CB2158" w:rsidRDefault="00CB2158" w:rsidP="0088044D">
      <w:pPr>
        <w:ind w:firstLine="720"/>
        <w:rPr>
          <w:rFonts w:cs="Times New Roman"/>
        </w:rPr>
      </w:pPr>
      <w:r w:rsidRPr="008A07C9">
        <w:rPr>
          <w:rFonts w:cs="Times New Roman"/>
        </w:rPr>
        <w:t>The remainder of the paper is organized in the following order.</w:t>
      </w:r>
      <w:r>
        <w:rPr>
          <w:rFonts w:cs="Times New Roman"/>
        </w:rPr>
        <w:t xml:space="preserve"> A brief overview of earlier research is presented in Section 2.</w:t>
      </w:r>
      <w:r w:rsidRPr="008A07C9">
        <w:rPr>
          <w:rFonts w:cs="Times New Roman"/>
        </w:rPr>
        <w:t xml:space="preserve"> Section </w:t>
      </w:r>
      <w:r>
        <w:rPr>
          <w:rFonts w:cs="Times New Roman"/>
        </w:rPr>
        <w:t>3</w:t>
      </w:r>
      <w:r w:rsidRPr="008A07C9">
        <w:rPr>
          <w:rFonts w:cs="Times New Roman"/>
        </w:rPr>
        <w:t xml:space="preserve"> describes the data and the sample formation procedure</w:t>
      </w:r>
      <w:r>
        <w:rPr>
          <w:rFonts w:cs="Times New Roman"/>
        </w:rPr>
        <w:t>s</w:t>
      </w:r>
      <w:r w:rsidRPr="008A07C9">
        <w:rPr>
          <w:rFonts w:cs="Times New Roman"/>
        </w:rPr>
        <w:t>.</w:t>
      </w:r>
      <w:r>
        <w:rPr>
          <w:rFonts w:cs="Times New Roman"/>
        </w:rPr>
        <w:t xml:space="preserve"> </w:t>
      </w:r>
      <w:r w:rsidRPr="008A07C9">
        <w:rPr>
          <w:rFonts w:cs="Times New Roman"/>
        </w:rPr>
        <w:t xml:space="preserve">In Section </w:t>
      </w:r>
      <w:r>
        <w:rPr>
          <w:rFonts w:cs="Times New Roman"/>
        </w:rPr>
        <w:t>4,</w:t>
      </w:r>
      <w:r w:rsidRPr="008A07C9">
        <w:rPr>
          <w:rFonts w:cs="Times New Roman"/>
        </w:rPr>
        <w:t xml:space="preserve"> </w:t>
      </w:r>
      <w:r>
        <w:rPr>
          <w:rFonts w:cs="Times New Roman"/>
        </w:rPr>
        <w:t xml:space="preserve">the methodology used and </w:t>
      </w:r>
      <w:r w:rsidRPr="008A07C9">
        <w:rPr>
          <w:rFonts w:cs="Times New Roman"/>
        </w:rPr>
        <w:t>model structure</w:t>
      </w:r>
      <w:r>
        <w:rPr>
          <w:rFonts w:cs="Times New Roman"/>
        </w:rPr>
        <w:t>s are</w:t>
      </w:r>
      <w:r w:rsidRPr="008A07C9">
        <w:rPr>
          <w:rFonts w:cs="Times New Roman"/>
        </w:rPr>
        <w:t xml:space="preserve"> described. </w:t>
      </w:r>
      <w:r>
        <w:rPr>
          <w:rFonts w:cs="Times New Roman"/>
        </w:rPr>
        <w:t>Section 5 present</w:t>
      </w:r>
      <w:r w:rsidR="0066204C">
        <w:rPr>
          <w:rFonts w:cs="Times New Roman"/>
        </w:rPr>
        <w:t>s</w:t>
      </w:r>
      <w:r>
        <w:rPr>
          <w:rFonts w:cs="Times New Roman"/>
        </w:rPr>
        <w:t xml:space="preserve"> the model results and validation. </w:t>
      </w:r>
      <w:r w:rsidRPr="008A07C9">
        <w:rPr>
          <w:rFonts w:cs="Times New Roman"/>
        </w:rPr>
        <w:t xml:space="preserve">Finally, Section </w:t>
      </w:r>
      <w:r>
        <w:rPr>
          <w:rFonts w:cs="Times New Roman"/>
        </w:rPr>
        <w:t>6</w:t>
      </w:r>
      <w:r w:rsidRPr="008A07C9">
        <w:rPr>
          <w:rFonts w:cs="Times New Roman"/>
        </w:rPr>
        <w:t xml:space="preserve"> summarizes and concludes the paper.</w:t>
      </w:r>
    </w:p>
    <w:p w14:paraId="650B532C" w14:textId="77777777" w:rsidR="00921E32" w:rsidRPr="00DA1214" w:rsidRDefault="00921E32" w:rsidP="00921E32"/>
    <w:p w14:paraId="7E82A0D6" w14:textId="785A4A4E" w:rsidR="00921E32" w:rsidRPr="00DA1214" w:rsidRDefault="006E2072" w:rsidP="00921E32">
      <w:pPr>
        <w:pStyle w:val="Heading1"/>
        <w:autoSpaceDE w:val="0"/>
        <w:autoSpaceDN w:val="0"/>
        <w:adjustRightInd w:val="0"/>
        <w:jc w:val="left"/>
        <w:rPr>
          <w:rFonts w:cs="Times New Roman"/>
        </w:rPr>
      </w:pPr>
      <w:r>
        <w:rPr>
          <w:rFonts w:cs="Times New Roman"/>
        </w:rPr>
        <w:t>LITERATURE REVIEW</w:t>
      </w:r>
    </w:p>
    <w:p w14:paraId="510D93EB" w14:textId="03F7DBBD" w:rsidR="0023505D" w:rsidRDefault="00BE02C8" w:rsidP="00BF098C">
      <w:pPr>
        <w:rPr>
          <w:rFonts w:cs="Times New Roman"/>
        </w:rPr>
      </w:pPr>
      <w:r>
        <w:t>The bicycle-sharing system</w:t>
      </w:r>
      <w:r w:rsidR="00946803">
        <w:t xml:space="preserve">s </w:t>
      </w:r>
      <w:r w:rsidR="00C40378">
        <w:t>have</w:t>
      </w:r>
      <w:r w:rsidR="00946803">
        <w:t xml:space="preserve"> evolved since its initiation </w:t>
      </w:r>
      <w:r>
        <w:t xml:space="preserve">in the 1960s (DeMaio, 2009; Shaheen et al., 2010). </w:t>
      </w:r>
      <w:r w:rsidR="001B4229">
        <w:t xml:space="preserve">There is </w:t>
      </w:r>
      <w:r w:rsidR="0066204C">
        <w:t xml:space="preserve">increased research </w:t>
      </w:r>
      <w:r w:rsidR="001B4229">
        <w:t xml:space="preserve">on bicycle-sharing systems over the past few years </w:t>
      </w:r>
      <w:r w:rsidR="001B4229">
        <w:rPr>
          <w:rFonts w:cs="Times New Roman"/>
        </w:rPr>
        <w:t>(See Fishman 2015 for a review of recent literature on BSS)</w:t>
      </w:r>
      <w:r w:rsidR="001B4229">
        <w:t xml:space="preserve">. </w:t>
      </w:r>
      <w:r w:rsidR="007F1BD2">
        <w:t>T</w:t>
      </w:r>
      <w:r w:rsidR="00B7094B">
        <w:t>here have been</w:t>
      </w:r>
      <w:r>
        <w:t xml:space="preserve"> </w:t>
      </w:r>
      <w:r w:rsidR="00632182">
        <w:t>several</w:t>
      </w:r>
      <w:r>
        <w:t xml:space="preserve"> </w:t>
      </w:r>
      <w:r w:rsidRPr="00D934FA">
        <w:t xml:space="preserve">quantitative </w:t>
      </w:r>
      <w:r>
        <w:t xml:space="preserve">studies </w:t>
      </w:r>
      <w:r w:rsidR="0023505D">
        <w:t xml:space="preserve">examining bicycle-sharing systems from different </w:t>
      </w:r>
      <w:r w:rsidR="007F1BD2">
        <w:t>dimensions –</w:t>
      </w:r>
      <w:r w:rsidR="00AB4C10">
        <w:t xml:space="preserve"> </w:t>
      </w:r>
      <w:r w:rsidR="007F1BD2">
        <w:t xml:space="preserve">BSS </w:t>
      </w:r>
      <w:r w:rsidR="00DE7A4E">
        <w:t>and</w:t>
      </w:r>
      <w:r w:rsidR="007F1BD2">
        <w:t xml:space="preserve"> bicycling infrastructure, </w:t>
      </w:r>
      <w:r w:rsidR="00DE7A4E">
        <w:t xml:space="preserve">land use and </w:t>
      </w:r>
      <w:r w:rsidR="005419DD">
        <w:t>built environment</w:t>
      </w:r>
      <w:r w:rsidR="007F1BD2">
        <w:t xml:space="preserve">, </w:t>
      </w:r>
      <w:r w:rsidR="00DE7A4E">
        <w:t xml:space="preserve">public transportation infrastructure, </w:t>
      </w:r>
      <w:r w:rsidR="007F1BD2">
        <w:t xml:space="preserve">temporal </w:t>
      </w:r>
      <w:r w:rsidR="005419DD">
        <w:t xml:space="preserve">and meteorological </w:t>
      </w:r>
      <w:r w:rsidR="007F1BD2">
        <w:t>attributes</w:t>
      </w:r>
      <w:r w:rsidR="00DE7A4E">
        <w:t>, and user socio-demographics</w:t>
      </w:r>
      <w:r w:rsidR="007F1BD2">
        <w:t xml:space="preserve"> </w:t>
      </w:r>
      <w:r>
        <w:rPr>
          <w:rFonts w:cs="Times New Roman"/>
        </w:rPr>
        <w:t>(</w:t>
      </w:r>
      <w:r w:rsidR="00877BAB" w:rsidRPr="008A07C9">
        <w:rPr>
          <w:rFonts w:cs="Times New Roman"/>
        </w:rPr>
        <w:t>Nair et al.</w:t>
      </w:r>
      <w:r w:rsidR="003803D7">
        <w:rPr>
          <w:rFonts w:cs="Times New Roman"/>
        </w:rPr>
        <w:t>,</w:t>
      </w:r>
      <w:r w:rsidR="00877BAB" w:rsidRPr="008A07C9">
        <w:rPr>
          <w:rFonts w:cs="Times New Roman"/>
        </w:rPr>
        <w:t xml:space="preserve"> 2013</w:t>
      </w:r>
      <w:r w:rsidR="00877BAB">
        <w:rPr>
          <w:rFonts w:cs="Times New Roman"/>
        </w:rPr>
        <w:t xml:space="preserve">; </w:t>
      </w:r>
      <w:r w:rsidR="0043327D" w:rsidRPr="008A07C9">
        <w:rPr>
          <w:rFonts w:cs="Times New Roman"/>
          <w:bCs/>
          <w:szCs w:val="24"/>
        </w:rPr>
        <w:t>Rixey</w:t>
      </w:r>
      <w:r w:rsidR="003803D7">
        <w:rPr>
          <w:rFonts w:cs="Times New Roman"/>
          <w:bCs/>
          <w:szCs w:val="24"/>
        </w:rPr>
        <w:t>,</w:t>
      </w:r>
      <w:r w:rsidR="0043327D" w:rsidRPr="008A07C9">
        <w:rPr>
          <w:rFonts w:cs="Times New Roman"/>
          <w:bCs/>
          <w:szCs w:val="24"/>
        </w:rPr>
        <w:t xml:space="preserve"> 201</w:t>
      </w:r>
      <w:r w:rsidR="0043327D">
        <w:rPr>
          <w:rFonts w:cs="Times New Roman"/>
          <w:bCs/>
          <w:szCs w:val="24"/>
        </w:rPr>
        <w:t xml:space="preserve">3; </w:t>
      </w:r>
      <w:r w:rsidR="00877BAB" w:rsidRPr="008A07C9">
        <w:rPr>
          <w:rFonts w:cs="Times New Roman"/>
        </w:rPr>
        <w:t>Faghih-Imani et al.</w:t>
      </w:r>
      <w:r w:rsidR="003803D7">
        <w:rPr>
          <w:rFonts w:cs="Times New Roman"/>
        </w:rPr>
        <w:t>,</w:t>
      </w:r>
      <w:r w:rsidR="00877BAB" w:rsidRPr="008A07C9">
        <w:rPr>
          <w:rFonts w:cs="Times New Roman"/>
        </w:rPr>
        <w:t xml:space="preserve"> 2014</w:t>
      </w:r>
      <w:r w:rsidR="00877BAB">
        <w:rPr>
          <w:rFonts w:cs="Times New Roman"/>
        </w:rPr>
        <w:t xml:space="preserve">; </w:t>
      </w:r>
      <w:r w:rsidR="00877BAB" w:rsidRPr="008A07C9">
        <w:rPr>
          <w:rFonts w:cs="Times New Roman"/>
          <w:bCs/>
          <w:szCs w:val="24"/>
        </w:rPr>
        <w:t>Gebhart and Noland</w:t>
      </w:r>
      <w:r w:rsidR="003803D7">
        <w:rPr>
          <w:rFonts w:cs="Times New Roman"/>
          <w:bCs/>
          <w:szCs w:val="24"/>
        </w:rPr>
        <w:t>,</w:t>
      </w:r>
      <w:r w:rsidR="00877BAB" w:rsidRPr="008A07C9">
        <w:rPr>
          <w:rFonts w:cs="Times New Roman"/>
        </w:rPr>
        <w:t xml:space="preserve"> 201</w:t>
      </w:r>
      <w:r w:rsidR="00877BAB">
        <w:rPr>
          <w:rFonts w:cs="Times New Roman"/>
        </w:rPr>
        <w:t>4;</w:t>
      </w:r>
      <w:r w:rsidR="00877BAB" w:rsidRPr="008A07C9">
        <w:rPr>
          <w:rFonts w:cs="Times New Roman"/>
          <w:bCs/>
          <w:szCs w:val="24"/>
        </w:rPr>
        <w:t xml:space="preserve"> O’Brien et al.</w:t>
      </w:r>
      <w:r w:rsidR="003803D7">
        <w:rPr>
          <w:rFonts w:cs="Times New Roman"/>
          <w:bCs/>
          <w:szCs w:val="24"/>
        </w:rPr>
        <w:t>,</w:t>
      </w:r>
      <w:r w:rsidR="00877BAB" w:rsidRPr="008A07C9">
        <w:rPr>
          <w:rFonts w:cs="Times New Roman"/>
          <w:bCs/>
          <w:szCs w:val="24"/>
        </w:rPr>
        <w:t xml:space="preserve"> 201</w:t>
      </w:r>
      <w:r w:rsidR="00877BAB">
        <w:rPr>
          <w:rFonts w:cs="Times New Roman"/>
          <w:bCs/>
          <w:szCs w:val="24"/>
        </w:rPr>
        <w:t>4;</w:t>
      </w:r>
      <w:r w:rsidR="00877BAB" w:rsidRPr="008A07C9">
        <w:rPr>
          <w:rFonts w:cs="Times New Roman"/>
          <w:bCs/>
          <w:szCs w:val="24"/>
        </w:rPr>
        <w:t xml:space="preserve"> Rudloff and Lackner</w:t>
      </w:r>
      <w:r w:rsidR="003803D7">
        <w:rPr>
          <w:rFonts w:cs="Times New Roman"/>
          <w:bCs/>
          <w:szCs w:val="24"/>
        </w:rPr>
        <w:t>,</w:t>
      </w:r>
      <w:r w:rsidR="00877BAB" w:rsidRPr="008A07C9">
        <w:rPr>
          <w:rFonts w:cs="Times New Roman"/>
          <w:bCs/>
          <w:szCs w:val="24"/>
        </w:rPr>
        <w:t xml:space="preserve"> 201</w:t>
      </w:r>
      <w:r w:rsidR="00877BAB">
        <w:rPr>
          <w:rFonts w:cs="Times New Roman"/>
          <w:bCs/>
          <w:szCs w:val="24"/>
        </w:rPr>
        <w:t>4</w:t>
      </w:r>
      <w:r>
        <w:rPr>
          <w:rFonts w:cs="Times New Roman"/>
        </w:rPr>
        <w:t xml:space="preserve">). </w:t>
      </w:r>
      <w:r w:rsidR="0023505D">
        <w:rPr>
          <w:rFonts w:cs="Times New Roman"/>
        </w:rPr>
        <w:t>For example, s</w:t>
      </w:r>
      <w:r w:rsidR="00861E76">
        <w:rPr>
          <w:rFonts w:cs="Times New Roman"/>
        </w:rPr>
        <w:t>everal studies demonstrate that</w:t>
      </w:r>
      <w:r w:rsidR="00861E76" w:rsidRPr="002943EC">
        <w:rPr>
          <w:rFonts w:cs="Times New Roman"/>
        </w:rPr>
        <w:t xml:space="preserve"> </w:t>
      </w:r>
      <w:r w:rsidR="00861E76">
        <w:rPr>
          <w:rFonts w:cs="Times New Roman"/>
        </w:rPr>
        <w:t>increasing</w:t>
      </w:r>
      <w:r w:rsidR="00861E76" w:rsidRPr="002943EC">
        <w:rPr>
          <w:rFonts w:cs="Times New Roman"/>
        </w:rPr>
        <w:t xml:space="preserve"> </w:t>
      </w:r>
      <w:r w:rsidR="00861E76">
        <w:rPr>
          <w:rFonts w:cs="Times New Roman"/>
        </w:rPr>
        <w:t xml:space="preserve">BSS infrastructure (number of </w:t>
      </w:r>
      <w:r w:rsidR="00861E76" w:rsidRPr="002943EC">
        <w:rPr>
          <w:rFonts w:cs="Times New Roman"/>
        </w:rPr>
        <w:t>stations</w:t>
      </w:r>
      <w:r w:rsidR="00861E76">
        <w:rPr>
          <w:rFonts w:cs="Times New Roman"/>
        </w:rPr>
        <w:t xml:space="preserve"> and capacity) or increasing bicycle routes around stations increases BSS usage (</w:t>
      </w:r>
      <w:r w:rsidR="00861E76">
        <w:t>Buck and Buehler, 2012</w:t>
      </w:r>
      <w:r w:rsidR="00861E76">
        <w:rPr>
          <w:rFonts w:cs="Times New Roman"/>
        </w:rPr>
        <w:t xml:space="preserve">; </w:t>
      </w:r>
      <w:r w:rsidR="00861E76" w:rsidRPr="008A07C9">
        <w:rPr>
          <w:rFonts w:cs="Times New Roman"/>
        </w:rPr>
        <w:t>Faghih-Imani et al.</w:t>
      </w:r>
      <w:r w:rsidR="00861E76">
        <w:rPr>
          <w:rFonts w:cs="Times New Roman"/>
        </w:rPr>
        <w:t>,</w:t>
      </w:r>
      <w:r w:rsidR="00861E76" w:rsidRPr="008A07C9">
        <w:rPr>
          <w:rFonts w:cs="Times New Roman"/>
        </w:rPr>
        <w:t xml:space="preserve"> 2014</w:t>
      </w:r>
      <w:r w:rsidR="00C8121A">
        <w:t xml:space="preserve">; </w:t>
      </w:r>
      <w:r w:rsidR="00C8121A">
        <w:rPr>
          <w:rFonts w:cs="Times New Roman"/>
        </w:rPr>
        <w:t>Wang et al., 2015</w:t>
      </w:r>
      <w:r w:rsidR="00861E76">
        <w:rPr>
          <w:rFonts w:cs="Times New Roman"/>
        </w:rPr>
        <w:t xml:space="preserve">). The impact of land use and urban form </w:t>
      </w:r>
      <w:r w:rsidR="00BF41BA">
        <w:rPr>
          <w:rFonts w:cs="Times New Roman"/>
        </w:rPr>
        <w:t>attributes</w:t>
      </w:r>
      <w:r w:rsidR="00861E76">
        <w:rPr>
          <w:rFonts w:cs="Times New Roman"/>
        </w:rPr>
        <w:t xml:space="preserve"> on BSS usage are also investigated. </w:t>
      </w:r>
      <w:r w:rsidR="007F1BD2">
        <w:rPr>
          <w:rFonts w:cs="Times New Roman"/>
        </w:rPr>
        <w:t>S</w:t>
      </w:r>
      <w:r w:rsidR="00861E76">
        <w:rPr>
          <w:rFonts w:cs="Times New Roman"/>
        </w:rPr>
        <w:t>tudies found that stations in area</w:t>
      </w:r>
      <w:r w:rsidR="007F1BD2">
        <w:rPr>
          <w:rFonts w:cs="Times New Roman"/>
        </w:rPr>
        <w:t>s</w:t>
      </w:r>
      <w:r w:rsidR="00861E76">
        <w:rPr>
          <w:rFonts w:cs="Times New Roman"/>
        </w:rPr>
        <w:t xml:space="preserve"> with higher job or population density or stations with higher number of point of interests </w:t>
      </w:r>
      <w:r w:rsidR="00BF41BA">
        <w:rPr>
          <w:rFonts w:cs="Times New Roman"/>
        </w:rPr>
        <w:t xml:space="preserve">(such as restaurants, retail stores and universities) </w:t>
      </w:r>
      <w:r w:rsidR="00861E76">
        <w:rPr>
          <w:rFonts w:cs="Times New Roman"/>
        </w:rPr>
        <w:t xml:space="preserve">in the vicinity </w:t>
      </w:r>
      <w:r w:rsidR="00BF41BA">
        <w:rPr>
          <w:rFonts w:cs="Times New Roman"/>
        </w:rPr>
        <w:t>experienc</w:t>
      </w:r>
      <w:r w:rsidR="007F1BD2">
        <w:rPr>
          <w:rFonts w:cs="Times New Roman"/>
        </w:rPr>
        <w:t>e</w:t>
      </w:r>
      <w:r w:rsidR="00BF41BA">
        <w:rPr>
          <w:rFonts w:cs="Times New Roman"/>
        </w:rPr>
        <w:t xml:space="preserve"> higher arrivals and departures </w:t>
      </w:r>
      <w:r w:rsidR="00861E76">
        <w:rPr>
          <w:rFonts w:cs="Times New Roman"/>
        </w:rPr>
        <w:t>(</w:t>
      </w:r>
      <w:r w:rsidR="00861E76" w:rsidRPr="008A07C9">
        <w:rPr>
          <w:rFonts w:cs="Times New Roman"/>
          <w:bCs/>
          <w:szCs w:val="24"/>
        </w:rPr>
        <w:t>Rixey</w:t>
      </w:r>
      <w:r w:rsidR="00861E76">
        <w:rPr>
          <w:rFonts w:cs="Times New Roman"/>
          <w:bCs/>
          <w:szCs w:val="24"/>
        </w:rPr>
        <w:t>,</w:t>
      </w:r>
      <w:r w:rsidR="00861E76" w:rsidRPr="008A07C9">
        <w:rPr>
          <w:rFonts w:cs="Times New Roman"/>
          <w:bCs/>
          <w:szCs w:val="24"/>
        </w:rPr>
        <w:t xml:space="preserve"> 201</w:t>
      </w:r>
      <w:r w:rsidR="0043327D">
        <w:rPr>
          <w:rFonts w:cs="Times New Roman"/>
          <w:bCs/>
          <w:szCs w:val="24"/>
        </w:rPr>
        <w:t>3</w:t>
      </w:r>
      <w:r w:rsidR="00861E76">
        <w:rPr>
          <w:rFonts w:cs="Times New Roman"/>
          <w:bCs/>
          <w:szCs w:val="24"/>
        </w:rPr>
        <w:t xml:space="preserve">; </w:t>
      </w:r>
      <w:r w:rsidR="00861E76" w:rsidRPr="008A07C9">
        <w:rPr>
          <w:rFonts w:cs="Times New Roman"/>
        </w:rPr>
        <w:t>Faghih-Imani et al.</w:t>
      </w:r>
      <w:r w:rsidR="00861E76">
        <w:rPr>
          <w:rFonts w:cs="Times New Roman"/>
        </w:rPr>
        <w:t>,</w:t>
      </w:r>
      <w:r w:rsidR="00861E76" w:rsidRPr="008A07C9">
        <w:rPr>
          <w:rFonts w:cs="Times New Roman"/>
        </w:rPr>
        <w:t xml:space="preserve"> 2014</w:t>
      </w:r>
      <w:r w:rsidR="00861E76">
        <w:rPr>
          <w:rFonts w:cs="Times New Roman"/>
          <w:bCs/>
          <w:szCs w:val="24"/>
        </w:rPr>
        <w:t>).</w:t>
      </w:r>
      <w:r w:rsidR="00861E76">
        <w:rPr>
          <w:rFonts w:cs="Times New Roman"/>
        </w:rPr>
        <w:t xml:space="preserve"> </w:t>
      </w:r>
      <w:r w:rsidR="00DE7A4E">
        <w:rPr>
          <w:rFonts w:cs="Times New Roman"/>
          <w:bCs/>
          <w:szCs w:val="24"/>
        </w:rPr>
        <w:t xml:space="preserve">Another study </w:t>
      </w:r>
      <w:r w:rsidR="005C4FA1">
        <w:rPr>
          <w:rFonts w:cs="Times New Roman"/>
          <w:bCs/>
          <w:szCs w:val="24"/>
        </w:rPr>
        <w:t>showed that ignoring the self-selection impact of BSS infrastructure installation decision process in modelling usage results in an over-estimation of BSS infrastructure effect on usage (</w:t>
      </w:r>
      <w:r w:rsidR="00DE7A4E" w:rsidRPr="008A07C9">
        <w:rPr>
          <w:rFonts w:cs="Times New Roman"/>
        </w:rPr>
        <w:t>Faghih-Imani</w:t>
      </w:r>
      <w:r w:rsidR="00DE7A4E">
        <w:rPr>
          <w:rFonts w:cs="Times New Roman"/>
        </w:rPr>
        <w:t xml:space="preserve"> and Eluru, 2014</w:t>
      </w:r>
      <w:r w:rsidR="005C4FA1">
        <w:rPr>
          <w:rFonts w:cs="Times New Roman"/>
        </w:rPr>
        <w:t>).</w:t>
      </w:r>
      <w:r w:rsidR="00DE7A4E">
        <w:rPr>
          <w:rFonts w:cs="Times New Roman"/>
        </w:rPr>
        <w:t xml:space="preserve"> </w:t>
      </w:r>
      <w:r w:rsidR="0023505D">
        <w:rPr>
          <w:rFonts w:cs="Times New Roman"/>
        </w:rPr>
        <w:t>Furthermore, the relationship between BSS and other public transportation systems such as subway or bus transit system are also examined by several research efforts (Nair et al.</w:t>
      </w:r>
      <w:r w:rsidR="003803D7">
        <w:rPr>
          <w:rFonts w:cs="Times New Roman"/>
        </w:rPr>
        <w:t>,</w:t>
      </w:r>
      <w:r w:rsidR="0023505D">
        <w:rPr>
          <w:rFonts w:cs="Times New Roman"/>
        </w:rPr>
        <w:t xml:space="preserve"> 2013; Faghih-Imani et al., 2014</w:t>
      </w:r>
      <w:r w:rsidR="000823FF">
        <w:rPr>
          <w:rFonts w:cs="Times New Roman"/>
        </w:rPr>
        <w:t xml:space="preserve">; </w:t>
      </w:r>
      <w:r w:rsidR="000823FF">
        <w:t xml:space="preserve">Faghih-Imani and Eluru, 2015; </w:t>
      </w:r>
      <w:r w:rsidR="000823FF" w:rsidRPr="000823FF">
        <w:t>González</w:t>
      </w:r>
      <w:r w:rsidR="000823FF">
        <w:t xml:space="preserve"> et al., 2015</w:t>
      </w:r>
      <w:r w:rsidR="0023505D">
        <w:rPr>
          <w:rFonts w:cs="Times New Roman"/>
        </w:rPr>
        <w:t xml:space="preserve">). </w:t>
      </w:r>
    </w:p>
    <w:p w14:paraId="10F0755E" w14:textId="076F6AEA" w:rsidR="00221AE3" w:rsidRDefault="00BF41BA">
      <w:pPr>
        <w:ind w:firstLine="720"/>
      </w:pPr>
      <w:r>
        <w:rPr>
          <w:rFonts w:cs="Times New Roman"/>
        </w:rPr>
        <w:t xml:space="preserve">The analyses on temporal </w:t>
      </w:r>
      <w:r w:rsidR="00DE7A4E">
        <w:rPr>
          <w:rFonts w:cs="Times New Roman"/>
        </w:rPr>
        <w:t xml:space="preserve">attributes </w:t>
      </w:r>
      <w:r>
        <w:rPr>
          <w:rFonts w:cs="Times New Roman"/>
        </w:rPr>
        <w:t>of BSS show that</w:t>
      </w:r>
      <w:r w:rsidR="00861E76">
        <w:rPr>
          <w:rFonts w:cs="Times New Roman"/>
        </w:rPr>
        <w:t xml:space="preserve"> the peak </w:t>
      </w:r>
      <w:r w:rsidR="00B053A5">
        <w:rPr>
          <w:rFonts w:cs="Times New Roman"/>
        </w:rPr>
        <w:t xml:space="preserve">arrivals and departures are </w:t>
      </w:r>
      <w:r w:rsidR="00861E76">
        <w:rPr>
          <w:rFonts w:cs="Times New Roman"/>
        </w:rPr>
        <w:t xml:space="preserve">observed during the evening peak hours </w:t>
      </w:r>
      <w:r w:rsidR="00975BCE">
        <w:rPr>
          <w:rFonts w:cs="Times New Roman"/>
        </w:rPr>
        <w:t>while</w:t>
      </w:r>
      <w:r>
        <w:rPr>
          <w:rFonts w:cs="Times New Roman"/>
        </w:rPr>
        <w:t xml:space="preserve"> weekdays</w:t>
      </w:r>
      <w:r w:rsidR="00975BCE">
        <w:rPr>
          <w:rFonts w:cs="Times New Roman"/>
        </w:rPr>
        <w:t xml:space="preserve"> tend to have higher rates of usage</w:t>
      </w:r>
      <w:r>
        <w:rPr>
          <w:rFonts w:cs="Times New Roman"/>
        </w:rPr>
        <w:t xml:space="preserve"> compared to weekend</w:t>
      </w:r>
      <w:r w:rsidR="0066204C">
        <w:rPr>
          <w:rFonts w:cs="Times New Roman"/>
        </w:rPr>
        <w:t>. The results indicate the presence of a commuter usage of BSS on weekdays</w:t>
      </w:r>
      <w:r>
        <w:rPr>
          <w:rFonts w:cs="Times New Roman"/>
        </w:rPr>
        <w:t xml:space="preserve"> </w:t>
      </w:r>
      <w:r w:rsidR="00861E76">
        <w:rPr>
          <w:rFonts w:cs="Times New Roman"/>
        </w:rPr>
        <w:t>(</w:t>
      </w:r>
      <w:r w:rsidR="001D1190">
        <w:rPr>
          <w:rFonts w:cs="Times New Roman"/>
          <w:bCs/>
          <w:szCs w:val="24"/>
        </w:rPr>
        <w:t>O’Brien et al.</w:t>
      </w:r>
      <w:r w:rsidR="003803D7">
        <w:rPr>
          <w:rFonts w:cs="Times New Roman"/>
          <w:bCs/>
          <w:szCs w:val="24"/>
        </w:rPr>
        <w:t>,</w:t>
      </w:r>
      <w:r w:rsidR="001D1190">
        <w:rPr>
          <w:rFonts w:cs="Times New Roman"/>
          <w:bCs/>
          <w:szCs w:val="24"/>
        </w:rPr>
        <w:t xml:space="preserve"> 2014; </w:t>
      </w:r>
      <w:r w:rsidR="00861E76" w:rsidRPr="008A07C9">
        <w:rPr>
          <w:rFonts w:cs="Times New Roman"/>
        </w:rPr>
        <w:t>Faghih-Imani et al.</w:t>
      </w:r>
      <w:r w:rsidR="00861E76">
        <w:rPr>
          <w:rFonts w:cs="Times New Roman"/>
        </w:rPr>
        <w:t>,</w:t>
      </w:r>
      <w:r w:rsidR="00861E76" w:rsidRPr="008A07C9">
        <w:rPr>
          <w:rFonts w:cs="Times New Roman"/>
        </w:rPr>
        <w:t xml:space="preserve"> 2014</w:t>
      </w:r>
      <w:r w:rsidR="00F24468">
        <w:rPr>
          <w:rFonts w:cs="Times New Roman"/>
        </w:rPr>
        <w:t xml:space="preserve">; </w:t>
      </w:r>
      <w:r w:rsidR="00F24468">
        <w:t>Murphy and</w:t>
      </w:r>
      <w:r w:rsidR="00F24468" w:rsidRPr="00390A31">
        <w:t xml:space="preserve"> Usher</w:t>
      </w:r>
      <w:r w:rsidR="003803D7">
        <w:t>,</w:t>
      </w:r>
      <w:r w:rsidR="00F24468" w:rsidRPr="00390A31">
        <w:t xml:space="preserve"> 2015</w:t>
      </w:r>
      <w:r w:rsidR="00861E76">
        <w:rPr>
          <w:rFonts w:cs="Times New Roman"/>
        </w:rPr>
        <w:t xml:space="preserve">). </w:t>
      </w:r>
      <w:r w:rsidR="00975BCE">
        <w:rPr>
          <w:rFonts w:cs="Times New Roman"/>
        </w:rPr>
        <w:t>S</w:t>
      </w:r>
      <w:r>
        <w:rPr>
          <w:rFonts w:cs="Times New Roman"/>
        </w:rPr>
        <w:t xml:space="preserve">everal studies analyze the impact of weather </w:t>
      </w:r>
      <w:r w:rsidR="00DE7A4E">
        <w:rPr>
          <w:rFonts w:cs="Times New Roman"/>
        </w:rPr>
        <w:t xml:space="preserve">information (such as temperature and humidity) </w:t>
      </w:r>
      <w:r>
        <w:rPr>
          <w:rFonts w:cs="Times New Roman"/>
        </w:rPr>
        <w:t>on the usage of the BSS (</w:t>
      </w:r>
      <w:r>
        <w:rPr>
          <w:rFonts w:cs="Times New Roman"/>
          <w:bCs/>
          <w:szCs w:val="24"/>
        </w:rPr>
        <w:t xml:space="preserve">Gebhart </w:t>
      </w:r>
      <w:r w:rsidRPr="008A07C9">
        <w:rPr>
          <w:rFonts w:cs="Times New Roman"/>
          <w:bCs/>
          <w:szCs w:val="24"/>
        </w:rPr>
        <w:t>and Noland</w:t>
      </w:r>
      <w:r w:rsidR="003803D7">
        <w:rPr>
          <w:rFonts w:cs="Times New Roman"/>
          <w:bCs/>
          <w:szCs w:val="24"/>
        </w:rPr>
        <w:t>,</w:t>
      </w:r>
      <w:r w:rsidRPr="008A07C9">
        <w:rPr>
          <w:rFonts w:cs="Times New Roman"/>
        </w:rPr>
        <w:t xml:space="preserve"> 201</w:t>
      </w:r>
      <w:r w:rsidR="00C8121A">
        <w:rPr>
          <w:rFonts w:cs="Times New Roman"/>
        </w:rPr>
        <w:t>4</w:t>
      </w:r>
      <w:r>
        <w:rPr>
          <w:rFonts w:cs="Times New Roman"/>
        </w:rPr>
        <w:t xml:space="preserve">, </w:t>
      </w:r>
      <w:r w:rsidRPr="008A07C9">
        <w:rPr>
          <w:rFonts w:cs="Times New Roman"/>
        </w:rPr>
        <w:t>Faghih-</w:t>
      </w:r>
      <w:r w:rsidRPr="00B12D72">
        <w:t>Imani</w:t>
      </w:r>
      <w:r w:rsidRPr="008A07C9">
        <w:rPr>
          <w:rFonts w:cs="Times New Roman"/>
        </w:rPr>
        <w:t xml:space="preserve"> et al.</w:t>
      </w:r>
      <w:r>
        <w:rPr>
          <w:rFonts w:cs="Times New Roman"/>
        </w:rPr>
        <w:t>,</w:t>
      </w:r>
      <w:r w:rsidRPr="008A07C9">
        <w:rPr>
          <w:rFonts w:cs="Times New Roman"/>
        </w:rPr>
        <w:t xml:space="preserve"> 2014</w:t>
      </w:r>
      <w:r w:rsidR="00626B80">
        <w:rPr>
          <w:rFonts w:cs="Times New Roman"/>
        </w:rPr>
        <w:t>, Mahmoud et al., 2015)</w:t>
      </w:r>
      <w:r>
        <w:rPr>
          <w:rFonts w:cs="Times New Roman"/>
        </w:rPr>
        <w:t>.</w:t>
      </w:r>
      <w:r w:rsidR="0023505D">
        <w:rPr>
          <w:rFonts w:cs="Times New Roman"/>
        </w:rPr>
        <w:t xml:space="preserve"> </w:t>
      </w:r>
      <w:r w:rsidR="003E3EBF">
        <w:rPr>
          <w:rFonts w:cs="Times New Roman"/>
        </w:rPr>
        <w:t xml:space="preserve">Users’ </w:t>
      </w:r>
      <w:r w:rsidR="00F24468">
        <w:rPr>
          <w:rFonts w:cs="Times New Roman"/>
        </w:rPr>
        <w:t xml:space="preserve">socio-demographics and </w:t>
      </w:r>
      <w:r w:rsidR="003E3EBF">
        <w:rPr>
          <w:rFonts w:cs="Times New Roman"/>
        </w:rPr>
        <w:t xml:space="preserve">preference towards BSS is another aspect of recent research efforts on BSS. </w:t>
      </w:r>
      <w:r w:rsidR="005F664B">
        <w:rPr>
          <w:rFonts w:cs="Times New Roman"/>
        </w:rPr>
        <w:t>Co</w:t>
      </w:r>
      <w:r w:rsidR="00221AE3">
        <w:t xml:space="preserve">nvenience of BSS as well as having a BSS station closer to home location </w:t>
      </w:r>
      <w:r w:rsidR="00A44A9D">
        <w:t xml:space="preserve">was </w:t>
      </w:r>
      <w:r w:rsidR="005F664B">
        <w:t xml:space="preserve">found to be important reasons for </w:t>
      </w:r>
      <w:r w:rsidR="00221AE3">
        <w:t>individuals to use the system (</w:t>
      </w:r>
      <w:r w:rsidR="00D03420">
        <w:t xml:space="preserve">Fuller et al., 2011; </w:t>
      </w:r>
      <w:r w:rsidR="00221AE3">
        <w:t xml:space="preserve">Bachand-Marleau et al., 2012). </w:t>
      </w:r>
      <w:r w:rsidR="00C44EE6">
        <w:t>Several studies highlighted t</w:t>
      </w:r>
      <w:r w:rsidR="00221AE3">
        <w:t xml:space="preserve">he differences between BSS short-term users and BSS annual </w:t>
      </w:r>
      <w:r w:rsidR="00C44EE6">
        <w:t>members’</w:t>
      </w:r>
      <w:r w:rsidR="00221AE3">
        <w:t xml:space="preserve"> </w:t>
      </w:r>
      <w:r w:rsidR="00C44EE6">
        <w:t>preferences towards the use of the system (Lathia et al., 2012; Buck et al., 2013; Faghih-</w:t>
      </w:r>
      <w:r w:rsidR="00C44EE6">
        <w:lastRenderedPageBreak/>
        <w:t xml:space="preserve">Imani and Eluru, 2015). </w:t>
      </w:r>
      <w:r w:rsidR="0091305F">
        <w:t>Studies found that BSS users prefer shorter trips</w:t>
      </w:r>
      <w:r w:rsidR="00F24468">
        <w:t xml:space="preserve"> with all else same</w:t>
      </w:r>
      <w:r w:rsidR="0091305F">
        <w:t xml:space="preserve"> (Faghih-Imani and Eluru, 2015, </w:t>
      </w:r>
      <w:r w:rsidR="0091305F">
        <w:rPr>
          <w:rFonts w:cs="Times New Roman"/>
        </w:rPr>
        <w:t>Mahmoud et al., 2015)</w:t>
      </w:r>
      <w:r w:rsidR="0091305F">
        <w:t>. Gender gap between the users of BSS is found to be an issue where the majority of BSS users are male (</w:t>
      </w:r>
      <w:r w:rsidR="00390A31">
        <w:t>Faghih-Imani and Eluru, 2015; Murphy and</w:t>
      </w:r>
      <w:r w:rsidR="00390A31" w:rsidRPr="00390A31">
        <w:t xml:space="preserve"> Usher</w:t>
      </w:r>
      <w:r w:rsidR="003803D7">
        <w:t>,</w:t>
      </w:r>
      <w:r w:rsidR="00390A31" w:rsidRPr="00390A31">
        <w:t xml:space="preserve"> 2015</w:t>
      </w:r>
      <w:r w:rsidR="00390A31">
        <w:t>)</w:t>
      </w:r>
      <w:r w:rsidR="0091305F">
        <w:t>.</w:t>
      </w:r>
      <w:r w:rsidR="000823FF">
        <w:t xml:space="preserve"> Further, research efforts demonstrated that BSS users prefer to use the existing bicycle facilities such as bicycle lanes (Faghih-Imani and Eluru, 2015; </w:t>
      </w:r>
      <w:r w:rsidR="000823FF" w:rsidRPr="000823FF">
        <w:t>González</w:t>
      </w:r>
      <w:r w:rsidR="000823FF">
        <w:t xml:space="preserve"> et al., 2015). </w:t>
      </w:r>
    </w:p>
    <w:p w14:paraId="250E5FBF" w14:textId="77777777" w:rsidR="00692BCD" w:rsidRDefault="00692BCD" w:rsidP="00037327">
      <w:pPr>
        <w:ind w:firstLine="720"/>
      </w:pPr>
    </w:p>
    <w:p w14:paraId="0B39156E" w14:textId="77777777" w:rsidR="00037327" w:rsidRPr="006E2072" w:rsidRDefault="00037327" w:rsidP="00037327">
      <w:pPr>
        <w:pStyle w:val="Heading1"/>
        <w:numPr>
          <w:ilvl w:val="1"/>
          <w:numId w:val="2"/>
        </w:numPr>
        <w:autoSpaceDE w:val="0"/>
        <w:autoSpaceDN w:val="0"/>
        <w:adjustRightInd w:val="0"/>
        <w:spacing w:before="0" w:after="0"/>
        <w:ind w:left="426" w:hanging="426"/>
      </w:pPr>
      <w:r w:rsidRPr="006E2072">
        <w:t>Current Study in Context</w:t>
      </w:r>
    </w:p>
    <w:p w14:paraId="5561C7F9" w14:textId="0F5EDC85" w:rsidR="00CC70C3" w:rsidRDefault="00037327" w:rsidP="0088044D">
      <w:r>
        <w:t>The earlier studies</w:t>
      </w:r>
      <w:r>
        <w:rPr>
          <w:rFonts w:cs="Times New Roman"/>
        </w:rPr>
        <w:t>, w</w:t>
      </w:r>
      <w:r w:rsidRPr="008A07C9">
        <w:rPr>
          <w:rFonts w:cs="Times New Roman"/>
        </w:rPr>
        <w:t xml:space="preserve">hile providing useful insights on the </w:t>
      </w:r>
      <w:r w:rsidR="00692BCD">
        <w:rPr>
          <w:rFonts w:cs="Times New Roman"/>
        </w:rPr>
        <w:t xml:space="preserve">BSS </w:t>
      </w:r>
      <w:r w:rsidRPr="008A07C9">
        <w:rPr>
          <w:rFonts w:cs="Times New Roman"/>
        </w:rPr>
        <w:t>system level usage patterns</w:t>
      </w:r>
      <w:r>
        <w:rPr>
          <w:rFonts w:cs="Times New Roman"/>
        </w:rPr>
        <w:t xml:space="preserve">, ignored the possible spatial and temporal interaction of BSS’s demand. </w:t>
      </w:r>
      <w:r w:rsidR="00CB2158">
        <w:t xml:space="preserve">Several studies analyzed the effect of neighbouring stations in a bicycle-sharing system. </w:t>
      </w:r>
      <w:r w:rsidR="00CB2158" w:rsidRPr="002449B4">
        <w:t>Rudloff</w:t>
      </w:r>
      <w:r w:rsidR="00CB2158">
        <w:t xml:space="preserve"> and Lackner (2014) employed count models to analyze demand profiles of </w:t>
      </w:r>
      <w:r w:rsidR="00CB2158" w:rsidRPr="002449B4">
        <w:t>Citybike Wien system in Vienna, Austria</w:t>
      </w:r>
      <w:r w:rsidR="00CB2158">
        <w:t xml:space="preserve">. They incorporated the neighbouring stations effect in the modelling framework by considering dummy variables whether a station is full or empty for the three closest stations. </w:t>
      </w:r>
      <w:r w:rsidR="00CC70C3">
        <w:t>Several research efforts focused on the prediction of the BSS usage in the near future (</w:t>
      </w:r>
      <w:r w:rsidR="00CC70C3" w:rsidRPr="007B0D98">
        <w:t>Froehlich</w:t>
      </w:r>
      <w:r w:rsidR="00CC70C3">
        <w:t xml:space="preserve"> et al.</w:t>
      </w:r>
      <w:r w:rsidR="003803D7">
        <w:t>,</w:t>
      </w:r>
      <w:r w:rsidR="00CC70C3">
        <w:t xml:space="preserve"> 2009;</w:t>
      </w:r>
      <w:r w:rsidR="00CC70C3" w:rsidRPr="007B0D98">
        <w:t xml:space="preserve"> </w:t>
      </w:r>
      <w:r w:rsidR="00CC70C3" w:rsidRPr="004E5F21">
        <w:t>Kaltenbrunner</w:t>
      </w:r>
      <w:r w:rsidR="00CC70C3">
        <w:t xml:space="preserve"> et al.</w:t>
      </w:r>
      <w:r w:rsidR="003803D7">
        <w:t>,</w:t>
      </w:r>
      <w:r w:rsidR="00CC70C3">
        <w:t xml:space="preserve"> 2010; Borgnat et al.</w:t>
      </w:r>
      <w:r w:rsidR="003803D7">
        <w:t>,</w:t>
      </w:r>
      <w:r w:rsidR="00CC70C3">
        <w:t xml:space="preserve"> 2011; Giot and Cherrier</w:t>
      </w:r>
      <w:r w:rsidR="003803D7">
        <w:t>,</w:t>
      </w:r>
      <w:r w:rsidR="00CC70C3">
        <w:t xml:space="preserve"> 2014</w:t>
      </w:r>
      <w:r w:rsidR="00A36ABA">
        <w:t xml:space="preserve">; </w:t>
      </w:r>
      <w:r w:rsidR="00CC70C3">
        <w:t>Han et al.</w:t>
      </w:r>
      <w:r w:rsidR="003803D7">
        <w:t>,</w:t>
      </w:r>
      <w:r w:rsidR="00CC70C3">
        <w:t xml:space="preserve"> 2014) by employing time series analysis considering temporal and meteorological variables while ignoring land-use and built environment </w:t>
      </w:r>
      <w:r w:rsidR="001656E9">
        <w:t>effects</w:t>
      </w:r>
      <w:r w:rsidR="00CC70C3">
        <w:t xml:space="preserve">. </w:t>
      </w:r>
      <w:r w:rsidR="00451022">
        <w:t xml:space="preserve">Faghih-Imani et al. (2014) analyzed hourly arrival and departure rates of Montreal BIXI system using a linear mixed model. They </w:t>
      </w:r>
      <w:r w:rsidR="009B34CA">
        <w:t xml:space="preserve">assessed the impact of </w:t>
      </w:r>
      <w:r w:rsidR="00CC70C3">
        <w:t xml:space="preserve">meteorological data, temporal characteristics, bicycle infrastructure, land use and built environment attributes on arrival and departure flows at the station level. However, </w:t>
      </w:r>
      <w:r w:rsidR="002C235A">
        <w:t>in their analysis the authors did</w:t>
      </w:r>
      <w:r w:rsidR="00CC70C3">
        <w:t xml:space="preserve"> not consider either observed or unobserved influence of </w:t>
      </w:r>
      <w:r w:rsidR="0088044D">
        <w:t xml:space="preserve">surrounding </w:t>
      </w:r>
      <w:r w:rsidR="00CC70C3">
        <w:t xml:space="preserve">stations on BSS usage. To elaborate, the demand at a neighboring BSS station for the preceding time period (hour or day or week) is a useful predictor for demand in the current hour. At the same time, the demand experienced at the neighboring stations </w:t>
      </w:r>
      <w:r w:rsidR="003803D7">
        <w:t xml:space="preserve">at the current time or </w:t>
      </w:r>
      <w:r w:rsidR="00CC70C3">
        <w:t>in the preceding time period (hour or day or week) also can enhance our model understanding. In summary, considering such spatio</w:t>
      </w:r>
      <w:r w:rsidR="00CC70C3">
        <w:noBreakHyphen/>
        <w:t xml:space="preserve">temporal interactions when they exist can allow for improved accuracy in model estimates as well as model fit. Of course, considering such predictors requires us to develop models that are statistically valid. </w:t>
      </w:r>
    </w:p>
    <w:p w14:paraId="6AE714A1" w14:textId="4A6DF133" w:rsidR="00705285" w:rsidRDefault="00CC70C3" w:rsidP="00C55238">
      <w:pPr>
        <w:ind w:firstLine="720"/>
        <w:rPr>
          <w:rFonts w:cs="Times New Roman"/>
          <w:szCs w:val="24"/>
          <w:lang w:val="en-US"/>
        </w:rPr>
      </w:pPr>
      <w:r>
        <w:t>Towards this end, t</w:t>
      </w:r>
      <w:r w:rsidR="00A44A9D">
        <w:t>he current study draws heavily from spatial econometric literature. Spatial panel models have been used for examination and estimation of regional labor markets, economic growth, public expenditures, tax settings, and agricultural productions (Elhorst, 2014). Recently, several studies employed spatial panel models in transportation literature in various analyses including land use development (</w:t>
      </w:r>
      <w:r w:rsidR="00A44A9D" w:rsidRPr="00EB67EE">
        <w:t xml:space="preserve">Frazier </w:t>
      </w:r>
      <w:r w:rsidR="00A44A9D">
        <w:t>and</w:t>
      </w:r>
      <w:r w:rsidR="00A44A9D" w:rsidRPr="00EB67EE">
        <w:t xml:space="preserve"> Kockelman</w:t>
      </w:r>
      <w:r w:rsidR="00A44A9D">
        <w:t>, 2005; Wang and Kockelman, 2006; Wang et al., 2012; Ferdous and Bhat, 2013; Shen et al., 2014), real estate pricing (Efthymiou and</w:t>
      </w:r>
      <w:r w:rsidR="00A44A9D" w:rsidRPr="00700D63">
        <w:t xml:space="preserve"> Antoniou</w:t>
      </w:r>
      <w:r w:rsidR="00A44A9D">
        <w:t xml:space="preserve">, 2013; </w:t>
      </w:r>
      <w:r w:rsidR="00A44A9D" w:rsidRPr="0009194F">
        <w:t>Dubé et al.</w:t>
      </w:r>
      <w:r w:rsidR="00A44A9D">
        <w:t>, 2014), spillover effect of transportation infrastructure (Chen</w:t>
      </w:r>
      <w:r w:rsidR="00A44A9D" w:rsidRPr="00AD6EED">
        <w:t xml:space="preserve"> </w:t>
      </w:r>
      <w:r w:rsidR="00A44A9D">
        <w:t>and</w:t>
      </w:r>
      <w:r w:rsidR="00A44A9D" w:rsidRPr="00AD6EED">
        <w:t xml:space="preserve"> Haynes</w:t>
      </w:r>
      <w:r w:rsidR="00A44A9D">
        <w:t>, 2013; Tong et al., 2013; Yu et al., 2013), tourism activity (Yang and Wong, 2012), and airfare pricing (Daraban</w:t>
      </w:r>
      <w:r w:rsidR="00A44A9D" w:rsidRPr="00700D63">
        <w:t xml:space="preserve"> </w:t>
      </w:r>
      <w:r w:rsidR="00A44A9D">
        <w:t>and</w:t>
      </w:r>
      <w:r w:rsidR="00A44A9D" w:rsidRPr="00700D63">
        <w:t xml:space="preserve"> Fournier</w:t>
      </w:r>
      <w:r w:rsidR="00A44A9D">
        <w:t xml:space="preserve">, 2008). </w:t>
      </w:r>
      <w:r w:rsidR="00037327">
        <w:rPr>
          <w:szCs w:val="24"/>
        </w:rPr>
        <w:t xml:space="preserve">In </w:t>
      </w:r>
      <w:r w:rsidR="00BF098C">
        <w:rPr>
          <w:szCs w:val="24"/>
        </w:rPr>
        <w:t xml:space="preserve">the </w:t>
      </w:r>
      <w:r w:rsidR="00037327">
        <w:rPr>
          <w:szCs w:val="24"/>
        </w:rPr>
        <w:t>current study, w</w:t>
      </w:r>
      <w:r w:rsidR="00CB2158">
        <w:rPr>
          <w:szCs w:val="24"/>
        </w:rPr>
        <w:t xml:space="preserve">e </w:t>
      </w:r>
      <w:r w:rsidR="00F24468">
        <w:rPr>
          <w:szCs w:val="24"/>
        </w:rPr>
        <w:t xml:space="preserve">estimate comprehensive </w:t>
      </w:r>
      <w:r w:rsidR="00CB2158">
        <w:rPr>
          <w:szCs w:val="24"/>
        </w:rPr>
        <w:t xml:space="preserve">econometric models </w:t>
      </w:r>
      <w:r w:rsidR="00F24468">
        <w:rPr>
          <w:szCs w:val="24"/>
        </w:rPr>
        <w:t xml:space="preserve">to </w:t>
      </w:r>
      <w:r w:rsidR="00CB2158" w:rsidRPr="001F4E3A">
        <w:t>incorporat</w:t>
      </w:r>
      <w:r w:rsidR="00F24468">
        <w:t>e</w:t>
      </w:r>
      <w:r w:rsidR="00CB2158">
        <w:rPr>
          <w:szCs w:val="24"/>
        </w:rPr>
        <w:t xml:space="preserve"> for </w:t>
      </w:r>
      <w:r w:rsidR="00037327">
        <w:rPr>
          <w:szCs w:val="24"/>
        </w:rPr>
        <w:t>the</w:t>
      </w:r>
      <w:r w:rsidR="00CB2158">
        <w:rPr>
          <w:szCs w:val="24"/>
        </w:rPr>
        <w:t xml:space="preserve"> influence of observed and unobserved spati</w:t>
      </w:r>
      <w:r w:rsidR="00F24468">
        <w:rPr>
          <w:szCs w:val="24"/>
        </w:rPr>
        <w:t>o</w:t>
      </w:r>
      <w:r w:rsidR="00CB2158">
        <w:rPr>
          <w:szCs w:val="24"/>
        </w:rPr>
        <w:t xml:space="preserve">-temporal </w:t>
      </w:r>
      <w:r w:rsidR="00037327">
        <w:rPr>
          <w:szCs w:val="24"/>
        </w:rPr>
        <w:t>interactions</w:t>
      </w:r>
      <w:r w:rsidR="00CB2158">
        <w:rPr>
          <w:szCs w:val="24"/>
        </w:rPr>
        <w:t xml:space="preserve"> on bicycle arrival and departure rates for a bicycle-sharing system.</w:t>
      </w:r>
      <w:r w:rsidR="003803D7">
        <w:rPr>
          <w:szCs w:val="24"/>
        </w:rPr>
        <w:t xml:space="preserve"> </w:t>
      </w:r>
      <w:r w:rsidR="00C8121A">
        <w:rPr>
          <w:szCs w:val="24"/>
        </w:rPr>
        <w:t>Specifically</w:t>
      </w:r>
      <w:r w:rsidR="00F24468">
        <w:rPr>
          <w:szCs w:val="24"/>
        </w:rPr>
        <w:t xml:space="preserve">, we consider the pooled panel spatial lag and spatial error models in our analysis. </w:t>
      </w:r>
      <w:r w:rsidR="00F24468">
        <w:rPr>
          <w:rFonts w:cs="Times New Roman"/>
          <w:szCs w:val="24"/>
          <w:lang w:val="en-US"/>
        </w:rPr>
        <w:t>The model development is undertaken at three levels: a) s</w:t>
      </w:r>
      <w:r w:rsidR="00F24468" w:rsidRPr="00641B79">
        <w:rPr>
          <w:rFonts w:cs="Times New Roman"/>
          <w:szCs w:val="24"/>
          <w:lang w:val="en-US"/>
        </w:rPr>
        <w:t>imple model</w:t>
      </w:r>
      <w:r w:rsidR="00F24468">
        <w:rPr>
          <w:rFonts w:cs="Times New Roman"/>
          <w:szCs w:val="24"/>
          <w:lang w:val="en-US"/>
        </w:rPr>
        <w:t>s</w:t>
      </w:r>
      <w:r w:rsidR="00F24468" w:rsidRPr="00641B79">
        <w:rPr>
          <w:rFonts w:cs="Times New Roman"/>
          <w:szCs w:val="24"/>
          <w:lang w:val="en-US"/>
        </w:rPr>
        <w:t xml:space="preserve"> without considering the spatial-temporal </w:t>
      </w:r>
      <w:r w:rsidR="00F24468">
        <w:rPr>
          <w:rFonts w:cs="Times New Roman"/>
          <w:szCs w:val="24"/>
          <w:lang w:val="en-US"/>
        </w:rPr>
        <w:t>effects</w:t>
      </w:r>
      <w:r w:rsidR="00F24468" w:rsidRPr="00641B79">
        <w:rPr>
          <w:rFonts w:cs="Times New Roman"/>
          <w:szCs w:val="24"/>
          <w:lang w:val="en-US"/>
        </w:rPr>
        <w:t xml:space="preserve">; b) </w:t>
      </w:r>
      <w:r w:rsidR="00F24468">
        <w:rPr>
          <w:rFonts w:cs="Times New Roman"/>
          <w:szCs w:val="24"/>
          <w:lang w:val="en-US"/>
        </w:rPr>
        <w:t xml:space="preserve">spatial error </w:t>
      </w:r>
      <w:r w:rsidR="00F24468" w:rsidRPr="00641B79">
        <w:rPr>
          <w:rFonts w:cs="Times New Roman"/>
          <w:szCs w:val="24"/>
          <w:lang w:val="en-US"/>
        </w:rPr>
        <w:t>model</w:t>
      </w:r>
      <w:r w:rsidR="00F24468">
        <w:rPr>
          <w:rFonts w:cs="Times New Roman"/>
          <w:szCs w:val="24"/>
          <w:lang w:val="en-US"/>
        </w:rPr>
        <w:t>s</w:t>
      </w:r>
      <w:r w:rsidR="00F24468" w:rsidRPr="00641B79">
        <w:rPr>
          <w:rFonts w:cs="Times New Roman"/>
          <w:szCs w:val="24"/>
          <w:lang w:val="en-US"/>
        </w:rPr>
        <w:t xml:space="preserve"> with</w:t>
      </w:r>
      <w:r w:rsidR="00F24468">
        <w:rPr>
          <w:rFonts w:cs="Times New Roman"/>
          <w:szCs w:val="24"/>
          <w:lang w:val="en-US"/>
        </w:rPr>
        <w:t xml:space="preserve"> and without</w:t>
      </w:r>
      <w:r w:rsidR="00F24468" w:rsidRPr="00641B79">
        <w:rPr>
          <w:rFonts w:cs="Times New Roman"/>
          <w:szCs w:val="24"/>
          <w:lang w:val="en-US"/>
        </w:rPr>
        <w:t xml:space="preserve"> observed spatial-temporal </w:t>
      </w:r>
      <w:r w:rsidR="00F24468">
        <w:rPr>
          <w:rFonts w:cs="Times New Roman"/>
          <w:szCs w:val="24"/>
          <w:lang w:val="en-US"/>
        </w:rPr>
        <w:t>effects</w:t>
      </w:r>
      <w:r w:rsidR="00F24468" w:rsidRPr="00641B79">
        <w:rPr>
          <w:rFonts w:cs="Times New Roman"/>
          <w:szCs w:val="24"/>
          <w:lang w:val="en-US"/>
        </w:rPr>
        <w:t>; c)</w:t>
      </w:r>
      <w:r w:rsidR="00F24468">
        <w:rPr>
          <w:rFonts w:cs="Times New Roman"/>
          <w:szCs w:val="24"/>
          <w:lang w:val="en-US"/>
        </w:rPr>
        <w:t xml:space="preserve"> spatial lag </w:t>
      </w:r>
      <w:r w:rsidR="00F24468" w:rsidRPr="00641B79">
        <w:rPr>
          <w:rFonts w:cs="Times New Roman"/>
          <w:szCs w:val="24"/>
          <w:lang w:val="en-US"/>
        </w:rPr>
        <w:t>model</w:t>
      </w:r>
      <w:r w:rsidR="00F24468">
        <w:rPr>
          <w:rFonts w:cs="Times New Roman"/>
          <w:szCs w:val="24"/>
          <w:lang w:val="en-US"/>
        </w:rPr>
        <w:t>s</w:t>
      </w:r>
      <w:r w:rsidR="00F24468" w:rsidRPr="00641B79">
        <w:rPr>
          <w:rFonts w:cs="Times New Roman"/>
          <w:szCs w:val="24"/>
          <w:lang w:val="en-US"/>
        </w:rPr>
        <w:t xml:space="preserve"> with</w:t>
      </w:r>
      <w:r w:rsidR="00F24468">
        <w:rPr>
          <w:rFonts w:cs="Times New Roman"/>
          <w:szCs w:val="24"/>
          <w:lang w:val="en-US"/>
        </w:rPr>
        <w:t xml:space="preserve"> and without</w:t>
      </w:r>
      <w:r w:rsidR="00F24468" w:rsidRPr="00641B79">
        <w:rPr>
          <w:rFonts w:cs="Times New Roman"/>
          <w:szCs w:val="24"/>
          <w:lang w:val="en-US"/>
        </w:rPr>
        <w:t xml:space="preserve"> observed spatial-temporal </w:t>
      </w:r>
      <w:r w:rsidR="00F24468">
        <w:rPr>
          <w:rFonts w:cs="Times New Roman"/>
          <w:szCs w:val="24"/>
          <w:lang w:val="en-US"/>
        </w:rPr>
        <w:t>effects</w:t>
      </w:r>
      <w:r w:rsidR="00F24468" w:rsidRPr="00641B79">
        <w:rPr>
          <w:rFonts w:cs="Times New Roman"/>
          <w:szCs w:val="24"/>
          <w:lang w:val="en-US"/>
        </w:rPr>
        <w:t xml:space="preserve">. </w:t>
      </w:r>
      <w:r w:rsidR="0088044D">
        <w:rPr>
          <w:szCs w:val="24"/>
        </w:rPr>
        <w:t xml:space="preserve">We develop separate models </w:t>
      </w:r>
      <w:r w:rsidR="0088044D">
        <w:rPr>
          <w:szCs w:val="24"/>
        </w:rPr>
        <w:lastRenderedPageBreak/>
        <w:t>for arrival</w:t>
      </w:r>
      <w:r w:rsidR="00C55238">
        <w:rPr>
          <w:szCs w:val="24"/>
        </w:rPr>
        <w:t>s</w:t>
      </w:r>
      <w:r w:rsidR="0088044D">
        <w:rPr>
          <w:szCs w:val="24"/>
        </w:rPr>
        <w:t xml:space="preserve"> and departure</w:t>
      </w:r>
      <w:r w:rsidR="00C55238">
        <w:rPr>
          <w:szCs w:val="24"/>
        </w:rPr>
        <w:t>s</w:t>
      </w:r>
      <w:r w:rsidR="0088044D">
        <w:rPr>
          <w:szCs w:val="24"/>
        </w:rPr>
        <w:t xml:space="preserve">. </w:t>
      </w:r>
      <w:r w:rsidR="00F24468">
        <w:rPr>
          <w:rFonts w:cs="Times New Roman"/>
          <w:szCs w:val="24"/>
          <w:lang w:val="en-US"/>
        </w:rPr>
        <w:t xml:space="preserve">The data for the analysis is drawn from </w:t>
      </w:r>
      <w:r w:rsidR="00451022">
        <w:rPr>
          <w:szCs w:val="24"/>
        </w:rPr>
        <w:t xml:space="preserve">hourly observation of arrival and departure rates for CitiBike system in New York City. </w:t>
      </w:r>
      <w:r w:rsidR="00705285">
        <w:rPr>
          <w:szCs w:val="24"/>
        </w:rPr>
        <w:t xml:space="preserve"> </w:t>
      </w:r>
    </w:p>
    <w:p w14:paraId="3E0F6271" w14:textId="77777777" w:rsidR="00921E32" w:rsidRDefault="00CB2158" w:rsidP="00921E32">
      <w:pPr>
        <w:ind w:firstLine="720"/>
        <w:rPr>
          <w:rFonts w:cs="Times New Roman"/>
        </w:rPr>
      </w:pPr>
      <w:r>
        <w:rPr>
          <w:szCs w:val="24"/>
        </w:rPr>
        <w:t xml:space="preserve"> </w:t>
      </w:r>
    </w:p>
    <w:p w14:paraId="6F406FED" w14:textId="78D3FFEB" w:rsidR="00921E32" w:rsidRDefault="006E2072" w:rsidP="00921E32">
      <w:pPr>
        <w:pStyle w:val="Heading1"/>
        <w:rPr>
          <w:rFonts w:cs="Times New Roman"/>
        </w:rPr>
      </w:pPr>
      <w:r w:rsidRPr="00D31D84">
        <w:rPr>
          <w:rFonts w:cs="Times New Roman"/>
        </w:rPr>
        <w:t>DATA</w:t>
      </w:r>
    </w:p>
    <w:p w14:paraId="1612C000" w14:textId="57E3A23E" w:rsidR="00303187" w:rsidRDefault="00303187">
      <w:r>
        <w:t xml:space="preserve">New York’s </w:t>
      </w:r>
      <w:r w:rsidR="00457EDB">
        <w:t>CitiBike</w:t>
      </w:r>
      <w:r>
        <w:t xml:space="preserve"> system is the latest major public bicycle-s</w:t>
      </w:r>
      <w:r w:rsidR="007E32FF">
        <w:t xml:space="preserve">haring systems around the world and the largest in United States. The </w:t>
      </w:r>
      <w:r w:rsidR="006F35AA">
        <w:t xml:space="preserve">CitiBike started its </w:t>
      </w:r>
      <w:r w:rsidR="007E32FF">
        <w:t>service</w:t>
      </w:r>
      <w:r w:rsidR="006F35AA">
        <w:t xml:space="preserve"> </w:t>
      </w:r>
      <w:r w:rsidR="007E32FF">
        <w:t>in May 2013 with 330 stations and 6000 bicycles in the lower half of Manhattan and some part</w:t>
      </w:r>
      <w:r w:rsidR="00A44A9D">
        <w:t>s</w:t>
      </w:r>
      <w:r w:rsidR="007E32FF">
        <w:t xml:space="preserve"> of </w:t>
      </w:r>
      <w:r w:rsidR="00A44A9D">
        <w:t>N</w:t>
      </w:r>
      <w:r w:rsidR="007E32FF">
        <w:t>orthwest Brooklyn.</w:t>
      </w:r>
      <w:r>
        <w:t xml:space="preserve"> </w:t>
      </w:r>
      <w:r w:rsidR="002F175A">
        <w:t xml:space="preserve">The system </w:t>
      </w:r>
      <w:r w:rsidR="009B34CA">
        <w:t xml:space="preserve">is </w:t>
      </w:r>
      <w:r w:rsidR="00046327">
        <w:t>set</w:t>
      </w:r>
      <w:r w:rsidR="00C55238">
        <w:t xml:space="preserve"> </w:t>
      </w:r>
      <w:r w:rsidR="00046327">
        <w:t xml:space="preserve">up around </w:t>
      </w:r>
      <w:r w:rsidR="002F175A">
        <w:t xml:space="preserve">the city’s </w:t>
      </w:r>
      <w:r w:rsidR="004D1563">
        <w:t xml:space="preserve">main </w:t>
      </w:r>
      <w:r w:rsidR="002F175A">
        <w:t xml:space="preserve">commercial business districts and some residential areas with an average daily ridership of 34,000 trips. </w:t>
      </w:r>
      <w:r>
        <w:t xml:space="preserve">New York </w:t>
      </w:r>
      <w:r w:rsidR="002F175A">
        <w:t>City</w:t>
      </w:r>
      <w:r>
        <w:t xml:space="preserve"> is the most populous city in the US and a host to millions of visitors every year.</w:t>
      </w:r>
      <w:r w:rsidR="002F175A">
        <w:t xml:space="preserve"> </w:t>
      </w:r>
      <w:r w:rsidR="009B7D75">
        <w:t>In 2013, the mode share of cycling in New York City reached 1% from about 0.5% in the 2007</w:t>
      </w:r>
      <w:r w:rsidR="00B269DA">
        <w:t xml:space="preserve"> (</w:t>
      </w:r>
      <w:r w:rsidR="00B84405" w:rsidRPr="00321A6C">
        <w:rPr>
          <w:rFonts w:cs="Times New Roman"/>
          <w:bCs/>
          <w:szCs w:val="24"/>
        </w:rPr>
        <w:t>Kaufman</w:t>
      </w:r>
      <w:r w:rsidR="00B84405">
        <w:rPr>
          <w:rFonts w:cs="Times New Roman"/>
          <w:bCs/>
          <w:szCs w:val="24"/>
        </w:rPr>
        <w:t xml:space="preserve"> et al.,</w:t>
      </w:r>
      <w:r w:rsidR="00B269DA">
        <w:t xml:space="preserve"> 2015)</w:t>
      </w:r>
      <w:r w:rsidR="009B7D75">
        <w:t xml:space="preserve">. </w:t>
      </w:r>
      <w:r>
        <w:t>According to NHTS 2009, bicycle trips accou</w:t>
      </w:r>
      <w:r w:rsidR="009B7D75">
        <w:t xml:space="preserve">nts for </w:t>
      </w:r>
      <w:r w:rsidR="00B269DA">
        <w:t xml:space="preserve">about </w:t>
      </w:r>
      <w:r w:rsidR="009B7D75">
        <w:t>0</w:t>
      </w:r>
      <w:r>
        <w:t>.</w:t>
      </w:r>
      <w:r w:rsidR="009B7D75">
        <w:t>4</w:t>
      </w:r>
      <w:r>
        <w:t xml:space="preserve">% of total trips in </w:t>
      </w:r>
      <w:r w:rsidR="002F175A">
        <w:t xml:space="preserve">New York </w:t>
      </w:r>
      <w:r w:rsidR="009B7D75">
        <w:t>metropolitan area while 71</w:t>
      </w:r>
      <w:r>
        <w:t>.</w:t>
      </w:r>
      <w:r w:rsidR="009B7D75">
        <w:t>7</w:t>
      </w:r>
      <w:r>
        <w:t xml:space="preserve">% of trips are </w:t>
      </w:r>
      <w:r w:rsidR="002B6FAC">
        <w:t xml:space="preserve">made </w:t>
      </w:r>
      <w:r>
        <w:t>by private vehicles. About 4</w:t>
      </w:r>
      <w:r w:rsidR="009B7D75">
        <w:t>9</w:t>
      </w:r>
      <w:r>
        <w:t>.</w:t>
      </w:r>
      <w:r w:rsidR="009B7D75">
        <w:t>7</w:t>
      </w:r>
      <w:r>
        <w:t xml:space="preserve">% of trips are less than 2 miles; </w:t>
      </w:r>
      <w:r w:rsidR="00A44A9D">
        <w:t>among these trips</w:t>
      </w:r>
      <w:r>
        <w:t xml:space="preserve">, </w:t>
      </w:r>
      <w:r w:rsidR="00A44A9D">
        <w:t xml:space="preserve">the </w:t>
      </w:r>
      <w:r>
        <w:t xml:space="preserve">share of private vehicles reduces to </w:t>
      </w:r>
      <w:r w:rsidR="00B269DA">
        <w:t>57</w:t>
      </w:r>
      <w:r>
        <w:t>.</w:t>
      </w:r>
      <w:r w:rsidR="00B269DA">
        <w:t>1</w:t>
      </w:r>
      <w:r>
        <w:t xml:space="preserve">% while the share for bicycle mode increases to </w:t>
      </w:r>
      <w:r w:rsidR="00B269DA">
        <w:t>0.7</w:t>
      </w:r>
      <w:r>
        <w:t xml:space="preserve">%.  </w:t>
      </w:r>
      <w:r w:rsidR="002B6FAC">
        <w:t xml:space="preserve">These numbers clearly indicate that there is substantial potential for the success of a well-designed BSS in New York City as one of the dense urban cores in the world. </w:t>
      </w:r>
      <w:r w:rsidR="002F175A">
        <w:t xml:space="preserve">Moreover, about </w:t>
      </w:r>
      <w:r w:rsidR="00EC7DF4">
        <w:t xml:space="preserve">74% of </w:t>
      </w:r>
      <w:r w:rsidR="00457EDB">
        <w:t>CitiBike</w:t>
      </w:r>
      <w:r w:rsidR="00EC7DF4">
        <w:t xml:space="preserve"> stations are within a half mile of subway stations, providing a solution for the public transit users’ problem “last-mile to destination”.</w:t>
      </w:r>
      <w:r w:rsidR="00B269DA">
        <w:t xml:space="preserve"> The city’s dense and walkable urban form provide a good opportunity </w:t>
      </w:r>
      <w:r w:rsidR="001657F3">
        <w:t xml:space="preserve">for </w:t>
      </w:r>
      <w:r w:rsidR="00B269DA">
        <w:t>the success of a well-designed BSS.</w:t>
      </w:r>
    </w:p>
    <w:p w14:paraId="685C7EDD" w14:textId="41F91809" w:rsidR="00095F1A" w:rsidRDefault="00303187">
      <w:pPr>
        <w:ind w:firstLine="720"/>
      </w:pPr>
      <w:r>
        <w:t xml:space="preserve">The data used in our research was obtained from </w:t>
      </w:r>
      <w:r w:rsidR="00457EDB">
        <w:rPr>
          <w:rFonts w:cs="Times New Roman"/>
        </w:rPr>
        <w:t>CitiBike</w:t>
      </w:r>
      <w:r>
        <w:rPr>
          <w:rFonts w:cs="Times New Roman"/>
        </w:rPr>
        <w:t xml:space="preserve"> website (</w:t>
      </w:r>
      <w:r w:rsidR="00B269DA" w:rsidRPr="00B269DA">
        <w:rPr>
          <w:rFonts w:cs="Times New Roman"/>
        </w:rPr>
        <w:t>https://www.citibikenyc.com/system-data</w:t>
      </w:r>
      <w:r>
        <w:rPr>
          <w:rFonts w:cs="Times New Roman"/>
        </w:rPr>
        <w:t>)</w:t>
      </w:r>
      <w:r>
        <w:t xml:space="preserve">. </w:t>
      </w:r>
      <w:r w:rsidR="0023091D">
        <w:t xml:space="preserve">The CitiBike website provides trip dataset for every month of operation since July 2013. The trip dataset </w:t>
      </w:r>
      <w:r w:rsidR="00B52378">
        <w:t>includes</w:t>
      </w:r>
      <w:r w:rsidR="0023091D">
        <w:t xml:space="preserve"> information about </w:t>
      </w:r>
      <w:r w:rsidR="0023091D" w:rsidRPr="00011D0D">
        <w:t xml:space="preserve">origin and destination stations, start time and end time of trips, user types i.e. whether the user was a </w:t>
      </w:r>
      <w:r w:rsidR="000D6BA5">
        <w:t>customer</w:t>
      </w:r>
      <w:r w:rsidR="000D6BA5" w:rsidRPr="00011D0D">
        <w:t xml:space="preserve"> </w:t>
      </w:r>
      <w:r w:rsidR="0023091D" w:rsidRPr="00011D0D">
        <w:t xml:space="preserve">with </w:t>
      </w:r>
      <w:r w:rsidR="000D6BA5">
        <w:t xml:space="preserve">an </w:t>
      </w:r>
      <w:r w:rsidR="0023091D" w:rsidRPr="00011D0D">
        <w:t xml:space="preserve">annual membership </w:t>
      </w:r>
      <w:r w:rsidR="000D6BA5">
        <w:t xml:space="preserve">pass </w:t>
      </w:r>
      <w:r w:rsidR="0023091D" w:rsidRPr="00011D0D">
        <w:t xml:space="preserve">or a </w:t>
      </w:r>
      <w:r w:rsidR="0023091D">
        <w:t>temporary</w:t>
      </w:r>
      <w:r w:rsidR="0023091D" w:rsidRPr="00011D0D">
        <w:t xml:space="preserve"> pass, and the age and gender for members</w:t>
      </w:r>
      <w:r w:rsidR="0023091D">
        <w:t>’</w:t>
      </w:r>
      <w:r w:rsidR="0023091D" w:rsidRPr="00011D0D">
        <w:t xml:space="preserve"> trips only</w:t>
      </w:r>
      <w:r w:rsidR="0023091D">
        <w:t xml:space="preserve">. Additionally, the stations’ capacity and coordinates as well as trip duration </w:t>
      </w:r>
      <w:r w:rsidR="00095F1A">
        <w:t>are also provided in the dataset. The built environment attributes such as bicycle routes and subway stations are derived from New York City open data (</w:t>
      </w:r>
      <w:r w:rsidR="00095F1A" w:rsidRPr="00095F1A">
        <w:t>https://nycopendata.socrata.com/</w:t>
      </w:r>
      <w:r w:rsidR="00095F1A">
        <w:t>)</w:t>
      </w:r>
      <w:r w:rsidR="0023091D">
        <w:t xml:space="preserve"> </w:t>
      </w:r>
      <w:r w:rsidR="00095F1A" w:rsidRPr="00011D0D">
        <w:t>while the socio-demographic characteristics are gathered from US 2010 census</w:t>
      </w:r>
      <w:r w:rsidR="00711074">
        <w:t xml:space="preserve"> and the weather information are for Central Park station from </w:t>
      </w:r>
      <w:r w:rsidR="00CD2F01">
        <w:t>National Climatic Data Center</w:t>
      </w:r>
      <w:r w:rsidR="00095F1A" w:rsidRPr="00011D0D">
        <w:t>.</w:t>
      </w:r>
    </w:p>
    <w:p w14:paraId="6C7B3A76" w14:textId="77777777" w:rsidR="00FA5D70" w:rsidRDefault="00FA5D70" w:rsidP="00095F1A">
      <w:pPr>
        <w:ind w:firstLine="720"/>
      </w:pPr>
    </w:p>
    <w:p w14:paraId="5E23E02D" w14:textId="77777777" w:rsidR="002D222C" w:rsidRPr="006E2072" w:rsidRDefault="002D222C" w:rsidP="002D222C">
      <w:pPr>
        <w:pStyle w:val="Heading1"/>
        <w:numPr>
          <w:ilvl w:val="1"/>
          <w:numId w:val="2"/>
        </w:numPr>
        <w:autoSpaceDE w:val="0"/>
        <w:autoSpaceDN w:val="0"/>
        <w:adjustRightInd w:val="0"/>
        <w:spacing w:before="0" w:after="0"/>
        <w:ind w:left="426" w:hanging="426"/>
      </w:pPr>
      <w:r>
        <w:t>Data Assembly and Exogenous Variable Generation</w:t>
      </w:r>
    </w:p>
    <w:p w14:paraId="0B81290C" w14:textId="67FDFD15" w:rsidR="00B269DA" w:rsidRDefault="00FC4BEE" w:rsidP="00D03420">
      <w:r>
        <w:t xml:space="preserve">A series of </w:t>
      </w:r>
      <w:r w:rsidR="004A2CF3">
        <w:t xml:space="preserve">data compilation </w:t>
      </w:r>
      <w:r>
        <w:t>exercises w</w:t>
      </w:r>
      <w:r w:rsidR="004A2CF3">
        <w:t>ere</w:t>
      </w:r>
      <w:r>
        <w:t xml:space="preserve"> </w:t>
      </w:r>
      <w:r w:rsidR="00C02A8E">
        <w:t>required</w:t>
      </w:r>
      <w:r>
        <w:t xml:space="preserve"> to create the </w:t>
      </w:r>
      <w:r w:rsidR="00F463C0">
        <w:t xml:space="preserve">sample </w:t>
      </w:r>
      <w:r>
        <w:t xml:space="preserve">of hourly </w:t>
      </w:r>
      <w:r w:rsidR="00F463C0">
        <w:t>arrivals and departures</w:t>
      </w:r>
      <w:r>
        <w:t xml:space="preserve"> used for analysis in this study</w:t>
      </w:r>
      <w:r w:rsidR="00F463C0">
        <w:t xml:space="preserve">. Earlier studies showed that there is a </w:t>
      </w:r>
      <w:r w:rsidR="00860132">
        <w:t>significant</w:t>
      </w:r>
      <w:r w:rsidR="00F463C0">
        <w:t xml:space="preserve"> difference between the behaviour of annual members and customers with temporary pass towards the use of BSS (</w:t>
      </w:r>
      <w:r w:rsidR="00221AE3">
        <w:t xml:space="preserve">Lathia et al., 2012; Buck et al., 2013; </w:t>
      </w:r>
      <w:r w:rsidR="00F463C0">
        <w:t>Faghih-Imani</w:t>
      </w:r>
      <w:r w:rsidR="00221AE3">
        <w:t xml:space="preserve"> and</w:t>
      </w:r>
      <w:r w:rsidR="00F463C0">
        <w:t xml:space="preserve"> Eluru, 2015). In this paper, we distinguish between arrivals and departures made by different type of users</w:t>
      </w:r>
      <w:r w:rsidR="00711074">
        <w:t xml:space="preserve">. Number of trips originated from and destined to one station are equal to the number of departures and arrivals for that station. Thus, we aggregated the number of trips originated from/destined to one station by different </w:t>
      </w:r>
      <w:r w:rsidR="005F664B">
        <w:t>user types</w:t>
      </w:r>
      <w:r w:rsidR="00711074">
        <w:t xml:space="preserve"> at an hourly level to obtain hourly arrivals and departures by members and daily customers at a station level. </w:t>
      </w:r>
      <w:r>
        <w:t>Then</w:t>
      </w:r>
      <w:r w:rsidR="00860132">
        <w:t xml:space="preserve"> we normalized stations’ arrivals and departures with station capacity to </w:t>
      </w:r>
      <w:r w:rsidR="00D03420">
        <w:t>consider</w:t>
      </w:r>
      <w:r w:rsidR="00860132">
        <w:t xml:space="preserve"> the station capacity</w:t>
      </w:r>
      <w:r>
        <w:t xml:space="preserve"> effect</w:t>
      </w:r>
      <w:r w:rsidR="00860132">
        <w:t xml:space="preserve"> on demand. </w:t>
      </w:r>
      <w:r w:rsidR="004738D5">
        <w:t xml:space="preserve">In our modeling efforts, we employ </w:t>
      </w:r>
      <w:r w:rsidR="001657F3">
        <w:t>logarithm</w:t>
      </w:r>
      <w:r w:rsidR="004738D5">
        <w:t xml:space="preserve"> of the hourly normalized arrivals and departures as the dependent variable. </w:t>
      </w:r>
      <w:r w:rsidR="00711074">
        <w:t xml:space="preserve">We focused on the month of September, 2013; i.e. the peak </w:t>
      </w:r>
      <w:r w:rsidR="001657F3">
        <w:t xml:space="preserve">month </w:t>
      </w:r>
      <w:r w:rsidR="00711074">
        <w:t>of th</w:t>
      </w:r>
      <w:r w:rsidR="00860132">
        <w:t>e usage in</w:t>
      </w:r>
      <w:r w:rsidR="00711074">
        <w:t xml:space="preserve"> 2013.</w:t>
      </w:r>
      <w:r w:rsidR="00860132">
        <w:t xml:space="preserve"> Therefore, the final </w:t>
      </w:r>
      <w:r w:rsidR="00860132">
        <w:lastRenderedPageBreak/>
        <w:t xml:space="preserve">sample consists of 237,600 records (330 stations </w:t>
      </w:r>
      <w:r w:rsidR="00860132">
        <w:rPr>
          <w:rFonts w:cs="Times New Roman"/>
        </w:rPr>
        <w:t>× 24 hours × 30 days).</w:t>
      </w:r>
      <w:r w:rsidR="00A44A9D">
        <w:rPr>
          <w:rFonts w:cs="Times New Roman"/>
        </w:rPr>
        <w:t xml:space="preserve"> The data assembled has a panel structure of 720 repetitions per station.</w:t>
      </w:r>
    </w:p>
    <w:p w14:paraId="75106BCD" w14:textId="428BF540" w:rsidR="00921E32" w:rsidRDefault="00813253">
      <w:pPr>
        <w:autoSpaceDE w:val="0"/>
        <w:autoSpaceDN w:val="0"/>
        <w:adjustRightInd w:val="0"/>
        <w:ind w:firstLine="720"/>
      </w:pPr>
      <w:r>
        <w:t>The exogenous attributes considered in our study can be broadly classified into three categories:</w:t>
      </w:r>
      <w:r w:rsidR="00860132">
        <w:t xml:space="preserve"> (1) weather, (2) temporal and (3) spatial variables. </w:t>
      </w:r>
      <w:r>
        <w:t xml:space="preserve">For the first group of variables, we consider </w:t>
      </w:r>
      <w:r w:rsidR="00EC533A">
        <w:t>hourly temperature and</w:t>
      </w:r>
      <w:r w:rsidR="00860132">
        <w:t xml:space="preserve"> relative humidity, and the hourly weather condition </w:t>
      </w:r>
      <w:r w:rsidR="009B34CA">
        <w:t>characterized</w:t>
      </w:r>
      <w:r w:rsidR="00860132">
        <w:t xml:space="preserve"> as a</w:t>
      </w:r>
      <w:r w:rsidR="00A44A9D">
        <w:t>n indicator</w:t>
      </w:r>
      <w:r w:rsidR="00860132">
        <w:t xml:space="preserve"> variable </w:t>
      </w:r>
      <w:r w:rsidR="00A44A9D">
        <w:t>for presence of rain</w:t>
      </w:r>
      <w:r w:rsidR="00860132">
        <w:t xml:space="preserve">. </w:t>
      </w:r>
      <w:r>
        <w:t xml:space="preserve">The second group of variables, </w:t>
      </w:r>
      <w:r w:rsidR="00860132">
        <w:t>temporal variables</w:t>
      </w:r>
      <w:r>
        <w:t xml:space="preserve">, recognizes the impact of </w:t>
      </w:r>
      <w:r w:rsidR="00860132">
        <w:t xml:space="preserve">time-of-day and day-of-the-week </w:t>
      </w:r>
      <w:r>
        <w:t>on BSS usage</w:t>
      </w:r>
      <w:r w:rsidR="00860132">
        <w:t>.</w:t>
      </w:r>
      <w:r>
        <w:t xml:space="preserve"> Specifically, five time periods were created c</w:t>
      </w:r>
      <w:r w:rsidR="00F20257">
        <w:t xml:space="preserve">onsidering the start time of the trips for departures and end time of the trips for arrivals,: </w:t>
      </w:r>
      <w:r w:rsidR="00F20257">
        <w:rPr>
          <w:rFonts w:cs="Times New Roman"/>
        </w:rPr>
        <w:t>AM (7</w:t>
      </w:r>
      <w:r w:rsidR="00F20257" w:rsidRPr="008A07C9">
        <w:rPr>
          <w:rFonts w:cs="Times New Roman"/>
        </w:rPr>
        <w:t>:00-10:00), Midday (10:00-16:00), PM (16:00-20:00), Evening (20:00-24:00), and Night (0:00-</w:t>
      </w:r>
      <w:r w:rsidR="008534B5">
        <w:rPr>
          <w:rFonts w:cs="Times New Roman"/>
        </w:rPr>
        <w:t xml:space="preserve"> 7</w:t>
      </w:r>
      <w:r w:rsidR="00F20257" w:rsidRPr="008A07C9">
        <w:rPr>
          <w:rFonts w:cs="Times New Roman"/>
        </w:rPr>
        <w:t>:00).</w:t>
      </w:r>
      <w:r w:rsidR="00F20257">
        <w:rPr>
          <w:rFonts w:cs="Times New Roman"/>
        </w:rPr>
        <w:t xml:space="preserve"> </w:t>
      </w:r>
      <w:r>
        <w:rPr>
          <w:rFonts w:cs="Times New Roman"/>
        </w:rPr>
        <w:t xml:space="preserve">A categorical variable indicating weekends was created to capture </w:t>
      </w:r>
      <w:r>
        <w:t>t</w:t>
      </w:r>
      <w:r w:rsidR="00860132">
        <w:t>he</w:t>
      </w:r>
      <w:r>
        <w:t xml:space="preserve"> </w:t>
      </w:r>
      <w:r w:rsidR="004A2CF3">
        <w:t xml:space="preserve">differences in BSS usage between weekday and weekends. </w:t>
      </w:r>
    </w:p>
    <w:p w14:paraId="12048B64" w14:textId="08558E89" w:rsidR="0041023B" w:rsidRDefault="00904345" w:rsidP="001B585E">
      <w:pPr>
        <w:autoSpaceDE w:val="0"/>
        <w:autoSpaceDN w:val="0"/>
        <w:adjustRightInd w:val="0"/>
        <w:ind w:firstLine="720"/>
      </w:pPr>
      <w:r>
        <w:t xml:space="preserve">Several variables </w:t>
      </w:r>
      <w:r w:rsidR="00DB3B3D">
        <w:t xml:space="preserve">were </w:t>
      </w:r>
      <w:r>
        <w:t>considered under spatial variables group. Population density was calculated at census block level and employment density at zip code level. Other attributes were considered at a station buffer level</w:t>
      </w:r>
      <w:r w:rsidR="00DF3BEE">
        <w:rPr>
          <w:rStyle w:val="FootnoteReference"/>
        </w:rPr>
        <w:footnoteReference w:id="1"/>
      </w:r>
      <w:r>
        <w:t xml:space="preserve">. </w:t>
      </w:r>
      <w:r w:rsidR="00B07261">
        <w:t>For the station buffer level variables, we employed a radius of</w:t>
      </w:r>
      <w:r>
        <w:t xml:space="preserve"> </w:t>
      </w:r>
      <w:r w:rsidR="00B56E95">
        <w:t>250-</w:t>
      </w:r>
      <w:r>
        <w:t>meter around each station considering the distances between CitiBike stations and the de</w:t>
      </w:r>
      <w:r w:rsidR="0041023B">
        <w:t xml:space="preserve">nse urban form of New York City; </w:t>
      </w:r>
      <w:r w:rsidR="004A2CF3">
        <w:t xml:space="preserve">a </w:t>
      </w:r>
      <w:r w:rsidR="0041023B">
        <w:t>typical New York City block is about 60 meter</w:t>
      </w:r>
      <w:r w:rsidR="00D456BA">
        <w:t xml:space="preserve"> </w:t>
      </w:r>
      <w:r w:rsidR="0041023B">
        <w:t>(</w:t>
      </w:r>
      <w:r w:rsidR="00B84405" w:rsidRPr="00321A6C">
        <w:rPr>
          <w:rFonts w:cs="Times New Roman"/>
          <w:bCs/>
          <w:szCs w:val="24"/>
        </w:rPr>
        <w:t>Kaufman</w:t>
      </w:r>
      <w:r w:rsidR="00B84405">
        <w:rPr>
          <w:rFonts w:cs="Times New Roman"/>
          <w:bCs/>
          <w:szCs w:val="24"/>
        </w:rPr>
        <w:t xml:space="preserve"> et al.,</w:t>
      </w:r>
      <w:r w:rsidR="0041023B">
        <w:t xml:space="preserve"> 2015)</w:t>
      </w:r>
      <w:r>
        <w:t>.</w:t>
      </w:r>
      <w:r w:rsidR="0041023B">
        <w:t xml:space="preserve"> </w:t>
      </w:r>
      <w:r w:rsidR="00D456BA">
        <w:t xml:space="preserve">The transportation system attributes including the length of bicycle routes and streets, the presence of subway and Path train stations, the number and capacity of CitiBike stations (excluding the origin/destination station) are considered at </w:t>
      </w:r>
      <w:r w:rsidR="004A2CF3">
        <w:t xml:space="preserve">the </w:t>
      </w:r>
      <w:r w:rsidR="00D456BA">
        <w:t>station buffer level. These variables recognize the impact of street network and cycling facilities, public transit and the BSS infrastructure on arrival and departure rates.</w:t>
      </w:r>
      <w:r w:rsidR="00D456BA" w:rsidDel="00D456BA">
        <w:t xml:space="preserve"> </w:t>
      </w:r>
      <w:r w:rsidR="00C163D5">
        <w:t>Further, t</w:t>
      </w:r>
      <w:r w:rsidR="0041023B">
        <w:t xml:space="preserve">he number </w:t>
      </w:r>
      <w:r w:rsidR="0041023B" w:rsidRPr="00CF3EEB">
        <w:t xml:space="preserve">of </w:t>
      </w:r>
      <w:r w:rsidR="0041023B">
        <w:t>r</w:t>
      </w:r>
      <w:r w:rsidR="0041023B" w:rsidRPr="00CF3EEB">
        <w:t>estaurants</w:t>
      </w:r>
      <w:r w:rsidR="0041023B">
        <w:t xml:space="preserve"> (including</w:t>
      </w:r>
      <w:r w:rsidR="0041023B" w:rsidRPr="00CF3EEB">
        <w:t xml:space="preserve"> </w:t>
      </w:r>
      <w:r w:rsidR="0041023B">
        <w:t>c</w:t>
      </w:r>
      <w:r w:rsidR="0041023B" w:rsidRPr="00CF3EEB">
        <w:t xml:space="preserve">offee shops </w:t>
      </w:r>
      <w:r w:rsidR="0041023B">
        <w:t>and</w:t>
      </w:r>
      <w:r w:rsidR="0041023B" w:rsidRPr="00CF3EEB">
        <w:t xml:space="preserve"> </w:t>
      </w:r>
      <w:r w:rsidR="0041023B">
        <w:t>b</w:t>
      </w:r>
      <w:r w:rsidR="0041023B" w:rsidRPr="00CF3EEB">
        <w:t>ars</w:t>
      </w:r>
      <w:r w:rsidR="0041023B">
        <w:t xml:space="preserve">), </w:t>
      </w:r>
      <w:r w:rsidR="0091011D">
        <w:t>and area of park</w:t>
      </w:r>
      <w:r w:rsidR="00F00453">
        <w:t>s</w:t>
      </w:r>
      <w:r w:rsidR="0091011D">
        <w:t xml:space="preserve"> </w:t>
      </w:r>
      <w:r w:rsidR="00C163D5">
        <w:t>with</w:t>
      </w:r>
      <w:r w:rsidR="0091011D">
        <w:t xml:space="preserve">in the </w:t>
      </w:r>
      <w:r w:rsidR="00B56E95">
        <w:t>250-</w:t>
      </w:r>
      <w:r w:rsidR="00C163D5">
        <w:t xml:space="preserve">meter vicinity of CitiBike stations </w:t>
      </w:r>
      <w:r w:rsidR="0091011D">
        <w:t>were also considered as point of interest attributes</w:t>
      </w:r>
      <w:r w:rsidR="00C163D5">
        <w:t xml:space="preserve"> in our analysis</w:t>
      </w:r>
      <w:r w:rsidR="002354C3">
        <w:rPr>
          <w:rStyle w:val="FootnoteReference"/>
        </w:rPr>
        <w:footnoteReference w:id="2"/>
      </w:r>
      <w:r w:rsidR="0091011D">
        <w:t>.</w:t>
      </w:r>
      <w:r w:rsidR="006D78E1">
        <w:t xml:space="preserve"> </w:t>
      </w:r>
    </w:p>
    <w:p w14:paraId="53642ECE" w14:textId="77777777" w:rsidR="00904345" w:rsidRDefault="0041023B" w:rsidP="00921E32">
      <w:pPr>
        <w:autoSpaceDE w:val="0"/>
        <w:autoSpaceDN w:val="0"/>
        <w:adjustRightInd w:val="0"/>
        <w:ind w:firstLine="720"/>
      </w:pPr>
      <w:r>
        <w:t xml:space="preserve"> </w:t>
      </w:r>
    </w:p>
    <w:p w14:paraId="60E57441" w14:textId="77777777" w:rsidR="002D222C" w:rsidRPr="006E2072" w:rsidRDefault="002D222C" w:rsidP="002D222C">
      <w:pPr>
        <w:pStyle w:val="Heading1"/>
        <w:numPr>
          <w:ilvl w:val="1"/>
          <w:numId w:val="2"/>
        </w:numPr>
        <w:autoSpaceDE w:val="0"/>
        <w:autoSpaceDN w:val="0"/>
        <w:adjustRightInd w:val="0"/>
        <w:spacing w:before="0" w:after="0"/>
        <w:ind w:left="426" w:hanging="426"/>
      </w:pPr>
      <w:r>
        <w:t>Sample Characteristics</w:t>
      </w:r>
    </w:p>
    <w:p w14:paraId="37BD629E" w14:textId="20C2CEE2" w:rsidR="00921E32" w:rsidRDefault="00907A90" w:rsidP="00B12D72">
      <w:r>
        <w:t xml:space="preserve">A descriptive summary of sample characteristics is presented in Table 1. </w:t>
      </w:r>
      <w:r w:rsidR="00C56EBE">
        <w:t>It can be observed that arrivals and departures of annual members are significantly higher</w:t>
      </w:r>
      <w:r w:rsidR="00EC533A">
        <w:t xml:space="preserve"> than the daily customers’ rates</w:t>
      </w:r>
      <w:r w:rsidR="00C56EBE">
        <w:t xml:space="preserve">; </w:t>
      </w:r>
      <w:r w:rsidR="00F00453">
        <w:t>indicating that regular users form a larger component for BSS usage in New York</w:t>
      </w:r>
      <w:r w:rsidR="00756B40">
        <w:t xml:space="preserve">. Moreover, the temporal trend of arrival and departure rates are clearly different for the two type of users: members’ arrivals and departures have morning and afternoon peak while the daily customers’ arrivals and departures have only the afternoon peak. </w:t>
      </w:r>
      <w:r w:rsidR="00F00453">
        <w:t>I</w:t>
      </w:r>
      <w:r w:rsidR="007B3F03">
        <w:t>n general, the BSS usage is substantially higher in the PM</w:t>
      </w:r>
      <w:r w:rsidR="00F00453">
        <w:t xml:space="preserve"> period compared with </w:t>
      </w:r>
      <w:r w:rsidR="007B3F03">
        <w:t xml:space="preserve">any other time of day. </w:t>
      </w:r>
      <w:r w:rsidR="00756B40">
        <w:t>Furthermore, the BSS usage is spatially different by user types. Figure 1</w:t>
      </w:r>
      <w:r w:rsidR="005F2ABD">
        <w:t xml:space="preserve"> and 2</w:t>
      </w:r>
      <w:r w:rsidR="00756B40">
        <w:t xml:space="preserve"> illustrate average arrival and departure rates in AM and PM by annual members </w:t>
      </w:r>
      <w:r w:rsidR="00166734">
        <w:t>and</w:t>
      </w:r>
      <w:r w:rsidR="00756B40">
        <w:t xml:space="preserve"> daily customers</w:t>
      </w:r>
      <w:r w:rsidR="005F2ABD">
        <w:t>, respectively</w:t>
      </w:r>
      <w:r w:rsidR="00756B40">
        <w:t xml:space="preserve">. </w:t>
      </w:r>
      <w:r w:rsidR="00843FE2">
        <w:t>It must be noted that due to different level of usage by members and daily customers, i</w:t>
      </w:r>
      <w:r w:rsidR="00756B40">
        <w:t xml:space="preserve">n these two figures, arrival and departure rates </w:t>
      </w:r>
      <w:r w:rsidR="00843FE2">
        <w:t xml:space="preserve">categories are different. For members figure, the average hourly arrivals and departures </w:t>
      </w:r>
      <w:r w:rsidR="00756B40">
        <w:t xml:space="preserve">are </w:t>
      </w:r>
      <w:r w:rsidR="00756B40">
        <w:lastRenderedPageBreak/>
        <w:t xml:space="preserve">categorized </w:t>
      </w:r>
      <w:r w:rsidR="00F00453">
        <w:t>as</w:t>
      </w:r>
      <w:r w:rsidR="00843FE2">
        <w:t>: Very Low (</w:t>
      </w:r>
      <w:r w:rsidR="00843FE2">
        <w:rPr>
          <w:rFonts w:cs="Times New Roman"/>
        </w:rPr>
        <w:t>0-</w:t>
      </w:r>
      <w:r w:rsidR="00843FE2">
        <w:t>4 bicycles), Low (4-8 bicycles), Medium (8-12 bicycles), and High (12+ bicycles)</w:t>
      </w:r>
      <w:r w:rsidR="00756B40">
        <w:t xml:space="preserve"> </w:t>
      </w:r>
      <w:r w:rsidR="00843FE2">
        <w:t>while for the customers with temporary passes</w:t>
      </w:r>
      <w:r w:rsidR="00D05973">
        <w:t>,</w:t>
      </w:r>
      <w:r w:rsidR="00C55238">
        <w:t xml:space="preserve"> the categories are</w:t>
      </w:r>
      <w:r w:rsidR="00843FE2">
        <w:t>: Very Low (</w:t>
      </w:r>
      <w:r w:rsidR="00843FE2">
        <w:rPr>
          <w:rFonts w:cs="Times New Roman"/>
        </w:rPr>
        <w:t>0-</w:t>
      </w:r>
      <w:r w:rsidR="00843FE2">
        <w:t xml:space="preserve">0.5 bicycles), Low (0.5-1.5 bicycles), Medium (1.5-3 bicycles), and High (3+ bicycles). </w:t>
      </w:r>
      <w:r w:rsidR="00A83F94">
        <w:t>The f</w:t>
      </w:r>
      <w:r w:rsidR="005B17F5">
        <w:t>igures clearly show the distinct usage pattern of members and daily customers.</w:t>
      </w:r>
    </w:p>
    <w:p w14:paraId="5D5203EA" w14:textId="77777777" w:rsidR="0086169E" w:rsidRDefault="0086169E" w:rsidP="00B12D72"/>
    <w:p w14:paraId="14B366E1" w14:textId="42D555C6" w:rsidR="00921E32" w:rsidRPr="0068122D" w:rsidRDefault="006E2072" w:rsidP="00921E32">
      <w:pPr>
        <w:pStyle w:val="Heading1"/>
        <w:rPr>
          <w:i/>
        </w:rPr>
      </w:pPr>
      <w:r>
        <w:t>METHODOLOGY</w:t>
      </w:r>
    </w:p>
    <w:p w14:paraId="417E91CA" w14:textId="0F54C86D" w:rsidR="00921E32" w:rsidRDefault="00551EE7">
      <w:r>
        <w:t xml:space="preserve">In this paper, </w:t>
      </w:r>
      <w:r w:rsidR="00AF00D4">
        <w:t xml:space="preserve">the usage is characterized as </w:t>
      </w:r>
      <w:r>
        <w:t xml:space="preserve">the </w:t>
      </w:r>
      <w:r w:rsidR="00AF00D4">
        <w:t xml:space="preserve">hourly </w:t>
      </w:r>
      <w:r>
        <w:t xml:space="preserve">arrivals and departures </w:t>
      </w:r>
      <w:r w:rsidR="00AF00D4">
        <w:t xml:space="preserve">for each station </w:t>
      </w:r>
      <w:r w:rsidR="009B34CA">
        <w:t>for</w:t>
      </w:r>
      <w:r w:rsidR="00AF00D4">
        <w:t xml:space="preserve"> a</w:t>
      </w:r>
      <w:r>
        <w:t xml:space="preserve"> month of data. In </w:t>
      </w:r>
      <w:r w:rsidR="00EC533A">
        <w:t xml:space="preserve">order to recognize the </w:t>
      </w:r>
      <w:r>
        <w:t xml:space="preserve">multiple repeated observation of a spatial unit (CitiBike stations), </w:t>
      </w:r>
      <w:r w:rsidRPr="00BE40F8">
        <w:t>we employ</w:t>
      </w:r>
      <w:r>
        <w:t xml:space="preserve"> spatial panel models</w:t>
      </w:r>
      <w:r w:rsidR="00DA3881">
        <w:t xml:space="preserve"> in our analysis</w:t>
      </w:r>
      <w:r w:rsidR="00F72002">
        <w:t xml:space="preserve"> (</w:t>
      </w:r>
      <w:r w:rsidR="00894A09">
        <w:t xml:space="preserve">see </w:t>
      </w:r>
      <w:r w:rsidR="00F72002">
        <w:t>Elhorst, 2014</w:t>
      </w:r>
      <w:r w:rsidR="00894A09">
        <w:t xml:space="preserve"> for complete econometric model details</w:t>
      </w:r>
      <w:r w:rsidR="00F72002">
        <w:t>)</w:t>
      </w:r>
      <w:r>
        <w:t xml:space="preserve">. </w:t>
      </w:r>
      <w:r w:rsidR="005B2E11">
        <w:t>Let q</w:t>
      </w:r>
      <w:r w:rsidR="00164CE5" w:rsidRPr="00CE665D">
        <w:t xml:space="preserve"> = 1</w:t>
      </w:r>
      <w:r w:rsidR="00164CE5">
        <w:t>,</w:t>
      </w:r>
      <w:r w:rsidR="00164CE5" w:rsidRPr="00CE665D">
        <w:t xml:space="preserve"> 2</w:t>
      </w:r>
      <w:r w:rsidR="00164CE5">
        <w:t xml:space="preserve">, …, </w:t>
      </w:r>
      <w:r w:rsidR="005B2E11">
        <w:t>Q</w:t>
      </w:r>
      <w:r w:rsidR="00164CE5" w:rsidRPr="00CE665D">
        <w:t xml:space="preserve"> </w:t>
      </w:r>
      <w:r w:rsidR="00164CE5">
        <w:t xml:space="preserve">(in our study </w:t>
      </w:r>
      <w:r w:rsidR="005B2E11">
        <w:t>Q</w:t>
      </w:r>
      <w:r w:rsidR="00164CE5">
        <w:t>=330) be an index to represent each station (spatial unit)</w:t>
      </w:r>
      <w:r w:rsidR="00164CE5" w:rsidRPr="00CE665D">
        <w:t xml:space="preserve"> and t = 1</w:t>
      </w:r>
      <w:r w:rsidR="00164CE5">
        <w:t xml:space="preserve">, </w:t>
      </w:r>
      <w:r w:rsidR="00164CE5" w:rsidRPr="00CE665D">
        <w:t>2</w:t>
      </w:r>
      <w:r w:rsidR="00164CE5">
        <w:t>, …, T</w:t>
      </w:r>
      <w:r w:rsidR="00164CE5" w:rsidRPr="00CE665D">
        <w:t xml:space="preserve"> </w:t>
      </w:r>
      <w:r w:rsidR="00164CE5">
        <w:t>(in our study T=24</w:t>
      </w:r>
      <w:r w:rsidR="00EC533A">
        <w:t>hr</w:t>
      </w:r>
      <w:r w:rsidR="00164CE5">
        <w:rPr>
          <w:rFonts w:cs="Times New Roman"/>
        </w:rPr>
        <w:t>×</w:t>
      </w:r>
      <w:r w:rsidR="00164CE5">
        <w:t>30</w:t>
      </w:r>
      <w:r w:rsidR="00EC533A">
        <w:t>days</w:t>
      </w:r>
      <w:r w:rsidR="00164CE5">
        <w:t xml:space="preserve">=720) </w:t>
      </w:r>
      <w:r w:rsidR="00164CE5" w:rsidRPr="00CE665D">
        <w:t>be an</w:t>
      </w:r>
      <w:r w:rsidR="00164CE5">
        <w:t xml:space="preserve"> </w:t>
      </w:r>
      <w:r w:rsidR="00164CE5" w:rsidRPr="00CE665D">
        <w:t>index for</w:t>
      </w:r>
      <w:r w:rsidR="00164CE5">
        <w:t xml:space="preserve"> each </w:t>
      </w:r>
      <w:r w:rsidR="00164CE5" w:rsidRPr="00CE665D">
        <w:t xml:space="preserve">hour. </w:t>
      </w:r>
      <w:r w:rsidR="00164CE5">
        <w:t xml:space="preserve">A pooled linear regression model for panel data </w:t>
      </w:r>
      <w:r w:rsidR="00892591">
        <w:t>considering spatial specific effect</w:t>
      </w:r>
      <w:r w:rsidR="007E3D5A">
        <w:t>s</w:t>
      </w:r>
      <w:r w:rsidR="00892591">
        <w:t xml:space="preserve"> </w:t>
      </w:r>
      <w:r w:rsidR="00164CE5">
        <w:t xml:space="preserve">without considering spatial </w:t>
      </w:r>
      <w:r w:rsidR="00740ABE">
        <w:t>dependency</w:t>
      </w:r>
      <w:r w:rsidR="00164CE5">
        <w:t xml:space="preserve"> can be written as:</w:t>
      </w:r>
    </w:p>
    <w:p w14:paraId="2FABDA3C" w14:textId="77777777" w:rsidR="00164CE5" w:rsidRPr="00E85D11" w:rsidRDefault="004731D8" w:rsidP="00B61B7D">
      <w:pPr>
        <w:jc w:val="center"/>
        <w:rPr>
          <w:i/>
        </w:rPr>
      </w:pPr>
      <m:oMathPara>
        <m:oMath>
          <m:sSub>
            <m:sSubPr>
              <m:ctrlPr>
                <w:rPr>
                  <w:rFonts w:ascii="Cambria Math" w:hAnsi="Cambria Math"/>
                  <w:i/>
                </w:rPr>
              </m:ctrlPr>
            </m:sSubPr>
            <m:e>
              <m:r>
                <w:rPr>
                  <w:rFonts w:ascii="Cambria Math" w:hAnsi="Cambria Math"/>
                </w:rPr>
                <m:t>y</m:t>
              </m:r>
            </m:e>
            <m:sub>
              <m:r>
                <w:rPr>
                  <w:rFonts w:ascii="Cambria Math" w:hAnsi="Cambria Math"/>
                </w:rPr>
                <m:t>qt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qt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qt</m:t>
              </m:r>
            </m:sub>
          </m:sSub>
          <m:r>
            <w:rPr>
              <w:rFonts w:ascii="Cambria Math" w:eastAsiaTheme="minorEastAsia" w:hAnsi="Cambria Math"/>
            </w:rPr>
            <m:t xml:space="preserve">     (1)</m:t>
          </m:r>
        </m:oMath>
      </m:oMathPara>
    </w:p>
    <w:p w14:paraId="6EE00031" w14:textId="0968839B" w:rsidR="00164CE5" w:rsidRDefault="00164CE5" w:rsidP="00164CE5">
      <w:pPr>
        <w:rPr>
          <w:rFonts w:cs="Times New Roman"/>
        </w:rPr>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qt</m:t>
            </m:r>
          </m:sub>
        </m:sSub>
      </m:oMath>
      <w:r>
        <w:rPr>
          <w:i/>
        </w:rPr>
        <w:t xml:space="preserve"> </w:t>
      </w:r>
      <w:r>
        <w:t>is the</w:t>
      </w:r>
      <w:r w:rsidR="005B2E11">
        <w:t xml:space="preserve"> log-normal of</w:t>
      </w:r>
      <w:r>
        <w:t xml:space="preserve"> normalized arrival and departure rates as dependent variable,</w:t>
      </w:r>
      <w:r w:rsidR="00E85D11">
        <w:t xml:space="preserve"> </w:t>
      </w:r>
      <m:oMath>
        <m:sSub>
          <m:sSubPr>
            <m:ctrlPr>
              <w:rPr>
                <w:rFonts w:ascii="Cambria Math" w:hAnsi="Cambria Math"/>
                <w:i/>
              </w:rPr>
            </m:ctrlPr>
          </m:sSubPr>
          <m:e>
            <m:r>
              <w:rPr>
                <w:rFonts w:ascii="Cambria Math" w:hAnsi="Cambria Math"/>
              </w:rPr>
              <m:t>x</m:t>
            </m:r>
          </m:e>
          <m:sub>
            <m:r>
              <w:rPr>
                <w:rFonts w:ascii="Cambria Math" w:hAnsi="Cambria Math"/>
              </w:rPr>
              <m:t>qt</m:t>
            </m:r>
          </m:sub>
        </m:sSub>
      </m:oMath>
      <w:r>
        <w:t xml:space="preserve"> </w:t>
      </w:r>
      <w:r w:rsidR="004738D5">
        <w:rPr>
          <w:rFonts w:eastAsiaTheme="minorEastAsia"/>
        </w:rPr>
        <w:t xml:space="preserve">is </w:t>
      </w:r>
      <w:r w:rsidR="00E85D11">
        <w:rPr>
          <w:rFonts w:eastAsiaTheme="minorEastAsia"/>
        </w:rPr>
        <w:t xml:space="preserve">a column vector of attributes </w:t>
      </w:r>
      <w:r w:rsidR="005B2E11">
        <w:rPr>
          <w:rFonts w:eastAsiaTheme="minorEastAsia"/>
        </w:rPr>
        <w:t xml:space="preserve">at station </w:t>
      </w:r>
      <w:r w:rsidR="005B2E11">
        <w:rPr>
          <w:rFonts w:eastAsiaTheme="minorEastAsia"/>
          <w:i/>
        </w:rPr>
        <w:t>q</w:t>
      </w:r>
      <w:r w:rsidR="005B2E11">
        <w:rPr>
          <w:rFonts w:eastAsiaTheme="minorEastAsia"/>
        </w:rPr>
        <w:t xml:space="preserve"> and time </w:t>
      </w:r>
      <w:r w:rsidR="005B2E11" w:rsidRPr="005B2E11">
        <w:rPr>
          <w:rFonts w:eastAsiaTheme="minorEastAsia"/>
          <w:i/>
        </w:rPr>
        <w:t>t</w:t>
      </w:r>
      <w:r w:rsidR="00DA3881">
        <w:rPr>
          <w:rFonts w:eastAsiaTheme="minorEastAsia"/>
        </w:rPr>
        <w:t xml:space="preserve">, </w:t>
      </w:r>
      <w:r w:rsidR="00E85D11">
        <w:rPr>
          <w:rFonts w:eastAsiaTheme="minorEastAsia"/>
        </w:rPr>
        <w:t xml:space="preserve">and </w:t>
      </w:r>
      <m:oMath>
        <m:r>
          <w:rPr>
            <w:rFonts w:ascii="Cambria Math" w:hAnsi="Cambria Math"/>
          </w:rPr>
          <m:t>β</m:t>
        </m:r>
      </m:oMath>
      <w:r w:rsidR="004738D5">
        <w:rPr>
          <w:rFonts w:eastAsiaTheme="minorEastAsia"/>
        </w:rPr>
        <w:t xml:space="preserve"> </w:t>
      </w:r>
      <w:r w:rsidR="00E85D11">
        <w:rPr>
          <w:rFonts w:eastAsiaTheme="minorEastAsia"/>
        </w:rPr>
        <w:t xml:space="preserve">is </w:t>
      </w:r>
      <w:r w:rsidR="00E85D11">
        <w:rPr>
          <w:rFonts w:cs="Times New Roman"/>
        </w:rPr>
        <w:t>the corresponding coefficient column vector of parameters to be estimated.</w:t>
      </w:r>
      <w:r>
        <w:rPr>
          <w:rFonts w:cs="Times New Roman"/>
        </w:rPr>
        <w:t xml:space="preserve"> The random error term, </w:t>
      </w:r>
      <m:oMath>
        <m:sSub>
          <m:sSubPr>
            <m:ctrlPr>
              <w:rPr>
                <w:rFonts w:ascii="Cambria Math" w:hAnsi="Cambria Math"/>
                <w:i/>
              </w:rPr>
            </m:ctrlPr>
          </m:sSubPr>
          <m:e>
            <m:r>
              <w:rPr>
                <w:rFonts w:ascii="Cambria Math" w:hAnsi="Cambria Math"/>
              </w:rPr>
              <m:t>ϵ</m:t>
            </m:r>
          </m:e>
          <m:sub>
            <m:r>
              <w:rPr>
                <w:rFonts w:ascii="Cambria Math" w:hAnsi="Cambria Math"/>
              </w:rPr>
              <m:t>qt</m:t>
            </m:r>
          </m:sub>
        </m:sSub>
      </m:oMath>
      <w:r w:rsidR="005B2E11">
        <w:rPr>
          <w:rFonts w:cs="Times New Roman"/>
        </w:rPr>
        <w:t xml:space="preserve">, is assumed to be an independently </w:t>
      </w:r>
      <w:r w:rsidR="005B2E11" w:rsidRPr="005B2E11">
        <w:rPr>
          <w:rFonts w:cs="Times New Roman"/>
        </w:rPr>
        <w:t>and identically distributed</w:t>
      </w:r>
      <w:r w:rsidR="007E3D5A">
        <w:rPr>
          <w:rFonts w:cs="Times New Roman"/>
        </w:rPr>
        <w:t xml:space="preserve"> normal</w:t>
      </w:r>
      <w:r w:rsidR="005B2E11" w:rsidRPr="005B2E11">
        <w:rPr>
          <w:rFonts w:cs="Times New Roman"/>
        </w:rPr>
        <w:t xml:space="preserve"> error term for </w:t>
      </w:r>
      <w:r w:rsidR="005B2E11">
        <w:rPr>
          <w:rFonts w:cs="Times New Roman"/>
          <w:i/>
        </w:rPr>
        <w:t>q</w:t>
      </w:r>
      <w:r w:rsidR="005B2E11" w:rsidRPr="005B2E11">
        <w:rPr>
          <w:rFonts w:cs="Times New Roman"/>
        </w:rPr>
        <w:t xml:space="preserve"> and </w:t>
      </w:r>
      <w:r w:rsidR="005B2E11" w:rsidRPr="005B2E11">
        <w:rPr>
          <w:rFonts w:cs="Times New Roman"/>
          <w:i/>
        </w:rPr>
        <w:t>t</w:t>
      </w:r>
      <w:r w:rsidR="005B2E11" w:rsidRPr="005B2E11">
        <w:rPr>
          <w:rFonts w:cs="Times New Roman"/>
        </w:rPr>
        <w:t xml:space="preserve"> with zero mean and</w:t>
      </w:r>
      <w:r w:rsidR="005B2E11">
        <w:rPr>
          <w:rFonts w:cs="Times New Roman"/>
        </w:rPr>
        <w:t xml:space="preserve"> </w:t>
      </w:r>
      <w:r w:rsidR="005B2E11" w:rsidRPr="005B2E11">
        <w:rPr>
          <w:rFonts w:cs="Times New Roman"/>
        </w:rPr>
        <w:t>variance</w:t>
      </w:r>
      <w:r w:rsidR="005B2E11">
        <w:rPr>
          <w:rFonts w:cs="Times New Roman"/>
        </w:rPr>
        <w:t xml:space="preserve"> </w:t>
      </w:r>
      <w:r w:rsidR="005B2E11" w:rsidRPr="005B2E11">
        <w:rPr>
          <w:rFonts w:cs="Times New Roman"/>
          <w:i/>
        </w:rPr>
        <w:t>σ</w:t>
      </w:r>
      <w:r w:rsidR="005B2E11" w:rsidRPr="005B2E11">
        <w:rPr>
          <w:rFonts w:cs="Times New Roman"/>
          <w:i/>
          <w:vertAlign w:val="superscript"/>
        </w:rPr>
        <w:t>2</w:t>
      </w:r>
      <w:r w:rsidR="005B2E11">
        <w:rPr>
          <w:rFonts w:cs="Times New Roman"/>
        </w:rPr>
        <w:t xml:space="preserve"> , and </w:t>
      </w:r>
      <m:oMath>
        <m:sSub>
          <m:sSubPr>
            <m:ctrlPr>
              <w:rPr>
                <w:rFonts w:ascii="Cambria Math" w:hAnsi="Cambria Math"/>
                <w:i/>
              </w:rPr>
            </m:ctrlPr>
          </m:sSubPr>
          <m:e>
            <m:r>
              <w:rPr>
                <w:rFonts w:ascii="Cambria Math" w:hAnsi="Cambria Math"/>
              </w:rPr>
              <m:t>μ</m:t>
            </m:r>
          </m:e>
          <m:sub>
            <m:r>
              <w:rPr>
                <w:rFonts w:ascii="Cambria Math" w:hAnsi="Cambria Math"/>
              </w:rPr>
              <m:t>q</m:t>
            </m:r>
          </m:sub>
        </m:sSub>
      </m:oMath>
      <w:r w:rsidR="005B2E11">
        <w:rPr>
          <w:rFonts w:eastAsiaTheme="minorEastAsia" w:cs="Times New Roman"/>
        </w:rPr>
        <w:t xml:space="preserve"> represent</w:t>
      </w:r>
      <w:r w:rsidR="00B26AA0">
        <w:rPr>
          <w:rFonts w:eastAsiaTheme="minorEastAsia" w:cs="Times New Roman"/>
        </w:rPr>
        <w:t>s</w:t>
      </w:r>
      <w:r w:rsidR="005B2E11">
        <w:rPr>
          <w:rFonts w:eastAsiaTheme="minorEastAsia" w:cs="Times New Roman"/>
        </w:rPr>
        <w:t xml:space="preserve"> a spatial specific effect</w:t>
      </w:r>
      <w:r w:rsidR="00550E12">
        <w:rPr>
          <w:rFonts w:eastAsiaTheme="minorEastAsia" w:cs="Times New Roman"/>
        </w:rPr>
        <w:t xml:space="preserve"> to account for all the station-specific time-invariant unobserved attributes</w:t>
      </w:r>
      <w:r w:rsidR="003359A4">
        <w:rPr>
          <w:rStyle w:val="FootnoteReference"/>
          <w:rFonts w:eastAsiaTheme="minorEastAsia" w:cs="Times New Roman"/>
        </w:rPr>
        <w:footnoteReference w:id="3"/>
      </w:r>
      <w:r w:rsidR="005B2E11">
        <w:rPr>
          <w:rFonts w:eastAsiaTheme="minorEastAsia" w:cs="Times New Roman"/>
        </w:rPr>
        <w:t xml:space="preserve">. </w:t>
      </w:r>
      <w:r w:rsidR="00550E12">
        <w:rPr>
          <w:rFonts w:eastAsiaTheme="minorEastAsia" w:cs="Times New Roman"/>
        </w:rPr>
        <w:t xml:space="preserve">This spatial specific effects can be treated as fixed effects or random effects. In the fixed effects model, for every station a dummy variable is created while in the random effects model, </w:t>
      </w:r>
      <m:oMath>
        <m:sSub>
          <m:sSubPr>
            <m:ctrlPr>
              <w:rPr>
                <w:rFonts w:ascii="Cambria Math" w:hAnsi="Cambria Math"/>
                <w:i/>
              </w:rPr>
            </m:ctrlPr>
          </m:sSubPr>
          <m:e>
            <m:r>
              <w:rPr>
                <w:rFonts w:ascii="Cambria Math" w:hAnsi="Cambria Math"/>
              </w:rPr>
              <m:t>μ</m:t>
            </m:r>
          </m:e>
          <m:sub>
            <m:r>
              <w:rPr>
                <w:rFonts w:ascii="Cambria Math" w:hAnsi="Cambria Math"/>
              </w:rPr>
              <m:t>q</m:t>
            </m:r>
          </m:sub>
        </m:sSub>
      </m:oMath>
      <w:r w:rsidR="00550E12">
        <w:rPr>
          <w:rFonts w:eastAsiaTheme="minorEastAsia" w:cs="Times New Roman"/>
        </w:rPr>
        <w:t xml:space="preserve"> is treated as random term that is </w:t>
      </w:r>
      <w:r w:rsidR="00550E12">
        <w:rPr>
          <w:rFonts w:cs="Times New Roman"/>
        </w:rPr>
        <w:t xml:space="preserve">independently </w:t>
      </w:r>
      <w:r w:rsidR="00550E12" w:rsidRPr="005B2E11">
        <w:rPr>
          <w:rFonts w:cs="Times New Roman"/>
        </w:rPr>
        <w:t>and identically distributed with zero mean and</w:t>
      </w:r>
      <w:r w:rsidR="00550E12">
        <w:rPr>
          <w:rFonts w:cs="Times New Roman"/>
        </w:rPr>
        <w:t xml:space="preserve"> </w:t>
      </w:r>
      <w:r w:rsidR="00550E12" w:rsidRPr="005B2E11">
        <w:rPr>
          <w:rFonts w:cs="Times New Roman"/>
        </w:rPr>
        <w:t>variance</w:t>
      </w:r>
      <w:r w:rsidR="00550E12">
        <w:rPr>
          <w:rFonts w:cs="Times New Roman"/>
        </w:rPr>
        <w:t xml:space="preserve"> </w:t>
      </w:r>
      <m:oMath>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μ</m:t>
                </m:r>
              </m:sub>
            </m:sSub>
          </m:e>
          <m:sup>
            <m:r>
              <w:rPr>
                <w:rFonts w:ascii="Cambria Math" w:hAnsi="Cambria Math" w:cs="Times New Roman"/>
              </w:rPr>
              <m:t>2</m:t>
            </m:r>
          </m:sup>
        </m:sSup>
      </m:oMath>
      <w:r w:rsidR="00550E12">
        <w:rPr>
          <w:rFonts w:eastAsiaTheme="minorEastAsia" w:cs="Times New Roman"/>
        </w:rPr>
        <w:t xml:space="preserve">. In addition, the </w:t>
      </w:r>
      <w:r w:rsidR="00740ABE">
        <w:rPr>
          <w:rFonts w:eastAsiaTheme="minorEastAsia" w:cs="Times New Roman"/>
        </w:rPr>
        <w:t xml:space="preserve">spatial random effects and random error term are assumed </w:t>
      </w:r>
      <w:r w:rsidR="007E3D5A">
        <w:rPr>
          <w:rFonts w:eastAsiaTheme="minorEastAsia" w:cs="Times New Roman"/>
        </w:rPr>
        <w:t xml:space="preserve">to be </w:t>
      </w:r>
      <w:r w:rsidR="00740ABE">
        <w:rPr>
          <w:rFonts w:eastAsiaTheme="minorEastAsia" w:cs="Times New Roman"/>
        </w:rPr>
        <w:t xml:space="preserve">independent. The fixed effects </w:t>
      </w:r>
      <w:r w:rsidR="007E3D5A">
        <w:rPr>
          <w:rFonts w:eastAsiaTheme="minorEastAsia" w:cs="Times New Roman"/>
        </w:rPr>
        <w:t xml:space="preserve">methodology is </w:t>
      </w:r>
      <w:r w:rsidR="00740ABE">
        <w:rPr>
          <w:rFonts w:eastAsiaTheme="minorEastAsia" w:cs="Times New Roman"/>
        </w:rPr>
        <w:t xml:space="preserve">not </w:t>
      </w:r>
      <w:r w:rsidR="007E3D5A">
        <w:rPr>
          <w:rFonts w:eastAsiaTheme="minorEastAsia" w:cs="Times New Roman"/>
        </w:rPr>
        <w:t xml:space="preserve">appropriate in the presence of </w:t>
      </w:r>
      <w:r w:rsidR="00740ABE">
        <w:rPr>
          <w:rFonts w:eastAsiaTheme="minorEastAsia" w:cs="Times New Roman"/>
        </w:rPr>
        <w:t xml:space="preserve">time-invariant independent variables (such as population density or length of bicycle routes in the buffer in our empirical context). </w:t>
      </w:r>
      <w:r w:rsidR="009C2923">
        <w:rPr>
          <w:rFonts w:eastAsiaTheme="minorEastAsia" w:cs="Times New Roman"/>
        </w:rPr>
        <w:t xml:space="preserve">In addition, the fixed effects models estimate a </w:t>
      </w:r>
      <w:r w:rsidR="007E3D5A">
        <w:rPr>
          <w:rFonts w:eastAsiaTheme="minorEastAsia" w:cs="Times New Roman"/>
        </w:rPr>
        <w:t>large number of parameters (one parameter specific to each station)</w:t>
      </w:r>
      <w:r w:rsidR="009C2923">
        <w:rPr>
          <w:rFonts w:eastAsiaTheme="minorEastAsia" w:cs="Times New Roman"/>
        </w:rPr>
        <w:t xml:space="preserve"> thus </w:t>
      </w:r>
      <w:r w:rsidR="007E3D5A">
        <w:rPr>
          <w:rFonts w:eastAsiaTheme="minorEastAsia" w:cs="Times New Roman"/>
        </w:rPr>
        <w:t>are computationally cumbersome for</w:t>
      </w:r>
      <w:r w:rsidR="009C2923">
        <w:rPr>
          <w:rFonts w:eastAsiaTheme="minorEastAsia" w:cs="Times New Roman"/>
        </w:rPr>
        <w:t xml:space="preserve"> large systems</w:t>
      </w:r>
      <w:r w:rsidR="007E3D5A">
        <w:rPr>
          <w:rFonts w:eastAsiaTheme="minorEastAsia" w:cs="Times New Roman"/>
        </w:rPr>
        <w:t xml:space="preserve"> as ours</w:t>
      </w:r>
      <w:r w:rsidR="009C2923">
        <w:rPr>
          <w:rFonts w:eastAsiaTheme="minorEastAsia" w:cs="Times New Roman"/>
        </w:rPr>
        <w:t xml:space="preserve">. </w:t>
      </w:r>
      <w:r w:rsidR="00740ABE">
        <w:rPr>
          <w:rFonts w:eastAsiaTheme="minorEastAsia" w:cs="Times New Roman"/>
        </w:rPr>
        <w:t>Therefore, i</w:t>
      </w:r>
      <w:r w:rsidR="00DA3881">
        <w:rPr>
          <w:rFonts w:eastAsiaTheme="minorEastAsia" w:cs="Times New Roman"/>
        </w:rPr>
        <w:t xml:space="preserve">n our study, we </w:t>
      </w:r>
      <w:r w:rsidR="007E3D5A">
        <w:rPr>
          <w:rFonts w:eastAsiaTheme="minorEastAsia" w:cs="Times New Roman"/>
        </w:rPr>
        <w:t xml:space="preserve">restrict ourselves to </w:t>
      </w:r>
      <w:r w:rsidR="004D0447">
        <w:rPr>
          <w:rFonts w:eastAsiaTheme="minorEastAsia" w:cs="Times New Roman"/>
        </w:rPr>
        <w:t>spatial random effects.</w:t>
      </w:r>
    </w:p>
    <w:p w14:paraId="0704F392" w14:textId="66B4DD60" w:rsidR="00922C4F" w:rsidRDefault="007E3D5A" w:rsidP="00B12D72">
      <w:pPr>
        <w:ind w:firstLine="720"/>
        <w:rPr>
          <w:szCs w:val="24"/>
        </w:rPr>
      </w:pPr>
      <w:r>
        <w:rPr>
          <w:szCs w:val="24"/>
        </w:rPr>
        <w:t xml:space="preserve">In traditional econometric literature, </w:t>
      </w:r>
      <w:r w:rsidR="00740ABE">
        <w:rPr>
          <w:szCs w:val="24"/>
        </w:rPr>
        <w:t xml:space="preserve">spatial </w:t>
      </w:r>
      <w:r w:rsidR="00740ABE">
        <w:t xml:space="preserve">dependency </w:t>
      </w:r>
      <w:r>
        <w:rPr>
          <w:szCs w:val="24"/>
        </w:rPr>
        <w:t>is</w:t>
      </w:r>
      <w:r w:rsidR="00740ABE">
        <w:rPr>
          <w:szCs w:val="24"/>
        </w:rPr>
        <w:t xml:space="preserve"> incorpor</w:t>
      </w:r>
      <w:r w:rsidR="00910374">
        <w:rPr>
          <w:szCs w:val="24"/>
        </w:rPr>
        <w:t>ated in model in two main forms:</w:t>
      </w:r>
      <w:r w:rsidR="00740ABE">
        <w:rPr>
          <w:szCs w:val="24"/>
        </w:rPr>
        <w:t xml:space="preserve"> 1)</w:t>
      </w:r>
      <w:r w:rsidR="00910374">
        <w:rPr>
          <w:szCs w:val="24"/>
        </w:rPr>
        <w:t xml:space="preserve"> by a spatially lagged dependent variable known as spatial lag model, or 2) by a spatial autocorrelation process in the error term known as spatial error model. In our study, the spatial lag model proposes that arrivals (departures) at one station depend on the arrivals (departures) in neighbouring stations while spatial error model posits that unobserved factors are correlated across neighbouring stations.</w:t>
      </w:r>
      <w:r w:rsidR="00B61B7D">
        <w:rPr>
          <w:szCs w:val="24"/>
        </w:rPr>
        <w:t xml:space="preserve"> </w:t>
      </w:r>
    </w:p>
    <w:p w14:paraId="2274542F" w14:textId="5D4F12DA" w:rsidR="00C25DA7" w:rsidRDefault="00922C4F" w:rsidP="00B12D72">
      <w:pPr>
        <w:ind w:firstLine="720"/>
        <w:rPr>
          <w:szCs w:val="24"/>
        </w:rPr>
      </w:pPr>
      <w:r>
        <w:rPr>
          <w:szCs w:val="24"/>
        </w:rPr>
        <w:t xml:space="preserve">A </w:t>
      </w:r>
      <w:r w:rsidR="001712A0">
        <w:rPr>
          <w:szCs w:val="24"/>
        </w:rPr>
        <w:t>s</w:t>
      </w:r>
      <w:r w:rsidR="00B61B7D">
        <w:rPr>
          <w:szCs w:val="24"/>
        </w:rPr>
        <w:t>patial lag model can be written</w:t>
      </w:r>
      <w:r w:rsidR="00DB4363">
        <w:rPr>
          <w:szCs w:val="24"/>
        </w:rPr>
        <w:t xml:space="preserve"> as</w:t>
      </w:r>
      <w:r w:rsidR="001712A0">
        <w:rPr>
          <w:szCs w:val="24"/>
        </w:rPr>
        <w:t xml:space="preserve"> follows</w:t>
      </w:r>
      <w:r w:rsidR="00B61B7D">
        <w:rPr>
          <w:szCs w:val="24"/>
        </w:rPr>
        <w:t>:</w:t>
      </w:r>
    </w:p>
    <w:p w14:paraId="63CE56A1" w14:textId="77777777" w:rsidR="00B61B7D" w:rsidRPr="00E85D11" w:rsidRDefault="004731D8" w:rsidP="00B61B7D">
      <w:pPr>
        <w:jc w:val="center"/>
        <w:rPr>
          <w:i/>
        </w:rPr>
      </w:pPr>
      <m:oMathPara>
        <m:oMath>
          <m:sSub>
            <m:sSubPr>
              <m:ctrlPr>
                <w:rPr>
                  <w:rFonts w:ascii="Cambria Math" w:hAnsi="Cambria Math"/>
                  <w:i/>
                </w:rPr>
              </m:ctrlPr>
            </m:sSubPr>
            <m:e>
              <m:r>
                <w:rPr>
                  <w:rFonts w:ascii="Cambria Math" w:hAnsi="Cambria Math"/>
                </w:rPr>
                <m:t>y</m:t>
              </m:r>
            </m:e>
            <m:sub>
              <m:r>
                <w:rPr>
                  <w:rFonts w:ascii="Cambria Math" w:hAnsi="Cambria Math"/>
                </w:rPr>
                <m:t>qt</m:t>
              </m:r>
            </m:sub>
          </m:sSub>
          <m:r>
            <w:rPr>
              <w:rFonts w:ascii="Cambria Math" w:hAnsi="Cambria Math"/>
            </w:rPr>
            <m:t>=δ</m:t>
          </m:r>
          <m:nary>
            <m:naryPr>
              <m:chr m:val="∑"/>
              <m:limLoc m:val="undOvr"/>
              <m:ctrlPr>
                <w:rPr>
                  <w:rFonts w:ascii="Cambria Math" w:hAnsi="Cambria Math"/>
                  <w:i/>
                </w:rPr>
              </m:ctrlPr>
            </m:naryPr>
            <m:sub>
              <m:r>
                <w:rPr>
                  <w:rFonts w:ascii="Cambria Math" w:hAnsi="Cambria Math"/>
                </w:rPr>
                <m:t>j=1</m:t>
              </m:r>
            </m:sub>
            <m:sup>
              <m:r>
                <w:rPr>
                  <w:rFonts w:ascii="Cambria Math" w:hAnsi="Cambria Math"/>
                </w:rPr>
                <m:t>Q</m:t>
              </m:r>
            </m:sup>
            <m:e>
              <m:sSub>
                <m:sSubPr>
                  <m:ctrlPr>
                    <w:rPr>
                      <w:rFonts w:ascii="Cambria Math" w:hAnsi="Cambria Math"/>
                      <w:i/>
                    </w:rPr>
                  </m:ctrlPr>
                </m:sSubPr>
                <m:e>
                  <m:r>
                    <w:rPr>
                      <w:rFonts w:ascii="Cambria Math" w:hAnsi="Cambria Math"/>
                    </w:rPr>
                    <m:t>w</m:t>
                  </m:r>
                </m:e>
                <m:sub>
                  <m:r>
                    <w:rPr>
                      <w:rFonts w:ascii="Cambria Math" w:hAnsi="Cambria Math"/>
                    </w:rPr>
                    <m:t>qj</m:t>
                  </m:r>
                </m:sub>
              </m:sSub>
              <m:sSub>
                <m:sSubPr>
                  <m:ctrlPr>
                    <w:rPr>
                      <w:rFonts w:ascii="Cambria Math" w:hAnsi="Cambria Math"/>
                      <w:i/>
                    </w:rPr>
                  </m:ctrlPr>
                </m:sSubPr>
                <m:e>
                  <m:r>
                    <w:rPr>
                      <w:rFonts w:ascii="Cambria Math" w:hAnsi="Cambria Math"/>
                    </w:rPr>
                    <m:t>y</m:t>
                  </m:r>
                </m:e>
                <m:sub>
                  <m:r>
                    <w:rPr>
                      <w:rFonts w:ascii="Cambria Math" w:hAnsi="Cambria Math"/>
                    </w:rPr>
                    <m:t>jt</m:t>
                  </m:r>
                </m:sub>
              </m:sSub>
            </m:e>
          </m:nary>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qt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qt</m:t>
              </m:r>
            </m:sub>
          </m:sSub>
          <m:r>
            <w:rPr>
              <w:rFonts w:ascii="Cambria Math" w:hAnsi="Cambria Math"/>
            </w:rPr>
            <m:t xml:space="preserve">     (2)</m:t>
          </m:r>
        </m:oMath>
      </m:oMathPara>
    </w:p>
    <w:p w14:paraId="7DDE4A3B" w14:textId="7C768918" w:rsidR="007C01AE" w:rsidRDefault="00E7791B" w:rsidP="001712A0">
      <w:pPr>
        <w:rPr>
          <w:rFonts w:eastAsiaTheme="minorEastAsia" w:cs="Times New Roman"/>
        </w:rPr>
      </w:pPr>
      <w:r>
        <w:rPr>
          <w:rFonts w:eastAsiaTheme="minorEastAsia"/>
        </w:rPr>
        <w:lastRenderedPageBreak/>
        <w:t xml:space="preserve">Where </w:t>
      </w:r>
      <m:oMath>
        <m:r>
          <w:rPr>
            <w:rFonts w:ascii="Cambria Math" w:hAnsi="Cambria Math"/>
          </w:rPr>
          <m:t>δ</m:t>
        </m:r>
      </m:oMath>
      <w:r>
        <w:rPr>
          <w:rFonts w:eastAsiaTheme="minorEastAsia" w:cs="Times New Roman"/>
        </w:rPr>
        <w:t xml:space="preserve"> is called the spatial autoregressive coefficient and </w:t>
      </w:r>
      <m:oMath>
        <m:sSub>
          <m:sSubPr>
            <m:ctrlPr>
              <w:rPr>
                <w:rFonts w:ascii="Cambria Math" w:hAnsi="Cambria Math"/>
                <w:i/>
              </w:rPr>
            </m:ctrlPr>
          </m:sSubPr>
          <m:e>
            <m:r>
              <w:rPr>
                <w:rFonts w:ascii="Cambria Math" w:hAnsi="Cambria Math"/>
              </w:rPr>
              <m:t>w</m:t>
            </m:r>
          </m:e>
          <m:sub>
            <m:r>
              <w:rPr>
                <w:rFonts w:ascii="Cambria Math" w:hAnsi="Cambria Math"/>
              </w:rPr>
              <m:t>qj</m:t>
            </m:r>
          </m:sub>
        </m:sSub>
      </m:oMath>
      <w:r>
        <w:rPr>
          <w:rFonts w:eastAsiaTheme="minorEastAsia" w:cs="Times New Roman"/>
        </w:rPr>
        <w:t xml:space="preserve"> is an element from a spatial weight matrix </w:t>
      </w:r>
      <w:r w:rsidRPr="00DA3881">
        <w:rPr>
          <w:rFonts w:eastAsiaTheme="minorEastAsia" w:cs="Times New Roman"/>
          <w:i/>
        </w:rPr>
        <w:t>W</w:t>
      </w:r>
      <w:r>
        <w:rPr>
          <w:rFonts w:eastAsiaTheme="minorEastAsia" w:cs="Times New Roman"/>
        </w:rPr>
        <w:t xml:space="preserve">. </w:t>
      </w:r>
      <w:r w:rsidR="001712A0">
        <w:rPr>
          <w:rFonts w:eastAsiaTheme="minorEastAsia" w:cs="Times New Roman"/>
        </w:rPr>
        <w:t>T</w:t>
      </w:r>
      <w:r>
        <w:rPr>
          <w:rFonts w:eastAsiaTheme="minorEastAsia" w:cs="Times New Roman"/>
        </w:rPr>
        <w:t xml:space="preserve">he spatial weight matrix </w:t>
      </w:r>
      <w:r w:rsidRPr="00DA3881">
        <w:rPr>
          <w:rFonts w:eastAsiaTheme="minorEastAsia" w:cs="Times New Roman"/>
          <w:i/>
        </w:rPr>
        <w:t>W</w:t>
      </w:r>
      <w:r>
        <w:rPr>
          <w:rFonts w:eastAsiaTheme="minorEastAsia" w:cs="Times New Roman"/>
        </w:rPr>
        <w:t xml:space="preserve"> define</w:t>
      </w:r>
      <w:r w:rsidR="001712A0">
        <w:rPr>
          <w:rFonts w:eastAsiaTheme="minorEastAsia" w:cs="Times New Roman"/>
        </w:rPr>
        <w:t>s</w:t>
      </w:r>
      <w:r>
        <w:rPr>
          <w:rFonts w:eastAsiaTheme="minorEastAsia" w:cs="Times New Roman"/>
        </w:rPr>
        <w:t xml:space="preserve"> the spatial arrangement of the stations or in the other words the neighbouring stations. Several types of </w:t>
      </w:r>
      <w:r w:rsidR="005B51CB">
        <w:rPr>
          <w:rFonts w:eastAsiaTheme="minorEastAsia" w:cs="Times New Roman"/>
        </w:rPr>
        <w:t>spatial matri</w:t>
      </w:r>
      <w:r w:rsidR="001712A0">
        <w:rPr>
          <w:rFonts w:eastAsiaTheme="minorEastAsia" w:cs="Times New Roman"/>
        </w:rPr>
        <w:t>ces</w:t>
      </w:r>
      <w:r w:rsidR="005B51CB">
        <w:rPr>
          <w:rFonts w:eastAsiaTheme="minorEastAsia" w:cs="Times New Roman"/>
        </w:rPr>
        <w:t xml:space="preserve"> </w:t>
      </w:r>
      <w:r w:rsidR="001712A0">
        <w:rPr>
          <w:rFonts w:eastAsiaTheme="minorEastAsia" w:cs="Times New Roman"/>
        </w:rPr>
        <w:t xml:space="preserve">are </w:t>
      </w:r>
      <w:r w:rsidR="005B51CB">
        <w:rPr>
          <w:rFonts w:eastAsiaTheme="minorEastAsia" w:cs="Times New Roman"/>
        </w:rPr>
        <w:t xml:space="preserve">introduced in earlier literature. </w:t>
      </w:r>
      <w:r w:rsidR="001712A0">
        <w:rPr>
          <w:rFonts w:eastAsiaTheme="minorEastAsia" w:cs="Times New Roman"/>
        </w:rPr>
        <w:t xml:space="preserve">For example, W could be based on inverse of square distance between stations or neighboring stations within a threshold distance. </w:t>
      </w:r>
      <w:r w:rsidR="005B51CB">
        <w:rPr>
          <w:rFonts w:eastAsiaTheme="minorEastAsia" w:cs="Times New Roman"/>
        </w:rPr>
        <w:t xml:space="preserve">In our study, we </w:t>
      </w:r>
      <w:r w:rsidR="001712A0">
        <w:rPr>
          <w:rFonts w:eastAsiaTheme="minorEastAsia" w:cs="Times New Roman"/>
        </w:rPr>
        <w:t xml:space="preserve">adopt the second approach by considering stations within a 500 m network distance </w:t>
      </w:r>
      <w:r w:rsidR="005B51CB">
        <w:rPr>
          <w:rFonts w:eastAsiaTheme="minorEastAsia" w:cs="Times New Roman"/>
        </w:rPr>
        <w:t xml:space="preserve">(not the direct distance). </w:t>
      </w:r>
      <w:r w:rsidR="001712A0">
        <w:rPr>
          <w:rFonts w:eastAsiaTheme="minorEastAsia" w:cs="Times New Roman"/>
        </w:rPr>
        <w:t xml:space="preserve">While it is possible to explore several distance thresholds, for active modes of transportation accounting for spatial dependency within a 500 m distance seems more reasonable. </w:t>
      </w:r>
      <w:r w:rsidR="00DA3881">
        <w:rPr>
          <w:rFonts w:eastAsiaTheme="minorEastAsia" w:cs="Times New Roman"/>
        </w:rPr>
        <w:t xml:space="preserve">Hence, the spatial </w:t>
      </w:r>
      <w:r w:rsidR="00DA3881">
        <w:rPr>
          <w:rFonts w:eastAsiaTheme="minorEastAsia" w:cs="Times New Roman"/>
          <w:i/>
        </w:rPr>
        <w:t>W</w:t>
      </w:r>
      <w:r w:rsidR="00DA3881">
        <w:rPr>
          <w:rFonts w:eastAsiaTheme="minorEastAsia" w:cs="Times New Roman"/>
        </w:rPr>
        <w:t xml:space="preserve"> matrix is a 330×330 matrix with elements equal to 1 for the stations that are within 500m of each other and zeros for the rest of elements. It</w:t>
      </w:r>
      <w:r w:rsidR="00DB4363">
        <w:rPr>
          <w:rFonts w:eastAsiaTheme="minorEastAsia" w:cs="Times New Roman"/>
        </w:rPr>
        <w:t xml:space="preserve"> must be noted diagonal of </w:t>
      </w:r>
      <w:r w:rsidR="00DB4363" w:rsidRPr="007C01AE">
        <w:rPr>
          <w:rFonts w:eastAsiaTheme="minorEastAsia" w:cs="Times New Roman"/>
          <w:i/>
        </w:rPr>
        <w:t>W</w:t>
      </w:r>
      <w:r w:rsidR="00DB4363">
        <w:rPr>
          <w:rFonts w:eastAsiaTheme="minorEastAsia" w:cs="Times New Roman"/>
        </w:rPr>
        <w:t xml:space="preserve"> matrix is </w:t>
      </w:r>
      <w:r w:rsidR="001712A0">
        <w:rPr>
          <w:rFonts w:eastAsiaTheme="minorEastAsia" w:cs="Times New Roman"/>
        </w:rPr>
        <w:t xml:space="preserve">set to be </w:t>
      </w:r>
      <w:r w:rsidR="00DB4363">
        <w:rPr>
          <w:rFonts w:eastAsiaTheme="minorEastAsia" w:cs="Times New Roman"/>
        </w:rPr>
        <w:t xml:space="preserve">zero to prevent the use of </w:t>
      </w:r>
      <m:oMath>
        <m:sSub>
          <m:sSubPr>
            <m:ctrlPr>
              <w:rPr>
                <w:rFonts w:ascii="Cambria Math" w:hAnsi="Cambria Math"/>
                <w:i/>
              </w:rPr>
            </m:ctrlPr>
          </m:sSubPr>
          <m:e>
            <m:r>
              <w:rPr>
                <w:rFonts w:ascii="Cambria Math" w:hAnsi="Cambria Math"/>
              </w:rPr>
              <m:t>y</m:t>
            </m:r>
          </m:e>
          <m:sub>
            <m:r>
              <w:rPr>
                <w:rFonts w:ascii="Cambria Math" w:hAnsi="Cambria Math"/>
              </w:rPr>
              <m:t>qt</m:t>
            </m:r>
          </m:sub>
        </m:sSub>
      </m:oMath>
      <w:r w:rsidR="00DB4363">
        <w:rPr>
          <w:rFonts w:eastAsiaTheme="minorEastAsia" w:cs="Times New Roman"/>
        </w:rPr>
        <w:t xml:space="preserve"> to model itself.</w:t>
      </w:r>
      <w:r w:rsidR="007C01AE">
        <w:rPr>
          <w:rFonts w:eastAsiaTheme="minorEastAsia" w:cs="Times New Roman"/>
        </w:rPr>
        <w:t xml:space="preserve"> </w:t>
      </w:r>
      <w:r w:rsidR="001712A0">
        <w:rPr>
          <w:rFonts w:eastAsiaTheme="minorEastAsia" w:cs="Times New Roman"/>
        </w:rPr>
        <w:t>For stability in estimation, a</w:t>
      </w:r>
      <w:r w:rsidR="007C01AE">
        <w:rPr>
          <w:rFonts w:eastAsiaTheme="minorEastAsia" w:cs="Times New Roman"/>
        </w:rPr>
        <w:t xml:space="preserve"> row-normalized form of the </w:t>
      </w:r>
      <w:r w:rsidR="007C01AE" w:rsidRPr="007C01AE">
        <w:rPr>
          <w:rFonts w:eastAsiaTheme="minorEastAsia" w:cs="Times New Roman"/>
          <w:i/>
        </w:rPr>
        <w:t>W</w:t>
      </w:r>
      <w:r w:rsidR="007C01AE">
        <w:rPr>
          <w:rFonts w:eastAsiaTheme="minorEastAsia" w:cs="Times New Roman"/>
        </w:rPr>
        <w:t xml:space="preserve"> matrix </w:t>
      </w:r>
      <w:r w:rsidR="00B26AA0">
        <w:rPr>
          <w:rFonts w:eastAsiaTheme="minorEastAsia" w:cs="Times New Roman"/>
        </w:rPr>
        <w:t xml:space="preserve">is employed </w:t>
      </w:r>
      <w:r w:rsidR="007C01AE">
        <w:rPr>
          <w:rFonts w:eastAsiaTheme="minorEastAsia" w:cs="Times New Roman"/>
        </w:rPr>
        <w:t>as our spatial weight matrix</w:t>
      </w:r>
      <w:r w:rsidR="001712A0">
        <w:rPr>
          <w:rFonts w:eastAsiaTheme="minorEastAsia" w:cs="Times New Roman"/>
        </w:rPr>
        <w:t xml:space="preserve"> (see </w:t>
      </w:r>
      <w:r w:rsidR="001712A0">
        <w:t>Elhorst, 2014 for more details on W matrix)</w:t>
      </w:r>
      <w:r w:rsidR="007C01AE">
        <w:rPr>
          <w:rFonts w:eastAsiaTheme="minorEastAsia" w:cs="Times New Roman"/>
        </w:rPr>
        <w:t xml:space="preserve">. </w:t>
      </w:r>
    </w:p>
    <w:p w14:paraId="53D2C147" w14:textId="71DF441D" w:rsidR="00B61B7D" w:rsidRPr="00B61B7D" w:rsidRDefault="001712A0" w:rsidP="00B12D72">
      <w:pPr>
        <w:ind w:firstLine="720"/>
        <w:rPr>
          <w:rFonts w:eastAsiaTheme="minorEastAsia"/>
        </w:rPr>
      </w:pPr>
      <w:r>
        <w:rPr>
          <w:rFonts w:eastAsiaTheme="minorEastAsia" w:cs="Times New Roman"/>
        </w:rPr>
        <w:t>A s</w:t>
      </w:r>
      <w:r w:rsidR="00DB4363">
        <w:rPr>
          <w:rFonts w:eastAsiaTheme="minorEastAsia" w:cs="Times New Roman"/>
        </w:rPr>
        <w:t xml:space="preserve">patial </w:t>
      </w:r>
      <w:r w:rsidR="00DB4363" w:rsidRPr="00B12D72">
        <w:rPr>
          <w:szCs w:val="24"/>
        </w:rPr>
        <w:t>error</w:t>
      </w:r>
      <w:r w:rsidR="00DB4363">
        <w:rPr>
          <w:rFonts w:eastAsiaTheme="minorEastAsia" w:cs="Times New Roman"/>
        </w:rPr>
        <w:t xml:space="preserve"> model may be written as</w:t>
      </w:r>
      <w:r w:rsidR="00656F1A">
        <w:rPr>
          <w:rFonts w:eastAsiaTheme="minorEastAsia" w:cs="Times New Roman"/>
        </w:rPr>
        <w:t xml:space="preserve"> follows</w:t>
      </w:r>
      <w:r w:rsidR="00DB4363">
        <w:rPr>
          <w:rFonts w:eastAsiaTheme="minorEastAsia" w:cs="Times New Roman"/>
        </w:rPr>
        <w:t xml:space="preserve">: </w:t>
      </w:r>
    </w:p>
    <w:p w14:paraId="574DA6C5" w14:textId="77777777" w:rsidR="00B61B7D" w:rsidRPr="00E85D11" w:rsidRDefault="004731D8" w:rsidP="00B61B7D">
      <w:pPr>
        <w:jc w:val="center"/>
        <w:rPr>
          <w:i/>
        </w:rPr>
      </w:pPr>
      <m:oMathPara>
        <m:oMath>
          <m:sSub>
            <m:sSubPr>
              <m:ctrlPr>
                <w:rPr>
                  <w:rFonts w:ascii="Cambria Math" w:hAnsi="Cambria Math"/>
                  <w:i/>
                </w:rPr>
              </m:ctrlPr>
            </m:sSubPr>
            <m:e>
              <m:r>
                <w:rPr>
                  <w:rFonts w:ascii="Cambria Math" w:hAnsi="Cambria Math"/>
                </w:rPr>
                <m:t>y</m:t>
              </m:r>
            </m:e>
            <m:sub>
              <m:r>
                <w:rPr>
                  <w:rFonts w:ascii="Cambria Math" w:hAnsi="Cambria Math"/>
                </w:rPr>
                <m:t>qt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qt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qt</m:t>
              </m:r>
            </m:sub>
          </m:sSub>
          <m:r>
            <w:rPr>
              <w:rFonts w:ascii="Cambria Math" w:eastAsiaTheme="minorEastAsia" w:hAnsi="Cambria Math"/>
            </w:rPr>
            <m:t xml:space="preserve">     (3a)</m:t>
          </m:r>
        </m:oMath>
      </m:oMathPara>
    </w:p>
    <w:p w14:paraId="5903B592" w14:textId="77777777" w:rsidR="00284442" w:rsidRPr="00E85D11" w:rsidRDefault="004731D8" w:rsidP="00284442">
      <w:pPr>
        <w:jc w:val="center"/>
        <w:rPr>
          <w:i/>
        </w:rPr>
      </w:pPr>
      <m:oMathPara>
        <m:oMath>
          <m:sSub>
            <m:sSubPr>
              <m:ctrlPr>
                <w:rPr>
                  <w:rFonts w:ascii="Cambria Math" w:hAnsi="Cambria Math"/>
                  <w:i/>
                </w:rPr>
              </m:ctrlPr>
            </m:sSubPr>
            <m:e>
              <m:r>
                <w:rPr>
                  <w:rFonts w:ascii="Cambria Math" w:hAnsi="Cambria Math"/>
                </w:rPr>
                <m:t>φ</m:t>
              </m:r>
            </m:e>
            <m:sub>
              <m:r>
                <w:rPr>
                  <w:rFonts w:ascii="Cambria Math" w:hAnsi="Cambria Math"/>
                </w:rPr>
                <m:t>qt</m:t>
              </m:r>
            </m:sub>
          </m:sSub>
          <m:r>
            <w:rPr>
              <w:rFonts w:ascii="Cambria Math" w:hAnsi="Cambria Math"/>
            </w:rPr>
            <m:t>=ρ</m:t>
          </m:r>
          <m:nary>
            <m:naryPr>
              <m:chr m:val="∑"/>
              <m:limLoc m:val="undOvr"/>
              <m:ctrlPr>
                <w:rPr>
                  <w:rFonts w:ascii="Cambria Math" w:hAnsi="Cambria Math"/>
                  <w:i/>
                </w:rPr>
              </m:ctrlPr>
            </m:naryPr>
            <m:sub>
              <m:r>
                <w:rPr>
                  <w:rFonts w:ascii="Cambria Math" w:hAnsi="Cambria Math"/>
                </w:rPr>
                <m:t>j=1</m:t>
              </m:r>
            </m:sub>
            <m:sup>
              <m:r>
                <w:rPr>
                  <w:rFonts w:ascii="Cambria Math" w:hAnsi="Cambria Math"/>
                </w:rPr>
                <m:t>Q</m:t>
              </m:r>
            </m:sup>
            <m:e>
              <m:sSub>
                <m:sSubPr>
                  <m:ctrlPr>
                    <w:rPr>
                      <w:rFonts w:ascii="Cambria Math" w:hAnsi="Cambria Math"/>
                      <w:i/>
                    </w:rPr>
                  </m:ctrlPr>
                </m:sSubPr>
                <m:e>
                  <m:r>
                    <w:rPr>
                      <w:rFonts w:ascii="Cambria Math" w:hAnsi="Cambria Math"/>
                    </w:rPr>
                    <m:t>w</m:t>
                  </m:r>
                </m:e>
                <m:sub>
                  <m:r>
                    <w:rPr>
                      <w:rFonts w:ascii="Cambria Math" w:hAnsi="Cambria Math"/>
                    </w:rPr>
                    <m:t>qj</m:t>
                  </m:r>
                </m:sub>
              </m:sSub>
              <m:sSub>
                <m:sSubPr>
                  <m:ctrlPr>
                    <w:rPr>
                      <w:rFonts w:ascii="Cambria Math" w:hAnsi="Cambria Math"/>
                      <w:i/>
                    </w:rPr>
                  </m:ctrlPr>
                </m:sSubPr>
                <m:e>
                  <m:r>
                    <w:rPr>
                      <w:rFonts w:ascii="Cambria Math" w:hAnsi="Cambria Math"/>
                    </w:rPr>
                    <m:t>φ</m:t>
                  </m:r>
                </m:e>
                <m:sub>
                  <m:r>
                    <w:rPr>
                      <w:rFonts w:ascii="Cambria Math" w:hAnsi="Cambria Math"/>
                    </w:rPr>
                    <m:t>jt</m:t>
                  </m:r>
                </m:sub>
              </m:sSub>
            </m:e>
          </m:nary>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qt</m:t>
              </m:r>
            </m:sub>
          </m:sSub>
          <m:r>
            <w:rPr>
              <w:rFonts w:ascii="Cambria Math" w:eastAsiaTheme="minorEastAsia" w:hAnsi="Cambria Math"/>
            </w:rPr>
            <m:t xml:space="preserve">     (3b)</m:t>
          </m:r>
        </m:oMath>
      </m:oMathPara>
    </w:p>
    <w:p w14:paraId="395BC08B" w14:textId="7BE9FCDA" w:rsidR="00F54A49" w:rsidRPr="005F24A4" w:rsidRDefault="009C2923">
      <w:pPr>
        <w:rPr>
          <w:rFonts w:eastAsiaTheme="minorEastAsia"/>
        </w:rPr>
      </w:pPr>
      <w:r>
        <w:rPr>
          <w:szCs w:val="24"/>
        </w:rPr>
        <w:t>w</w:t>
      </w:r>
      <w:r w:rsidR="00DB4363">
        <w:rPr>
          <w:szCs w:val="24"/>
        </w:rPr>
        <w:t xml:space="preserve">here </w:t>
      </w:r>
      <m:oMath>
        <m:sSub>
          <m:sSubPr>
            <m:ctrlPr>
              <w:rPr>
                <w:rFonts w:ascii="Cambria Math" w:hAnsi="Cambria Math"/>
                <w:i/>
              </w:rPr>
            </m:ctrlPr>
          </m:sSubPr>
          <m:e>
            <m:r>
              <w:rPr>
                <w:rFonts w:ascii="Cambria Math" w:hAnsi="Cambria Math"/>
              </w:rPr>
              <m:t>φ</m:t>
            </m:r>
          </m:e>
          <m:sub>
            <m:r>
              <w:rPr>
                <w:rFonts w:ascii="Cambria Math" w:hAnsi="Cambria Math"/>
              </w:rPr>
              <m:t>qt</m:t>
            </m:r>
          </m:sub>
        </m:sSub>
      </m:oMath>
      <w:r w:rsidR="00DB4363">
        <w:rPr>
          <w:rFonts w:eastAsiaTheme="minorEastAsia"/>
        </w:rPr>
        <w:t xml:space="preserve"> accounts for the spatial autocorrelated error term and </w:t>
      </w:r>
      <m:oMath>
        <m:r>
          <w:rPr>
            <w:rFonts w:ascii="Cambria Math" w:hAnsi="Cambria Math"/>
          </w:rPr>
          <m:t>ρ</m:t>
        </m:r>
      </m:oMath>
      <w:r w:rsidR="00DB4363">
        <w:rPr>
          <w:rFonts w:eastAsiaTheme="minorEastAsia"/>
        </w:rPr>
        <w:t xml:space="preserve"> reflects the spatial autocorrelation coefficient. </w:t>
      </w:r>
      <w:r w:rsidR="0089541B">
        <w:rPr>
          <w:rFonts w:eastAsiaTheme="minorEastAsia"/>
        </w:rPr>
        <w:t>Both spatial lag model and spatial error model can be estimated using maximum likelihood approach</w:t>
      </w:r>
      <w:r w:rsidR="00AB4C10">
        <w:rPr>
          <w:rFonts w:eastAsiaTheme="minorEastAsia"/>
        </w:rPr>
        <w:t xml:space="preserve"> (see Elhorst, 2014 for details on likelihood functions)</w:t>
      </w:r>
      <w:r w:rsidR="0089541B">
        <w:rPr>
          <w:rFonts w:eastAsiaTheme="minorEastAsia"/>
        </w:rPr>
        <w:t xml:space="preserve">. </w:t>
      </w:r>
      <w:r w:rsidR="00714235">
        <w:rPr>
          <w:rFonts w:eastAsiaTheme="minorEastAsia"/>
        </w:rPr>
        <w:t>In this paper, we adopt Matlab routines provided by Elhorst (</w:t>
      </w:r>
      <w:r w:rsidR="003C10EB">
        <w:rPr>
          <w:rFonts w:eastAsiaTheme="minorEastAsia"/>
        </w:rPr>
        <w:t>2003, 2009</w:t>
      </w:r>
      <w:r w:rsidR="00714235">
        <w:rPr>
          <w:rFonts w:eastAsiaTheme="minorEastAsia"/>
        </w:rPr>
        <w:t xml:space="preserve">), to estimate pooled spatial lag and error models with spatial specific random effects. </w:t>
      </w:r>
    </w:p>
    <w:p w14:paraId="0FF679CD" w14:textId="68A0B1F4" w:rsidR="00F54A49" w:rsidRPr="00146146" w:rsidRDefault="00F54A49" w:rsidP="00921E32">
      <w:pPr>
        <w:rPr>
          <w:szCs w:val="24"/>
        </w:rPr>
      </w:pPr>
    </w:p>
    <w:p w14:paraId="7DAB7720" w14:textId="341A1445" w:rsidR="00921E32" w:rsidRPr="00947F15" w:rsidRDefault="006E2072" w:rsidP="00FA32BB">
      <w:pPr>
        <w:pStyle w:val="Heading1"/>
      </w:pPr>
      <w:r>
        <w:t>ANALYSIS AND DISCUSSION</w:t>
      </w:r>
    </w:p>
    <w:p w14:paraId="423B6905" w14:textId="440FC23F" w:rsidR="00ED2947" w:rsidRDefault="00202538">
      <w:pPr>
        <w:autoSpaceDE w:val="0"/>
        <w:autoSpaceDN w:val="0"/>
        <w:adjustRightInd w:val="0"/>
      </w:pPr>
      <w:r>
        <w:t xml:space="preserve">In our research effort, </w:t>
      </w:r>
      <w:r w:rsidR="00ED2947">
        <w:t xml:space="preserve">a systematic procedure was employed to </w:t>
      </w:r>
      <w:r w:rsidR="00AF00D4">
        <w:t xml:space="preserve">demonstrate </w:t>
      </w:r>
      <w:r w:rsidR="00ED2947">
        <w:t xml:space="preserve">the </w:t>
      </w:r>
      <w:r w:rsidR="009B34CA">
        <w:t xml:space="preserve">influence of </w:t>
      </w:r>
      <w:r w:rsidR="00ED2947">
        <w:t xml:space="preserve">spatial and temporal interactions on modeling arrival and departures rates. </w:t>
      </w:r>
      <w:r w:rsidR="0002056F">
        <w:t xml:space="preserve">The models were estimated for two user groups (members and daily customers) - separately for arrivals and departures. Thus we estimated 4 groups of models. </w:t>
      </w:r>
      <w:r w:rsidR="00ED2947">
        <w:t xml:space="preserve">More importantly, </w:t>
      </w:r>
      <w:r w:rsidR="0002056F">
        <w:t xml:space="preserve">for each model group, </w:t>
      </w:r>
      <w:r w:rsidR="00ED2947">
        <w:t xml:space="preserve">the effort was to evaluate the improvement in data fit with addition of spatial and temporal interactions. Towards this end, we started with a pooled spatial model with </w:t>
      </w:r>
      <w:r w:rsidR="001E6B0B">
        <w:t>random effects (model described in Equation 1</w:t>
      </w:r>
      <w:r w:rsidR="008F7F5B">
        <w:t xml:space="preserve"> – IM1</w:t>
      </w:r>
      <w:r w:rsidR="001E6B0B">
        <w:t>). To this model we added temporally lagged observed variables i.e. the dependent variable for the station from previous time periods</w:t>
      </w:r>
      <w:r w:rsidR="008F7F5B">
        <w:t xml:space="preserve"> including </w:t>
      </w:r>
      <w:r w:rsidR="001E6B0B">
        <w:t>1 hour, 1 day,</w:t>
      </w:r>
      <w:r w:rsidR="008F7F5B">
        <w:t xml:space="preserve"> and</w:t>
      </w:r>
      <w:r w:rsidR="00F107FE">
        <w:t xml:space="preserve"> 1</w:t>
      </w:r>
      <w:r w:rsidR="001E6B0B">
        <w:t xml:space="preserve"> week</w:t>
      </w:r>
      <w:r w:rsidR="00636FA5" w:rsidRPr="00636FA5">
        <w:t xml:space="preserve"> </w:t>
      </w:r>
      <w:r w:rsidR="00636FA5">
        <w:t>as independent variables</w:t>
      </w:r>
      <w:r w:rsidR="001E6B0B">
        <w:t xml:space="preserve">. </w:t>
      </w:r>
      <w:r w:rsidR="008F7F5B">
        <w:t xml:space="preserve">The model is labelled as IM2. </w:t>
      </w:r>
      <w:r w:rsidR="00F107FE">
        <w:t>As a next step, we added spatially lagged dependent variables using the W matrix</w:t>
      </w:r>
      <w:r w:rsidR="008F7F5B">
        <w:t>. The model accounts for the impact of neighborhood station from earlier time periods on the dependent variable. The model is labelled as IM3. The three independent models account for random effect</w:t>
      </w:r>
      <w:r w:rsidR="0002056F">
        <w:t>s</w:t>
      </w:r>
      <w:r w:rsidR="008F7F5B">
        <w:t xml:space="preserve"> specific to the station but do not consider any </w:t>
      </w:r>
      <w:r w:rsidR="0002056F">
        <w:t xml:space="preserve">spatial autoregressive (spatial lag) or autocorrelation (spatial error) parameters. </w:t>
      </w:r>
      <w:r w:rsidR="00B12948">
        <w:t>For each of these independent models a corresponding spatial lag and spatial error versions are estimated thus giving rise to SL1, SL2, SL3, SE1, SE2 and SE3 models. For instance, the difference between IM1 and SL1 is the additional autoregressive parameter estimated for lagged dependent variables</w:t>
      </w:r>
      <w:r w:rsidR="00FF3F6E">
        <w:t xml:space="preserve"> (see equation 2)</w:t>
      </w:r>
      <w:r w:rsidR="00B12948">
        <w:t xml:space="preserve">.  </w:t>
      </w:r>
      <w:r w:rsidR="00FF3F6E">
        <w:t>The difference between IM3 and SE3 is the additional spatial autocorrelation term estimated in the spatial error format (see Equation 3a and 3b). We estimated 9 model</w:t>
      </w:r>
      <w:r w:rsidR="00AB4C10">
        <w:t>s</w:t>
      </w:r>
      <w:r w:rsidR="00FF3F6E">
        <w:t xml:space="preserve"> per group thus yielding 36 models in total.</w:t>
      </w:r>
    </w:p>
    <w:p w14:paraId="35AC6A7D" w14:textId="683BE1C7" w:rsidR="00B12948" w:rsidRDefault="00B12948" w:rsidP="00921E32">
      <w:pPr>
        <w:autoSpaceDE w:val="0"/>
        <w:autoSpaceDN w:val="0"/>
        <w:adjustRightInd w:val="0"/>
      </w:pPr>
    </w:p>
    <w:p w14:paraId="1DAE8275" w14:textId="246851D3" w:rsidR="007A1E5A" w:rsidRPr="006E2072" w:rsidRDefault="007A1E5A" w:rsidP="00D62070">
      <w:pPr>
        <w:pStyle w:val="Heading1"/>
        <w:numPr>
          <w:ilvl w:val="1"/>
          <w:numId w:val="2"/>
        </w:numPr>
        <w:autoSpaceDE w:val="0"/>
        <w:autoSpaceDN w:val="0"/>
        <w:adjustRightInd w:val="0"/>
        <w:spacing w:before="0" w:after="0"/>
        <w:ind w:left="418" w:hanging="418"/>
        <w:rPr>
          <w:bCs/>
        </w:rPr>
      </w:pPr>
      <w:r w:rsidRPr="006E2072">
        <w:rPr>
          <w:bCs/>
        </w:rPr>
        <w:t>Model fit measures</w:t>
      </w:r>
    </w:p>
    <w:p w14:paraId="4ACF741B" w14:textId="5FA31D57" w:rsidR="00D732F0" w:rsidRDefault="0028129B">
      <w:pPr>
        <w:autoSpaceDE w:val="0"/>
        <w:autoSpaceDN w:val="0"/>
        <w:adjustRightInd w:val="0"/>
        <w:rPr>
          <w:rFonts w:eastAsiaTheme="minorEastAsia" w:cs="Times New Roman"/>
        </w:rPr>
      </w:pPr>
      <w:r>
        <w:t>Table 2 presents a summary of the goodness of fit measures.</w:t>
      </w:r>
      <w:r w:rsidR="00C47CAC">
        <w:t xml:space="preserve"> </w:t>
      </w:r>
      <w:r w:rsidR="00280032">
        <w:t>The reader would note that the final specification</w:t>
      </w:r>
      <w:r w:rsidR="00AF00D4">
        <w:t xml:space="preserve">s were obtained after a systematic procedure of examining several specifications </w:t>
      </w:r>
      <w:r w:rsidR="009B34CA">
        <w:t>based on</w:t>
      </w:r>
      <w:r w:rsidR="00AF00D4">
        <w:t xml:space="preserve"> intuitiveness </w:t>
      </w:r>
      <w:r w:rsidR="00B053A5">
        <w:t xml:space="preserve">supported by </w:t>
      </w:r>
      <w:r w:rsidR="00AF00D4">
        <w:t>statistical inference</w:t>
      </w:r>
      <w:r w:rsidR="009B34CA">
        <w:t xml:space="preserve">. The </w:t>
      </w:r>
      <w:r w:rsidR="00AF00D4">
        <w:t xml:space="preserve">final </w:t>
      </w:r>
      <w:r w:rsidR="00280032">
        <w:t xml:space="preserve">results for members’ and daily customers’ usage models are presented in Table 2. </w:t>
      </w:r>
      <w:r w:rsidR="00C47CAC">
        <w:t>For each model type, the log-likelihood at convergence, the number of parameters estimated, and t</w:t>
      </w:r>
      <w:r w:rsidR="00C47CAC">
        <w:rPr>
          <w:rFonts w:eastAsiaTheme="minorEastAsia" w:cs="Times New Roman"/>
        </w:rPr>
        <w:t xml:space="preserve">he </w:t>
      </w:r>
      <w:r w:rsidR="00C47CAC">
        <w:rPr>
          <w:rFonts w:cs="Times New Roman"/>
        </w:rPr>
        <w:t>Akaike Information Criterion (AIC)</w:t>
      </w:r>
      <w:r w:rsidR="00C47CAC">
        <w:rPr>
          <w:rFonts w:eastAsiaTheme="minorEastAsia" w:cs="Times New Roman"/>
        </w:rPr>
        <w:t xml:space="preserve"> and </w:t>
      </w:r>
      <w:r w:rsidR="00C47CAC">
        <w:rPr>
          <w:rFonts w:cs="Times New Roman"/>
        </w:rPr>
        <w:t>Bayesian Information Criterion (BIC) which penalize the modelling frameworks for additional parameters are presented. F</w:t>
      </w:r>
      <w:r w:rsidR="00C47CAC">
        <w:rPr>
          <w:rFonts w:eastAsiaTheme="minorEastAsia" w:cs="Times New Roman"/>
        </w:rPr>
        <w:t xml:space="preserve">or a given empirical model, </w:t>
      </w:r>
      <m:oMath>
        <m:r>
          <w:rPr>
            <w:rFonts w:ascii="Cambria Math" w:hAnsi="Cambria Math" w:cs="Times New Roman"/>
          </w:rPr>
          <m:t>AIC = 2K - 2ln(L)</m:t>
        </m:r>
      </m:oMath>
      <w:r w:rsidR="00C47CAC">
        <w:rPr>
          <w:rFonts w:eastAsiaTheme="minorEastAsia" w:cs="Times New Roman"/>
        </w:rPr>
        <w:t xml:space="preserve"> w</w:t>
      </w:r>
      <w:r w:rsidR="00C47CAC" w:rsidRPr="00B223F0">
        <w:rPr>
          <w:rFonts w:eastAsiaTheme="minorEastAsia" w:cs="Times New Roman"/>
        </w:rPr>
        <w:t xml:space="preserve">here </w:t>
      </w:r>
      <w:r w:rsidR="00C47CAC" w:rsidRPr="003B7C4B">
        <w:rPr>
          <w:rFonts w:eastAsiaTheme="minorEastAsia" w:cs="Times New Roman"/>
          <w:i/>
          <w:iCs/>
        </w:rPr>
        <w:t>K</w:t>
      </w:r>
      <w:r w:rsidR="00C47CAC" w:rsidRPr="00B223F0">
        <w:rPr>
          <w:rFonts w:eastAsiaTheme="minorEastAsia" w:cs="Times New Roman"/>
        </w:rPr>
        <w:t xml:space="preserve"> is the number of parameters </w:t>
      </w:r>
      <w:r w:rsidR="00C47CAC">
        <w:rPr>
          <w:rFonts w:eastAsiaTheme="minorEastAsia" w:cs="Times New Roman"/>
        </w:rPr>
        <w:t xml:space="preserve">and </w:t>
      </w:r>
      <w:r w:rsidR="00C47CAC" w:rsidRPr="003B7C4B">
        <w:rPr>
          <w:rFonts w:eastAsiaTheme="minorEastAsia" w:cs="Times New Roman"/>
          <w:i/>
          <w:iCs/>
        </w:rPr>
        <w:t>ln(L)</w:t>
      </w:r>
      <w:r w:rsidR="00C47CAC" w:rsidRPr="00B223F0">
        <w:rPr>
          <w:rFonts w:eastAsiaTheme="minorEastAsia" w:cs="Times New Roman"/>
        </w:rPr>
        <w:t xml:space="preserve"> is the log–likelihood value at convergence</w:t>
      </w:r>
      <w:r w:rsidR="00C47CAC">
        <w:rPr>
          <w:rFonts w:eastAsiaTheme="minorEastAsia" w:cs="Times New Roman"/>
        </w:rPr>
        <w:t xml:space="preserve"> and, </w:t>
      </w:r>
      <m:oMath>
        <m:r>
          <w:rPr>
            <w:rFonts w:ascii="Cambria Math" w:hAnsi="Cambria Math" w:cs="Times New Roman"/>
          </w:rPr>
          <m:t>BIC=-2ln</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+Kln</m:t>
        </m:r>
        <m:d>
          <m:dPr>
            <m:ctrlPr>
              <w:rPr>
                <w:rFonts w:ascii="Cambria Math" w:hAnsi="Cambria Math" w:cs="Times New Roman"/>
                <w:i/>
              </w:rPr>
            </m:ctrlPr>
          </m:dPr>
          <m:e>
            <m:r>
              <w:rPr>
                <w:rFonts w:ascii="Cambria Math" w:hAnsi="Cambria Math" w:cs="Times New Roman"/>
              </w:rPr>
              <m:t>Q</m:t>
            </m:r>
          </m:e>
        </m:d>
      </m:oMath>
      <w:r w:rsidR="00C47CAC">
        <w:rPr>
          <w:rFonts w:eastAsiaTheme="minorEastAsia" w:cs="Times New Roman"/>
        </w:rPr>
        <w:t xml:space="preserve"> w</w:t>
      </w:r>
      <w:r w:rsidR="00C47CAC" w:rsidRPr="00B223F0">
        <w:rPr>
          <w:rFonts w:eastAsiaTheme="minorEastAsia" w:cs="Times New Roman"/>
        </w:rPr>
        <w:t xml:space="preserve">here </w:t>
      </w:r>
      <w:r w:rsidR="00C47CAC" w:rsidRPr="003B7C4B">
        <w:rPr>
          <w:rFonts w:eastAsiaTheme="minorEastAsia" w:cs="Times New Roman"/>
          <w:i/>
          <w:iCs/>
        </w:rPr>
        <w:t>Q</w:t>
      </w:r>
      <w:r w:rsidR="00C47CAC" w:rsidRPr="00B223F0">
        <w:rPr>
          <w:rFonts w:eastAsiaTheme="minorEastAsia" w:cs="Times New Roman"/>
        </w:rPr>
        <w:t xml:space="preserve"> is the number of</w:t>
      </w:r>
      <w:r w:rsidR="00C47CAC">
        <w:rPr>
          <w:rFonts w:eastAsiaTheme="minorEastAsia" w:cs="Times New Roman"/>
        </w:rPr>
        <w:t xml:space="preserve"> </w:t>
      </w:r>
      <w:r w:rsidR="00C47CAC" w:rsidRPr="00B223F0">
        <w:rPr>
          <w:rFonts w:eastAsiaTheme="minorEastAsia" w:cs="Times New Roman"/>
        </w:rPr>
        <w:t>observations</w:t>
      </w:r>
      <w:r w:rsidR="00C47CAC">
        <w:rPr>
          <w:rFonts w:eastAsiaTheme="minorEastAsia" w:cs="Times New Roman"/>
        </w:rPr>
        <w:t xml:space="preserve">. </w:t>
      </w:r>
      <w:r w:rsidR="00C47CAC">
        <w:rPr>
          <w:rFonts w:cs="Times New Roman"/>
        </w:rPr>
        <w:t xml:space="preserve">The BIC imposes higher penalty than AIC for over-fitting. </w:t>
      </w:r>
      <w:r w:rsidR="00C47CAC">
        <w:rPr>
          <w:rFonts w:eastAsiaTheme="minorEastAsia" w:cs="Times New Roman"/>
        </w:rPr>
        <w:t>The lower the AIC or BIC is, the more preferable the model is in terms of goodness of fit.</w:t>
      </w:r>
      <w:r w:rsidR="00C47CAC" w:rsidRPr="00380CAA">
        <w:rPr>
          <w:rFonts w:eastAsiaTheme="minorEastAsia" w:cs="Times New Roman"/>
        </w:rPr>
        <w:t xml:space="preserve"> </w:t>
      </w:r>
      <w:r w:rsidR="00C47CAC">
        <w:rPr>
          <w:rFonts w:eastAsiaTheme="minorEastAsia" w:cs="Times New Roman"/>
        </w:rPr>
        <w:t xml:space="preserve">The following observation can be made from a comparison between models. </w:t>
      </w:r>
      <w:r w:rsidR="00C47CAC" w:rsidRPr="00B17D85">
        <w:rPr>
          <w:rFonts w:eastAsiaTheme="minorEastAsia" w:cs="Times New Roman"/>
          <w:u w:val="single"/>
        </w:rPr>
        <w:t>First</w:t>
      </w:r>
      <w:r w:rsidR="00C47CAC">
        <w:rPr>
          <w:rFonts w:eastAsiaTheme="minorEastAsia" w:cs="Times New Roman"/>
        </w:rPr>
        <w:t xml:space="preserve">, </w:t>
      </w:r>
      <w:r w:rsidR="00B17D85">
        <w:rPr>
          <w:rFonts w:eastAsiaTheme="minorEastAsia" w:cs="Times New Roman"/>
        </w:rPr>
        <w:t xml:space="preserve">incorporating </w:t>
      </w:r>
      <w:r w:rsidR="00AA589C">
        <w:rPr>
          <w:rFonts w:eastAsiaTheme="minorEastAsia" w:cs="Times New Roman"/>
        </w:rPr>
        <w:t xml:space="preserve">observed </w:t>
      </w:r>
      <w:r w:rsidR="00B17D85">
        <w:rPr>
          <w:rFonts w:eastAsiaTheme="minorEastAsia" w:cs="Times New Roman"/>
        </w:rPr>
        <w:t>interactions</w:t>
      </w:r>
      <w:r w:rsidR="00AA589C">
        <w:rPr>
          <w:rFonts w:eastAsiaTheme="minorEastAsia" w:cs="Times New Roman"/>
        </w:rPr>
        <w:t xml:space="preserve"> - either as temporally lagged dependent variables or temporally and spatially lagged dependent variables</w:t>
      </w:r>
      <w:r w:rsidR="00B17D85">
        <w:rPr>
          <w:rFonts w:eastAsiaTheme="minorEastAsia" w:cs="Times New Roman"/>
        </w:rPr>
        <w:t xml:space="preserve"> significantly improve model fit measures. </w:t>
      </w:r>
      <w:r w:rsidR="00B17D85" w:rsidRPr="00B17D85">
        <w:rPr>
          <w:rFonts w:eastAsiaTheme="minorEastAsia" w:cs="Times New Roman"/>
          <w:u w:val="single"/>
        </w:rPr>
        <w:t>Second</w:t>
      </w:r>
      <w:r w:rsidR="00B17D85">
        <w:rPr>
          <w:rFonts w:eastAsiaTheme="minorEastAsia" w:cs="Times New Roman"/>
        </w:rPr>
        <w:t xml:space="preserve">, </w:t>
      </w:r>
      <w:r w:rsidR="00AA589C">
        <w:rPr>
          <w:rFonts w:eastAsiaTheme="minorEastAsia" w:cs="Times New Roman"/>
        </w:rPr>
        <w:t xml:space="preserve">addition of </w:t>
      </w:r>
      <w:r w:rsidR="00AA589C">
        <w:t>spatial autoregressive (spatial lag) or autocorrelation (spatial error) parameters offers substantial improvement in model fit, with the spatial lag model offering more improvement</w:t>
      </w:r>
      <w:r w:rsidR="00B17D85">
        <w:rPr>
          <w:rFonts w:eastAsiaTheme="minorEastAsia" w:cs="Times New Roman"/>
        </w:rPr>
        <w:t xml:space="preserve">. </w:t>
      </w:r>
      <w:r w:rsidR="004B0253" w:rsidRPr="004B0253">
        <w:rPr>
          <w:rFonts w:eastAsiaTheme="minorEastAsia" w:cs="Times New Roman"/>
          <w:u w:val="single"/>
        </w:rPr>
        <w:t>Finally</w:t>
      </w:r>
      <w:r w:rsidR="004B0253">
        <w:rPr>
          <w:rFonts w:eastAsiaTheme="minorEastAsia" w:cs="Times New Roman"/>
        </w:rPr>
        <w:t>, the spatial lagged model with both temporally la</w:t>
      </w:r>
      <w:r w:rsidR="00D732F0">
        <w:rPr>
          <w:rFonts w:eastAsiaTheme="minorEastAsia" w:cs="Times New Roman"/>
        </w:rPr>
        <w:t>gged and temporally spatial lagged</w:t>
      </w:r>
      <w:r w:rsidR="004B0253">
        <w:rPr>
          <w:rFonts w:eastAsiaTheme="minorEastAsia" w:cs="Times New Roman"/>
        </w:rPr>
        <w:t xml:space="preserve"> variable</w:t>
      </w:r>
      <w:r w:rsidR="00B26AA0">
        <w:rPr>
          <w:rFonts w:eastAsiaTheme="minorEastAsia" w:cs="Times New Roman"/>
        </w:rPr>
        <w:t>s</w:t>
      </w:r>
      <w:r w:rsidR="004B0253">
        <w:rPr>
          <w:rFonts w:eastAsiaTheme="minorEastAsia" w:cs="Times New Roman"/>
        </w:rPr>
        <w:t xml:space="preserve"> provide the best model fit.</w:t>
      </w:r>
      <w:r w:rsidR="00D732F0">
        <w:rPr>
          <w:rFonts w:eastAsiaTheme="minorEastAsia" w:cs="Times New Roman"/>
        </w:rPr>
        <w:t xml:space="preserve"> </w:t>
      </w:r>
    </w:p>
    <w:p w14:paraId="13A61317" w14:textId="0C363333" w:rsidR="00D732F0" w:rsidRDefault="00D732F0" w:rsidP="00455B2B">
      <w:pPr>
        <w:ind w:firstLine="720"/>
        <w:rPr>
          <w:rFonts w:eastAsiaTheme="minorEastAsia" w:cs="Times New Roman"/>
        </w:rPr>
      </w:pPr>
      <w:r w:rsidRPr="008A07C9">
        <w:rPr>
          <w:rFonts w:cs="Times New Roman"/>
        </w:rPr>
        <w:t>Th</w:t>
      </w:r>
      <w:r w:rsidR="00296B50">
        <w:rPr>
          <w:rFonts w:cs="Times New Roman"/>
        </w:rPr>
        <w:t>e</w:t>
      </w:r>
      <w:r w:rsidRPr="008A07C9">
        <w:rPr>
          <w:rFonts w:cs="Times New Roman"/>
        </w:rPr>
        <w:t xml:space="preserve"> comparison</w:t>
      </w:r>
      <w:r w:rsidR="00296B50">
        <w:rPr>
          <w:rFonts w:cs="Times New Roman"/>
        </w:rPr>
        <w:t xml:space="preserve"> exercise</w:t>
      </w:r>
      <w:r w:rsidRPr="008A07C9">
        <w:rPr>
          <w:rFonts w:cs="Times New Roman"/>
        </w:rPr>
        <w:t xml:space="preserve"> provides strong evidence in support of </w:t>
      </w:r>
      <w:r>
        <w:rPr>
          <w:rFonts w:eastAsiaTheme="minorEastAsia" w:cs="Times New Roman"/>
        </w:rPr>
        <w:t xml:space="preserve">our hypothesis that model incorporating the spatial and temporal </w:t>
      </w:r>
      <w:r w:rsidR="001E3C4D">
        <w:rPr>
          <w:rFonts w:eastAsiaTheme="minorEastAsia" w:cs="Times New Roman"/>
        </w:rPr>
        <w:t xml:space="preserve">observed or unobserved </w:t>
      </w:r>
      <w:r>
        <w:rPr>
          <w:rFonts w:eastAsiaTheme="minorEastAsia" w:cs="Times New Roman"/>
        </w:rPr>
        <w:t xml:space="preserve">effects in the modelling of BSS usage offers a more accurate estimation framework. </w:t>
      </w:r>
      <w:r w:rsidR="00294FCD">
        <w:rPr>
          <w:rFonts w:eastAsiaTheme="minorEastAsia" w:cs="Times New Roman"/>
        </w:rPr>
        <w:t xml:space="preserve">Ignoring these spatial and temporal dependencies would result in biased and inaccurate parameters estimates. </w:t>
      </w:r>
      <w:r>
        <w:rPr>
          <w:rFonts w:eastAsiaTheme="minorEastAsia" w:cs="Times New Roman"/>
        </w:rPr>
        <w:t xml:space="preserve">Presenting all the </w:t>
      </w:r>
      <w:r w:rsidR="001E3C4D">
        <w:rPr>
          <w:rFonts w:eastAsiaTheme="minorEastAsia" w:cs="Times New Roman"/>
        </w:rPr>
        <w:t xml:space="preserve">36 </w:t>
      </w:r>
      <w:r>
        <w:rPr>
          <w:rFonts w:eastAsiaTheme="minorEastAsia" w:cs="Times New Roman"/>
        </w:rPr>
        <w:t xml:space="preserve">models is not </w:t>
      </w:r>
      <w:r w:rsidRPr="00455B2B">
        <w:t>possible</w:t>
      </w:r>
      <w:r>
        <w:rPr>
          <w:rFonts w:eastAsiaTheme="minorEastAsia" w:cs="Times New Roman"/>
        </w:rPr>
        <w:t xml:space="preserve"> in the context of this paper. So, for the sake of brevity, only the spatial lagged model of arrivals and departures that provided the best fit measures are discussed in this section and presented in Table 3. </w:t>
      </w:r>
    </w:p>
    <w:p w14:paraId="62C9B276" w14:textId="77777777" w:rsidR="0001152C" w:rsidRDefault="0001152C" w:rsidP="00B840ED">
      <w:pPr>
        <w:ind w:firstLine="360"/>
        <w:rPr>
          <w:rFonts w:eastAsiaTheme="minorEastAsia" w:cs="Times New Roman"/>
        </w:rPr>
      </w:pPr>
    </w:p>
    <w:p w14:paraId="653726AE" w14:textId="77777777" w:rsidR="00BA753E" w:rsidRPr="006E2072" w:rsidRDefault="007A1E5A" w:rsidP="00D62070">
      <w:pPr>
        <w:pStyle w:val="Heading1"/>
        <w:numPr>
          <w:ilvl w:val="1"/>
          <w:numId w:val="2"/>
        </w:numPr>
        <w:autoSpaceDE w:val="0"/>
        <w:autoSpaceDN w:val="0"/>
        <w:adjustRightInd w:val="0"/>
        <w:spacing w:before="0" w:after="0"/>
        <w:ind w:left="418" w:hanging="418"/>
        <w:rPr>
          <w:bCs/>
        </w:rPr>
      </w:pPr>
      <w:r w:rsidRPr="006E2072">
        <w:rPr>
          <w:bCs/>
        </w:rPr>
        <w:t xml:space="preserve">Model estimation results </w:t>
      </w:r>
    </w:p>
    <w:p w14:paraId="0FD3CC70" w14:textId="77777777" w:rsidR="00921E32" w:rsidRDefault="007A1E5A" w:rsidP="00D62070">
      <w:pPr>
        <w:pStyle w:val="Heading1"/>
        <w:numPr>
          <w:ilvl w:val="2"/>
          <w:numId w:val="2"/>
        </w:numPr>
        <w:autoSpaceDE w:val="0"/>
        <w:autoSpaceDN w:val="0"/>
        <w:adjustRightInd w:val="0"/>
        <w:spacing w:before="0" w:after="0"/>
        <w:ind w:left="418" w:hanging="418"/>
        <w:rPr>
          <w:b w:val="0"/>
          <w:bCs/>
          <w:i/>
        </w:rPr>
      </w:pPr>
      <w:r>
        <w:rPr>
          <w:b w:val="0"/>
          <w:bCs/>
          <w:i/>
        </w:rPr>
        <w:t>Time and Weather Variables</w:t>
      </w:r>
    </w:p>
    <w:p w14:paraId="4B569564" w14:textId="416DCBC7" w:rsidR="00921E32" w:rsidRDefault="00BF098C">
      <w:r>
        <w:t>Time period</w:t>
      </w:r>
      <w:r w:rsidR="007A1E5A">
        <w:t xml:space="preserve"> specific </w:t>
      </w:r>
      <w:r w:rsidR="00D62070">
        <w:t xml:space="preserve">indicator </w:t>
      </w:r>
      <w:r w:rsidR="007A1E5A">
        <w:t>variables corresponding to AM, Midday, PM, and Evening have statistically significant impact on arrivals and departures for both users’ types. It must be noted that the effect of AM and PM variables should be</w:t>
      </w:r>
      <w:r w:rsidR="009C0426">
        <w:t xml:space="preserve"> carefully</w:t>
      </w:r>
      <w:r w:rsidR="007A1E5A">
        <w:t xml:space="preserve"> </w:t>
      </w:r>
      <w:r w:rsidR="00E2111C">
        <w:t xml:space="preserve">taken into account </w:t>
      </w:r>
      <w:r w:rsidR="003711B3">
        <w:t>because of</w:t>
      </w:r>
      <w:r w:rsidR="007A1E5A">
        <w:t xml:space="preserve"> the interaction of these variables </w:t>
      </w:r>
      <w:r w:rsidR="000167E1">
        <w:t xml:space="preserve">with </w:t>
      </w:r>
      <w:r w:rsidR="009C0426">
        <w:t>population and job</w:t>
      </w:r>
      <w:r w:rsidR="007A1E5A">
        <w:t xml:space="preserve"> density</w:t>
      </w:r>
      <w:r w:rsidR="009C0426">
        <w:t xml:space="preserve"> variables</w:t>
      </w:r>
      <w:r w:rsidR="007A1E5A">
        <w:t xml:space="preserve">. </w:t>
      </w:r>
      <w:r w:rsidR="009C0426">
        <w:t xml:space="preserve">Still, </w:t>
      </w:r>
      <w:r w:rsidR="00E2111C">
        <w:t>the results demonstrate</w:t>
      </w:r>
      <w:r w:rsidR="009C0426">
        <w:t xml:space="preserve"> that the </w:t>
      </w:r>
      <w:r w:rsidR="00457EDB">
        <w:t>CitiBike</w:t>
      </w:r>
      <w:r w:rsidR="009C0426">
        <w:t xml:space="preserve"> system is </w:t>
      </w:r>
      <w:r>
        <w:t>extensively</w:t>
      </w:r>
      <w:r w:rsidR="00E2111C">
        <w:t xml:space="preserve"> </w:t>
      </w:r>
      <w:r w:rsidR="009C0426">
        <w:t xml:space="preserve">used during the PM period compared to other times of the day by both annual members and daily customers. </w:t>
      </w:r>
      <w:r w:rsidR="005A211B">
        <w:t>The weekend variable provide</w:t>
      </w:r>
      <w:r w:rsidR="00AB4C10">
        <w:t>s</w:t>
      </w:r>
      <w:r w:rsidR="005A211B">
        <w:t xml:space="preserve"> interesting results. Annual members</w:t>
      </w:r>
      <w:r w:rsidR="00E2111C">
        <w:t xml:space="preserve"> are prone to</w:t>
      </w:r>
      <w:r w:rsidR="005A211B">
        <w:t xml:space="preserve"> </w:t>
      </w:r>
      <w:r w:rsidR="00E2111C">
        <w:t>use the system more on</w:t>
      </w:r>
      <w:r w:rsidR="00E2111C" w:rsidDel="00E2111C">
        <w:t xml:space="preserve"> </w:t>
      </w:r>
      <w:r w:rsidR="005A211B">
        <w:t xml:space="preserve">weekdays than weekends, while daily customers </w:t>
      </w:r>
      <w:r w:rsidR="00E2111C">
        <w:t xml:space="preserve">tend </w:t>
      </w:r>
      <w:r w:rsidR="005A211B">
        <w:t xml:space="preserve">to </w:t>
      </w:r>
      <w:r w:rsidR="00E2111C">
        <w:t xml:space="preserve">bicycle more </w:t>
      </w:r>
      <w:r w:rsidR="005A211B">
        <w:t xml:space="preserve">on weekends. </w:t>
      </w:r>
      <w:r w:rsidR="00357AF6">
        <w:t xml:space="preserve">It might indicate that the usage of </w:t>
      </w:r>
      <w:r w:rsidR="00457EDB">
        <w:t>CitiBike</w:t>
      </w:r>
      <w:r w:rsidR="00357AF6">
        <w:t xml:space="preserve"> system by customers with temporary passes are more likely for recreational activities. </w:t>
      </w:r>
      <w:r w:rsidR="005A211B">
        <w:t>As expected, people are less likely to use CitiBike system in rainy or very humid time periods as highlighted by negative coefficients of rainy and relative humidity variables.</w:t>
      </w:r>
      <w:r w:rsidR="00CD2613">
        <w:t xml:space="preserve"> The temperature variable </w:t>
      </w:r>
      <w:r w:rsidR="00E43EF8">
        <w:t>did</w:t>
      </w:r>
      <w:r w:rsidR="00CD2613">
        <w:t xml:space="preserve"> not yield </w:t>
      </w:r>
      <w:r w:rsidR="00303E57">
        <w:t xml:space="preserve">a </w:t>
      </w:r>
      <w:r w:rsidR="00CD2613">
        <w:t xml:space="preserve">statistically significant effect. </w:t>
      </w:r>
    </w:p>
    <w:p w14:paraId="4B9E479C" w14:textId="1C96C8F2" w:rsidR="00D62070" w:rsidRPr="00B421DB" w:rsidRDefault="00D62070" w:rsidP="005A211B">
      <w:pPr>
        <w:rPr>
          <w:bCs/>
        </w:rPr>
      </w:pPr>
    </w:p>
    <w:p w14:paraId="5451B9E5" w14:textId="77777777" w:rsidR="0026195C" w:rsidRPr="0026195C" w:rsidRDefault="0026195C" w:rsidP="00D62070">
      <w:pPr>
        <w:pStyle w:val="Heading1"/>
        <w:numPr>
          <w:ilvl w:val="2"/>
          <w:numId w:val="2"/>
        </w:numPr>
        <w:autoSpaceDE w:val="0"/>
        <w:autoSpaceDN w:val="0"/>
        <w:adjustRightInd w:val="0"/>
        <w:spacing w:before="0" w:after="0"/>
        <w:ind w:left="418" w:hanging="418"/>
        <w:rPr>
          <w:b w:val="0"/>
          <w:bCs/>
          <w:i/>
        </w:rPr>
      </w:pPr>
      <w:r w:rsidRPr="0026195C">
        <w:rPr>
          <w:b w:val="0"/>
          <w:bCs/>
          <w:i/>
        </w:rPr>
        <w:t>Built Environment variables</w:t>
      </w:r>
    </w:p>
    <w:p w14:paraId="5E556CEB" w14:textId="44BF53A8" w:rsidR="002723DD" w:rsidRDefault="00EF3BE8">
      <w:r>
        <w:lastRenderedPageBreak/>
        <w:t xml:space="preserve">In this section, we discuss the </w:t>
      </w:r>
      <w:r w:rsidR="004D1563">
        <w:t xml:space="preserve">estimate </w:t>
      </w:r>
      <w:r>
        <w:t xml:space="preserve">results for built environment and land use attributes. The length of bicycle routes in the </w:t>
      </w:r>
      <w:r w:rsidR="00B56E95">
        <w:t>250-</w:t>
      </w:r>
      <w:r>
        <w:t xml:space="preserve">meter buffer around </w:t>
      </w:r>
      <w:r w:rsidR="00457EDB">
        <w:t>CitiBike</w:t>
      </w:r>
      <w:r>
        <w:t xml:space="preserve"> stations has positive impact on the arrivals and departures for daily customers. However, the variable has no significant effect for members. </w:t>
      </w:r>
      <w:r w:rsidR="00E46F67">
        <w:t xml:space="preserve">The results indicate that placing BSS stations near bicycle facilities increases the </w:t>
      </w:r>
      <w:r w:rsidR="00B56E95">
        <w:t xml:space="preserve">non-members’ </w:t>
      </w:r>
      <w:r w:rsidR="00E46F67">
        <w:t xml:space="preserve">usage of the system. </w:t>
      </w:r>
      <w:r>
        <w:t>It is possible that daily customers are less familiar with the city street network and are generally more cautious</w:t>
      </w:r>
      <w:r w:rsidR="00DC2A1B">
        <w:t xml:space="preserve">; thus prefer </w:t>
      </w:r>
      <w:r w:rsidR="00E43EF8">
        <w:t>being close to</w:t>
      </w:r>
      <w:r w:rsidR="00DC2A1B">
        <w:t xml:space="preserve"> city’s bicycle routes.</w:t>
      </w:r>
      <w:r>
        <w:t xml:space="preserve"> </w:t>
      </w:r>
      <w:r w:rsidR="00DC2A1B">
        <w:t xml:space="preserve">On the contrary, the length of railway </w:t>
      </w:r>
      <w:r w:rsidR="00AB4C10">
        <w:t xml:space="preserve">line </w:t>
      </w:r>
      <w:r w:rsidR="00DC2A1B">
        <w:t xml:space="preserve">near a </w:t>
      </w:r>
      <w:r w:rsidR="00457EDB">
        <w:t>CitiBike</w:t>
      </w:r>
      <w:r w:rsidR="00DC2A1B">
        <w:t xml:space="preserve"> station decreases the usage of system for both user types as the railways are barrier’s to cyclist’s movement.</w:t>
      </w:r>
      <w:r w:rsidR="00357AF6">
        <w:t xml:space="preserve"> As expected, the presence of subway station near </w:t>
      </w:r>
      <w:r w:rsidR="00457EDB">
        <w:t>CitiBike</w:t>
      </w:r>
      <w:r w:rsidR="00357AF6">
        <w:t xml:space="preserve"> station has positive significant impact on the station’s arrival and departure rates with slightly higher impact in members’ models. For the daily customers, the area of parks in the buffer variable has positive impact on the arrival and departure rates. This impact is higher </w:t>
      </w:r>
      <w:r w:rsidR="005B426C">
        <w:t>on</w:t>
      </w:r>
      <w:r w:rsidR="00357AF6">
        <w:t xml:space="preserve"> weekends. </w:t>
      </w:r>
      <w:r w:rsidR="005B426C">
        <w:t xml:space="preserve">For annual members, the </w:t>
      </w:r>
      <w:r w:rsidR="000167E1">
        <w:t xml:space="preserve">parks area </w:t>
      </w:r>
      <w:r w:rsidR="005B426C">
        <w:t xml:space="preserve">variable does not have </w:t>
      </w:r>
      <w:r w:rsidR="005B426C" w:rsidRPr="002723DD">
        <w:rPr>
          <w:rFonts w:eastAsiaTheme="minorEastAsia" w:cs="Times New Roman"/>
        </w:rPr>
        <w:t>significant</w:t>
      </w:r>
      <w:r w:rsidR="005B426C">
        <w:t xml:space="preserve"> impact </w:t>
      </w:r>
      <w:r w:rsidR="000167E1">
        <w:t xml:space="preserve">on weekdays but on weekends </w:t>
      </w:r>
      <w:r w:rsidR="005B426C">
        <w:t xml:space="preserve">there is positive effect </w:t>
      </w:r>
      <w:r w:rsidR="00BF098C">
        <w:t xml:space="preserve">on </w:t>
      </w:r>
      <w:r w:rsidR="005B426C">
        <w:t>members’ arrivals and departures.</w:t>
      </w:r>
      <w:r w:rsidR="00596B31">
        <w:t xml:space="preserve"> As expected, both user types’ arrivals and departures increase when there are higher number of restaurants </w:t>
      </w:r>
      <w:r w:rsidR="00C92F11">
        <w:t xml:space="preserve">around </w:t>
      </w:r>
      <w:r w:rsidR="00457EDB">
        <w:t>CitiBike</w:t>
      </w:r>
      <w:r w:rsidR="00596B31">
        <w:t xml:space="preserve"> station. </w:t>
      </w:r>
    </w:p>
    <w:p w14:paraId="0E404E56" w14:textId="46BCF3F6" w:rsidR="00564AA2" w:rsidRDefault="00596B31">
      <w:pPr>
        <w:ind w:firstLine="720"/>
      </w:pPr>
      <w:r>
        <w:t xml:space="preserve">The arrival and departure rates </w:t>
      </w:r>
      <w:r w:rsidR="000167E1">
        <w:t xml:space="preserve">of </w:t>
      </w:r>
      <w:r>
        <w:t xml:space="preserve">daily customers are less sensitive </w:t>
      </w:r>
      <w:r w:rsidR="00AB4C10">
        <w:t xml:space="preserve">to </w:t>
      </w:r>
      <w:r>
        <w:t xml:space="preserve">population and job density variables than the </w:t>
      </w:r>
      <w:r w:rsidR="000167E1">
        <w:t xml:space="preserve">arrival and departure rates of </w:t>
      </w:r>
      <w:r>
        <w:t>members.</w:t>
      </w:r>
      <w:r w:rsidR="00FF206E">
        <w:t xml:space="preserve"> As expected, the population density variable has positive impact on arrivals and departures by members. Although the interaction of population density with AM and PM variables are both positive for members’ departure model, these variables have interestingly opposite impact on arrivals for members. </w:t>
      </w:r>
      <w:r w:rsidR="005513AD">
        <w:t xml:space="preserve">The impact is also opposite for arrivals by daily customers as highlighted by negative coefficient of population density in AM and positive coefficient in PM period. </w:t>
      </w:r>
      <w:r w:rsidR="00457EDB">
        <w:t>CitiBike</w:t>
      </w:r>
      <w:r w:rsidR="005513AD">
        <w:t xml:space="preserve"> stations in areas with higher job density are more likely to have higher arrivals in AM and higher departures in the PM as</w:t>
      </w:r>
      <w:r w:rsidR="00564AA2">
        <w:t xml:space="preserve"> highlighted by positive coefficients of the interaction of job density variable with AM and PM variables. </w:t>
      </w:r>
      <w:r w:rsidR="008D1946">
        <w:t xml:space="preserve">The population and job density variables become statistically insignificant in the departure model </w:t>
      </w:r>
      <w:r w:rsidR="00AB4C10">
        <w:t xml:space="preserve">for </w:t>
      </w:r>
      <w:r w:rsidR="008D1946">
        <w:t>customers with daily passes.</w:t>
      </w:r>
      <w:r w:rsidR="005513AD">
        <w:t xml:space="preserve"> </w:t>
      </w:r>
      <w:r w:rsidR="008D1946">
        <w:t>Overall t</w:t>
      </w:r>
      <w:r w:rsidR="00564AA2">
        <w:t xml:space="preserve">he coefficients of population density, job density and their interaction with AM and PM periods clearly demonstrate the use of </w:t>
      </w:r>
      <w:r w:rsidR="00457EDB">
        <w:t>CitiBike</w:t>
      </w:r>
      <w:r w:rsidR="00564AA2">
        <w:t xml:space="preserve"> system for daily commute to work in the morning and back to home in the evening especially for </w:t>
      </w:r>
      <w:r w:rsidR="001C7C7A">
        <w:t xml:space="preserve">regular </w:t>
      </w:r>
      <w:r w:rsidR="00564AA2">
        <w:t>member users</w:t>
      </w:r>
      <w:r w:rsidR="0039231C">
        <w:t xml:space="preserve"> (similar to findings of Faghih-Imani et al., 2014 study for Montreal system)</w:t>
      </w:r>
      <w:r w:rsidR="00564AA2">
        <w:t>.</w:t>
      </w:r>
    </w:p>
    <w:p w14:paraId="122E0391" w14:textId="409B306D" w:rsidR="00D62070" w:rsidRDefault="00D62070" w:rsidP="002723DD">
      <w:pPr>
        <w:ind w:firstLine="720"/>
      </w:pPr>
    </w:p>
    <w:p w14:paraId="540A0059" w14:textId="344A37D4" w:rsidR="008D1946" w:rsidRDefault="008D1946" w:rsidP="00D62070">
      <w:pPr>
        <w:pStyle w:val="Heading1"/>
        <w:numPr>
          <w:ilvl w:val="2"/>
          <w:numId w:val="2"/>
        </w:numPr>
        <w:autoSpaceDE w:val="0"/>
        <w:autoSpaceDN w:val="0"/>
        <w:adjustRightInd w:val="0"/>
        <w:spacing w:before="0" w:after="0"/>
        <w:ind w:left="720"/>
        <w:rPr>
          <w:b w:val="0"/>
          <w:bCs/>
          <w:i/>
        </w:rPr>
      </w:pPr>
      <w:r w:rsidRPr="008D1946">
        <w:rPr>
          <w:b w:val="0"/>
          <w:bCs/>
          <w:i/>
        </w:rPr>
        <w:t>Spatial and temporal observed effects</w:t>
      </w:r>
    </w:p>
    <w:p w14:paraId="1EBC3EA2" w14:textId="2427D1DB" w:rsidR="008D1946" w:rsidRDefault="00055F44">
      <w:r>
        <w:t>In this section, the</w:t>
      </w:r>
      <w:r w:rsidR="00014807">
        <w:t xml:space="preserve"> estimate</w:t>
      </w:r>
      <w:r>
        <w:t xml:space="preserve"> results for</w:t>
      </w:r>
      <w:r w:rsidR="00014807">
        <w:t xml:space="preserve"> the</w:t>
      </w:r>
      <w:r>
        <w:t xml:space="preserve"> temporally lagged dependent variables</w:t>
      </w:r>
      <w:r w:rsidR="00E21029">
        <w:t xml:space="preserve"> </w:t>
      </w:r>
      <w:r>
        <w:t xml:space="preserve">and the temporally lagged spatial lag variables are discussed. All the three temporally lagged dependent variables – the observed dependent variable from 1 hour, 1 day and 1 week before – have </w:t>
      </w:r>
      <w:r w:rsidR="00EF42FA">
        <w:t>strongly</w:t>
      </w:r>
      <w:r>
        <w:t xml:space="preserve"> </w:t>
      </w:r>
      <w:r w:rsidR="00EF42FA">
        <w:t>positive impact o</w:t>
      </w:r>
      <w:r>
        <w:t xml:space="preserve">n the </w:t>
      </w:r>
      <w:r w:rsidR="002660CA">
        <w:t xml:space="preserve">arrival and departure rates </w:t>
      </w:r>
      <w:r w:rsidR="00EF42FA">
        <w:t xml:space="preserve">for members’ and daily customers’ </w:t>
      </w:r>
      <w:r w:rsidR="002660CA">
        <w:t>models.</w:t>
      </w:r>
      <w:r w:rsidR="00AF2E93">
        <w:t xml:space="preserve"> Th</w:t>
      </w:r>
      <w:r w:rsidR="000167E1">
        <w:t>e results</w:t>
      </w:r>
      <w:r w:rsidR="00AF2E93">
        <w:t xml:space="preserve"> show that incorporating the observed demand in the modelling procedure substantially enhance</w:t>
      </w:r>
      <w:r w:rsidR="00285F2A">
        <w:t>s</w:t>
      </w:r>
      <w:r w:rsidR="00AF2E93">
        <w:t xml:space="preserve"> the accuracy of the model estimation. </w:t>
      </w:r>
      <w:r w:rsidR="00622B4E">
        <w:t xml:space="preserve"> </w:t>
      </w:r>
      <w:r w:rsidR="00EF42FA">
        <w:t>Furthermore, incorporating the observed spatial lag variable for earlier time period (in our analysis 1 hour, 1 day and 1 week before)</w:t>
      </w:r>
      <w:r w:rsidR="00622B4E">
        <w:t xml:space="preserve"> </w:t>
      </w:r>
      <w:r w:rsidR="00EF42FA">
        <w:t>also ha</w:t>
      </w:r>
      <w:r w:rsidR="00285F2A">
        <w:t>s</w:t>
      </w:r>
      <w:r w:rsidR="00EF42FA">
        <w:t xml:space="preserve"> strong impact in the usage models.</w:t>
      </w:r>
      <w:r w:rsidR="00E63797">
        <w:t xml:space="preserve"> The significant impact of spatial lag variable and the temporally lagged spatial lag variables confirm our hypothesis that the arrival and departure rates in one station are correlated with the arrival and departure rates of neighboring stations.</w:t>
      </w:r>
      <w:r>
        <w:t xml:space="preserve">  </w:t>
      </w:r>
    </w:p>
    <w:p w14:paraId="0A4B87A1" w14:textId="20AD35A3" w:rsidR="00D62070" w:rsidRPr="008D1946" w:rsidRDefault="00D62070" w:rsidP="008D1946"/>
    <w:p w14:paraId="6736253A" w14:textId="79FD04E7" w:rsidR="00285F2A" w:rsidRDefault="00285F2A" w:rsidP="00D62070">
      <w:pPr>
        <w:pStyle w:val="Heading1"/>
        <w:numPr>
          <w:ilvl w:val="2"/>
          <w:numId w:val="2"/>
        </w:numPr>
        <w:autoSpaceDE w:val="0"/>
        <w:autoSpaceDN w:val="0"/>
        <w:adjustRightInd w:val="0"/>
        <w:spacing w:before="0" w:after="0"/>
        <w:ind w:left="720"/>
        <w:rPr>
          <w:b w:val="0"/>
          <w:bCs/>
          <w:i/>
        </w:rPr>
      </w:pPr>
      <w:r>
        <w:rPr>
          <w:b w:val="0"/>
          <w:bCs/>
          <w:i/>
        </w:rPr>
        <w:t>Autoregressive parameter and random effects</w:t>
      </w:r>
    </w:p>
    <w:p w14:paraId="0DBC11E1" w14:textId="1146FDF9" w:rsidR="00461E02" w:rsidRDefault="00285F2A" w:rsidP="005E50C6">
      <w:r>
        <w:lastRenderedPageBreak/>
        <w:t>In the spatial lag model, an autoregressive parameter that relates the usage (arrivals and departures) from the current stations to the usage of stations in the vicinity</w:t>
      </w:r>
      <w:r w:rsidR="0039231C">
        <w:t xml:space="preserve"> is considered</w:t>
      </w:r>
      <w:r>
        <w:t xml:space="preserve">. As expected, the parameter is positive indicating a positive dependency in BSS usage. </w:t>
      </w:r>
      <w:r w:rsidR="000167E1">
        <w:t xml:space="preserve">The magnitude of this impact in members models is almost double than the one in daily customers. This spatial effect might have several </w:t>
      </w:r>
      <w:r w:rsidR="00461E02">
        <w:t>plausible explanations</w:t>
      </w:r>
      <w:r w:rsidR="000167E1">
        <w:t xml:space="preserve">. One </w:t>
      </w:r>
      <w:r w:rsidR="00461E02">
        <w:t xml:space="preserve">possible explanation </w:t>
      </w:r>
      <w:r w:rsidR="000167E1">
        <w:t xml:space="preserve">might be that stations </w:t>
      </w:r>
      <w:r w:rsidR="00461E02">
        <w:t>in the same vicinity share the same attractors (jobs, restaurants or tourist spots)</w:t>
      </w:r>
      <w:r w:rsidR="000167E1">
        <w:t xml:space="preserve">. Another reason might be that when we have higher arrivals (departures) for one station, it is possible that station becomes full (empty). </w:t>
      </w:r>
      <w:r w:rsidR="00E21029">
        <w:t>Thus, people go to the nearby stations to return (pick up) their bicycles</w:t>
      </w:r>
      <w:r w:rsidR="007E1A53">
        <w:t xml:space="preserve"> thus transferring the demand to stations in the vicinity. </w:t>
      </w:r>
    </w:p>
    <w:p w14:paraId="0EC7750A" w14:textId="68BB4DA0" w:rsidR="00285F2A" w:rsidRPr="005E50C6" w:rsidRDefault="00285F2A">
      <w:pPr>
        <w:ind w:firstLine="360"/>
        <w:rPr>
          <w:b/>
        </w:rPr>
      </w:pPr>
      <w:r>
        <w:t>The random effects parameter account</w:t>
      </w:r>
      <w:r w:rsidR="00D62070">
        <w:t>s</w:t>
      </w:r>
      <w:r>
        <w:t xml:space="preserve"> for common unobserved factors specific to a station</w:t>
      </w:r>
      <w:r w:rsidR="005B4A2D">
        <w:t xml:space="preserve"> that affect</w:t>
      </w:r>
      <w:r>
        <w:t xml:space="preserve"> usage. </w:t>
      </w:r>
      <w:r w:rsidR="005B4A2D">
        <w:t>In our context, we observe that the common unobserved factors are drawn from a zero mean distribution with a standard deviation ranging from 0.0811 through 0.0967 across the models.</w:t>
      </w:r>
    </w:p>
    <w:p w14:paraId="36BBA0B2" w14:textId="77777777" w:rsidR="00EF3BE8" w:rsidRPr="00EF3BE8" w:rsidRDefault="00EF3BE8" w:rsidP="00921E32">
      <w:pPr>
        <w:autoSpaceDE w:val="0"/>
        <w:autoSpaceDN w:val="0"/>
        <w:adjustRightInd w:val="0"/>
        <w:jc w:val="left"/>
      </w:pPr>
    </w:p>
    <w:p w14:paraId="36490398" w14:textId="77777777" w:rsidR="00921E32" w:rsidRPr="006E2072" w:rsidRDefault="00921E32" w:rsidP="00D62070">
      <w:pPr>
        <w:pStyle w:val="Heading1"/>
        <w:numPr>
          <w:ilvl w:val="1"/>
          <w:numId w:val="2"/>
        </w:numPr>
        <w:autoSpaceDE w:val="0"/>
        <w:autoSpaceDN w:val="0"/>
        <w:adjustRightInd w:val="0"/>
        <w:spacing w:before="0" w:after="0"/>
        <w:ind w:left="418" w:hanging="418"/>
        <w:rPr>
          <w:bCs/>
        </w:rPr>
      </w:pPr>
      <w:r w:rsidRPr="006E2072">
        <w:rPr>
          <w:bCs/>
        </w:rPr>
        <w:t>Model Validation</w:t>
      </w:r>
    </w:p>
    <w:p w14:paraId="55B43D82" w14:textId="5125F3FA" w:rsidR="00895FF2" w:rsidRDefault="00B14728">
      <w:pPr>
        <w:autoSpaceDE w:val="0"/>
        <w:autoSpaceDN w:val="0"/>
        <w:adjustRightInd w:val="0"/>
      </w:pPr>
      <w:r>
        <w:t>For the model validation purpose</w:t>
      </w:r>
      <w:r w:rsidR="00D62070">
        <w:t>s</w:t>
      </w:r>
      <w:r>
        <w:t xml:space="preserve">, we </w:t>
      </w:r>
      <w:r w:rsidR="00093C55">
        <w:t xml:space="preserve">use </w:t>
      </w:r>
      <w:r>
        <w:t xml:space="preserve">data from first week of October, 2013 </w:t>
      </w:r>
      <w:r w:rsidR="00E95261">
        <w:t xml:space="preserve">(exactly one week after the data </w:t>
      </w:r>
      <w:r w:rsidR="00093C55">
        <w:t xml:space="preserve">employed for estimating </w:t>
      </w:r>
      <w:r w:rsidR="00E95261">
        <w:t>the model)</w:t>
      </w:r>
      <w:r w:rsidR="00A63665">
        <w:t xml:space="preserve"> for CitiBike system</w:t>
      </w:r>
      <w:r w:rsidR="00E95261">
        <w:t xml:space="preserve">. </w:t>
      </w:r>
      <w:r w:rsidR="00093C55">
        <w:t xml:space="preserve">The </w:t>
      </w:r>
      <w:r w:rsidR="004A2CF3">
        <w:t xml:space="preserve">same </w:t>
      </w:r>
      <w:r w:rsidR="00093C55">
        <w:t xml:space="preserve">data processing </w:t>
      </w:r>
      <w:r w:rsidR="004A2CF3">
        <w:t>exercises presented in</w:t>
      </w:r>
      <w:r w:rsidR="00093C55">
        <w:t xml:space="preserve"> section 3.1 w</w:t>
      </w:r>
      <w:r w:rsidR="004A2CF3">
        <w:t>ere undertaken to prepare</w:t>
      </w:r>
      <w:r w:rsidR="00093C55">
        <w:t xml:space="preserve"> the validation sample</w:t>
      </w:r>
      <w:r w:rsidR="004A2CF3">
        <w:t xml:space="preserve"> for annual members and daily customers</w:t>
      </w:r>
      <w:r w:rsidR="00093C55">
        <w:t xml:space="preserve">. </w:t>
      </w:r>
      <w:r w:rsidR="00A63665">
        <w:t xml:space="preserve">The SL3 model discussed in previous section was used to </w:t>
      </w:r>
      <w:r w:rsidR="009B34CA">
        <w:t xml:space="preserve">compute </w:t>
      </w:r>
      <w:r w:rsidR="00A63665">
        <w:t>predict</w:t>
      </w:r>
      <w:r w:rsidR="009B34CA">
        <w:t>ed</w:t>
      </w:r>
      <w:r w:rsidR="00895FF2">
        <w:t xml:space="preserve"> arrival and departure</w:t>
      </w:r>
      <w:r w:rsidR="009B34CA">
        <w:t xml:space="preserve"> rate</w:t>
      </w:r>
      <w:r w:rsidR="00895FF2">
        <w:t xml:space="preserve">s. </w:t>
      </w:r>
      <w:r w:rsidR="0023211B">
        <w:t>For members’ and daily customers’ arrivals and departures SL3 model, the predicted rates were compared with the observed arrivals and departures in validation sample</w:t>
      </w:r>
      <w:r w:rsidR="009D6461">
        <w:t>.</w:t>
      </w:r>
      <w:r w:rsidR="0023211B">
        <w:t xml:space="preserve"> </w:t>
      </w:r>
      <w:r w:rsidR="009D6461">
        <w:t xml:space="preserve">The reader would note that the spatial panel models </w:t>
      </w:r>
      <w:r w:rsidR="009D6461">
        <w:rPr>
          <w:rFonts w:cs="Times New Roman"/>
          <w:bCs/>
          <w:iCs/>
          <w:szCs w:val="24"/>
        </w:rPr>
        <w:t xml:space="preserve">can be applied in the planning process of BSS even when the future usage rates are not observed </w:t>
      </w:r>
      <w:r w:rsidR="009D6461">
        <w:t>(see Elhorst 2014 for exact prediction equations for spatial panel models)</w:t>
      </w:r>
      <w:r w:rsidR="009D6461">
        <w:rPr>
          <w:rFonts w:cs="Times New Roman"/>
          <w:bCs/>
          <w:iCs/>
          <w:szCs w:val="24"/>
        </w:rPr>
        <w:t xml:space="preserve">. </w:t>
      </w:r>
      <w:r w:rsidR="00450527">
        <w:t>Further</w:t>
      </w:r>
      <w:r w:rsidR="0023211B" w:rsidRPr="00B25D34">
        <w:t xml:space="preserve">, we </w:t>
      </w:r>
      <w:r w:rsidR="00450527">
        <w:t>computed</w:t>
      </w:r>
      <w:r w:rsidR="00450527" w:rsidRPr="00B25D34">
        <w:t xml:space="preserve"> Root Mean Square Error (RMSE) and Mean Absolute Error (MAE)</w:t>
      </w:r>
      <w:r w:rsidR="00450527">
        <w:t xml:space="preserve"> as overall metrics for e</w:t>
      </w:r>
      <w:r w:rsidR="0023211B" w:rsidRPr="00B25D34">
        <w:t xml:space="preserve">rror </w:t>
      </w:r>
      <w:r w:rsidR="00450527">
        <w:t>in prediction</w:t>
      </w:r>
      <w:r w:rsidR="0023211B" w:rsidRPr="00B25D34">
        <w:t>.</w:t>
      </w:r>
      <w:r w:rsidR="00450527">
        <w:t xml:space="preserve"> In addition</w:t>
      </w:r>
      <w:r w:rsidR="0023211B" w:rsidRPr="00B25D34">
        <w:t xml:space="preserve">, we </w:t>
      </w:r>
      <w:r w:rsidR="0023211B">
        <w:t xml:space="preserve">summed </w:t>
      </w:r>
      <w:r w:rsidR="0023211B" w:rsidRPr="00B25D34">
        <w:t xml:space="preserve">the absolute error </w:t>
      </w:r>
      <w:r w:rsidR="0023211B">
        <w:t>of members</w:t>
      </w:r>
      <w:r w:rsidR="00450527">
        <w:t>’</w:t>
      </w:r>
      <w:r w:rsidR="0023211B">
        <w:t xml:space="preserve"> and daily customers</w:t>
      </w:r>
      <w:r w:rsidR="00450527">
        <w:t>’</w:t>
      </w:r>
      <w:r w:rsidR="0023211B">
        <w:t xml:space="preserve"> </w:t>
      </w:r>
      <w:r w:rsidR="00450527">
        <w:t xml:space="preserve">model predictions </w:t>
      </w:r>
      <w:r w:rsidR="0023211B">
        <w:t xml:space="preserve">to obtain total arrivals or departures absolute error </w:t>
      </w:r>
      <w:r w:rsidR="0023211B" w:rsidRPr="00B25D34">
        <w:t xml:space="preserve">as a </w:t>
      </w:r>
      <w:r w:rsidR="009B34CA">
        <w:t>proportion</w:t>
      </w:r>
      <w:r w:rsidR="009B34CA" w:rsidRPr="00B25D34">
        <w:t xml:space="preserve"> </w:t>
      </w:r>
      <w:r w:rsidR="0023211B" w:rsidRPr="00B25D34">
        <w:t xml:space="preserve">of station capacity and examined the number of stations with </w:t>
      </w:r>
      <w:r w:rsidR="00EB44F6">
        <w:t xml:space="preserve">error </w:t>
      </w:r>
      <w:r w:rsidR="0023211B" w:rsidRPr="00B25D34">
        <w:t>less than 5%</w:t>
      </w:r>
      <w:r w:rsidR="00EB44F6">
        <w:t>, 10%, 15%, 20% and 25% of station capacity.</w:t>
      </w:r>
      <w:r w:rsidR="00450527">
        <w:t xml:space="preserve"> We presented these error metrics for </w:t>
      </w:r>
      <w:r w:rsidR="00EB44F6" w:rsidRPr="00B25D34">
        <w:t xml:space="preserve">the entire sample </w:t>
      </w:r>
      <w:r w:rsidR="00450527">
        <w:t>and</w:t>
      </w:r>
      <w:r w:rsidR="00EB44F6" w:rsidRPr="00B25D34">
        <w:t xml:space="preserve"> for specific time periods of the day.</w:t>
      </w:r>
      <w:r w:rsidR="00EB44F6">
        <w:t xml:space="preserve"> Table 4 present</w:t>
      </w:r>
      <w:r w:rsidR="00014807">
        <w:t>s</w:t>
      </w:r>
      <w:r w:rsidR="00EB44F6">
        <w:t xml:space="preserve"> the validation results.</w:t>
      </w:r>
    </w:p>
    <w:p w14:paraId="71BA5BCF" w14:textId="2C6B333E" w:rsidR="00370C73" w:rsidRDefault="00EB44F6" w:rsidP="001B585E">
      <w:pPr>
        <w:autoSpaceDE w:val="0"/>
        <w:autoSpaceDN w:val="0"/>
        <w:adjustRightInd w:val="0"/>
        <w:ind w:firstLine="720"/>
      </w:pPr>
      <w:r>
        <w:t xml:space="preserve"> </w:t>
      </w:r>
      <w:r w:rsidR="002808E7">
        <w:t>The validation exercise results demonstrate an outstanding predictive performance by the proposed SL3 model. It is observed that t</w:t>
      </w:r>
      <w:r w:rsidR="00914685">
        <w:t xml:space="preserve">he daily customers’ models provide better results with the </w:t>
      </w:r>
      <w:r w:rsidR="002B6216">
        <w:t>M</w:t>
      </w:r>
      <w:r w:rsidR="00914685">
        <w:t>AE of</w:t>
      </w:r>
      <w:r w:rsidR="002B6216">
        <w:t xml:space="preserve"> about</w:t>
      </w:r>
      <w:r w:rsidR="00914685">
        <w:t xml:space="preserve"> 0.</w:t>
      </w:r>
      <w:r w:rsidR="002B6216">
        <w:t>68 bicycles per hour</w:t>
      </w:r>
      <w:r w:rsidR="00914685">
        <w:t xml:space="preserve"> compared </w:t>
      </w:r>
      <w:r w:rsidR="008F6CDD">
        <w:t>to</w:t>
      </w:r>
      <w:r w:rsidR="00914685">
        <w:t xml:space="preserve"> the </w:t>
      </w:r>
      <w:r w:rsidR="002B6216">
        <w:t xml:space="preserve">MAE of about 1.8 for members’ models. </w:t>
      </w:r>
      <w:r w:rsidR="00DF3BEE" w:rsidRPr="00D05973">
        <w:rPr>
          <w:rFonts w:cs="Times New Roman"/>
          <w:bCs/>
          <w:szCs w:val="24"/>
        </w:rPr>
        <w:t>The better performance of daily customers’ models is expected; the range of usage values for daily customers is much lower than the corresponding usage values for members.</w:t>
      </w:r>
      <w:r w:rsidR="00DF3BEE">
        <w:rPr>
          <w:rFonts w:cs="Times New Roman"/>
          <w:bCs/>
          <w:i/>
          <w:szCs w:val="24"/>
        </w:rPr>
        <w:t xml:space="preserve"> </w:t>
      </w:r>
      <w:r w:rsidR="002B6216">
        <w:t>Further, it can be seen that t</w:t>
      </w:r>
      <w:r w:rsidR="002B6216" w:rsidRPr="00B25D34">
        <w:t xml:space="preserve">he </w:t>
      </w:r>
      <w:r w:rsidR="00BE31DF">
        <w:t>prediction</w:t>
      </w:r>
      <w:r w:rsidR="002B6216" w:rsidRPr="00B25D34">
        <w:t xml:space="preserve"> for the arrival model is </w:t>
      </w:r>
      <w:r w:rsidR="002808E7">
        <w:t>marginally</w:t>
      </w:r>
      <w:r w:rsidR="002808E7" w:rsidRPr="00B25D34">
        <w:t xml:space="preserve"> </w:t>
      </w:r>
      <w:r w:rsidR="002B6216" w:rsidRPr="00B25D34">
        <w:t xml:space="preserve">better than the </w:t>
      </w:r>
      <w:r w:rsidR="00BE31DF">
        <w:t>prediction</w:t>
      </w:r>
      <w:r w:rsidR="002B6216" w:rsidRPr="00B25D34">
        <w:t xml:space="preserve"> for the departure model.</w:t>
      </w:r>
      <w:r w:rsidR="002B6216">
        <w:t xml:space="preserve"> </w:t>
      </w:r>
      <w:r w:rsidR="00EF6DFD">
        <w:t>Specifically, considering the error in prediction within 10% of station capacity as threshold, t</w:t>
      </w:r>
      <w:r w:rsidR="008F6CDD" w:rsidRPr="00B25D34">
        <w:t xml:space="preserve">he </w:t>
      </w:r>
      <w:r w:rsidR="00EF6DFD">
        <w:t xml:space="preserve">validation </w:t>
      </w:r>
      <w:r w:rsidR="008F6CDD" w:rsidRPr="00B25D34">
        <w:t xml:space="preserve">results </w:t>
      </w:r>
      <w:r w:rsidR="00EF6DFD">
        <w:t xml:space="preserve">showed that </w:t>
      </w:r>
      <w:r w:rsidR="00EF6DFD" w:rsidRPr="00B25D34">
        <w:t>about 90% of the records</w:t>
      </w:r>
      <w:r w:rsidR="00EF6DFD">
        <w:t xml:space="preserve"> for arrivals and more than 75% of the records for departures demonstrated satisfactory prediction. Throughout the</w:t>
      </w:r>
      <w:r w:rsidR="004C5D5D">
        <w:t xml:space="preserve"> day, </w:t>
      </w:r>
      <w:r w:rsidR="00EF6DFD">
        <w:t xml:space="preserve">the prediction performance of models are superior during the </w:t>
      </w:r>
      <w:r w:rsidR="004C5D5D">
        <w:t>PM an</w:t>
      </w:r>
      <w:r w:rsidR="00370C73">
        <w:t>d Evening</w:t>
      </w:r>
      <w:r w:rsidR="004C5D5D">
        <w:t xml:space="preserve"> periods. </w:t>
      </w:r>
      <w:r w:rsidR="00EF6DFD">
        <w:t>Overall, t</w:t>
      </w:r>
      <w:r w:rsidR="00370C73" w:rsidRPr="00B25D34">
        <w:t>he validation</w:t>
      </w:r>
      <w:r w:rsidR="00370C73">
        <w:t xml:space="preserve"> exercise</w:t>
      </w:r>
      <w:r w:rsidR="00370C73" w:rsidRPr="00B25D34">
        <w:t xml:space="preserve"> </w:t>
      </w:r>
      <w:r w:rsidR="00EF6DFD">
        <w:t>shows</w:t>
      </w:r>
      <w:r w:rsidR="00EF6DFD" w:rsidRPr="00B25D34">
        <w:t xml:space="preserve"> </w:t>
      </w:r>
      <w:r w:rsidR="00370C73" w:rsidRPr="00B25D34">
        <w:t>th</w:t>
      </w:r>
      <w:r w:rsidR="00EF6DFD">
        <w:t>e</w:t>
      </w:r>
      <w:r w:rsidR="00370C73" w:rsidRPr="00B25D34">
        <w:t xml:space="preserve"> </w:t>
      </w:r>
      <w:r w:rsidR="00370C73">
        <w:t xml:space="preserve">enhanced </w:t>
      </w:r>
      <w:r w:rsidR="00370C73" w:rsidRPr="00B25D34">
        <w:t xml:space="preserve">predictive </w:t>
      </w:r>
      <w:r w:rsidR="00370C73">
        <w:t>cap</w:t>
      </w:r>
      <w:r w:rsidR="00370C73" w:rsidRPr="00B25D34">
        <w:t xml:space="preserve">ability of the </w:t>
      </w:r>
      <w:r w:rsidR="00370C73">
        <w:t xml:space="preserve">models incorporating spatio-temporal interactions in </w:t>
      </w:r>
      <w:r w:rsidR="00EF6DFD">
        <w:t>analyzing</w:t>
      </w:r>
      <w:r w:rsidR="00EF6DFD" w:rsidRPr="00B25D34">
        <w:t xml:space="preserve"> </w:t>
      </w:r>
      <w:r w:rsidR="00370C73">
        <w:t xml:space="preserve">BSS usage. </w:t>
      </w:r>
    </w:p>
    <w:p w14:paraId="2B0F132D" w14:textId="24B27E4F" w:rsidR="00921E32" w:rsidRDefault="00921E32" w:rsidP="005E50C6">
      <w:pPr>
        <w:autoSpaceDE w:val="0"/>
        <w:autoSpaceDN w:val="0"/>
        <w:adjustRightInd w:val="0"/>
      </w:pPr>
    </w:p>
    <w:p w14:paraId="7C5F6F26" w14:textId="5AFAD6C1" w:rsidR="00921E32" w:rsidRPr="00836A19" w:rsidRDefault="006E2072" w:rsidP="00921E32">
      <w:pPr>
        <w:pStyle w:val="Heading1"/>
      </w:pPr>
      <w:r w:rsidRPr="00836A19">
        <w:lastRenderedPageBreak/>
        <w:t>CONCLUSION</w:t>
      </w:r>
    </w:p>
    <w:p w14:paraId="3210F7C7" w14:textId="28370B88" w:rsidR="00772ED5" w:rsidRDefault="008E0FB8" w:rsidP="008E0FB8">
      <w:pPr>
        <w:rPr>
          <w:szCs w:val="24"/>
        </w:rPr>
      </w:pPr>
      <w:r w:rsidRPr="00641B79">
        <w:rPr>
          <w:rFonts w:cs="Times New Roman"/>
          <w:szCs w:val="24"/>
          <w:lang w:val="en-US"/>
        </w:rPr>
        <w:t xml:space="preserve">With the </w:t>
      </w:r>
      <w:r w:rsidR="002F1D12">
        <w:rPr>
          <w:rFonts w:cs="Times New Roman"/>
          <w:szCs w:val="24"/>
          <w:lang w:val="en-US"/>
        </w:rPr>
        <w:t xml:space="preserve">recent </w:t>
      </w:r>
      <w:r w:rsidRPr="00641B79">
        <w:rPr>
          <w:rFonts w:cs="Times New Roman"/>
          <w:szCs w:val="24"/>
          <w:lang w:val="en-US"/>
        </w:rPr>
        <w:t>growing installation of BSS infrastructure there is a substantial interest in</w:t>
      </w:r>
      <w:r>
        <w:rPr>
          <w:rFonts w:cs="Times New Roman"/>
          <w:szCs w:val="24"/>
          <w:lang w:val="en-US"/>
        </w:rPr>
        <w:t xml:space="preserve"> identifying factors contributing to the demand of these systems (arrivals and departures). Earlier research efforts have neglected to adequately consider </w:t>
      </w:r>
      <w:r>
        <w:rPr>
          <w:rFonts w:cs="Times New Roman"/>
        </w:rPr>
        <w:t>spatial</w:t>
      </w:r>
      <w:r w:rsidRPr="009E61D3">
        <w:t xml:space="preserve"> </w:t>
      </w:r>
      <w:r>
        <w:t>and temporal</w:t>
      </w:r>
      <w:r>
        <w:rPr>
          <w:rFonts w:cs="Times New Roman"/>
        </w:rPr>
        <w:t xml:space="preserve"> interaction of </w:t>
      </w:r>
      <w:r>
        <w:t>BSS station’s demand. It</w:t>
      </w:r>
      <w:r>
        <w:rPr>
          <w:rFonts w:cs="Times New Roman"/>
          <w:szCs w:val="24"/>
          <w:lang w:val="en-US"/>
        </w:rPr>
        <w:t xml:space="preserve"> is possible that </w:t>
      </w:r>
      <w:r w:rsidRPr="00641B79">
        <w:rPr>
          <w:rFonts w:cs="Times New Roman"/>
          <w:szCs w:val="24"/>
          <w:lang w:val="en-US"/>
        </w:rPr>
        <w:t xml:space="preserve">bicycle arrival and departure rates of one BSS station are potentially </w:t>
      </w:r>
      <w:r>
        <w:rPr>
          <w:rFonts w:cs="Times New Roman"/>
          <w:szCs w:val="24"/>
          <w:lang w:val="en-US"/>
        </w:rPr>
        <w:t>inter connected</w:t>
      </w:r>
      <w:r w:rsidRPr="00641B79">
        <w:rPr>
          <w:rFonts w:cs="Times New Roman"/>
          <w:szCs w:val="24"/>
          <w:lang w:val="en-US"/>
        </w:rPr>
        <w:t xml:space="preserve"> with bicycle flow rates </w:t>
      </w:r>
      <w:r>
        <w:rPr>
          <w:rFonts w:cs="Times New Roman"/>
          <w:szCs w:val="24"/>
          <w:lang w:val="en-US"/>
        </w:rPr>
        <w:t xml:space="preserve">for neighboring </w:t>
      </w:r>
      <w:r w:rsidRPr="00641B79">
        <w:rPr>
          <w:rFonts w:cs="Times New Roman"/>
          <w:szCs w:val="24"/>
          <w:lang w:val="en-US"/>
        </w:rPr>
        <w:t xml:space="preserve">stations. </w:t>
      </w:r>
      <w:r>
        <w:rPr>
          <w:rFonts w:cs="Times New Roman"/>
          <w:szCs w:val="24"/>
          <w:lang w:val="en-US"/>
        </w:rPr>
        <w:t xml:space="preserve">It is also plausible that </w:t>
      </w:r>
      <w:r w:rsidRPr="00641B79">
        <w:rPr>
          <w:rFonts w:cs="Times New Roman"/>
          <w:szCs w:val="24"/>
          <w:lang w:val="en-US"/>
        </w:rPr>
        <w:t xml:space="preserve">the arrival and departure rates at one time period </w:t>
      </w:r>
      <w:r>
        <w:rPr>
          <w:rFonts w:cs="Times New Roman"/>
          <w:szCs w:val="24"/>
          <w:lang w:val="en-US"/>
        </w:rPr>
        <w:t>are</w:t>
      </w:r>
      <w:r w:rsidRPr="00641B79">
        <w:rPr>
          <w:rFonts w:cs="Times New Roman"/>
          <w:szCs w:val="24"/>
          <w:lang w:val="en-US"/>
        </w:rPr>
        <w:t xml:space="preserve"> influenced by the arrival and departure rates of earlier time periods for that station and </w:t>
      </w:r>
      <w:r>
        <w:rPr>
          <w:rFonts w:cs="Times New Roman"/>
          <w:szCs w:val="24"/>
          <w:lang w:val="en-US"/>
        </w:rPr>
        <w:t>neighboring</w:t>
      </w:r>
      <w:r w:rsidRPr="00641B79">
        <w:rPr>
          <w:rFonts w:cs="Times New Roman"/>
          <w:szCs w:val="24"/>
          <w:lang w:val="en-US"/>
        </w:rPr>
        <w:t xml:space="preserve"> stations.</w:t>
      </w:r>
      <w:r>
        <w:rPr>
          <w:rFonts w:cs="Times New Roman"/>
          <w:szCs w:val="24"/>
          <w:lang w:val="en-US"/>
        </w:rPr>
        <w:t xml:space="preserve"> Neglecting the presence of such effects, when they are actually present will result in biased model estimates. This paper </w:t>
      </w:r>
      <w:r>
        <w:rPr>
          <w:szCs w:val="24"/>
        </w:rPr>
        <w:t xml:space="preserve">presented comprehensive econometric models to </w:t>
      </w:r>
      <w:r w:rsidRPr="001F4E3A">
        <w:t>incorporat</w:t>
      </w:r>
      <w:r>
        <w:t>e</w:t>
      </w:r>
      <w:r>
        <w:rPr>
          <w:szCs w:val="24"/>
        </w:rPr>
        <w:t xml:space="preserve"> for the influence of observed and unobserved spatio-temporal interactions on bicycle arrival and departure rates </w:t>
      </w:r>
      <w:r w:rsidR="00664754">
        <w:rPr>
          <w:szCs w:val="24"/>
        </w:rPr>
        <w:t>employing data from CitiBike system in New York City</w:t>
      </w:r>
      <w:r>
        <w:rPr>
          <w:szCs w:val="24"/>
        </w:rPr>
        <w:t xml:space="preserve"> </w:t>
      </w:r>
    </w:p>
    <w:p w14:paraId="7623AD7E" w14:textId="262F34F7" w:rsidR="00BE31DF" w:rsidRDefault="00772ED5" w:rsidP="00BE31DF">
      <w:pPr>
        <w:autoSpaceDE w:val="0"/>
        <w:autoSpaceDN w:val="0"/>
        <w:adjustRightInd w:val="0"/>
        <w:ind w:firstLine="720"/>
      </w:pPr>
      <w:r>
        <w:t>In our research effort, a systematic procedure was employed to evaluate the effects of</w:t>
      </w:r>
      <w:r w:rsidRPr="00ED2947">
        <w:t xml:space="preserve"> </w:t>
      </w:r>
      <w:r>
        <w:t xml:space="preserve">spatial and temporal interactions on modeling arrival and departures rates. </w:t>
      </w:r>
      <w:r w:rsidR="002A009D">
        <w:t xml:space="preserve">The model estimation was conducted in three increments: (1) a pooled spatial model with random effects, (2) temporally lagged observed variables and (3) temporally and spatially lagged dependent variables using the W matrix. For each of three increments, an independent pooled model, spatial error pooled model and spatial lag pooled model are developed. </w:t>
      </w:r>
      <w:r>
        <w:t xml:space="preserve">The models were estimated for two user groups (members and daily customers) - separately for arrivals and departures. </w:t>
      </w:r>
      <w:r w:rsidR="00664754">
        <w:t>We estimated 9 model</w:t>
      </w:r>
      <w:r w:rsidR="005F7C37">
        <w:t>s</w:t>
      </w:r>
      <w:r w:rsidR="00664754">
        <w:t xml:space="preserve"> per group thus yielding 36 models in total. We </w:t>
      </w:r>
      <w:r w:rsidR="005F7C37">
        <w:t xml:space="preserve">observed </w:t>
      </w:r>
      <w:r w:rsidR="00664754">
        <w:t xml:space="preserve">that </w:t>
      </w:r>
      <w:r w:rsidR="00664754">
        <w:rPr>
          <w:rFonts w:eastAsiaTheme="minorEastAsia" w:cs="Times New Roman"/>
        </w:rPr>
        <w:t xml:space="preserve">incorporating observed interactions - either as temporally lagged dependent variables or temporally </w:t>
      </w:r>
      <w:r w:rsidR="00664754" w:rsidRPr="00664754">
        <w:t>and</w:t>
      </w:r>
      <w:r w:rsidR="00664754">
        <w:rPr>
          <w:rFonts w:eastAsiaTheme="minorEastAsia" w:cs="Times New Roman"/>
        </w:rPr>
        <w:t xml:space="preserve"> spatially lagged dependent variables significantly improve model fit measures. We observed that addition of </w:t>
      </w:r>
      <w:r w:rsidR="00664754">
        <w:t>spatial autoregressive (spatial lag) or autocorrelation (spatial error) parameters offers substantial improvement in model fit, with the spatial lag model offering more improvement</w:t>
      </w:r>
      <w:r w:rsidR="00664754">
        <w:rPr>
          <w:rFonts w:eastAsiaTheme="minorEastAsia" w:cs="Times New Roman"/>
        </w:rPr>
        <w:t>. The spatial lag model with both temporally lagged and temporally spatial lagged variable provide</w:t>
      </w:r>
      <w:r w:rsidR="005F7C37">
        <w:rPr>
          <w:rFonts w:eastAsiaTheme="minorEastAsia" w:cs="Times New Roman"/>
        </w:rPr>
        <w:t>d</w:t>
      </w:r>
      <w:r w:rsidR="00664754">
        <w:rPr>
          <w:rFonts w:eastAsiaTheme="minorEastAsia" w:cs="Times New Roman"/>
        </w:rPr>
        <w:t xml:space="preserve"> the best model fit. </w:t>
      </w:r>
      <w:r w:rsidR="00664754">
        <w:t>The results indicate strong evidence for the presence of spatial and temporal dependency between of BSS station’s arrival and departure rates</w:t>
      </w:r>
      <w:r w:rsidR="00D62070">
        <w:t>. I</w:t>
      </w:r>
      <w:r w:rsidR="00664754">
        <w:rPr>
          <w:rFonts w:eastAsiaTheme="minorEastAsia" w:cs="Times New Roman"/>
        </w:rPr>
        <w:t>gnoring these dependencies would lead to biased and inaccurate parameters estimates.</w:t>
      </w:r>
      <w:r w:rsidR="00FC3163">
        <w:rPr>
          <w:rFonts w:eastAsiaTheme="minorEastAsia" w:cs="Times New Roman"/>
        </w:rPr>
        <w:t xml:space="preserve"> Further, separating the demand modelling for members and daily customers demonstrated that </w:t>
      </w:r>
      <w:r w:rsidR="00FC3163" w:rsidRPr="00C70D5B">
        <w:t>there</w:t>
      </w:r>
      <w:r w:rsidR="00FC3163">
        <w:t xml:space="preserve"> is clear distinction in the usage of the system </w:t>
      </w:r>
      <w:r w:rsidR="00FC3163" w:rsidRPr="00C70D5B">
        <w:t>by daily customers and annual members</w:t>
      </w:r>
      <w:r w:rsidR="00694A92">
        <w:t xml:space="preserve"> especially in temporal pattern of system usage.</w:t>
      </w:r>
      <w:r w:rsidR="00BE31DF">
        <w:t xml:space="preserve"> </w:t>
      </w:r>
    </w:p>
    <w:p w14:paraId="0A7A61A6" w14:textId="742995EA" w:rsidR="00BE31DF" w:rsidRDefault="00BE31DF" w:rsidP="00555761">
      <w:pPr>
        <w:autoSpaceDE w:val="0"/>
        <w:autoSpaceDN w:val="0"/>
        <w:adjustRightInd w:val="0"/>
        <w:ind w:firstLine="720"/>
        <w:rPr>
          <w:rFonts w:cs="Times New Roman"/>
          <w:szCs w:val="24"/>
          <w:lang w:val="en-US"/>
        </w:rPr>
      </w:pPr>
      <w:r>
        <w:t xml:space="preserve">The </w:t>
      </w:r>
      <w:r w:rsidR="00AA593B">
        <w:t xml:space="preserve">best spatial lag </w:t>
      </w:r>
      <w:r>
        <w:t xml:space="preserve">model estimation results were used to predict </w:t>
      </w:r>
      <w:r w:rsidR="005F7C37">
        <w:t xml:space="preserve">usage for a </w:t>
      </w:r>
      <w:r w:rsidR="002F1D12">
        <w:t>hold-</w:t>
      </w:r>
      <w:r w:rsidR="005F7C37">
        <w:t>out sample</w:t>
      </w:r>
      <w:r>
        <w:t>. Overall,</w:t>
      </w:r>
      <w:r w:rsidR="005F7C37">
        <w:t xml:space="preserve"> the proposed framework provided satisfactory predictions of usage. </w:t>
      </w:r>
      <w:r>
        <w:t>The daily customers’ models provide</w:t>
      </w:r>
      <w:r w:rsidR="00CE7BB4">
        <w:t>d</w:t>
      </w:r>
      <w:r>
        <w:t xml:space="preserve"> better results with the MAE of about 0.68 bicycles per hour compared to the MAE of about 1.8 for members’ models. Further, it is observed that t</w:t>
      </w:r>
      <w:r w:rsidRPr="00B25D34">
        <w:t xml:space="preserve">he </w:t>
      </w:r>
      <w:r w:rsidR="0035172C">
        <w:t>output</w:t>
      </w:r>
      <w:r w:rsidR="0035172C" w:rsidRPr="00B25D34">
        <w:t xml:space="preserve"> </w:t>
      </w:r>
      <w:r w:rsidRPr="00B25D34">
        <w:t xml:space="preserve">for the arrival model is </w:t>
      </w:r>
      <w:r w:rsidR="00C92F11" w:rsidRPr="00B25D34">
        <w:t>marginally</w:t>
      </w:r>
      <w:r w:rsidRPr="00B25D34">
        <w:t xml:space="preserve"> better than the </w:t>
      </w:r>
      <w:r w:rsidR="0035172C">
        <w:t xml:space="preserve">output for the </w:t>
      </w:r>
      <w:r w:rsidRPr="00B25D34">
        <w:t>departure model.</w:t>
      </w:r>
      <w:r>
        <w:t xml:space="preserve"> </w:t>
      </w:r>
      <w:r w:rsidRPr="00B25D34">
        <w:t xml:space="preserve">The results </w:t>
      </w:r>
      <w:r>
        <w:t xml:space="preserve">also </w:t>
      </w:r>
      <w:r w:rsidR="00CE7BB4" w:rsidRPr="00B25D34">
        <w:t>showed</w:t>
      </w:r>
      <w:r w:rsidRPr="00B25D34">
        <w:t xml:space="preserve"> that for </w:t>
      </w:r>
      <w:r>
        <w:t xml:space="preserve">arrivals </w:t>
      </w:r>
      <w:r w:rsidRPr="00B25D34">
        <w:t xml:space="preserve">about 90% of the records </w:t>
      </w:r>
      <w:r>
        <w:t xml:space="preserve">have </w:t>
      </w:r>
      <w:r w:rsidRPr="00B25D34">
        <w:t xml:space="preserve">the error in prediction </w:t>
      </w:r>
      <w:r>
        <w:t>within 1</w:t>
      </w:r>
      <w:r w:rsidRPr="00B25D34">
        <w:t>0%</w:t>
      </w:r>
      <w:r>
        <w:t xml:space="preserve"> of station capacity while for departures more than 75% of the records have the </w:t>
      </w:r>
      <w:r w:rsidR="005F7C37" w:rsidRPr="00B25D34">
        <w:t xml:space="preserve">error in prediction </w:t>
      </w:r>
      <w:r w:rsidR="005F7C37">
        <w:t>within 1</w:t>
      </w:r>
      <w:r w:rsidR="005F7C37" w:rsidRPr="00B25D34">
        <w:t>0%</w:t>
      </w:r>
      <w:r w:rsidRPr="00B25D34">
        <w:t>.</w:t>
      </w:r>
      <w:r>
        <w:t xml:space="preserve"> </w:t>
      </w:r>
      <w:r w:rsidR="00CE7BB4">
        <w:t xml:space="preserve">The results indicated that </w:t>
      </w:r>
      <w:r w:rsidR="005F7C37" w:rsidRPr="00641B79">
        <w:rPr>
          <w:rFonts w:cs="Times New Roman"/>
          <w:szCs w:val="24"/>
          <w:lang w:val="en-US"/>
        </w:rPr>
        <w:t>incorporation</w:t>
      </w:r>
      <w:r w:rsidRPr="00641B79">
        <w:rPr>
          <w:rFonts w:cs="Times New Roman"/>
          <w:szCs w:val="24"/>
          <w:lang w:val="en-US"/>
        </w:rPr>
        <w:t xml:space="preserve"> of observed and unobserved spatial-temporal </w:t>
      </w:r>
      <w:r>
        <w:rPr>
          <w:rFonts w:cs="Times New Roman"/>
          <w:szCs w:val="24"/>
          <w:lang w:val="en-US"/>
        </w:rPr>
        <w:t xml:space="preserve">interactions improved the accuracy of parameters estimated and </w:t>
      </w:r>
      <w:r w:rsidR="00CE7BB4">
        <w:rPr>
          <w:rFonts w:cs="Times New Roman"/>
          <w:szCs w:val="24"/>
          <w:lang w:val="en-US"/>
        </w:rPr>
        <w:t>the predictive capability of modelling frameworks.</w:t>
      </w:r>
    </w:p>
    <w:p w14:paraId="6641A46C" w14:textId="33A06249" w:rsidR="002354C3" w:rsidRDefault="002354C3" w:rsidP="00555761">
      <w:pPr>
        <w:autoSpaceDE w:val="0"/>
        <w:autoSpaceDN w:val="0"/>
        <w:adjustRightInd w:val="0"/>
        <w:ind w:firstLine="720"/>
      </w:pPr>
      <w:r>
        <w:t xml:space="preserve">The proposed framework is applicable for analyzing an existing BSS or a future BSS. </w:t>
      </w:r>
      <w:r w:rsidRPr="002354C3">
        <w:t xml:space="preserve">For an existing BSS system, the model developed can be employed directly to study how redistribution of capacity will enhance BSS usage. In this process, the analysts will have to identify potential </w:t>
      </w:r>
      <w:r>
        <w:t xml:space="preserve">station </w:t>
      </w:r>
      <w:r w:rsidRPr="002354C3">
        <w:t xml:space="preserve">locations and the distance matrix for the new stations in relation to the existing system. Further, the land use variables around proposed stations </w:t>
      </w:r>
      <w:r>
        <w:t>will need</w:t>
      </w:r>
      <w:r w:rsidRPr="002354C3">
        <w:t xml:space="preserve"> be generated. Subsequently, the </w:t>
      </w:r>
      <w:r w:rsidRPr="002354C3">
        <w:lastRenderedPageBreak/>
        <w:t>model developed can be applied to generate new usage values for the existing stations and newly added stations. Thus the proposed model provides improved ability for decision makers to study changes to demand prior to adding or removing stations in the system.</w:t>
      </w:r>
      <w:r>
        <w:t xml:space="preserve"> For the installation of a new BSS, </w:t>
      </w:r>
      <w:r>
        <w:rPr>
          <w:rFonts w:cs="Times New Roman"/>
          <w:bCs/>
          <w:iCs/>
          <w:szCs w:val="24"/>
        </w:rPr>
        <w:t>the proposed model for New York can be employed to obtain expected demand by considering various planned station locations (with information on the inherent distance matrix, and land-use buffer variables) and station capacity. An iterative process that generates optimum usage can be developed by altering the location and capacity variables. To be sure, the iterative application requires the analyst to be aware of the urban region and inherent bicycling patterns. The analysis will allow for developing a reasonable quantitative framework for demand estimation for the new system.</w:t>
      </w:r>
    </w:p>
    <w:p w14:paraId="6EFC3547" w14:textId="0C8A4D4A" w:rsidR="002354C3" w:rsidRDefault="002354C3" w:rsidP="002354C3">
      <w:pPr>
        <w:autoSpaceDE w:val="0"/>
        <w:autoSpaceDN w:val="0"/>
        <w:adjustRightInd w:val="0"/>
        <w:ind w:firstLine="720"/>
        <w:rPr>
          <w:rFonts w:cs="Times New Roman"/>
          <w:bCs/>
          <w:iCs/>
          <w:szCs w:val="24"/>
        </w:rPr>
      </w:pPr>
      <w:r>
        <w:t xml:space="preserve">To be sure, the proposed study is not without limitations. </w:t>
      </w:r>
      <w:r w:rsidRPr="002354C3">
        <w:t>In our model development, we have considered arrivals and departures separately. However, it is possible that arrivals and departures share</w:t>
      </w:r>
      <w:r w:rsidRPr="003359A4">
        <w:t xml:space="preserve"> common</w:t>
      </w:r>
      <w:r w:rsidR="00303E57">
        <w:t xml:space="preserve"> observed and</w:t>
      </w:r>
      <w:r w:rsidRPr="003359A4">
        <w:t xml:space="preserve"> unobserved attributes that affect each other. Incorporating such unobserved dependencies would increase the complexity of the model framework and would require substantial additional work. This is an avenue for future work.</w:t>
      </w:r>
      <w:r>
        <w:rPr>
          <w:rFonts w:cs="Times New Roman"/>
          <w:bCs/>
          <w:iCs/>
          <w:szCs w:val="24"/>
        </w:rPr>
        <w:t xml:space="preserve"> </w:t>
      </w:r>
    </w:p>
    <w:p w14:paraId="23A954F6" w14:textId="69C81027" w:rsidR="00921E32" w:rsidRPr="00CE7BB4" w:rsidRDefault="00921E32" w:rsidP="00CE7BB4">
      <w:pPr>
        <w:autoSpaceDE w:val="0"/>
        <w:autoSpaceDN w:val="0"/>
        <w:adjustRightInd w:val="0"/>
      </w:pPr>
    </w:p>
    <w:p w14:paraId="322D2C39" w14:textId="77777777" w:rsidR="00921E32" w:rsidRDefault="00921E32" w:rsidP="00921E32">
      <w:pPr>
        <w:autoSpaceDE w:val="0"/>
        <w:autoSpaceDN w:val="0"/>
        <w:adjustRightInd w:val="0"/>
        <w:jc w:val="left"/>
        <w:rPr>
          <w:rFonts w:cs="Times New Roman"/>
          <w:b/>
          <w:bCs/>
          <w:szCs w:val="24"/>
        </w:rPr>
      </w:pPr>
      <w:r w:rsidRPr="005E50C6">
        <w:rPr>
          <w:rFonts w:cs="Times New Roman"/>
          <w:b/>
          <w:bCs/>
          <w:szCs w:val="24"/>
        </w:rPr>
        <w:t>ACKNOWLEDGEMENTS</w:t>
      </w:r>
    </w:p>
    <w:p w14:paraId="21CA5819" w14:textId="2AB38B04" w:rsidR="005E50C6" w:rsidRDefault="00BF3EA0" w:rsidP="0088044D">
      <w:pPr>
        <w:spacing w:before="0" w:after="0"/>
        <w:rPr>
          <w:rFonts w:cs="Times New Roman"/>
        </w:rPr>
      </w:pPr>
      <w:r>
        <w:t>The authors are grateful for the insightful feedback from the editor and two anonymous reviewers on an earlier version of the manuscript.</w:t>
      </w:r>
      <w:r>
        <w:rPr>
          <w:rFonts w:cs="Times New Roman"/>
          <w:b/>
        </w:rPr>
        <w:t xml:space="preserve"> </w:t>
      </w:r>
      <w:r w:rsidR="005E50C6">
        <w:rPr>
          <w:rFonts w:cs="Times New Roman"/>
        </w:rPr>
        <w:t xml:space="preserve">The authors would like to thank Prof. Paul Elhorst for making his Matlab codes available online.  </w:t>
      </w:r>
    </w:p>
    <w:p w14:paraId="5C612315" w14:textId="69A16142" w:rsidR="00921E32" w:rsidRDefault="00921E32" w:rsidP="00921E32">
      <w:pPr>
        <w:spacing w:before="0" w:after="0"/>
        <w:rPr>
          <w:rFonts w:cs="Times New Roman"/>
        </w:rPr>
      </w:pPr>
    </w:p>
    <w:p w14:paraId="158BB62C" w14:textId="6F8E8361" w:rsidR="00921E32" w:rsidRDefault="00921E32" w:rsidP="00921E32">
      <w:pPr>
        <w:spacing w:before="0" w:after="0"/>
        <w:rPr>
          <w:rFonts w:cs="Times New Roman"/>
        </w:rPr>
      </w:pPr>
    </w:p>
    <w:p w14:paraId="2BD86BC9" w14:textId="728E849B" w:rsidR="00921E32" w:rsidRDefault="00921E32" w:rsidP="00921E32">
      <w:pPr>
        <w:spacing w:before="0" w:after="0"/>
        <w:rPr>
          <w:rFonts w:cs="Times New Roman"/>
        </w:rPr>
      </w:pPr>
    </w:p>
    <w:p w14:paraId="28ABC188" w14:textId="072C3D0B" w:rsidR="00921E32" w:rsidRDefault="00921E32" w:rsidP="00921E32">
      <w:pPr>
        <w:spacing w:before="0" w:after="0"/>
        <w:rPr>
          <w:rFonts w:cs="Times New Roman"/>
        </w:rPr>
      </w:pPr>
    </w:p>
    <w:p w14:paraId="602C4B22" w14:textId="32C67BE2" w:rsidR="00921E32" w:rsidRDefault="00921E32" w:rsidP="00921E32">
      <w:pPr>
        <w:spacing w:before="0" w:after="0"/>
        <w:rPr>
          <w:rFonts w:cs="Times New Roman"/>
          <w:b/>
        </w:rPr>
      </w:pPr>
      <w:r>
        <w:rPr>
          <w:rFonts w:cs="Times New Roman"/>
          <w:b/>
        </w:rPr>
        <w:br w:type="page"/>
      </w:r>
    </w:p>
    <w:p w14:paraId="1E4B3131" w14:textId="77777777" w:rsidR="00921E32" w:rsidRDefault="00921E32" w:rsidP="00921E32">
      <w:pPr>
        <w:autoSpaceDE w:val="0"/>
        <w:autoSpaceDN w:val="0"/>
        <w:adjustRightInd w:val="0"/>
        <w:jc w:val="left"/>
        <w:rPr>
          <w:rFonts w:cs="Times New Roman"/>
          <w:b/>
        </w:rPr>
      </w:pPr>
      <w:r w:rsidRPr="008A07C9">
        <w:rPr>
          <w:rFonts w:cs="Times New Roman"/>
          <w:b/>
        </w:rPr>
        <w:lastRenderedPageBreak/>
        <w:t>References</w:t>
      </w:r>
    </w:p>
    <w:p w14:paraId="346CBF34" w14:textId="647B3EBB" w:rsidR="00D66FA9" w:rsidRPr="00A1743C" w:rsidRDefault="00D66FA9" w:rsidP="00D62070">
      <w:pPr>
        <w:autoSpaceDE w:val="0"/>
        <w:autoSpaceDN w:val="0"/>
        <w:adjustRightInd w:val="0"/>
        <w:ind w:left="576" w:hanging="576"/>
        <w:rPr>
          <w:rFonts w:cs="Times New Roman"/>
          <w:bCs/>
          <w:szCs w:val="24"/>
        </w:rPr>
      </w:pPr>
      <w:r w:rsidRPr="005E50C6">
        <w:rPr>
          <w:rFonts w:cs="Times New Roman"/>
          <w:bCs/>
          <w:szCs w:val="24"/>
        </w:rPr>
        <w:t xml:space="preserve">Bachand-Marleau, J., B. Lee, and A. El-Geneidy, 2012. Better </w:t>
      </w:r>
      <w:r w:rsidR="00345E9F" w:rsidRPr="005E50C6">
        <w:rPr>
          <w:rFonts w:cs="Times New Roman"/>
          <w:bCs/>
          <w:szCs w:val="24"/>
        </w:rPr>
        <w:t>understanding of factors influencing likelihood of using shared bicycle systems and frequency of use</w:t>
      </w:r>
      <w:r w:rsidRPr="005E50C6">
        <w:rPr>
          <w:rFonts w:cs="Times New Roman"/>
          <w:bCs/>
          <w:szCs w:val="24"/>
        </w:rPr>
        <w:t xml:space="preserve">. </w:t>
      </w:r>
      <w:r w:rsidRPr="005E50C6">
        <w:rPr>
          <w:rFonts w:cs="Times New Roman"/>
          <w:bCs/>
          <w:i/>
          <w:iCs/>
          <w:szCs w:val="24"/>
        </w:rPr>
        <w:t>Transportation Research Record: Journal of the Transportation Research Board</w:t>
      </w:r>
      <w:r w:rsidRPr="005E50C6">
        <w:rPr>
          <w:rFonts w:cs="Times New Roman"/>
          <w:bCs/>
          <w:szCs w:val="24"/>
        </w:rPr>
        <w:t>, No. 2314, pp. 66-71.</w:t>
      </w:r>
    </w:p>
    <w:p w14:paraId="4AF0099A" w14:textId="77777777"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Borgnat, P., P. Abry, P. Flandrin, C. Robardet, J.-B. Rouquier, and E. Fleury, 2011. Shared bicycles in a city: A signal processing and data analysis perspective, </w:t>
      </w:r>
      <w:r w:rsidRPr="00A1743C">
        <w:rPr>
          <w:rFonts w:cs="Times New Roman"/>
          <w:bCs/>
          <w:i/>
          <w:szCs w:val="24"/>
        </w:rPr>
        <w:t>Advances in Complex Systems</w:t>
      </w:r>
      <w:r w:rsidRPr="00A1743C">
        <w:rPr>
          <w:rFonts w:cs="Times New Roman"/>
          <w:bCs/>
          <w:szCs w:val="24"/>
        </w:rPr>
        <w:t>, Vol. 14, No. 03, pp. 415-438.</w:t>
      </w:r>
    </w:p>
    <w:p w14:paraId="75AD3F5F" w14:textId="77777777"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Buck, D., Buehler, R., 2012. Bike lanes and other determinants of capital bikeshare trips. Paper presented at the 91st Transportation Research Board Annual Meeting 2012, Washington, DC. </w:t>
      </w:r>
    </w:p>
    <w:p w14:paraId="126504F8" w14:textId="49126C6D" w:rsidR="00D66FA9" w:rsidRPr="00A1743C" w:rsidRDefault="00D66FA9" w:rsidP="00345E9F">
      <w:pPr>
        <w:autoSpaceDE w:val="0"/>
        <w:autoSpaceDN w:val="0"/>
        <w:adjustRightInd w:val="0"/>
        <w:ind w:left="576" w:hanging="576"/>
        <w:rPr>
          <w:rFonts w:cs="Times New Roman"/>
          <w:bCs/>
          <w:szCs w:val="24"/>
        </w:rPr>
      </w:pPr>
      <w:r w:rsidRPr="00A1743C">
        <w:rPr>
          <w:rFonts w:cs="Times New Roman"/>
          <w:bCs/>
          <w:szCs w:val="24"/>
        </w:rPr>
        <w:t xml:space="preserve">Buck, D., D. Buehler, P. Happ, B. Rawls, P. Chung, and N. Borecki, 2013. Are </w:t>
      </w:r>
      <w:r w:rsidR="00345E9F" w:rsidRPr="00A1743C">
        <w:rPr>
          <w:rFonts w:cs="Times New Roman"/>
          <w:bCs/>
          <w:szCs w:val="24"/>
        </w:rPr>
        <w:t>bikeshare users different from regular cyclists? a first look at short-term users, annual members, and area cyclists in the Washington</w:t>
      </w:r>
      <w:r w:rsidR="00345E9F">
        <w:rPr>
          <w:rFonts w:cs="Times New Roman"/>
          <w:bCs/>
          <w:szCs w:val="24"/>
        </w:rPr>
        <w:t>, D</w:t>
      </w:r>
      <w:r w:rsidR="00345E9F" w:rsidRPr="00A1743C">
        <w:rPr>
          <w:rFonts w:cs="Times New Roman"/>
          <w:bCs/>
          <w:szCs w:val="24"/>
        </w:rPr>
        <w:t>.</w:t>
      </w:r>
      <w:r w:rsidR="00345E9F">
        <w:rPr>
          <w:rFonts w:cs="Times New Roman"/>
          <w:bCs/>
          <w:szCs w:val="24"/>
        </w:rPr>
        <w:t>C</w:t>
      </w:r>
      <w:r w:rsidR="00345E9F" w:rsidRPr="00A1743C">
        <w:rPr>
          <w:rFonts w:cs="Times New Roman"/>
          <w:bCs/>
          <w:szCs w:val="24"/>
        </w:rPr>
        <w:t>., region</w:t>
      </w:r>
      <w:r w:rsidRPr="00A1743C">
        <w:rPr>
          <w:rFonts w:cs="Times New Roman"/>
          <w:bCs/>
          <w:szCs w:val="24"/>
        </w:rPr>
        <w:t xml:space="preserve">. </w:t>
      </w:r>
      <w:r w:rsidRPr="00A1743C">
        <w:rPr>
          <w:rFonts w:cs="Times New Roman"/>
          <w:bCs/>
          <w:i/>
          <w:iCs/>
          <w:szCs w:val="24"/>
        </w:rPr>
        <w:t>Transportation Research Record: Journal of the Transportation Research Board</w:t>
      </w:r>
      <w:r w:rsidRPr="00A1743C">
        <w:rPr>
          <w:rFonts w:cs="Times New Roman"/>
          <w:bCs/>
          <w:szCs w:val="24"/>
        </w:rPr>
        <w:t>, No. 2387, pp. 112–119.</w:t>
      </w:r>
    </w:p>
    <w:p w14:paraId="487C4F79" w14:textId="31CCBF4A" w:rsidR="00D66FA9" w:rsidRDefault="00D66FA9" w:rsidP="00A929F8">
      <w:pPr>
        <w:autoSpaceDE w:val="0"/>
        <w:autoSpaceDN w:val="0"/>
        <w:adjustRightInd w:val="0"/>
        <w:ind w:left="576" w:hanging="576"/>
      </w:pPr>
      <w:r>
        <w:t>Chen, Z., and</w:t>
      </w:r>
      <w:r w:rsidRPr="0073181C">
        <w:t xml:space="preserve"> Haynes, K. E.</w:t>
      </w:r>
      <w:r>
        <w:t>,</w:t>
      </w:r>
      <w:r w:rsidRPr="0073181C">
        <w:t xml:space="preserve"> 2014. Public surface transportation and regional output: A spatial panel approach. </w:t>
      </w:r>
      <w:r w:rsidRPr="00D66FA9">
        <w:rPr>
          <w:i/>
        </w:rPr>
        <w:t>Papers in Regional Science</w:t>
      </w:r>
      <w:r>
        <w:t>,</w:t>
      </w:r>
      <w:r w:rsidR="00A929F8">
        <w:t xml:space="preserve"> Vol. 94, pp. </w:t>
      </w:r>
      <w:r w:rsidR="00A929F8" w:rsidRPr="00A929F8">
        <w:t>727-751</w:t>
      </w:r>
      <w:r>
        <w:t>.</w:t>
      </w:r>
    </w:p>
    <w:p w14:paraId="6401A355" w14:textId="77777777" w:rsidR="00D66FA9" w:rsidRDefault="00D66FA9" w:rsidP="00D62070">
      <w:pPr>
        <w:autoSpaceDE w:val="0"/>
        <w:autoSpaceDN w:val="0"/>
        <w:adjustRightInd w:val="0"/>
        <w:ind w:left="576" w:hanging="576"/>
      </w:pPr>
      <w:r>
        <w:t xml:space="preserve">Daraban, B., and Fournier, G. M., </w:t>
      </w:r>
      <w:r w:rsidRPr="0073181C">
        <w:t xml:space="preserve">2008. Incumbent responses to low-cost airline entry and exit: A spatial autoregressive panel data analysis. </w:t>
      </w:r>
      <w:r w:rsidRPr="00D66FA9">
        <w:rPr>
          <w:i/>
        </w:rPr>
        <w:t>Research in Transportation Economics</w:t>
      </w:r>
      <w:r w:rsidRPr="0073181C">
        <w:t xml:space="preserve">, </w:t>
      </w:r>
      <w:r>
        <w:t xml:space="preserve">Vol. </w:t>
      </w:r>
      <w:r w:rsidRPr="0073181C">
        <w:t xml:space="preserve">24, </w:t>
      </w:r>
      <w:r>
        <w:t xml:space="preserve">pp. </w:t>
      </w:r>
      <w:r w:rsidRPr="0073181C">
        <w:t>15-24.</w:t>
      </w:r>
    </w:p>
    <w:p w14:paraId="2DE3CD92" w14:textId="568DF941" w:rsidR="00D66FA9" w:rsidRPr="00A1743C" w:rsidRDefault="00D66FA9" w:rsidP="00345E9F">
      <w:pPr>
        <w:autoSpaceDE w:val="0"/>
        <w:autoSpaceDN w:val="0"/>
        <w:adjustRightInd w:val="0"/>
        <w:ind w:left="576" w:hanging="576"/>
        <w:rPr>
          <w:rFonts w:cs="Times New Roman"/>
          <w:bCs/>
          <w:szCs w:val="24"/>
        </w:rPr>
      </w:pPr>
      <w:r w:rsidRPr="00A1743C">
        <w:rPr>
          <w:rFonts w:cs="Times New Roman"/>
          <w:bCs/>
          <w:szCs w:val="24"/>
        </w:rPr>
        <w:t xml:space="preserve">Davis, B., T. Dutzik and P. Baxandall, 2012. Transportation and the </w:t>
      </w:r>
      <w:r w:rsidR="00345E9F">
        <w:rPr>
          <w:rFonts w:cs="Times New Roman"/>
          <w:bCs/>
          <w:szCs w:val="24"/>
        </w:rPr>
        <w:t>N</w:t>
      </w:r>
      <w:r w:rsidRPr="00A1743C">
        <w:rPr>
          <w:rFonts w:cs="Times New Roman"/>
          <w:bCs/>
          <w:szCs w:val="24"/>
        </w:rPr>
        <w:t xml:space="preserve">ew </w:t>
      </w:r>
      <w:r w:rsidR="00345E9F">
        <w:rPr>
          <w:rFonts w:cs="Times New Roman"/>
          <w:bCs/>
          <w:szCs w:val="24"/>
        </w:rPr>
        <w:t>G</w:t>
      </w:r>
      <w:r w:rsidRPr="00A1743C">
        <w:rPr>
          <w:rFonts w:cs="Times New Roman"/>
          <w:bCs/>
          <w:szCs w:val="24"/>
        </w:rPr>
        <w:t xml:space="preserve">eneration: Why </w:t>
      </w:r>
      <w:r w:rsidR="00345E9F">
        <w:rPr>
          <w:rFonts w:cs="Times New Roman"/>
          <w:bCs/>
          <w:szCs w:val="24"/>
        </w:rPr>
        <w:t>Y</w:t>
      </w:r>
      <w:r w:rsidRPr="00A1743C">
        <w:rPr>
          <w:rFonts w:cs="Times New Roman"/>
          <w:bCs/>
          <w:szCs w:val="24"/>
        </w:rPr>
        <w:t xml:space="preserve">oung </w:t>
      </w:r>
      <w:r w:rsidR="00345E9F">
        <w:rPr>
          <w:rFonts w:cs="Times New Roman"/>
          <w:bCs/>
          <w:szCs w:val="24"/>
        </w:rPr>
        <w:t>P</w:t>
      </w:r>
      <w:r w:rsidRPr="00A1743C">
        <w:rPr>
          <w:rFonts w:cs="Times New Roman"/>
          <w:bCs/>
          <w:szCs w:val="24"/>
        </w:rPr>
        <w:t xml:space="preserve">eople </w:t>
      </w:r>
      <w:r w:rsidR="00345E9F" w:rsidRPr="00A1743C">
        <w:rPr>
          <w:rFonts w:cs="Times New Roman"/>
          <w:bCs/>
          <w:szCs w:val="24"/>
        </w:rPr>
        <w:t>Are</w:t>
      </w:r>
      <w:r w:rsidRPr="00A1743C">
        <w:rPr>
          <w:rFonts w:cs="Times New Roman"/>
          <w:bCs/>
          <w:szCs w:val="24"/>
        </w:rPr>
        <w:t xml:space="preserve"> </w:t>
      </w:r>
      <w:r w:rsidR="00345E9F">
        <w:rPr>
          <w:rFonts w:cs="Times New Roman"/>
          <w:bCs/>
          <w:szCs w:val="24"/>
        </w:rPr>
        <w:t>D</w:t>
      </w:r>
      <w:r w:rsidRPr="00A1743C">
        <w:rPr>
          <w:rFonts w:cs="Times New Roman"/>
          <w:bCs/>
          <w:szCs w:val="24"/>
        </w:rPr>
        <w:t xml:space="preserve">riving </w:t>
      </w:r>
      <w:r w:rsidR="00345E9F">
        <w:rPr>
          <w:rFonts w:cs="Times New Roman"/>
          <w:bCs/>
          <w:szCs w:val="24"/>
        </w:rPr>
        <w:t>L</w:t>
      </w:r>
      <w:r w:rsidRPr="00A1743C">
        <w:rPr>
          <w:rFonts w:cs="Times New Roman"/>
          <w:bCs/>
          <w:szCs w:val="24"/>
        </w:rPr>
        <w:t xml:space="preserve">ess and </w:t>
      </w:r>
      <w:r w:rsidR="00345E9F">
        <w:rPr>
          <w:rFonts w:cs="Times New Roman"/>
          <w:bCs/>
          <w:szCs w:val="24"/>
        </w:rPr>
        <w:t>W</w:t>
      </w:r>
      <w:r w:rsidRPr="00A1743C">
        <w:rPr>
          <w:rFonts w:cs="Times New Roman"/>
          <w:bCs/>
          <w:szCs w:val="24"/>
        </w:rPr>
        <w:t xml:space="preserve">hat </w:t>
      </w:r>
      <w:r w:rsidR="00345E9F">
        <w:rPr>
          <w:rFonts w:cs="Times New Roman"/>
          <w:bCs/>
          <w:szCs w:val="24"/>
        </w:rPr>
        <w:t>I</w:t>
      </w:r>
      <w:r w:rsidRPr="00A1743C">
        <w:rPr>
          <w:rFonts w:cs="Times New Roman"/>
          <w:bCs/>
          <w:szCs w:val="24"/>
        </w:rPr>
        <w:t xml:space="preserve">t </w:t>
      </w:r>
      <w:r w:rsidR="00345E9F">
        <w:rPr>
          <w:rFonts w:cs="Times New Roman"/>
          <w:bCs/>
          <w:szCs w:val="24"/>
        </w:rPr>
        <w:t>M</w:t>
      </w:r>
      <w:r w:rsidRPr="00A1743C">
        <w:rPr>
          <w:rFonts w:cs="Times New Roman"/>
          <w:bCs/>
          <w:szCs w:val="24"/>
        </w:rPr>
        <w:t xml:space="preserve">eans </w:t>
      </w:r>
      <w:r w:rsidR="00345E9F">
        <w:rPr>
          <w:rFonts w:cs="Times New Roman"/>
          <w:bCs/>
          <w:szCs w:val="24"/>
        </w:rPr>
        <w:t>for</w:t>
      </w:r>
      <w:r w:rsidRPr="00A1743C">
        <w:rPr>
          <w:rFonts w:cs="Times New Roman"/>
          <w:bCs/>
          <w:szCs w:val="24"/>
        </w:rPr>
        <w:t xml:space="preserve"> </w:t>
      </w:r>
      <w:r w:rsidR="00345E9F">
        <w:rPr>
          <w:rFonts w:cs="Times New Roman"/>
          <w:bCs/>
          <w:szCs w:val="24"/>
        </w:rPr>
        <w:t>T</w:t>
      </w:r>
      <w:r w:rsidRPr="00A1743C">
        <w:rPr>
          <w:rFonts w:cs="Times New Roman"/>
          <w:bCs/>
          <w:szCs w:val="24"/>
        </w:rPr>
        <w:t xml:space="preserve">ransportation </w:t>
      </w:r>
      <w:r w:rsidR="00345E9F">
        <w:rPr>
          <w:rFonts w:cs="Times New Roman"/>
          <w:bCs/>
          <w:szCs w:val="24"/>
        </w:rPr>
        <w:t>P</w:t>
      </w:r>
      <w:r w:rsidRPr="00A1743C">
        <w:rPr>
          <w:rFonts w:cs="Times New Roman"/>
          <w:bCs/>
          <w:szCs w:val="24"/>
        </w:rPr>
        <w:t>olicy, Frontier Group.</w:t>
      </w:r>
      <w:r w:rsidR="00235450">
        <w:rPr>
          <w:rFonts w:cs="Times New Roman"/>
          <w:bCs/>
          <w:szCs w:val="24"/>
        </w:rPr>
        <w:t xml:space="preserve"> </w:t>
      </w:r>
      <w:r w:rsidR="00194339">
        <w:rPr>
          <w:rFonts w:cs="Times New Roman"/>
          <w:bCs/>
          <w:szCs w:val="24"/>
        </w:rPr>
        <w:t>Accessed online on June 6</w:t>
      </w:r>
      <w:r w:rsidR="00194339" w:rsidRPr="00194339">
        <w:rPr>
          <w:rFonts w:cs="Times New Roman"/>
          <w:bCs/>
          <w:szCs w:val="24"/>
          <w:vertAlign w:val="superscript"/>
        </w:rPr>
        <w:t>th</w:t>
      </w:r>
      <w:r w:rsidR="00194339">
        <w:rPr>
          <w:rFonts w:cs="Times New Roman"/>
          <w:bCs/>
          <w:szCs w:val="24"/>
        </w:rPr>
        <w:t xml:space="preserve"> 2016</w:t>
      </w:r>
      <w:r w:rsidR="00235450">
        <w:rPr>
          <w:rFonts w:cs="Times New Roman"/>
          <w:bCs/>
          <w:szCs w:val="24"/>
        </w:rPr>
        <w:t xml:space="preserve"> at: </w:t>
      </w:r>
      <w:r w:rsidR="00235450" w:rsidRPr="00235450">
        <w:rPr>
          <w:rFonts w:cs="Times New Roman"/>
          <w:bCs/>
          <w:szCs w:val="24"/>
        </w:rPr>
        <w:t>http://www.ospirg.org/reports/orf/transportation-and-new-generation</w:t>
      </w:r>
      <w:r w:rsidR="00235450">
        <w:rPr>
          <w:rFonts w:cs="Times New Roman"/>
          <w:bCs/>
          <w:szCs w:val="24"/>
        </w:rPr>
        <w:t>.</w:t>
      </w:r>
    </w:p>
    <w:p w14:paraId="17521DC7" w14:textId="0E6D686D"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DeMaio, P. 2009, Bike-sharing: History, </w:t>
      </w:r>
      <w:r w:rsidR="00345E9F" w:rsidRPr="00A1743C">
        <w:rPr>
          <w:rFonts w:cs="Times New Roman"/>
          <w:bCs/>
          <w:szCs w:val="24"/>
        </w:rPr>
        <w:t>impacts, models of provision, and future</w:t>
      </w:r>
      <w:r w:rsidRPr="00A1743C">
        <w:rPr>
          <w:rFonts w:cs="Times New Roman"/>
          <w:bCs/>
          <w:szCs w:val="24"/>
        </w:rPr>
        <w:t xml:space="preserve">. </w:t>
      </w:r>
      <w:r w:rsidRPr="00A1743C">
        <w:rPr>
          <w:rFonts w:cs="Times New Roman"/>
          <w:bCs/>
          <w:i/>
          <w:iCs/>
          <w:szCs w:val="24"/>
        </w:rPr>
        <w:t>Journal of Public Transportation</w:t>
      </w:r>
      <w:r w:rsidRPr="00A1743C">
        <w:rPr>
          <w:rFonts w:cs="Times New Roman"/>
          <w:bCs/>
          <w:szCs w:val="24"/>
        </w:rPr>
        <w:t>. Vol. 12, pp. 41-56.</w:t>
      </w:r>
    </w:p>
    <w:p w14:paraId="444D1690" w14:textId="7DE6BFE6" w:rsidR="00D66FA9" w:rsidRDefault="00D66FA9" w:rsidP="00345E9F">
      <w:pPr>
        <w:autoSpaceDE w:val="0"/>
        <w:autoSpaceDN w:val="0"/>
        <w:adjustRightInd w:val="0"/>
        <w:ind w:left="576" w:hanging="576"/>
      </w:pPr>
      <w:r w:rsidRPr="00176A1E">
        <w:t xml:space="preserve">Dubé, </w:t>
      </w:r>
      <w:r>
        <w:t>J., Legros, D., Thériault, M., and</w:t>
      </w:r>
      <w:r w:rsidRPr="00176A1E">
        <w:t xml:space="preserve"> Des Rosiers, F.</w:t>
      </w:r>
      <w:r>
        <w:t>,</w:t>
      </w:r>
      <w:r w:rsidRPr="00176A1E">
        <w:t xml:space="preserve"> 2014. A spatial </w:t>
      </w:r>
      <w:r w:rsidR="00345E9F">
        <w:t>d</w:t>
      </w:r>
      <w:r w:rsidRPr="00176A1E">
        <w:t>ifference-in-</w:t>
      </w:r>
      <w:r w:rsidR="00345E9F">
        <w:t>d</w:t>
      </w:r>
      <w:r w:rsidRPr="00176A1E">
        <w:t xml:space="preserve">ifferences estimator to evaluate the effect of change in public mass transit systems on house prices. </w:t>
      </w:r>
      <w:r w:rsidRPr="00D66FA9">
        <w:rPr>
          <w:i/>
        </w:rPr>
        <w:t>Transportation Research Part B: Methodological</w:t>
      </w:r>
      <w:r w:rsidRPr="00176A1E">
        <w:t>,</w:t>
      </w:r>
      <w:r>
        <w:t xml:space="preserve"> Vol.</w:t>
      </w:r>
      <w:r w:rsidRPr="00176A1E">
        <w:t xml:space="preserve"> 64, </w:t>
      </w:r>
      <w:r>
        <w:t xml:space="preserve">pp. </w:t>
      </w:r>
      <w:r w:rsidRPr="00176A1E">
        <w:t>24-40.</w:t>
      </w:r>
    </w:p>
    <w:p w14:paraId="5C675FC9" w14:textId="410BED4F" w:rsidR="00D66FA9" w:rsidRPr="00A1743C" w:rsidRDefault="00D66FA9" w:rsidP="00235450">
      <w:pPr>
        <w:autoSpaceDE w:val="0"/>
        <w:autoSpaceDN w:val="0"/>
        <w:adjustRightInd w:val="0"/>
        <w:ind w:left="576" w:hanging="576"/>
        <w:rPr>
          <w:rFonts w:cs="Times New Roman"/>
          <w:bCs/>
          <w:szCs w:val="24"/>
        </w:rPr>
      </w:pPr>
      <w:r w:rsidRPr="00A1743C">
        <w:rPr>
          <w:rFonts w:cs="Times New Roman"/>
          <w:bCs/>
          <w:szCs w:val="24"/>
        </w:rPr>
        <w:t>Dutzik, T. and P. Baxandall, 2013. A new direction: Our changing relationship with driving and the implications for America’s future. U.S. PIRG Education Fund and Frontier Group.</w:t>
      </w:r>
      <w:r w:rsidR="00235450">
        <w:rPr>
          <w:rFonts w:cs="Times New Roman"/>
          <w:bCs/>
          <w:szCs w:val="24"/>
        </w:rPr>
        <w:t xml:space="preserve"> </w:t>
      </w:r>
      <w:r w:rsidR="00194339">
        <w:rPr>
          <w:rFonts w:cs="Times New Roman"/>
          <w:bCs/>
          <w:szCs w:val="24"/>
        </w:rPr>
        <w:t>Accessed online on June 6</w:t>
      </w:r>
      <w:r w:rsidR="00194339" w:rsidRPr="00194339">
        <w:rPr>
          <w:rFonts w:cs="Times New Roman"/>
          <w:bCs/>
          <w:szCs w:val="24"/>
          <w:vertAlign w:val="superscript"/>
        </w:rPr>
        <w:t>th</w:t>
      </w:r>
      <w:r w:rsidR="00194339">
        <w:rPr>
          <w:rFonts w:cs="Times New Roman"/>
          <w:bCs/>
          <w:szCs w:val="24"/>
        </w:rPr>
        <w:t xml:space="preserve"> 2016 </w:t>
      </w:r>
      <w:r w:rsidR="00235450">
        <w:rPr>
          <w:rFonts w:cs="Times New Roman"/>
          <w:bCs/>
          <w:szCs w:val="24"/>
        </w:rPr>
        <w:t xml:space="preserve">at: </w:t>
      </w:r>
      <w:r w:rsidR="00235450" w:rsidRPr="00235450">
        <w:rPr>
          <w:rFonts w:cs="Times New Roman"/>
          <w:bCs/>
          <w:szCs w:val="24"/>
        </w:rPr>
        <w:t>http://www.uspirg.org/reports/usp/new-direction</w:t>
      </w:r>
      <w:r w:rsidR="00235450">
        <w:rPr>
          <w:rFonts w:cs="Times New Roman"/>
          <w:bCs/>
          <w:szCs w:val="24"/>
        </w:rPr>
        <w:t>.</w:t>
      </w:r>
    </w:p>
    <w:p w14:paraId="04D29B2F" w14:textId="05F5E2C9" w:rsidR="00D66FA9" w:rsidRDefault="00D66FA9" w:rsidP="00D62070">
      <w:pPr>
        <w:autoSpaceDE w:val="0"/>
        <w:autoSpaceDN w:val="0"/>
        <w:adjustRightInd w:val="0"/>
        <w:ind w:left="576" w:hanging="576"/>
      </w:pPr>
      <w:r w:rsidRPr="0073181C">
        <w:t xml:space="preserve">Efthymiou, D., </w:t>
      </w:r>
      <w:r>
        <w:t>and</w:t>
      </w:r>
      <w:r w:rsidRPr="0073181C">
        <w:t xml:space="preserve"> Antoniou, C.</w:t>
      </w:r>
      <w:r>
        <w:t>,</w:t>
      </w:r>
      <w:r w:rsidRPr="0073181C">
        <w:t xml:space="preserve"> 2013. How do transport infrastructure and policies affect house prices and rents? Evidence from Athens, Greece. </w:t>
      </w:r>
      <w:r w:rsidRPr="00D66FA9">
        <w:rPr>
          <w:i/>
        </w:rPr>
        <w:t>Transportation Research Part A: Policy and Practice</w:t>
      </w:r>
      <w:r w:rsidRPr="0073181C">
        <w:t>,</w:t>
      </w:r>
      <w:r>
        <w:t xml:space="preserve"> Vol.</w:t>
      </w:r>
      <w:r w:rsidRPr="0073181C">
        <w:t xml:space="preserve"> 52,</w:t>
      </w:r>
      <w:r>
        <w:t xml:space="preserve"> pp.</w:t>
      </w:r>
      <w:r w:rsidRPr="0073181C">
        <w:t xml:space="preserve"> 1-22.</w:t>
      </w:r>
    </w:p>
    <w:p w14:paraId="1E98028A" w14:textId="125BFE5D" w:rsidR="00D66FA9" w:rsidRPr="00A1743C" w:rsidRDefault="00D66FA9" w:rsidP="00611452">
      <w:pPr>
        <w:autoSpaceDE w:val="0"/>
        <w:autoSpaceDN w:val="0"/>
        <w:adjustRightInd w:val="0"/>
        <w:ind w:left="576" w:hanging="576"/>
        <w:rPr>
          <w:rFonts w:cs="Times New Roman"/>
          <w:bCs/>
          <w:szCs w:val="24"/>
        </w:rPr>
      </w:pPr>
      <w:r w:rsidRPr="00A1743C">
        <w:rPr>
          <w:rFonts w:cs="Times New Roman"/>
          <w:bCs/>
          <w:szCs w:val="24"/>
        </w:rPr>
        <w:t xml:space="preserve">Elhorst J. Paul., 2003. Specification and </w:t>
      </w:r>
      <w:r w:rsidR="00345E9F" w:rsidRPr="00A1743C">
        <w:rPr>
          <w:rFonts w:cs="Times New Roman"/>
          <w:bCs/>
          <w:szCs w:val="24"/>
        </w:rPr>
        <w:t>estimation of spatial panel data models</w:t>
      </w:r>
      <w:r w:rsidR="00611452">
        <w:rPr>
          <w:rFonts w:cs="Times New Roman"/>
          <w:bCs/>
          <w:szCs w:val="24"/>
        </w:rPr>
        <w:t>.</w:t>
      </w:r>
      <w:r w:rsidRPr="00A1743C">
        <w:rPr>
          <w:rFonts w:cs="Times New Roman"/>
          <w:bCs/>
          <w:szCs w:val="24"/>
        </w:rPr>
        <w:t xml:space="preserve"> </w:t>
      </w:r>
      <w:r w:rsidRPr="00A1743C">
        <w:rPr>
          <w:rFonts w:cs="Times New Roman"/>
          <w:bCs/>
          <w:i/>
          <w:szCs w:val="24"/>
        </w:rPr>
        <w:t>International Regional Science Review</w:t>
      </w:r>
      <w:r w:rsidRPr="00A1743C">
        <w:rPr>
          <w:rFonts w:cs="Times New Roman"/>
          <w:bCs/>
          <w:szCs w:val="24"/>
        </w:rPr>
        <w:t>, Vol. 26, pp. 244-268.</w:t>
      </w:r>
    </w:p>
    <w:p w14:paraId="48A61EE8" w14:textId="096F43D2" w:rsidR="00D66FA9" w:rsidRPr="00A1743C" w:rsidRDefault="00D66FA9" w:rsidP="001A0668">
      <w:pPr>
        <w:autoSpaceDE w:val="0"/>
        <w:autoSpaceDN w:val="0"/>
        <w:adjustRightInd w:val="0"/>
        <w:ind w:left="576" w:hanging="576"/>
        <w:rPr>
          <w:rFonts w:cs="Times New Roman"/>
          <w:bCs/>
          <w:szCs w:val="24"/>
        </w:rPr>
      </w:pPr>
      <w:r w:rsidRPr="00A1743C">
        <w:rPr>
          <w:rFonts w:cs="Times New Roman"/>
          <w:bCs/>
          <w:szCs w:val="24"/>
        </w:rPr>
        <w:t xml:space="preserve">Elhorst J. Paul., 2009. Spatial Panel Data Models. In Fischer MM, Getis A (Eds.) Handbook of Applied Spatial Analysis, Ch. C.2. </w:t>
      </w:r>
      <w:r w:rsidR="00D4301A" w:rsidRPr="00D4301A">
        <w:rPr>
          <w:rFonts w:cs="Times New Roman"/>
          <w:bCs/>
          <w:szCs w:val="24"/>
        </w:rPr>
        <w:t>pp 377-407</w:t>
      </w:r>
      <w:r w:rsidR="00D4301A">
        <w:rPr>
          <w:rFonts w:cs="Times New Roman"/>
          <w:bCs/>
          <w:szCs w:val="24"/>
        </w:rPr>
        <w:t>.</w:t>
      </w:r>
      <w:r w:rsidR="00D4301A" w:rsidRPr="00D4301A">
        <w:rPr>
          <w:rFonts w:cs="Times New Roman"/>
          <w:bCs/>
          <w:szCs w:val="24"/>
        </w:rPr>
        <w:t xml:space="preserve"> </w:t>
      </w:r>
      <w:r w:rsidRPr="00A1743C">
        <w:rPr>
          <w:rFonts w:cs="Times New Roman"/>
          <w:bCs/>
          <w:szCs w:val="24"/>
        </w:rPr>
        <w:t>Springer: Berlin Heidelberg.</w:t>
      </w:r>
    </w:p>
    <w:p w14:paraId="27FC7BA8" w14:textId="3F967FCB" w:rsidR="00D66FA9" w:rsidRPr="00A1743C" w:rsidRDefault="00D66FA9" w:rsidP="001A0668">
      <w:pPr>
        <w:autoSpaceDE w:val="0"/>
        <w:autoSpaceDN w:val="0"/>
        <w:adjustRightInd w:val="0"/>
        <w:ind w:left="576" w:hanging="576"/>
        <w:rPr>
          <w:rFonts w:cs="Times New Roman"/>
          <w:bCs/>
          <w:szCs w:val="24"/>
        </w:rPr>
      </w:pPr>
      <w:r w:rsidRPr="00A1743C">
        <w:rPr>
          <w:rFonts w:cs="Times New Roman"/>
          <w:bCs/>
          <w:szCs w:val="24"/>
        </w:rPr>
        <w:t>Elhorst, J. Paul., 2014.</w:t>
      </w:r>
      <w:r w:rsidR="001A0668">
        <w:rPr>
          <w:rFonts w:cs="Times New Roman"/>
          <w:bCs/>
          <w:szCs w:val="24"/>
        </w:rPr>
        <w:t xml:space="preserve"> </w:t>
      </w:r>
      <w:r w:rsidR="001A0668" w:rsidRPr="001A0668">
        <w:rPr>
          <w:rFonts w:cs="Times New Roman"/>
          <w:bCs/>
          <w:szCs w:val="24"/>
        </w:rPr>
        <w:t xml:space="preserve">Spatial </w:t>
      </w:r>
      <w:r w:rsidR="001A0668">
        <w:rPr>
          <w:rFonts w:cs="Times New Roman"/>
          <w:bCs/>
          <w:szCs w:val="24"/>
        </w:rPr>
        <w:t>E</w:t>
      </w:r>
      <w:r w:rsidR="001A0668" w:rsidRPr="001A0668">
        <w:rPr>
          <w:rFonts w:cs="Times New Roman"/>
          <w:bCs/>
          <w:szCs w:val="24"/>
        </w:rPr>
        <w:t xml:space="preserve">conometrics: from </w:t>
      </w:r>
      <w:r w:rsidR="001A0668">
        <w:rPr>
          <w:rFonts w:cs="Times New Roman"/>
          <w:bCs/>
          <w:szCs w:val="24"/>
        </w:rPr>
        <w:t>C</w:t>
      </w:r>
      <w:r w:rsidR="001A0668" w:rsidRPr="001A0668">
        <w:rPr>
          <w:rFonts w:cs="Times New Roman"/>
          <w:bCs/>
          <w:szCs w:val="24"/>
        </w:rPr>
        <w:t xml:space="preserve">ross-sectional </w:t>
      </w:r>
      <w:r w:rsidR="001A0668">
        <w:rPr>
          <w:rFonts w:cs="Times New Roman"/>
          <w:bCs/>
          <w:szCs w:val="24"/>
        </w:rPr>
        <w:t>D</w:t>
      </w:r>
      <w:r w:rsidR="001A0668" w:rsidRPr="001A0668">
        <w:rPr>
          <w:rFonts w:cs="Times New Roman"/>
          <w:bCs/>
          <w:szCs w:val="24"/>
        </w:rPr>
        <w:t xml:space="preserve">ata to </w:t>
      </w:r>
      <w:r w:rsidR="001A0668">
        <w:rPr>
          <w:rFonts w:cs="Times New Roman"/>
          <w:bCs/>
          <w:szCs w:val="24"/>
        </w:rPr>
        <w:t>S</w:t>
      </w:r>
      <w:r w:rsidR="001A0668" w:rsidRPr="001A0668">
        <w:rPr>
          <w:rFonts w:cs="Times New Roman"/>
          <w:bCs/>
          <w:szCs w:val="24"/>
        </w:rPr>
        <w:t xml:space="preserve">patial </w:t>
      </w:r>
      <w:r w:rsidR="001A0668">
        <w:rPr>
          <w:rFonts w:cs="Times New Roman"/>
          <w:bCs/>
          <w:szCs w:val="24"/>
        </w:rPr>
        <w:t>P</w:t>
      </w:r>
      <w:r w:rsidR="001A0668" w:rsidRPr="001A0668">
        <w:rPr>
          <w:rFonts w:cs="Times New Roman"/>
          <w:bCs/>
          <w:szCs w:val="24"/>
        </w:rPr>
        <w:t>anels</w:t>
      </w:r>
      <w:r w:rsidRPr="00A1743C">
        <w:rPr>
          <w:rFonts w:cs="Times New Roman"/>
          <w:bCs/>
          <w:szCs w:val="24"/>
        </w:rPr>
        <w:t>, pp. 37-93. Springer</w:t>
      </w:r>
      <w:r w:rsidR="001A0668">
        <w:rPr>
          <w:rFonts w:cs="Times New Roman"/>
          <w:bCs/>
          <w:szCs w:val="24"/>
        </w:rPr>
        <w:t>:</w:t>
      </w:r>
      <w:r w:rsidRPr="00A1743C">
        <w:rPr>
          <w:rFonts w:cs="Times New Roman"/>
          <w:bCs/>
          <w:szCs w:val="24"/>
        </w:rPr>
        <w:t xml:space="preserve"> </w:t>
      </w:r>
      <w:r w:rsidR="001A0668" w:rsidRPr="00A1743C">
        <w:rPr>
          <w:rFonts w:cs="Times New Roman"/>
          <w:bCs/>
          <w:szCs w:val="24"/>
        </w:rPr>
        <w:t>New York</w:t>
      </w:r>
      <w:r w:rsidRPr="00A1743C">
        <w:rPr>
          <w:rFonts w:cs="Times New Roman"/>
          <w:bCs/>
          <w:szCs w:val="24"/>
        </w:rPr>
        <w:t>.</w:t>
      </w:r>
    </w:p>
    <w:p w14:paraId="1C20998D" w14:textId="71A24009"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lastRenderedPageBreak/>
        <w:t>Faghih-Imani A. and N. Eluru,</w:t>
      </w:r>
      <w:r w:rsidR="00455B2B">
        <w:rPr>
          <w:rFonts w:cs="Times New Roman"/>
          <w:bCs/>
          <w:szCs w:val="24"/>
        </w:rPr>
        <w:t xml:space="preserve"> 2014.</w:t>
      </w:r>
      <w:r w:rsidRPr="00A1743C">
        <w:rPr>
          <w:rFonts w:cs="Times New Roman"/>
          <w:bCs/>
          <w:szCs w:val="24"/>
        </w:rPr>
        <w:t xml:space="preserve"> Role of </w:t>
      </w:r>
      <w:r w:rsidR="00345E9F" w:rsidRPr="00A1743C">
        <w:rPr>
          <w:rFonts w:cs="Times New Roman"/>
          <w:bCs/>
          <w:szCs w:val="24"/>
        </w:rPr>
        <w:t>bicycle sharing system infrastructure on usage: evidence from</w:t>
      </w:r>
      <w:r w:rsidRPr="00A1743C">
        <w:rPr>
          <w:rFonts w:cs="Times New Roman"/>
          <w:bCs/>
          <w:szCs w:val="24"/>
        </w:rPr>
        <w:t xml:space="preserve"> Montreal, Presented at the 5th Innovations in Travel Modeling Conference, Baltimore, MD, 2014.</w:t>
      </w:r>
    </w:p>
    <w:p w14:paraId="29AF6E92" w14:textId="696073F5" w:rsidR="00D66FA9" w:rsidRPr="00A1743C" w:rsidRDefault="00D66FA9" w:rsidP="00345E9F">
      <w:pPr>
        <w:autoSpaceDE w:val="0"/>
        <w:autoSpaceDN w:val="0"/>
        <w:adjustRightInd w:val="0"/>
        <w:ind w:left="576" w:hanging="576"/>
        <w:rPr>
          <w:rFonts w:cs="Times New Roman"/>
          <w:bCs/>
          <w:szCs w:val="24"/>
        </w:rPr>
      </w:pPr>
      <w:r w:rsidRPr="00A1743C">
        <w:rPr>
          <w:rFonts w:cs="Times New Roman"/>
          <w:bCs/>
          <w:szCs w:val="24"/>
        </w:rPr>
        <w:t xml:space="preserve">Faghih-Imani A., and N. Eluru, 2015. Analyzing </w:t>
      </w:r>
      <w:r w:rsidR="00345E9F" w:rsidRPr="00A1743C">
        <w:rPr>
          <w:rFonts w:cs="Times New Roman"/>
          <w:bCs/>
          <w:szCs w:val="24"/>
        </w:rPr>
        <w:t xml:space="preserve">bicycle sharing system user destination choice preferences: </w:t>
      </w:r>
      <w:r w:rsidR="00345E9F">
        <w:rPr>
          <w:rFonts w:cs="Times New Roman"/>
          <w:bCs/>
          <w:szCs w:val="24"/>
        </w:rPr>
        <w:t>A</w:t>
      </w:r>
      <w:r w:rsidR="00345E9F" w:rsidRPr="00A1743C">
        <w:rPr>
          <w:rFonts w:cs="Times New Roman"/>
          <w:bCs/>
          <w:szCs w:val="24"/>
        </w:rPr>
        <w:t>n investigation</w:t>
      </w:r>
      <w:r w:rsidRPr="00A1743C">
        <w:rPr>
          <w:rFonts w:cs="Times New Roman"/>
          <w:bCs/>
          <w:szCs w:val="24"/>
        </w:rPr>
        <w:t xml:space="preserve"> of Chicago's Divvy </w:t>
      </w:r>
      <w:r w:rsidR="00345E9F">
        <w:rPr>
          <w:rFonts w:cs="Times New Roman"/>
          <w:bCs/>
          <w:szCs w:val="24"/>
        </w:rPr>
        <w:t>s</w:t>
      </w:r>
      <w:r w:rsidRPr="00A1743C">
        <w:rPr>
          <w:rFonts w:cs="Times New Roman"/>
          <w:bCs/>
          <w:szCs w:val="24"/>
        </w:rPr>
        <w:t>ystem</w:t>
      </w:r>
      <w:r w:rsidR="00611452">
        <w:rPr>
          <w:rFonts w:cs="Times New Roman"/>
          <w:bCs/>
          <w:szCs w:val="24"/>
        </w:rPr>
        <w:t>.</w:t>
      </w:r>
      <w:r w:rsidRPr="00A1743C">
        <w:rPr>
          <w:rFonts w:cs="Times New Roman"/>
          <w:bCs/>
          <w:szCs w:val="24"/>
        </w:rPr>
        <w:t xml:space="preserve"> </w:t>
      </w:r>
      <w:r w:rsidRPr="00A1743C">
        <w:rPr>
          <w:rFonts w:cs="Times New Roman"/>
          <w:bCs/>
          <w:i/>
          <w:szCs w:val="24"/>
        </w:rPr>
        <w:t>Journal of Transport Geography</w:t>
      </w:r>
      <w:r w:rsidRPr="00A1743C">
        <w:rPr>
          <w:rFonts w:cs="Times New Roman"/>
          <w:bCs/>
          <w:szCs w:val="24"/>
        </w:rPr>
        <w:t>, Vol. 44, pp. 53-64.</w:t>
      </w:r>
    </w:p>
    <w:p w14:paraId="4A31A14B" w14:textId="307E534A" w:rsidR="00D66FA9" w:rsidRPr="00A1743C" w:rsidRDefault="00D66FA9" w:rsidP="00611452">
      <w:pPr>
        <w:autoSpaceDE w:val="0"/>
        <w:autoSpaceDN w:val="0"/>
        <w:adjustRightInd w:val="0"/>
        <w:ind w:left="576" w:hanging="576"/>
        <w:rPr>
          <w:rFonts w:cs="Times New Roman"/>
          <w:bCs/>
          <w:szCs w:val="24"/>
        </w:rPr>
      </w:pPr>
      <w:r w:rsidRPr="00A1743C">
        <w:rPr>
          <w:rFonts w:cs="Times New Roman"/>
          <w:bCs/>
          <w:szCs w:val="24"/>
        </w:rPr>
        <w:t>Faghih-Imani A., N. Eluru, A. El-Geneidy, M. Rabbat, and U. Haq, 2014. How land-use and urban form impact bicycle flows: Evidence from the bicycle-sharing system (BIXI) in Montreal</w:t>
      </w:r>
      <w:r w:rsidR="00611452">
        <w:rPr>
          <w:rFonts w:cs="Times New Roman"/>
          <w:bCs/>
          <w:szCs w:val="24"/>
        </w:rPr>
        <w:t>.</w:t>
      </w:r>
      <w:r w:rsidRPr="00A1743C">
        <w:rPr>
          <w:rFonts w:cs="Times New Roman"/>
          <w:bCs/>
          <w:szCs w:val="24"/>
        </w:rPr>
        <w:t xml:space="preserve"> </w:t>
      </w:r>
      <w:r w:rsidRPr="00A1743C">
        <w:rPr>
          <w:rFonts w:cs="Times New Roman"/>
          <w:bCs/>
          <w:i/>
          <w:iCs/>
          <w:szCs w:val="24"/>
        </w:rPr>
        <w:t>Journal of Transport Geography</w:t>
      </w:r>
      <w:r w:rsidRPr="00A1743C">
        <w:rPr>
          <w:rFonts w:cs="Times New Roman"/>
          <w:bCs/>
          <w:szCs w:val="24"/>
        </w:rPr>
        <w:t xml:space="preserve">, Vol. 41, pp. 306-314. </w:t>
      </w:r>
    </w:p>
    <w:p w14:paraId="6D05944F" w14:textId="74351268" w:rsidR="00D66FA9" w:rsidRDefault="00D66FA9" w:rsidP="00D62070">
      <w:pPr>
        <w:autoSpaceDE w:val="0"/>
        <w:autoSpaceDN w:val="0"/>
        <w:adjustRightInd w:val="0"/>
        <w:ind w:left="576" w:hanging="576"/>
      </w:pPr>
      <w:r>
        <w:t>Ferdous, N., and</w:t>
      </w:r>
      <w:r w:rsidRPr="0073181C">
        <w:t xml:space="preserve"> Bhat, C. R.</w:t>
      </w:r>
      <w:r>
        <w:t>,</w:t>
      </w:r>
      <w:r w:rsidRPr="0073181C">
        <w:t xml:space="preserve"> 2013. A spatial panel ordered-response model with application to the analysis of urban land-use development intensity patterns. </w:t>
      </w:r>
      <w:r w:rsidRPr="00D66FA9">
        <w:rPr>
          <w:i/>
        </w:rPr>
        <w:t>Journal of Geographical Systems</w:t>
      </w:r>
      <w:r w:rsidRPr="0073181C">
        <w:t>,</w:t>
      </w:r>
      <w:r>
        <w:t xml:space="preserve"> Vol.</w:t>
      </w:r>
      <w:r w:rsidRPr="0073181C">
        <w:t xml:space="preserve"> 15,</w:t>
      </w:r>
      <w:r>
        <w:t xml:space="preserve"> pp.</w:t>
      </w:r>
      <w:r w:rsidRPr="0073181C">
        <w:t xml:space="preserve"> 1-29.</w:t>
      </w:r>
    </w:p>
    <w:p w14:paraId="0A178148" w14:textId="7363BCEC" w:rsidR="00D66FA9" w:rsidRDefault="00D66FA9" w:rsidP="001A0668">
      <w:pPr>
        <w:autoSpaceDE w:val="0"/>
        <w:autoSpaceDN w:val="0"/>
        <w:adjustRightInd w:val="0"/>
        <w:ind w:left="576" w:hanging="576"/>
      </w:pPr>
      <w:r>
        <w:t>Fishman, E., 2015. Bikeshare</w:t>
      </w:r>
      <w:r w:rsidR="001A0668">
        <w:t xml:space="preserve">: A </w:t>
      </w:r>
      <w:r w:rsidR="00345E9F">
        <w:t>review of recent literature</w:t>
      </w:r>
      <w:r w:rsidR="001A0668">
        <w:t>,</w:t>
      </w:r>
      <w:r>
        <w:t xml:space="preserve"> </w:t>
      </w:r>
      <w:r w:rsidRPr="00B670C6">
        <w:rPr>
          <w:i/>
        </w:rPr>
        <w:t>Transport Reviews</w:t>
      </w:r>
      <w:r w:rsidR="001A0668">
        <w:rPr>
          <w:iCs/>
        </w:rPr>
        <w:t xml:space="preserve">, Vol. 36, pp. </w:t>
      </w:r>
      <w:r w:rsidR="001A0668" w:rsidRPr="001A0668">
        <w:rPr>
          <w:iCs/>
        </w:rPr>
        <w:t>92-113</w:t>
      </w:r>
      <w:r w:rsidRPr="00B670C6">
        <w:rPr>
          <w:i/>
        </w:rPr>
        <w:t>.</w:t>
      </w:r>
    </w:p>
    <w:p w14:paraId="42C74DE5" w14:textId="66BA5138" w:rsidR="00D66FA9" w:rsidRDefault="00D66FA9" w:rsidP="00D62070">
      <w:pPr>
        <w:autoSpaceDE w:val="0"/>
        <w:autoSpaceDN w:val="0"/>
        <w:adjustRightInd w:val="0"/>
        <w:ind w:left="576" w:hanging="576"/>
      </w:pPr>
      <w:r w:rsidRPr="00A2442F">
        <w:t>Fishman, E., S. Washington and N. Haworth</w:t>
      </w:r>
      <w:r>
        <w:t>, 2014</w:t>
      </w:r>
      <w:r w:rsidRPr="00A2442F">
        <w:t xml:space="preserve">. Bike share’s impact on car use: Evidence from the United States, Great Britain, and Australia, </w:t>
      </w:r>
      <w:r w:rsidRPr="00B670C6">
        <w:rPr>
          <w:i/>
        </w:rPr>
        <w:t>Transportation Research Part D: Transport and Environment</w:t>
      </w:r>
      <w:r>
        <w:t>, Vol. 31</w:t>
      </w:r>
      <w:r w:rsidRPr="00A2442F">
        <w:t xml:space="preserve">, pp. 13-20. </w:t>
      </w:r>
    </w:p>
    <w:p w14:paraId="73042082" w14:textId="095F2BCC" w:rsidR="00D66FA9" w:rsidRDefault="00D66FA9" w:rsidP="00611452">
      <w:pPr>
        <w:autoSpaceDE w:val="0"/>
        <w:autoSpaceDN w:val="0"/>
        <w:adjustRightInd w:val="0"/>
        <w:ind w:left="576" w:hanging="576"/>
      </w:pPr>
      <w:r w:rsidRPr="00A2442F">
        <w:t>Fishman, E., S. Washington and N. Haworth</w:t>
      </w:r>
      <w:r>
        <w:t>, 2015.</w:t>
      </w:r>
      <w:r w:rsidRPr="00A2442F">
        <w:t xml:space="preserve"> Bikeshare’s impact on active travel: Evidence from the United States, Great Britain, and Australia</w:t>
      </w:r>
      <w:r w:rsidR="00611452">
        <w:t>.</w:t>
      </w:r>
      <w:r>
        <w:t xml:space="preserve"> </w:t>
      </w:r>
      <w:r w:rsidRPr="00B670C6">
        <w:rPr>
          <w:i/>
        </w:rPr>
        <w:t>Journal of Transport &amp; Health,</w:t>
      </w:r>
      <w:r w:rsidRPr="00A2442F">
        <w:t> </w:t>
      </w:r>
      <w:r>
        <w:t>Vol. 2, pp. 135-142</w:t>
      </w:r>
      <w:r w:rsidRPr="00A2442F">
        <w:t>.</w:t>
      </w:r>
    </w:p>
    <w:p w14:paraId="005FFEA9" w14:textId="2EB18735" w:rsidR="00D66FA9" w:rsidRPr="005E50C6" w:rsidRDefault="00D66FA9" w:rsidP="00D62070">
      <w:pPr>
        <w:autoSpaceDE w:val="0"/>
        <w:autoSpaceDN w:val="0"/>
        <w:adjustRightInd w:val="0"/>
        <w:ind w:left="576" w:hanging="576"/>
        <w:rPr>
          <w:rFonts w:cs="Times New Roman"/>
          <w:bCs/>
          <w:szCs w:val="24"/>
        </w:rPr>
      </w:pPr>
      <w:r w:rsidRPr="005E50C6">
        <w:rPr>
          <w:rFonts w:cs="Times New Roman"/>
          <w:bCs/>
          <w:szCs w:val="24"/>
        </w:rPr>
        <w:t>Fishman, E., S. Washington, and N. Haworth, 2013. Bike Share</w:t>
      </w:r>
      <w:r w:rsidR="005144CB">
        <w:rPr>
          <w:rFonts w:cs="Times New Roman"/>
          <w:bCs/>
          <w:szCs w:val="24"/>
        </w:rPr>
        <w:t xml:space="preserve">: A </w:t>
      </w:r>
      <w:r w:rsidR="00345E9F">
        <w:rPr>
          <w:rFonts w:cs="Times New Roman"/>
          <w:bCs/>
          <w:szCs w:val="24"/>
        </w:rPr>
        <w:t>synthesis of the literature</w:t>
      </w:r>
      <w:r w:rsidR="005144CB">
        <w:rPr>
          <w:rFonts w:cs="Times New Roman"/>
          <w:bCs/>
          <w:szCs w:val="24"/>
        </w:rPr>
        <w:t>,</w:t>
      </w:r>
      <w:r w:rsidRPr="005E50C6">
        <w:rPr>
          <w:rFonts w:cs="Times New Roman"/>
          <w:bCs/>
          <w:szCs w:val="24"/>
        </w:rPr>
        <w:t xml:space="preserve"> </w:t>
      </w:r>
      <w:r w:rsidRPr="005E50C6">
        <w:rPr>
          <w:rFonts w:cs="Times New Roman"/>
          <w:bCs/>
          <w:i/>
          <w:iCs/>
          <w:szCs w:val="24"/>
        </w:rPr>
        <w:t>Transport Review</w:t>
      </w:r>
      <w:r w:rsidR="001A0668">
        <w:rPr>
          <w:rFonts w:cs="Times New Roman"/>
          <w:bCs/>
          <w:szCs w:val="24"/>
        </w:rPr>
        <w:t>,</w:t>
      </w:r>
      <w:r w:rsidRPr="005E50C6">
        <w:rPr>
          <w:rFonts w:cs="Times New Roman"/>
          <w:bCs/>
          <w:szCs w:val="24"/>
        </w:rPr>
        <w:t xml:space="preserve"> Vol. 33, pp. 148-165.</w:t>
      </w:r>
    </w:p>
    <w:p w14:paraId="7DB94E5E" w14:textId="38B1B60C" w:rsidR="00D66FA9" w:rsidRDefault="00D66FA9" w:rsidP="005144CB">
      <w:pPr>
        <w:autoSpaceDE w:val="0"/>
        <w:autoSpaceDN w:val="0"/>
        <w:adjustRightInd w:val="0"/>
        <w:ind w:left="576" w:hanging="576"/>
      </w:pPr>
      <w:r>
        <w:t>Frazier, C., and Kockelman, K., 2005. Spatial econometric models for panel data: incorporating spatial and temporal data</w:t>
      </w:r>
      <w:r w:rsidR="005144CB">
        <w:t>,</w:t>
      </w:r>
      <w:r>
        <w:t xml:space="preserve"> </w:t>
      </w:r>
      <w:r w:rsidRPr="00D66FA9">
        <w:rPr>
          <w:i/>
        </w:rPr>
        <w:t>Transportation Research Record: Journal of the Transportation Research Board</w:t>
      </w:r>
      <w:r>
        <w:t>, No. 1902, pp. 80-90.</w:t>
      </w:r>
    </w:p>
    <w:p w14:paraId="49005619" w14:textId="28447DF2" w:rsidR="00D66FA9" w:rsidRPr="00A1743C" w:rsidRDefault="00D66FA9" w:rsidP="00D62070">
      <w:pPr>
        <w:autoSpaceDE w:val="0"/>
        <w:autoSpaceDN w:val="0"/>
        <w:adjustRightInd w:val="0"/>
        <w:ind w:left="576" w:hanging="576"/>
        <w:rPr>
          <w:rFonts w:cs="Times New Roman"/>
          <w:bCs/>
          <w:szCs w:val="24"/>
        </w:rPr>
      </w:pPr>
      <w:r w:rsidRPr="005E50C6">
        <w:rPr>
          <w:rFonts w:cs="Times New Roman"/>
          <w:bCs/>
          <w:szCs w:val="24"/>
        </w:rPr>
        <w:t xml:space="preserve">Froehlich, J., J. Neumann and N. Oliver, 2009. Sensing and predicting the pulse of the city through shared bicycling.  </w:t>
      </w:r>
      <w:r w:rsidRPr="00A1743C">
        <w:rPr>
          <w:rFonts w:cs="Times New Roman"/>
          <w:bCs/>
          <w:szCs w:val="24"/>
        </w:rPr>
        <w:t>IJCAI'09 Proceedings of the 21</w:t>
      </w:r>
      <w:r w:rsidRPr="00A1743C">
        <w:rPr>
          <w:rFonts w:cs="Times New Roman"/>
          <w:bCs/>
          <w:szCs w:val="24"/>
          <w:vertAlign w:val="superscript"/>
        </w:rPr>
        <w:t>st</w:t>
      </w:r>
      <w:r w:rsidRPr="00A1743C">
        <w:rPr>
          <w:rFonts w:cs="Times New Roman"/>
          <w:bCs/>
          <w:szCs w:val="24"/>
        </w:rPr>
        <w:t xml:space="preserve"> international joint conference on Artifical intelligence, pp. 1420-1426.</w:t>
      </w:r>
    </w:p>
    <w:p w14:paraId="2CF3DF2A" w14:textId="5F1A0309"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Fuller, D., L. Gauvin, Y. Kestens, M. Daniel, M. Fournier, P. Morency, and L. Drouin, 2011. Use of a new public bicycle share program in Montreal, Canada. </w:t>
      </w:r>
      <w:r w:rsidRPr="00A1743C">
        <w:rPr>
          <w:rFonts w:cs="Times New Roman"/>
          <w:bCs/>
          <w:i/>
          <w:iCs/>
          <w:szCs w:val="24"/>
        </w:rPr>
        <w:t>American journal of preventive medicine,</w:t>
      </w:r>
      <w:r w:rsidRPr="00A1743C">
        <w:rPr>
          <w:rFonts w:cs="Times New Roman"/>
          <w:bCs/>
          <w:szCs w:val="24"/>
        </w:rPr>
        <w:t xml:space="preserve"> Vol. 41, No. 1, pp. 80-83.</w:t>
      </w:r>
    </w:p>
    <w:p w14:paraId="22C51F2F" w14:textId="1C828790"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Gebhart, K. and Noland, R., 2014. The Impact of </w:t>
      </w:r>
      <w:r w:rsidR="00345E9F" w:rsidRPr="00A1743C">
        <w:rPr>
          <w:rFonts w:cs="Times New Roman"/>
          <w:bCs/>
          <w:szCs w:val="24"/>
        </w:rPr>
        <w:t xml:space="preserve">weather conditions on bikeshare trips </w:t>
      </w:r>
      <w:r w:rsidRPr="00A1743C">
        <w:rPr>
          <w:rFonts w:cs="Times New Roman"/>
          <w:bCs/>
          <w:szCs w:val="24"/>
        </w:rPr>
        <w:t xml:space="preserve">in Washington, DC. </w:t>
      </w:r>
      <w:r w:rsidRPr="00611452">
        <w:rPr>
          <w:rFonts w:cs="Times New Roman"/>
          <w:bCs/>
          <w:i/>
          <w:iCs/>
          <w:szCs w:val="24"/>
        </w:rPr>
        <w:t>Transportation</w:t>
      </w:r>
      <w:r w:rsidRPr="00A1743C">
        <w:rPr>
          <w:rFonts w:cs="Times New Roman"/>
          <w:bCs/>
          <w:szCs w:val="24"/>
        </w:rPr>
        <w:t xml:space="preserve">, Vol. 41, pp. 1205-1225. </w:t>
      </w:r>
    </w:p>
    <w:p w14:paraId="7F4A0824" w14:textId="3091BC96"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Giot, R. and R., Cherrier. 2014. Predicting </w:t>
      </w:r>
      <w:r w:rsidR="00345E9F" w:rsidRPr="00A1743C">
        <w:rPr>
          <w:rFonts w:cs="Times New Roman"/>
          <w:bCs/>
          <w:szCs w:val="24"/>
        </w:rPr>
        <w:t>bikeshare system usage up to one day a</w:t>
      </w:r>
      <w:r w:rsidRPr="00A1743C">
        <w:rPr>
          <w:rFonts w:cs="Times New Roman"/>
          <w:bCs/>
          <w:szCs w:val="24"/>
        </w:rPr>
        <w:t>head. In IEEE Symposium Series in Computational Intelligence 2014. Workshop on Computational Intelligence in Vehicles and Transportation Systems, pp. 1-8.</w:t>
      </w:r>
    </w:p>
    <w:p w14:paraId="56274483" w14:textId="1A543E03" w:rsidR="00D66FA9" w:rsidRPr="00A1743C" w:rsidRDefault="00D66FA9" w:rsidP="005144CB">
      <w:pPr>
        <w:autoSpaceDE w:val="0"/>
        <w:autoSpaceDN w:val="0"/>
        <w:adjustRightInd w:val="0"/>
        <w:ind w:left="576" w:hanging="576"/>
        <w:rPr>
          <w:rFonts w:cs="Times New Roman"/>
          <w:bCs/>
          <w:szCs w:val="24"/>
        </w:rPr>
      </w:pPr>
      <w:r w:rsidRPr="00A1743C">
        <w:rPr>
          <w:rFonts w:cs="Times New Roman"/>
          <w:bCs/>
          <w:szCs w:val="24"/>
        </w:rPr>
        <w:t xml:space="preserve">González, F., C. Melo-Riquelme, and L. de Grange. 2015. A combined destination and route choice model for a bicycle sharing system. </w:t>
      </w:r>
      <w:r w:rsidRPr="00A1743C">
        <w:rPr>
          <w:rFonts w:cs="Times New Roman"/>
          <w:bCs/>
          <w:i/>
          <w:szCs w:val="24"/>
        </w:rPr>
        <w:t>Transportation,</w:t>
      </w:r>
      <w:r w:rsidRPr="00A1743C">
        <w:rPr>
          <w:rFonts w:cs="Times New Roman"/>
          <w:bCs/>
          <w:szCs w:val="24"/>
        </w:rPr>
        <w:t> </w:t>
      </w:r>
      <w:r w:rsidR="005144CB">
        <w:rPr>
          <w:rFonts w:cs="Times New Roman"/>
          <w:bCs/>
          <w:szCs w:val="24"/>
        </w:rPr>
        <w:t xml:space="preserve">Vol. 43, </w:t>
      </w:r>
      <w:r w:rsidR="005144CB" w:rsidRPr="005144CB">
        <w:rPr>
          <w:rFonts w:cs="Times New Roman"/>
          <w:bCs/>
          <w:szCs w:val="24"/>
        </w:rPr>
        <w:t>pp 407-423</w:t>
      </w:r>
      <w:r w:rsidR="005144CB">
        <w:rPr>
          <w:rFonts w:cs="Times New Roman"/>
          <w:bCs/>
          <w:szCs w:val="24"/>
        </w:rPr>
        <w:t>.</w:t>
      </w:r>
    </w:p>
    <w:p w14:paraId="294DBCF1" w14:textId="3E196E54" w:rsidR="00D66FA9" w:rsidRPr="00A1743C" w:rsidRDefault="00D66FA9" w:rsidP="00345E9F">
      <w:pPr>
        <w:autoSpaceDE w:val="0"/>
        <w:autoSpaceDN w:val="0"/>
        <w:adjustRightInd w:val="0"/>
        <w:ind w:left="576" w:hanging="576"/>
        <w:rPr>
          <w:rFonts w:cs="Times New Roman"/>
          <w:bCs/>
          <w:szCs w:val="24"/>
        </w:rPr>
      </w:pPr>
      <w:r w:rsidRPr="00A1743C">
        <w:rPr>
          <w:rFonts w:cs="Times New Roman"/>
          <w:bCs/>
          <w:szCs w:val="24"/>
        </w:rPr>
        <w:lastRenderedPageBreak/>
        <w:t xml:space="preserve">Han, Yufei, Etienne Côme, and Latifa Oukhellou, 2014. Towards </w:t>
      </w:r>
      <w:r w:rsidR="00345E9F" w:rsidRPr="00A1743C">
        <w:rPr>
          <w:rFonts w:cs="Times New Roman"/>
          <w:bCs/>
          <w:szCs w:val="24"/>
        </w:rPr>
        <w:t>bicycle demand prediction of large-scale bicycle sharing sy</w:t>
      </w:r>
      <w:r w:rsidRPr="00A1743C">
        <w:rPr>
          <w:rFonts w:cs="Times New Roman"/>
          <w:bCs/>
          <w:szCs w:val="24"/>
        </w:rPr>
        <w:t xml:space="preserve">stem. </w:t>
      </w:r>
      <w:r w:rsidR="00345E9F">
        <w:rPr>
          <w:rFonts w:cs="Times New Roman"/>
          <w:bCs/>
          <w:szCs w:val="24"/>
        </w:rPr>
        <w:t>Presented at</w:t>
      </w:r>
      <w:r w:rsidRPr="00A1743C">
        <w:rPr>
          <w:rFonts w:cs="Times New Roman"/>
          <w:bCs/>
          <w:szCs w:val="24"/>
        </w:rPr>
        <w:t xml:space="preserve"> Transportation Research Board 93</w:t>
      </w:r>
      <w:r w:rsidRPr="00A1743C">
        <w:rPr>
          <w:rFonts w:cs="Times New Roman"/>
          <w:bCs/>
          <w:szCs w:val="24"/>
          <w:vertAlign w:val="superscript"/>
        </w:rPr>
        <w:t>rd</w:t>
      </w:r>
      <w:r w:rsidRPr="00A1743C">
        <w:rPr>
          <w:rFonts w:cs="Times New Roman"/>
          <w:bCs/>
          <w:szCs w:val="24"/>
        </w:rPr>
        <w:t xml:space="preserve"> Annual Meeting, No. 14-2637.</w:t>
      </w:r>
    </w:p>
    <w:p w14:paraId="26562A11" w14:textId="77777777"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Jäppinen, S., T. Toivonen, and M. Salonen, 2013. Modelling the potential effect of shared bicycles on public transport travel times in Greater Helsinki: An open data approach. </w:t>
      </w:r>
      <w:r w:rsidRPr="00A1743C">
        <w:rPr>
          <w:rFonts w:cs="Times New Roman"/>
          <w:bCs/>
          <w:i/>
          <w:iCs/>
          <w:szCs w:val="24"/>
        </w:rPr>
        <w:t>Applied Geography</w:t>
      </w:r>
      <w:r w:rsidRPr="00A1743C">
        <w:rPr>
          <w:rFonts w:cs="Times New Roman"/>
          <w:bCs/>
          <w:szCs w:val="24"/>
        </w:rPr>
        <w:t>, Vol. 43, pp. 13-24.</w:t>
      </w:r>
    </w:p>
    <w:p w14:paraId="529890B6" w14:textId="77777777"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Kaltenbrunner, A., R. Meza, J. Grivolla, J. Codina, and R. Banchs, 2010. Urban cycles and mobility patterns: Exploring and predicting trends in a bicycle-based public transport system, Pervasive and Mobile Computing, Vol. 6, No. 4, pp. 455-466.</w:t>
      </w:r>
    </w:p>
    <w:p w14:paraId="41F47B58" w14:textId="29571E50"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Kaufman, S. M., L. Gordon-Koven, N. Levenson and M. L. Moss, 2015. Citi Bike: The First Two Years. The Rudin Center for Transportation Policy and Management.</w:t>
      </w:r>
      <w:r w:rsidR="005144CB">
        <w:rPr>
          <w:rFonts w:cs="Times New Roman"/>
          <w:bCs/>
          <w:szCs w:val="24"/>
        </w:rPr>
        <w:t xml:space="preserve"> </w:t>
      </w:r>
      <w:r w:rsidR="00194339">
        <w:rPr>
          <w:rFonts w:cs="Times New Roman"/>
          <w:bCs/>
          <w:szCs w:val="24"/>
        </w:rPr>
        <w:t>Accessed online on June 6</w:t>
      </w:r>
      <w:r w:rsidR="00194339" w:rsidRPr="00194339">
        <w:rPr>
          <w:rFonts w:cs="Times New Roman"/>
          <w:bCs/>
          <w:szCs w:val="24"/>
          <w:vertAlign w:val="superscript"/>
        </w:rPr>
        <w:t>th</w:t>
      </w:r>
      <w:r w:rsidR="00194339">
        <w:rPr>
          <w:rFonts w:cs="Times New Roman"/>
          <w:bCs/>
          <w:szCs w:val="24"/>
        </w:rPr>
        <w:t xml:space="preserve"> 2016 </w:t>
      </w:r>
      <w:r w:rsidR="005144CB">
        <w:rPr>
          <w:rFonts w:cs="Times New Roman"/>
          <w:bCs/>
          <w:szCs w:val="24"/>
        </w:rPr>
        <w:t xml:space="preserve">at: </w:t>
      </w:r>
      <w:r w:rsidR="005144CB" w:rsidRPr="005144CB">
        <w:rPr>
          <w:rFonts w:cs="Times New Roman"/>
          <w:bCs/>
          <w:szCs w:val="24"/>
        </w:rPr>
        <w:t>http:</w:t>
      </w:r>
      <w:r w:rsidR="005144CB">
        <w:rPr>
          <w:rFonts w:cs="Times New Roman"/>
          <w:bCs/>
          <w:szCs w:val="24"/>
        </w:rPr>
        <w:t>//wagner.nyu.edu/rudincenter/wp-</w:t>
      </w:r>
      <w:r w:rsidR="005144CB" w:rsidRPr="005144CB">
        <w:rPr>
          <w:rFonts w:cs="Times New Roman"/>
          <w:bCs/>
          <w:szCs w:val="24"/>
        </w:rPr>
        <w:t>content/uploads/2015/06/Citi_Bike_First_Two_Years_RudinCenter.pdf</w:t>
      </w:r>
      <w:r w:rsidR="005144CB">
        <w:rPr>
          <w:rFonts w:cs="Times New Roman"/>
          <w:bCs/>
          <w:szCs w:val="24"/>
        </w:rPr>
        <w:t>.</w:t>
      </w:r>
    </w:p>
    <w:p w14:paraId="5B2CC804" w14:textId="77777777"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Lathia, N., S., Ahmed, and L., Capra. Measuring the impact of opening the London shared bicycle scheme to casual users. </w:t>
      </w:r>
      <w:r w:rsidRPr="00A1743C">
        <w:rPr>
          <w:rFonts w:cs="Times New Roman"/>
          <w:bCs/>
          <w:i/>
          <w:iCs/>
          <w:szCs w:val="24"/>
        </w:rPr>
        <w:t>Transportation Research Part C: Emerging Technologies</w:t>
      </w:r>
      <w:r w:rsidRPr="00A1743C">
        <w:rPr>
          <w:rFonts w:cs="Times New Roman"/>
          <w:bCs/>
          <w:szCs w:val="24"/>
        </w:rPr>
        <w:t>, Vol. 22, 2012, pp. 88-102.</w:t>
      </w:r>
    </w:p>
    <w:p w14:paraId="6002349E" w14:textId="3CE01CFB" w:rsidR="00D66FA9" w:rsidRPr="00A1743C" w:rsidRDefault="00D66FA9" w:rsidP="00AA52FA">
      <w:pPr>
        <w:autoSpaceDE w:val="0"/>
        <w:autoSpaceDN w:val="0"/>
        <w:adjustRightInd w:val="0"/>
        <w:ind w:left="576" w:hanging="576"/>
        <w:rPr>
          <w:rFonts w:cs="Times New Roman"/>
          <w:bCs/>
          <w:szCs w:val="24"/>
        </w:rPr>
      </w:pPr>
      <w:r w:rsidRPr="00A1743C">
        <w:rPr>
          <w:rFonts w:cs="Times New Roman"/>
          <w:bCs/>
          <w:szCs w:val="24"/>
        </w:rPr>
        <w:t xml:space="preserve">Mahmoud, M. S., W. El-Assi, and K. Nurul Habib. 2015. Effects of </w:t>
      </w:r>
      <w:r w:rsidR="00AA52FA" w:rsidRPr="00A1743C">
        <w:rPr>
          <w:rFonts w:cs="Times New Roman"/>
          <w:bCs/>
          <w:szCs w:val="24"/>
        </w:rPr>
        <w:t xml:space="preserve">built environment and weather on bike sharing demand: </w:t>
      </w:r>
      <w:r w:rsidR="00AA52FA">
        <w:rPr>
          <w:rFonts w:cs="Times New Roman"/>
          <w:bCs/>
          <w:szCs w:val="24"/>
        </w:rPr>
        <w:t>S</w:t>
      </w:r>
      <w:r w:rsidR="00AA52FA" w:rsidRPr="00A1743C">
        <w:rPr>
          <w:rFonts w:cs="Times New Roman"/>
          <w:bCs/>
          <w:szCs w:val="24"/>
        </w:rPr>
        <w:t xml:space="preserve">tation level analysis of commercial bike sharing </w:t>
      </w:r>
      <w:r w:rsidRPr="00A1743C">
        <w:rPr>
          <w:rFonts w:cs="Times New Roman"/>
          <w:bCs/>
          <w:szCs w:val="24"/>
        </w:rPr>
        <w:t xml:space="preserve">in Toronto. </w:t>
      </w:r>
      <w:r w:rsidR="00345E9F">
        <w:rPr>
          <w:rFonts w:cs="Times New Roman"/>
          <w:bCs/>
          <w:szCs w:val="24"/>
        </w:rPr>
        <w:t>P</w:t>
      </w:r>
      <w:r w:rsidRPr="00A1743C">
        <w:rPr>
          <w:rFonts w:cs="Times New Roman"/>
          <w:bCs/>
          <w:szCs w:val="24"/>
        </w:rPr>
        <w:t>resented at the 94</w:t>
      </w:r>
      <w:r w:rsidRPr="00A1743C">
        <w:rPr>
          <w:rFonts w:cs="Times New Roman"/>
          <w:bCs/>
          <w:szCs w:val="24"/>
          <w:vertAlign w:val="superscript"/>
        </w:rPr>
        <w:t>th</w:t>
      </w:r>
      <w:r w:rsidRPr="00A1743C">
        <w:rPr>
          <w:rFonts w:cs="Times New Roman"/>
          <w:bCs/>
          <w:szCs w:val="24"/>
        </w:rPr>
        <w:t xml:space="preserve"> Transportation Research Board Annual Meeting, Washington, DC.</w:t>
      </w:r>
    </w:p>
    <w:p w14:paraId="4FA97235" w14:textId="77777777" w:rsidR="00D66FA9" w:rsidRPr="005E50C6" w:rsidRDefault="00D66FA9" w:rsidP="00D62070">
      <w:pPr>
        <w:spacing w:before="0" w:after="0"/>
        <w:ind w:left="576" w:hanging="576"/>
        <w:rPr>
          <w:rFonts w:cs="Times New Roman"/>
        </w:rPr>
      </w:pPr>
      <w:r w:rsidRPr="00A1743C">
        <w:rPr>
          <w:rFonts w:cs="Times New Roman"/>
        </w:rPr>
        <w:t xml:space="preserve">Meddin, R. and P. DeMaio, 2015. The Bike-Sharing World Map.  Retrieved 20th July, 2015 from </w:t>
      </w:r>
      <w:hyperlink r:id="rId11" w:history="1">
        <w:r w:rsidRPr="00B670C6">
          <w:rPr>
            <w:rStyle w:val="Hyperlink"/>
            <w:rFonts w:cs="Times New Roman"/>
          </w:rPr>
          <w:t>http://www.bikesharingworld.com</w:t>
        </w:r>
      </w:hyperlink>
    </w:p>
    <w:p w14:paraId="328F28CE" w14:textId="601503BE" w:rsidR="00D66FA9" w:rsidRPr="00A1743C" w:rsidRDefault="00D66FA9" w:rsidP="00D62070">
      <w:pPr>
        <w:autoSpaceDE w:val="0"/>
        <w:autoSpaceDN w:val="0"/>
        <w:adjustRightInd w:val="0"/>
        <w:ind w:left="576" w:hanging="576"/>
        <w:rPr>
          <w:rFonts w:cs="Times New Roman"/>
          <w:bCs/>
          <w:szCs w:val="24"/>
        </w:rPr>
      </w:pPr>
      <w:r w:rsidRPr="005E50C6">
        <w:rPr>
          <w:rFonts w:cs="Times New Roman"/>
          <w:bCs/>
          <w:szCs w:val="24"/>
        </w:rPr>
        <w:t xml:space="preserve">Murphy, E., and J., Usher, 2015. The </w:t>
      </w:r>
      <w:r w:rsidR="00AA52FA" w:rsidRPr="005E50C6">
        <w:rPr>
          <w:rFonts w:cs="Times New Roman"/>
          <w:bCs/>
          <w:szCs w:val="24"/>
        </w:rPr>
        <w:t>role of bicycle-sharing in the city</w:t>
      </w:r>
      <w:r w:rsidRPr="005E50C6">
        <w:rPr>
          <w:rFonts w:cs="Times New Roman"/>
          <w:bCs/>
          <w:szCs w:val="24"/>
        </w:rPr>
        <w:t xml:space="preserve">: Analysis of the Irish </w:t>
      </w:r>
      <w:r w:rsidR="00AA52FA" w:rsidRPr="005E50C6">
        <w:rPr>
          <w:rFonts w:cs="Times New Roman"/>
          <w:bCs/>
          <w:szCs w:val="24"/>
        </w:rPr>
        <w:t>experience</w:t>
      </w:r>
      <w:r w:rsidRPr="005E50C6">
        <w:rPr>
          <w:rFonts w:cs="Times New Roman"/>
          <w:bCs/>
          <w:szCs w:val="24"/>
        </w:rPr>
        <w:t xml:space="preserve">, </w:t>
      </w:r>
      <w:r w:rsidRPr="005E50C6">
        <w:rPr>
          <w:rFonts w:cs="Times New Roman"/>
          <w:bCs/>
          <w:i/>
          <w:szCs w:val="24"/>
        </w:rPr>
        <w:t>International Journal of Sustainable Transportation</w:t>
      </w:r>
      <w:r w:rsidRPr="00A1743C">
        <w:rPr>
          <w:rFonts w:cs="Times New Roman"/>
          <w:bCs/>
          <w:szCs w:val="24"/>
        </w:rPr>
        <w:t>, Vol. 9, pp. 116-125</w:t>
      </w:r>
    </w:p>
    <w:p w14:paraId="391D409A" w14:textId="5323E709"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Nair, R., Miller-Hooks, E., Hampshire, R., and A., Busic, 2013. Large-Scale </w:t>
      </w:r>
      <w:r w:rsidR="00AA52FA" w:rsidRPr="00A1743C">
        <w:rPr>
          <w:rFonts w:cs="Times New Roman"/>
          <w:bCs/>
          <w:szCs w:val="24"/>
        </w:rPr>
        <w:t>vehicle sharing syste</w:t>
      </w:r>
      <w:r w:rsidRPr="00A1743C">
        <w:rPr>
          <w:rFonts w:cs="Times New Roman"/>
          <w:bCs/>
          <w:szCs w:val="24"/>
        </w:rPr>
        <w:t xml:space="preserve">ms: Analysis of Velib. </w:t>
      </w:r>
      <w:r w:rsidRPr="00A1743C">
        <w:rPr>
          <w:rFonts w:cs="Times New Roman"/>
          <w:bCs/>
          <w:i/>
          <w:szCs w:val="24"/>
        </w:rPr>
        <w:t xml:space="preserve">International Journal of Sustainable Transportation, </w:t>
      </w:r>
      <w:r w:rsidRPr="00A1743C">
        <w:rPr>
          <w:rFonts w:cs="Times New Roman"/>
          <w:bCs/>
          <w:szCs w:val="24"/>
        </w:rPr>
        <w:t>Vol. 7, pp. 85-106.</w:t>
      </w:r>
    </w:p>
    <w:p w14:paraId="32441EA6" w14:textId="785C3FE6"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NHTS, 2009. U.S. Department of Transportation, Federal Highway Administration, National Household Travel Survey 2009. URL: http://nhts.ornl.gov.</w:t>
      </w:r>
    </w:p>
    <w:p w14:paraId="7A58A3D0" w14:textId="5B25BAC6" w:rsidR="00D66FA9" w:rsidRPr="00A1743C" w:rsidRDefault="00D66FA9" w:rsidP="00611452">
      <w:pPr>
        <w:autoSpaceDE w:val="0"/>
        <w:autoSpaceDN w:val="0"/>
        <w:adjustRightInd w:val="0"/>
        <w:ind w:left="576" w:hanging="576"/>
        <w:rPr>
          <w:rFonts w:cs="Times New Roman"/>
          <w:bCs/>
          <w:szCs w:val="24"/>
        </w:rPr>
      </w:pPr>
      <w:r w:rsidRPr="00A1743C">
        <w:rPr>
          <w:rFonts w:cs="Times New Roman"/>
          <w:bCs/>
          <w:szCs w:val="24"/>
        </w:rPr>
        <w:t>O’Brien, O., Cheshire, J., and M. Batty, 2014. Mining bicycle sharing data for generating insights into sustainable transport systems</w:t>
      </w:r>
      <w:r w:rsidR="00611452">
        <w:rPr>
          <w:rFonts w:cs="Times New Roman"/>
          <w:bCs/>
          <w:szCs w:val="24"/>
        </w:rPr>
        <w:t>.</w:t>
      </w:r>
      <w:r w:rsidRPr="00A1743C">
        <w:rPr>
          <w:rFonts w:cs="Times New Roman"/>
          <w:bCs/>
          <w:szCs w:val="24"/>
        </w:rPr>
        <w:t xml:space="preserve"> </w:t>
      </w:r>
      <w:r w:rsidRPr="00A1743C">
        <w:rPr>
          <w:rFonts w:cs="Times New Roman"/>
          <w:bCs/>
          <w:i/>
          <w:szCs w:val="24"/>
        </w:rPr>
        <w:t>Journal of Transport Geography</w:t>
      </w:r>
      <w:r w:rsidRPr="00A1743C">
        <w:rPr>
          <w:rFonts w:cs="Times New Roman"/>
          <w:bCs/>
          <w:szCs w:val="24"/>
        </w:rPr>
        <w:t>, Vol. 34, pp. 262-273.</w:t>
      </w:r>
    </w:p>
    <w:p w14:paraId="359156C7" w14:textId="394FE1C2" w:rsidR="00D66FA9" w:rsidRPr="00A1743C" w:rsidRDefault="00D66FA9" w:rsidP="00AA52FA">
      <w:pPr>
        <w:autoSpaceDE w:val="0"/>
        <w:autoSpaceDN w:val="0"/>
        <w:adjustRightInd w:val="0"/>
        <w:ind w:left="576" w:hanging="576"/>
        <w:rPr>
          <w:rFonts w:cs="Times New Roman"/>
          <w:bCs/>
          <w:szCs w:val="24"/>
        </w:rPr>
      </w:pPr>
      <w:r w:rsidRPr="00A1743C">
        <w:rPr>
          <w:rFonts w:cs="Times New Roman"/>
          <w:bCs/>
          <w:szCs w:val="24"/>
        </w:rPr>
        <w:t>Rixey, R., 2013. Station-</w:t>
      </w:r>
      <w:r w:rsidR="00AA52FA" w:rsidRPr="00A1743C">
        <w:rPr>
          <w:rFonts w:cs="Times New Roman"/>
          <w:bCs/>
          <w:szCs w:val="24"/>
        </w:rPr>
        <w:t>level forecasting of bikesharing ridership</w:t>
      </w:r>
      <w:r w:rsidRPr="00A1743C">
        <w:rPr>
          <w:rFonts w:cs="Times New Roman"/>
          <w:bCs/>
          <w:szCs w:val="24"/>
        </w:rPr>
        <w:t xml:space="preserve">: Station </w:t>
      </w:r>
      <w:r w:rsidR="00AA52FA" w:rsidRPr="00A1743C">
        <w:rPr>
          <w:rFonts w:cs="Times New Roman"/>
          <w:bCs/>
          <w:szCs w:val="24"/>
        </w:rPr>
        <w:t>network effects in three</w:t>
      </w:r>
      <w:r w:rsidRPr="00A1743C">
        <w:rPr>
          <w:rFonts w:cs="Times New Roman"/>
          <w:bCs/>
          <w:szCs w:val="24"/>
        </w:rPr>
        <w:t xml:space="preserve"> U.S. </w:t>
      </w:r>
      <w:r w:rsidR="00AA52FA">
        <w:rPr>
          <w:rFonts w:cs="Times New Roman"/>
          <w:bCs/>
          <w:szCs w:val="24"/>
        </w:rPr>
        <w:t>s</w:t>
      </w:r>
      <w:r w:rsidRPr="00A1743C">
        <w:rPr>
          <w:rFonts w:cs="Times New Roman"/>
          <w:bCs/>
          <w:szCs w:val="24"/>
        </w:rPr>
        <w:t xml:space="preserve">ystems. </w:t>
      </w:r>
      <w:r w:rsidRPr="00A1743C">
        <w:rPr>
          <w:rFonts w:cs="Times New Roman"/>
          <w:bCs/>
          <w:i/>
          <w:iCs/>
          <w:szCs w:val="24"/>
        </w:rPr>
        <w:t>Transportation Research Record: Journal of the Transportation Research Board,</w:t>
      </w:r>
      <w:r w:rsidRPr="00A1743C">
        <w:rPr>
          <w:rFonts w:cs="Times New Roman"/>
          <w:bCs/>
          <w:szCs w:val="24"/>
        </w:rPr>
        <w:t xml:space="preserve"> No. 2387, pp. 46-55. </w:t>
      </w:r>
    </w:p>
    <w:p w14:paraId="23BADFA5" w14:textId="2A982E7B"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 xml:space="preserve">Rudloff, C. and Lackner, B., 2014. Modeling </w:t>
      </w:r>
      <w:r w:rsidR="00AA52FA" w:rsidRPr="00A1743C">
        <w:rPr>
          <w:rFonts w:cs="Times New Roman"/>
          <w:bCs/>
          <w:szCs w:val="24"/>
        </w:rPr>
        <w:t>demand for bikesharing systems</w:t>
      </w:r>
      <w:r w:rsidRPr="00A1743C">
        <w:rPr>
          <w:rFonts w:cs="Times New Roman"/>
          <w:bCs/>
          <w:szCs w:val="24"/>
        </w:rPr>
        <w:t xml:space="preserve">: Neighboring </w:t>
      </w:r>
      <w:r w:rsidR="00AA52FA" w:rsidRPr="00A1743C">
        <w:rPr>
          <w:rFonts w:cs="Times New Roman"/>
          <w:bCs/>
          <w:szCs w:val="24"/>
        </w:rPr>
        <w:t>stations as source for demand and reason for structural breaks</w:t>
      </w:r>
      <w:r w:rsidRPr="00A1743C">
        <w:rPr>
          <w:rFonts w:cs="Times New Roman"/>
          <w:bCs/>
          <w:szCs w:val="24"/>
        </w:rPr>
        <w:t xml:space="preserve">. </w:t>
      </w:r>
      <w:r w:rsidRPr="00A1743C">
        <w:rPr>
          <w:rFonts w:cs="Times New Roman"/>
          <w:bCs/>
          <w:i/>
          <w:iCs/>
          <w:szCs w:val="24"/>
        </w:rPr>
        <w:t>Transportation Research Record: Journal of the Transportation Research Board,</w:t>
      </w:r>
      <w:r w:rsidRPr="00A1743C">
        <w:rPr>
          <w:rFonts w:cs="Times New Roman"/>
          <w:bCs/>
          <w:szCs w:val="24"/>
        </w:rPr>
        <w:t xml:space="preserve"> No. 2430, pp. 1-11.</w:t>
      </w:r>
    </w:p>
    <w:p w14:paraId="53227E21" w14:textId="63D30FEF" w:rsidR="00D66FA9" w:rsidRPr="00A1743C" w:rsidRDefault="00D66FA9" w:rsidP="00D62070">
      <w:pPr>
        <w:autoSpaceDE w:val="0"/>
        <w:autoSpaceDN w:val="0"/>
        <w:adjustRightInd w:val="0"/>
        <w:ind w:left="576" w:hanging="576"/>
        <w:rPr>
          <w:rFonts w:cs="Times New Roman"/>
          <w:bCs/>
          <w:szCs w:val="24"/>
        </w:rPr>
      </w:pPr>
      <w:r w:rsidRPr="00A1743C">
        <w:rPr>
          <w:rFonts w:cs="Times New Roman"/>
          <w:bCs/>
          <w:szCs w:val="24"/>
        </w:rPr>
        <w:t>Shaheen, S., S. Guzman and H. Zhang, 2010. Bikesharing in Europe, the Americas, and Asia</w:t>
      </w:r>
      <w:r w:rsidR="00AA52FA">
        <w:rPr>
          <w:rFonts w:cs="Times New Roman"/>
          <w:bCs/>
          <w:szCs w:val="24"/>
        </w:rPr>
        <w:t>:</w:t>
      </w:r>
      <w:r w:rsidRPr="00A1743C">
        <w:rPr>
          <w:rFonts w:cs="Times New Roman"/>
          <w:bCs/>
          <w:szCs w:val="24"/>
        </w:rPr>
        <w:t xml:space="preserve"> Past, </w:t>
      </w:r>
      <w:r w:rsidR="00AA52FA" w:rsidRPr="00A1743C">
        <w:rPr>
          <w:rFonts w:cs="Times New Roman"/>
          <w:bCs/>
          <w:szCs w:val="24"/>
        </w:rPr>
        <w:t>present, and future</w:t>
      </w:r>
      <w:r w:rsidRPr="00A1743C">
        <w:rPr>
          <w:rFonts w:cs="Times New Roman"/>
          <w:bCs/>
          <w:szCs w:val="24"/>
        </w:rPr>
        <w:t xml:space="preserve">. </w:t>
      </w:r>
      <w:r w:rsidRPr="00A1743C">
        <w:rPr>
          <w:rFonts w:cs="Times New Roman"/>
          <w:bCs/>
          <w:i/>
          <w:iCs/>
          <w:szCs w:val="24"/>
        </w:rPr>
        <w:t>Transportation Research Record: Journal of the Transportation Research Board,</w:t>
      </w:r>
      <w:r w:rsidRPr="00A1743C">
        <w:rPr>
          <w:rFonts w:cs="Times New Roman"/>
          <w:bCs/>
          <w:szCs w:val="24"/>
        </w:rPr>
        <w:t xml:space="preserve"> No. 2143, pp. 159-167.</w:t>
      </w:r>
    </w:p>
    <w:p w14:paraId="6D4D92E0" w14:textId="3403A088" w:rsidR="00D66FA9" w:rsidRDefault="00D66FA9" w:rsidP="00D62070">
      <w:pPr>
        <w:autoSpaceDE w:val="0"/>
        <w:autoSpaceDN w:val="0"/>
        <w:adjustRightInd w:val="0"/>
        <w:ind w:left="576" w:hanging="576"/>
      </w:pPr>
      <w:r w:rsidRPr="00E93BD2">
        <w:lastRenderedPageBreak/>
        <w:t xml:space="preserve">Shen, Y., e Silva, J. D. A., </w:t>
      </w:r>
      <w:r>
        <w:t>and</w:t>
      </w:r>
      <w:r w:rsidRPr="00E93BD2">
        <w:t xml:space="preserve"> Martínez, L. M.</w:t>
      </w:r>
      <w:r>
        <w:t>,</w:t>
      </w:r>
      <w:r w:rsidRPr="00E93BD2">
        <w:t xml:space="preserve"> 2014. Assessing High-Speed Rail’s impacts on land cover change in large urban areas based on spatial mixed logit methods: a case study of Madrid Atocha railway station from 1990 to 2006. </w:t>
      </w:r>
      <w:r w:rsidRPr="00D66FA9">
        <w:rPr>
          <w:i/>
        </w:rPr>
        <w:t>Journal of Transport Geography</w:t>
      </w:r>
      <w:r w:rsidRPr="00E93BD2">
        <w:t>,</w:t>
      </w:r>
      <w:r>
        <w:t xml:space="preserve"> Vol.</w:t>
      </w:r>
      <w:r w:rsidRPr="00E93BD2">
        <w:t xml:space="preserve"> 41,</w:t>
      </w:r>
      <w:r>
        <w:t xml:space="preserve"> pp.</w:t>
      </w:r>
      <w:r w:rsidRPr="00E93BD2">
        <w:t xml:space="preserve"> 184-196.</w:t>
      </w:r>
    </w:p>
    <w:p w14:paraId="540881E0" w14:textId="2B3837EC" w:rsidR="00D66FA9" w:rsidRDefault="00D66FA9" w:rsidP="00D62070">
      <w:pPr>
        <w:autoSpaceDE w:val="0"/>
        <w:autoSpaceDN w:val="0"/>
        <w:adjustRightInd w:val="0"/>
        <w:ind w:left="576" w:hanging="576"/>
      </w:pPr>
      <w:r w:rsidRPr="00E93BD2">
        <w:t xml:space="preserve">Tong, T., Yu, T. H. E., Cho, S. H., Jensen, K., </w:t>
      </w:r>
      <w:r>
        <w:t>and</w:t>
      </w:r>
      <w:r w:rsidRPr="00E93BD2">
        <w:t xml:space="preserve"> Ugarte, D. D. L. T.</w:t>
      </w:r>
      <w:r>
        <w:t>,</w:t>
      </w:r>
      <w:r w:rsidRPr="00E93BD2">
        <w:t xml:space="preserve"> 2013. Evaluating the spatial spillover effects of transportation infrastructure on agricultural output across the United States. </w:t>
      </w:r>
      <w:r w:rsidRPr="00D66FA9">
        <w:rPr>
          <w:i/>
        </w:rPr>
        <w:t>Journal of Transport Geography</w:t>
      </w:r>
      <w:r w:rsidRPr="00E93BD2">
        <w:t xml:space="preserve">, </w:t>
      </w:r>
      <w:r>
        <w:t xml:space="preserve">Vol. </w:t>
      </w:r>
      <w:r w:rsidRPr="00E93BD2">
        <w:t xml:space="preserve">30, </w:t>
      </w:r>
      <w:r>
        <w:t xml:space="preserve">pp. </w:t>
      </w:r>
      <w:r w:rsidRPr="00E93BD2">
        <w:t>47-55.</w:t>
      </w:r>
    </w:p>
    <w:p w14:paraId="656B5ACB" w14:textId="32B6CE80" w:rsidR="00D66FA9" w:rsidRDefault="00D66FA9" w:rsidP="00D62070">
      <w:pPr>
        <w:autoSpaceDE w:val="0"/>
        <w:autoSpaceDN w:val="0"/>
        <w:adjustRightInd w:val="0"/>
        <w:ind w:left="576" w:hanging="576"/>
      </w:pPr>
      <w:r w:rsidRPr="00E93BD2">
        <w:t>Wang, X. C., Kockelman, K. M., and Lemp, J. D., 2012. The dynamic spatial multinomial probit model: analysis of land use change using parcel-level data.</w:t>
      </w:r>
      <w:r>
        <w:t xml:space="preserve"> </w:t>
      </w:r>
      <w:r w:rsidRPr="00D66FA9">
        <w:rPr>
          <w:i/>
        </w:rPr>
        <w:t>Journal of Transport Geography</w:t>
      </w:r>
      <w:r w:rsidRPr="00E93BD2">
        <w:t>,</w:t>
      </w:r>
      <w:r>
        <w:t xml:space="preserve"> Vol.</w:t>
      </w:r>
      <w:r w:rsidRPr="00E93BD2">
        <w:t> 24,</w:t>
      </w:r>
      <w:r>
        <w:t xml:space="preserve"> pp.</w:t>
      </w:r>
      <w:r w:rsidRPr="00E93BD2">
        <w:t xml:space="preserve"> 77-88.</w:t>
      </w:r>
    </w:p>
    <w:p w14:paraId="62871794" w14:textId="5BE244D3" w:rsidR="00D66FA9" w:rsidRDefault="00D66FA9" w:rsidP="00D62070">
      <w:pPr>
        <w:autoSpaceDE w:val="0"/>
        <w:autoSpaceDN w:val="0"/>
        <w:adjustRightInd w:val="0"/>
        <w:ind w:left="576" w:hanging="576"/>
      </w:pPr>
      <w:r w:rsidRPr="00E93BD2">
        <w:t xml:space="preserve">Wang, X., </w:t>
      </w:r>
      <w:r>
        <w:t>and</w:t>
      </w:r>
      <w:r w:rsidRPr="00E93BD2">
        <w:t xml:space="preserve"> Kockelman, K.</w:t>
      </w:r>
      <w:r>
        <w:t>,</w:t>
      </w:r>
      <w:r w:rsidRPr="00E93BD2">
        <w:t xml:space="preserve"> 2006. Tracking land cover change in mixed logit model: recognizing temporal and spatial effects. </w:t>
      </w:r>
      <w:r w:rsidRPr="00D66FA9">
        <w:rPr>
          <w:i/>
        </w:rPr>
        <w:t>Transportation Research Record: Journal of the Transportation Research Board</w:t>
      </w:r>
      <w:r w:rsidRPr="00E93BD2">
        <w:t xml:space="preserve">, </w:t>
      </w:r>
      <w:r>
        <w:t xml:space="preserve">No. </w:t>
      </w:r>
      <w:r w:rsidRPr="00E93BD2">
        <w:t xml:space="preserve">1977, </w:t>
      </w:r>
      <w:r>
        <w:t xml:space="preserve">pp. </w:t>
      </w:r>
      <w:r w:rsidRPr="00E93BD2">
        <w:t>112-120.</w:t>
      </w:r>
    </w:p>
    <w:p w14:paraId="73A06FF0" w14:textId="11E77A53" w:rsidR="00D66FA9" w:rsidRPr="00A1743C" w:rsidRDefault="00D66FA9" w:rsidP="00AA52FA">
      <w:pPr>
        <w:autoSpaceDE w:val="0"/>
        <w:autoSpaceDN w:val="0"/>
        <w:adjustRightInd w:val="0"/>
        <w:ind w:left="576" w:hanging="576"/>
        <w:rPr>
          <w:rFonts w:cs="Times New Roman"/>
          <w:bCs/>
          <w:szCs w:val="24"/>
        </w:rPr>
      </w:pPr>
      <w:r w:rsidRPr="00A1743C">
        <w:rPr>
          <w:rFonts w:cs="Times New Roman"/>
          <w:bCs/>
          <w:szCs w:val="24"/>
        </w:rPr>
        <w:t xml:space="preserve">Wang, X., G. Lindsey, J. Schoner and A. Harrison, 2015. Modeling </w:t>
      </w:r>
      <w:r w:rsidR="00AA52FA" w:rsidRPr="00A1743C">
        <w:rPr>
          <w:rFonts w:cs="Times New Roman"/>
          <w:bCs/>
          <w:szCs w:val="24"/>
        </w:rPr>
        <w:t xml:space="preserve">bike share station activity: </w:t>
      </w:r>
      <w:r w:rsidR="00AA52FA">
        <w:rPr>
          <w:rFonts w:cs="Times New Roman"/>
          <w:bCs/>
          <w:szCs w:val="24"/>
        </w:rPr>
        <w:t>E</w:t>
      </w:r>
      <w:r w:rsidR="00AA52FA" w:rsidRPr="00A1743C">
        <w:rPr>
          <w:rFonts w:cs="Times New Roman"/>
          <w:bCs/>
          <w:szCs w:val="24"/>
        </w:rPr>
        <w:t>ffects of nearby businesses and jobs on trips to and from stations</w:t>
      </w:r>
      <w:r w:rsidRPr="00A1743C">
        <w:rPr>
          <w:rFonts w:cs="Times New Roman"/>
          <w:bCs/>
          <w:szCs w:val="24"/>
        </w:rPr>
        <w:t xml:space="preserve">. </w:t>
      </w:r>
      <w:r w:rsidRPr="00A1743C">
        <w:rPr>
          <w:rFonts w:cs="Times New Roman"/>
          <w:bCs/>
          <w:i/>
          <w:szCs w:val="24"/>
        </w:rPr>
        <w:t>Journal of Urban Planning and Development</w:t>
      </w:r>
      <w:r w:rsidR="00CE1CE5">
        <w:rPr>
          <w:rFonts w:cs="Times New Roman"/>
          <w:bCs/>
          <w:iCs/>
          <w:szCs w:val="24"/>
        </w:rPr>
        <w:t>, Vol. 14</w:t>
      </w:r>
      <w:r w:rsidR="00194339">
        <w:rPr>
          <w:rFonts w:cs="Times New Roman"/>
          <w:bCs/>
          <w:iCs/>
          <w:szCs w:val="24"/>
        </w:rPr>
        <w:t>2 (1), pp 1-9.</w:t>
      </w:r>
    </w:p>
    <w:p w14:paraId="6CF34EF5" w14:textId="19D80717" w:rsidR="00D66FA9" w:rsidRDefault="00D66FA9" w:rsidP="00D62070">
      <w:pPr>
        <w:autoSpaceDE w:val="0"/>
        <w:autoSpaceDN w:val="0"/>
        <w:adjustRightInd w:val="0"/>
        <w:ind w:left="576" w:hanging="576"/>
      </w:pPr>
      <w:r w:rsidRPr="0073181C">
        <w:t xml:space="preserve">Yang, Y., </w:t>
      </w:r>
      <w:r>
        <w:t>and</w:t>
      </w:r>
      <w:r w:rsidRPr="0073181C">
        <w:t xml:space="preserve"> Wong, K. K.</w:t>
      </w:r>
      <w:r>
        <w:t>,</w:t>
      </w:r>
      <w:r w:rsidRPr="0073181C">
        <w:t xml:space="preserve"> 2012. A spatial econometric approach to model spillover effects in tourism flows. </w:t>
      </w:r>
      <w:r w:rsidRPr="00D66FA9">
        <w:rPr>
          <w:i/>
        </w:rPr>
        <w:t>Journal of Travel Research</w:t>
      </w:r>
      <w:r w:rsidRPr="0073181C">
        <w:t xml:space="preserve">, </w:t>
      </w:r>
      <w:r>
        <w:t>V</w:t>
      </w:r>
      <w:r w:rsidRPr="0073181C">
        <w:t>ol. 51</w:t>
      </w:r>
      <w:r>
        <w:t>,</w:t>
      </w:r>
      <w:r w:rsidRPr="0073181C">
        <w:t xml:space="preserve"> </w:t>
      </w:r>
      <w:r>
        <w:t>pp.</w:t>
      </w:r>
      <w:r w:rsidRPr="0073181C">
        <w:t xml:space="preserve"> 768-778.</w:t>
      </w:r>
    </w:p>
    <w:p w14:paraId="4D29081C" w14:textId="17E89C0F" w:rsidR="00D66FA9" w:rsidRDefault="00D66FA9" w:rsidP="00D62070">
      <w:pPr>
        <w:autoSpaceDE w:val="0"/>
        <w:autoSpaceDN w:val="0"/>
        <w:adjustRightInd w:val="0"/>
        <w:ind w:left="576" w:hanging="576"/>
      </w:pPr>
      <w:r w:rsidRPr="00E93BD2">
        <w:t>Y</w:t>
      </w:r>
      <w:r>
        <w:t>u, N., De Jong, M., Storm, S., and</w:t>
      </w:r>
      <w:r w:rsidRPr="00E93BD2">
        <w:t xml:space="preserve"> Mi, J.</w:t>
      </w:r>
      <w:r>
        <w:t>,</w:t>
      </w:r>
      <w:r w:rsidRPr="00E93BD2">
        <w:t xml:space="preserve"> 2013. Spatial spillover effects of transport infrastructure: evidence from Chinese regions. </w:t>
      </w:r>
      <w:r w:rsidRPr="00D66FA9">
        <w:rPr>
          <w:i/>
        </w:rPr>
        <w:t>Journal of Transport Geography</w:t>
      </w:r>
      <w:r w:rsidRPr="00E93BD2">
        <w:t>,</w:t>
      </w:r>
      <w:r>
        <w:t xml:space="preserve"> Vol.</w:t>
      </w:r>
      <w:r w:rsidRPr="00E93BD2">
        <w:t xml:space="preserve"> 28, </w:t>
      </w:r>
      <w:r>
        <w:t xml:space="preserve">pp. </w:t>
      </w:r>
      <w:r w:rsidRPr="00E93BD2">
        <w:t>56-66.</w:t>
      </w:r>
    </w:p>
    <w:p w14:paraId="648A0365" w14:textId="0FAC1E15" w:rsidR="0073181C" w:rsidRPr="0073181C" w:rsidRDefault="0073181C" w:rsidP="00692BCD">
      <w:pPr>
        <w:autoSpaceDE w:val="0"/>
        <w:autoSpaceDN w:val="0"/>
        <w:adjustRightInd w:val="0"/>
        <w:ind w:left="360"/>
      </w:pPr>
    </w:p>
    <w:p w14:paraId="54F894C7" w14:textId="3F6E3351" w:rsidR="00BE3E25" w:rsidRDefault="00692BCD" w:rsidP="00BE3E25">
      <w:pPr>
        <w:autoSpaceDE w:val="0"/>
        <w:autoSpaceDN w:val="0"/>
        <w:adjustRightInd w:val="0"/>
        <w:ind w:left="360"/>
      </w:pPr>
      <w:r>
        <w:tab/>
      </w:r>
    </w:p>
    <w:p w14:paraId="19778801" w14:textId="2C9563B9" w:rsidR="00891218" w:rsidRDefault="0030251C" w:rsidP="00BE3E25">
      <w:pPr>
        <w:autoSpaceDE w:val="0"/>
        <w:autoSpaceDN w:val="0"/>
        <w:adjustRightInd w:val="0"/>
        <w:ind w:left="360"/>
      </w:pPr>
      <w:r>
        <w:rPr>
          <w:noProof/>
          <w:lang w:val="en-US"/>
        </w:rPr>
        <mc:AlternateContent>
          <mc:Choice Requires="wps">
            <w:drawing>
              <wp:anchor distT="0" distB="0" distL="114300" distR="114300" simplePos="0" relativeHeight="251712512" behindDoc="0" locked="0" layoutInCell="1" allowOverlap="1" wp14:anchorId="4897ABC4" wp14:editId="28EB613A">
                <wp:simplePos x="0" y="0"/>
                <wp:positionH relativeFrom="column">
                  <wp:posOffset>206375</wp:posOffset>
                </wp:positionH>
                <wp:positionV relativeFrom="paragraph">
                  <wp:posOffset>6002655</wp:posOffset>
                </wp:positionV>
                <wp:extent cx="80200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020050" cy="635"/>
                        </a:xfrm>
                        <a:prstGeom prst="rect">
                          <a:avLst/>
                        </a:prstGeom>
                        <a:solidFill>
                          <a:prstClr val="white"/>
                        </a:solidFill>
                        <a:ln>
                          <a:noFill/>
                        </a:ln>
                        <a:effectLst/>
                      </wps:spPr>
                      <wps:txbx>
                        <w:txbxContent>
                          <w:p w14:paraId="67CCB216" w14:textId="0FD6C8A7" w:rsidR="00E43EF8" w:rsidRPr="0030251C" w:rsidRDefault="00E43EF8" w:rsidP="0030251C">
                            <w:pPr>
                              <w:pStyle w:val="Caption"/>
                              <w:keepNext/>
                              <w:spacing w:before="0" w:after="0"/>
                              <w:jc w:val="center"/>
                              <w:rPr>
                                <w:color w:val="auto"/>
                                <w:sz w:val="24"/>
                              </w:rPr>
                            </w:pPr>
                            <w:r w:rsidRPr="0030251C">
                              <w:rPr>
                                <w:color w:val="auto"/>
                                <w:sz w:val="24"/>
                              </w:rPr>
                              <w:t xml:space="preserve">Figure </w:t>
                            </w:r>
                            <w:r w:rsidRPr="0030251C">
                              <w:rPr>
                                <w:color w:val="auto"/>
                                <w:sz w:val="24"/>
                              </w:rPr>
                              <w:fldChar w:fldCharType="begin"/>
                            </w:r>
                            <w:r w:rsidRPr="0030251C">
                              <w:rPr>
                                <w:color w:val="auto"/>
                                <w:sz w:val="24"/>
                              </w:rPr>
                              <w:instrText xml:space="preserve"> SEQ Figure \* ARABIC </w:instrText>
                            </w:r>
                            <w:r w:rsidRPr="0030251C">
                              <w:rPr>
                                <w:color w:val="auto"/>
                                <w:sz w:val="24"/>
                              </w:rPr>
                              <w:fldChar w:fldCharType="separate"/>
                            </w:r>
                            <w:r w:rsidR="000C44DF">
                              <w:rPr>
                                <w:noProof/>
                                <w:color w:val="auto"/>
                                <w:sz w:val="24"/>
                              </w:rPr>
                              <w:t>1</w:t>
                            </w:r>
                            <w:r w:rsidRPr="0030251C">
                              <w:rPr>
                                <w:color w:val="auto"/>
                                <w:sz w:val="24"/>
                              </w:rPr>
                              <w:fldChar w:fldCharType="end"/>
                            </w:r>
                            <w:r>
                              <w:rPr>
                                <w:color w:val="auto"/>
                                <w:sz w:val="24"/>
                              </w:rPr>
                              <w:t xml:space="preserve">. </w:t>
                            </w:r>
                            <w:r w:rsidRPr="0030251C">
                              <w:rPr>
                                <w:color w:val="auto"/>
                                <w:sz w:val="24"/>
                              </w:rPr>
                              <w:t>Hourly Arrival and Departure Rates for Members and Daily 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97ABC4" id="_x0000_t202" coordsize="21600,21600" o:spt="202" path="m,l,21600r21600,l21600,xe">
                <v:stroke joinstyle="miter"/>
                <v:path gradientshapeok="t" o:connecttype="rect"/>
              </v:shapetype>
              <v:shape id="Text Box 1" o:spid="_x0000_s1026" type="#_x0000_t202" style="position:absolute;left:0;text-align:left;margin-left:16.25pt;margin-top:472.65pt;width:63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" stroked="f">
                <v:textbox style="mso-fit-shape-to-text:t" inset="0,0,0,0">
                  <w:txbxContent>
                    <w:p w14:paraId="67CCB216" w14:textId="0FD6C8A7" w:rsidR="00E43EF8" w:rsidRPr="0030251C" w:rsidRDefault="00E43EF8" w:rsidP="0030251C">
                      <w:pPr>
                        <w:pStyle w:val="Caption"/>
                        <w:keepNext/>
                        <w:spacing w:before="0" w:after="0"/>
                        <w:jc w:val="center"/>
                        <w:rPr>
                          <w:color w:val="auto"/>
                          <w:sz w:val="24"/>
                        </w:rPr>
                      </w:pPr>
                      <w:r w:rsidRPr="0030251C">
                        <w:rPr>
                          <w:color w:val="auto"/>
                          <w:sz w:val="24"/>
                        </w:rPr>
                        <w:t xml:space="preserve">Figure </w:t>
                      </w:r>
                      <w:r w:rsidRPr="0030251C">
                        <w:rPr>
                          <w:color w:val="auto"/>
                          <w:sz w:val="24"/>
                        </w:rPr>
                        <w:fldChar w:fldCharType="begin"/>
                      </w:r>
                      <w:r w:rsidRPr="0030251C">
                        <w:rPr>
                          <w:color w:val="auto"/>
                          <w:sz w:val="24"/>
                        </w:rPr>
                        <w:instrText xml:space="preserve"> SEQ Figure \* ARABIC </w:instrText>
                      </w:r>
                      <w:r w:rsidRPr="0030251C">
                        <w:rPr>
                          <w:color w:val="auto"/>
                          <w:sz w:val="24"/>
                        </w:rPr>
                        <w:fldChar w:fldCharType="separate"/>
                      </w:r>
                      <w:r w:rsidR="000C44DF">
                        <w:rPr>
                          <w:noProof/>
                          <w:color w:val="auto"/>
                          <w:sz w:val="24"/>
                        </w:rPr>
                        <w:t>1</w:t>
                      </w:r>
                      <w:r w:rsidRPr="0030251C">
                        <w:rPr>
                          <w:color w:val="auto"/>
                          <w:sz w:val="24"/>
                        </w:rPr>
                        <w:fldChar w:fldCharType="end"/>
                      </w:r>
                      <w:r>
                        <w:rPr>
                          <w:color w:val="auto"/>
                          <w:sz w:val="24"/>
                        </w:rPr>
                        <w:t xml:space="preserve">. </w:t>
                      </w:r>
                      <w:r w:rsidRPr="0030251C">
                        <w:rPr>
                          <w:color w:val="auto"/>
                          <w:sz w:val="24"/>
                        </w:rPr>
                        <w:t>Hourly Arrival and Departure Rates for Members and Daily Customers</w:t>
                      </w:r>
                    </w:p>
                  </w:txbxContent>
                </v:textbox>
              </v:shape>
            </w:pict>
          </mc:Fallback>
        </mc:AlternateContent>
      </w:r>
      <w:r w:rsidR="007D696E">
        <w:rPr>
          <w:noProof/>
          <w:lang w:val="en-US"/>
        </w:rPr>
        <mc:AlternateContent>
          <mc:Choice Requires="wps">
            <w:drawing>
              <wp:anchor distT="0" distB="0" distL="114300" distR="114300" simplePos="0" relativeHeight="251669504" behindDoc="0" locked="0" layoutInCell="1" allowOverlap="1" wp14:anchorId="3F8F88F9" wp14:editId="68FDAD02">
                <wp:simplePos x="0" y="0"/>
                <wp:positionH relativeFrom="column">
                  <wp:posOffset>381000</wp:posOffset>
                </wp:positionH>
                <wp:positionV relativeFrom="paragraph">
                  <wp:posOffset>8161020</wp:posOffset>
                </wp:positionV>
                <wp:extent cx="518033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80330" cy="635"/>
                        </a:xfrm>
                        <a:prstGeom prst="rect">
                          <a:avLst/>
                        </a:prstGeom>
                        <a:solidFill>
                          <a:prstClr val="white"/>
                        </a:solidFill>
                        <a:ln>
                          <a:noFill/>
                        </a:ln>
                        <a:effectLst/>
                      </wps:spPr>
                      <wps:txbx>
                        <w:txbxContent>
                          <w:p w14:paraId="363D34AF" w14:textId="77777777" w:rsidR="00E43EF8" w:rsidRPr="00637AD0" w:rsidRDefault="00E43EF8" w:rsidP="007D696E">
                            <w:pPr>
                              <w:pStyle w:val="Caption"/>
                              <w:keepNext/>
                              <w:jc w:val="center"/>
                              <w:rPr>
                                <w:color w:val="auto"/>
                                <w:sz w:val="24"/>
                              </w:rPr>
                            </w:pPr>
                            <w:r w:rsidRPr="00637AD0">
                              <w:rPr>
                                <w:color w:val="auto"/>
                                <w:sz w:val="24"/>
                              </w:rPr>
                              <w:t xml:space="preserve">Figure </w:t>
                            </w:r>
                            <w:r w:rsidRPr="00637AD0">
                              <w:rPr>
                                <w:color w:val="auto"/>
                                <w:sz w:val="24"/>
                              </w:rPr>
                              <w:fldChar w:fldCharType="begin"/>
                            </w:r>
                            <w:r w:rsidRPr="00637AD0">
                              <w:rPr>
                                <w:color w:val="auto"/>
                                <w:sz w:val="24"/>
                              </w:rPr>
                              <w:instrText xml:space="preserve"> SEQ Figure \* ARABIC </w:instrText>
                            </w:r>
                            <w:r w:rsidRPr="00637AD0">
                              <w:rPr>
                                <w:color w:val="auto"/>
                                <w:sz w:val="24"/>
                              </w:rPr>
                              <w:fldChar w:fldCharType="separate"/>
                            </w:r>
                            <w:r w:rsidR="000C44DF">
                              <w:rPr>
                                <w:noProof/>
                                <w:color w:val="auto"/>
                                <w:sz w:val="24"/>
                              </w:rPr>
                              <w:t>2</w:t>
                            </w:r>
                            <w:r w:rsidRPr="00637AD0">
                              <w:rPr>
                                <w:color w:val="auto"/>
                                <w:sz w:val="24"/>
                              </w:rPr>
                              <w:fldChar w:fldCharType="end"/>
                            </w:r>
                            <w:r>
                              <w:rPr>
                                <w:color w:val="auto"/>
                                <w:sz w:val="24"/>
                              </w:rPr>
                              <w:t xml:space="preserve"> Average hour rates for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F88F9" id="Text Box 10" o:spid="_x0000_s1027" type="#_x0000_t202" style="position:absolute;left:0;text-align:left;margin-left:30pt;margin-top:642.6pt;width:407.9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" stroked="f">
                <v:textbox style="mso-fit-shape-to-text:t" inset="0,0,0,0">
                  <w:txbxContent>
                    <w:p w14:paraId="363D34AF" w14:textId="77777777" w:rsidR="00E43EF8" w:rsidRPr="00637AD0" w:rsidRDefault="00E43EF8" w:rsidP="007D696E">
                      <w:pPr>
                        <w:pStyle w:val="Caption"/>
                        <w:keepNext/>
                        <w:jc w:val="center"/>
                        <w:rPr>
                          <w:color w:val="auto"/>
                          <w:sz w:val="24"/>
                        </w:rPr>
                      </w:pPr>
                      <w:r w:rsidRPr="00637AD0">
                        <w:rPr>
                          <w:color w:val="auto"/>
                          <w:sz w:val="24"/>
                        </w:rPr>
                        <w:t xml:space="preserve">Figure </w:t>
                      </w:r>
                      <w:r w:rsidRPr="00637AD0">
                        <w:rPr>
                          <w:color w:val="auto"/>
                          <w:sz w:val="24"/>
                        </w:rPr>
                        <w:fldChar w:fldCharType="begin"/>
                      </w:r>
                      <w:r w:rsidRPr="00637AD0">
                        <w:rPr>
                          <w:color w:val="auto"/>
                          <w:sz w:val="24"/>
                        </w:rPr>
                        <w:instrText xml:space="preserve"> SEQ Figure \* ARABIC </w:instrText>
                      </w:r>
                      <w:r w:rsidRPr="00637AD0">
                        <w:rPr>
                          <w:color w:val="auto"/>
                          <w:sz w:val="24"/>
                        </w:rPr>
                        <w:fldChar w:fldCharType="separate"/>
                      </w:r>
                      <w:r w:rsidR="000C44DF">
                        <w:rPr>
                          <w:noProof/>
                          <w:color w:val="auto"/>
                          <w:sz w:val="24"/>
                        </w:rPr>
                        <w:t>2</w:t>
                      </w:r>
                      <w:r w:rsidRPr="00637AD0">
                        <w:rPr>
                          <w:color w:val="auto"/>
                          <w:sz w:val="24"/>
                        </w:rPr>
                        <w:fldChar w:fldCharType="end"/>
                      </w:r>
                      <w:r>
                        <w:rPr>
                          <w:color w:val="auto"/>
                          <w:sz w:val="24"/>
                        </w:rPr>
                        <w:t xml:space="preserve"> Average hour rates for members</w:t>
                      </w:r>
                    </w:p>
                  </w:txbxContent>
                </v:textbox>
              </v:shape>
            </w:pict>
          </mc:Fallback>
        </mc:AlternateContent>
      </w:r>
      <w:r w:rsidR="007D696E" w:rsidRPr="0030251C">
        <w:rPr>
          <w:noProof/>
          <w:lang w:val="en-US"/>
        </w:rPr>
        <mc:AlternateContent>
          <mc:Choice Requires="wps">
            <w:drawing>
              <wp:anchor distT="0" distB="0" distL="114300" distR="114300" simplePos="0" relativeHeight="251679744" behindDoc="0" locked="0" layoutInCell="1" allowOverlap="1" wp14:anchorId="761DDFBA" wp14:editId="66E315BE">
                <wp:simplePos x="0" y="0"/>
                <wp:positionH relativeFrom="column">
                  <wp:posOffset>371475</wp:posOffset>
                </wp:positionH>
                <wp:positionV relativeFrom="paragraph">
                  <wp:posOffset>8161655</wp:posOffset>
                </wp:positionV>
                <wp:extent cx="520065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a:effectLst/>
                      </wps:spPr>
                      <wps:txbx>
                        <w:txbxContent>
                          <w:p w14:paraId="771AB777" w14:textId="77777777" w:rsidR="00E43EF8" w:rsidRPr="007346BB" w:rsidRDefault="00E43EF8" w:rsidP="007D696E">
                            <w:pPr>
                              <w:pStyle w:val="Caption"/>
                              <w:keepNext/>
                              <w:jc w:val="center"/>
                              <w:rPr>
                                <w:color w:val="auto"/>
                                <w:sz w:val="24"/>
                              </w:rPr>
                            </w:pPr>
                            <w:r w:rsidRPr="007346BB">
                              <w:rPr>
                                <w:color w:val="auto"/>
                                <w:sz w:val="24"/>
                              </w:rPr>
                              <w:t xml:space="preserve">Figure </w:t>
                            </w:r>
                            <w:r w:rsidRPr="007346BB">
                              <w:rPr>
                                <w:color w:val="auto"/>
                                <w:sz w:val="24"/>
                              </w:rPr>
                              <w:fldChar w:fldCharType="begin"/>
                            </w:r>
                            <w:r w:rsidRPr="007346BB">
                              <w:rPr>
                                <w:color w:val="auto"/>
                                <w:sz w:val="24"/>
                              </w:rPr>
                              <w:instrText xml:space="preserve"> SEQ Figure \* ARABIC </w:instrText>
                            </w:r>
                            <w:r w:rsidRPr="007346BB">
                              <w:rPr>
                                <w:color w:val="auto"/>
                                <w:sz w:val="24"/>
                              </w:rPr>
                              <w:fldChar w:fldCharType="separate"/>
                            </w:r>
                            <w:r w:rsidR="000C44DF">
                              <w:rPr>
                                <w:noProof/>
                                <w:color w:val="auto"/>
                                <w:sz w:val="24"/>
                              </w:rPr>
                              <w:t>3</w:t>
                            </w:r>
                            <w:r w:rsidRPr="007346BB">
                              <w:rPr>
                                <w:color w:val="auto"/>
                                <w:sz w:val="24"/>
                              </w:rPr>
                              <w:fldChar w:fldCharType="end"/>
                            </w:r>
                            <w:r w:rsidRPr="007346BB">
                              <w:rPr>
                                <w:color w:val="auto"/>
                                <w:sz w:val="24"/>
                              </w:rPr>
                              <w:t xml:space="preserve"> </w:t>
                            </w:r>
                            <w:r>
                              <w:rPr>
                                <w:color w:val="auto"/>
                                <w:sz w:val="24"/>
                              </w:rPr>
                              <w:t>Average hour rates for</w:t>
                            </w:r>
                            <w:r w:rsidRPr="007346BB">
                              <w:rPr>
                                <w:color w:val="auto"/>
                                <w:sz w:val="24"/>
                              </w:rPr>
                              <w:t xml:space="preserve"> </w:t>
                            </w:r>
                            <w:r>
                              <w:rPr>
                                <w:color w:val="auto"/>
                                <w:sz w:val="24"/>
                              </w:rPr>
                              <w:t>d</w:t>
                            </w:r>
                            <w:r w:rsidRPr="007346BB">
                              <w:rPr>
                                <w:color w:val="auto"/>
                                <w:sz w:val="24"/>
                              </w:rPr>
                              <w:t>aily</w:t>
                            </w:r>
                            <w:r>
                              <w:rPr>
                                <w:color w:val="auto"/>
                                <w:sz w:val="24"/>
                              </w:rPr>
                              <w:t xml:space="preserve"> 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DDFBA" id="Text Box 11" o:spid="_x0000_s1028" type="#_x0000_t202" style="position:absolute;left:0;text-align:left;margin-left:29.25pt;margin-top:642.65pt;width:409.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" stroked="f">
                <v:textbox style="mso-fit-shape-to-text:t" inset="0,0,0,0">
                  <w:txbxContent>
                    <w:p w14:paraId="771AB777" w14:textId="77777777" w:rsidR="00E43EF8" w:rsidRPr="007346BB" w:rsidRDefault="00E43EF8" w:rsidP="007D696E">
                      <w:pPr>
                        <w:pStyle w:val="Caption"/>
                        <w:keepNext/>
                        <w:jc w:val="center"/>
                        <w:rPr>
                          <w:color w:val="auto"/>
                          <w:sz w:val="24"/>
                        </w:rPr>
                      </w:pPr>
                      <w:r w:rsidRPr="007346BB">
                        <w:rPr>
                          <w:color w:val="auto"/>
                          <w:sz w:val="24"/>
                        </w:rPr>
                        <w:t xml:space="preserve">Figure </w:t>
                      </w:r>
                      <w:r w:rsidRPr="007346BB">
                        <w:rPr>
                          <w:color w:val="auto"/>
                          <w:sz w:val="24"/>
                        </w:rPr>
                        <w:fldChar w:fldCharType="begin"/>
                      </w:r>
                      <w:r w:rsidRPr="007346BB">
                        <w:rPr>
                          <w:color w:val="auto"/>
                          <w:sz w:val="24"/>
                        </w:rPr>
                        <w:instrText xml:space="preserve"> SEQ Figure \* ARABIC </w:instrText>
                      </w:r>
                      <w:r w:rsidRPr="007346BB">
                        <w:rPr>
                          <w:color w:val="auto"/>
                          <w:sz w:val="24"/>
                        </w:rPr>
                        <w:fldChar w:fldCharType="separate"/>
                      </w:r>
                      <w:r w:rsidR="000C44DF">
                        <w:rPr>
                          <w:noProof/>
                          <w:color w:val="auto"/>
                          <w:sz w:val="24"/>
                        </w:rPr>
                        <w:t>3</w:t>
                      </w:r>
                      <w:r w:rsidRPr="007346BB">
                        <w:rPr>
                          <w:color w:val="auto"/>
                          <w:sz w:val="24"/>
                        </w:rPr>
                        <w:fldChar w:fldCharType="end"/>
                      </w:r>
                      <w:r w:rsidRPr="007346BB">
                        <w:rPr>
                          <w:color w:val="auto"/>
                          <w:sz w:val="24"/>
                        </w:rPr>
                        <w:t xml:space="preserve"> </w:t>
                      </w:r>
                      <w:r>
                        <w:rPr>
                          <w:color w:val="auto"/>
                          <w:sz w:val="24"/>
                        </w:rPr>
                        <w:t>Average hour rates for</w:t>
                      </w:r>
                      <w:r w:rsidRPr="007346BB">
                        <w:rPr>
                          <w:color w:val="auto"/>
                          <w:sz w:val="24"/>
                        </w:rPr>
                        <w:t xml:space="preserve"> </w:t>
                      </w:r>
                      <w:r>
                        <w:rPr>
                          <w:color w:val="auto"/>
                          <w:sz w:val="24"/>
                        </w:rPr>
                        <w:t>d</w:t>
                      </w:r>
                      <w:r w:rsidRPr="007346BB">
                        <w:rPr>
                          <w:color w:val="auto"/>
                          <w:sz w:val="24"/>
                        </w:rPr>
                        <w:t>aily</w:t>
                      </w:r>
                      <w:r>
                        <w:rPr>
                          <w:color w:val="auto"/>
                          <w:sz w:val="24"/>
                        </w:rPr>
                        <w:t xml:space="preserve"> customers</w:t>
                      </w:r>
                    </w:p>
                  </w:txbxContent>
                </v:textbox>
              </v:shape>
            </w:pict>
          </mc:Fallback>
        </mc:AlternateContent>
      </w:r>
      <w:r w:rsidR="007346BB" w:rsidRPr="0030251C">
        <w:rPr>
          <w:noProof/>
          <w:lang w:val="en-US"/>
        </w:rPr>
        <mc:AlternateContent>
          <mc:Choice Requires="wps">
            <w:drawing>
              <wp:anchor distT="0" distB="0" distL="114300" distR="114300" simplePos="0" relativeHeight="251651072" behindDoc="0" locked="0" layoutInCell="1" allowOverlap="1" wp14:anchorId="0315081B" wp14:editId="30C60912">
                <wp:simplePos x="0" y="0"/>
                <wp:positionH relativeFrom="column">
                  <wp:posOffset>371475</wp:posOffset>
                </wp:positionH>
                <wp:positionV relativeFrom="paragraph">
                  <wp:posOffset>8161655</wp:posOffset>
                </wp:positionV>
                <wp:extent cx="5200650"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a:effectLst/>
                      </wps:spPr>
                      <wps:txbx>
                        <w:txbxContent>
                          <w:p w14:paraId="42162722" w14:textId="77777777" w:rsidR="00E43EF8" w:rsidRPr="007346BB" w:rsidRDefault="00E43EF8" w:rsidP="007346BB">
                            <w:pPr>
                              <w:pStyle w:val="Caption"/>
                              <w:keepNext/>
                              <w:jc w:val="center"/>
                              <w:rPr>
                                <w:color w:val="auto"/>
                                <w:sz w:val="24"/>
                              </w:rPr>
                            </w:pPr>
                            <w:r w:rsidRPr="007346BB">
                              <w:rPr>
                                <w:color w:val="auto"/>
                                <w:sz w:val="24"/>
                              </w:rPr>
                              <w:t xml:space="preserve">Figure </w:t>
                            </w:r>
                            <w:r w:rsidRPr="007346BB">
                              <w:rPr>
                                <w:color w:val="auto"/>
                                <w:sz w:val="24"/>
                              </w:rPr>
                              <w:fldChar w:fldCharType="begin"/>
                            </w:r>
                            <w:r w:rsidRPr="007346BB">
                              <w:rPr>
                                <w:color w:val="auto"/>
                                <w:sz w:val="24"/>
                              </w:rPr>
                              <w:instrText xml:space="preserve"> SEQ Figure \* ARABIC </w:instrText>
                            </w:r>
                            <w:r w:rsidRPr="007346BB">
                              <w:rPr>
                                <w:color w:val="auto"/>
                                <w:sz w:val="24"/>
                              </w:rPr>
                              <w:fldChar w:fldCharType="separate"/>
                            </w:r>
                            <w:r w:rsidR="000C44DF">
                              <w:rPr>
                                <w:noProof/>
                                <w:color w:val="auto"/>
                                <w:sz w:val="24"/>
                              </w:rPr>
                              <w:t>4</w:t>
                            </w:r>
                            <w:r w:rsidRPr="007346BB">
                              <w:rPr>
                                <w:color w:val="auto"/>
                                <w:sz w:val="24"/>
                              </w:rPr>
                              <w:fldChar w:fldCharType="end"/>
                            </w:r>
                            <w:r w:rsidRPr="007346BB">
                              <w:rPr>
                                <w:color w:val="auto"/>
                                <w:sz w:val="24"/>
                              </w:rPr>
                              <w:t xml:space="preserve"> </w:t>
                            </w:r>
                            <w:r>
                              <w:rPr>
                                <w:color w:val="auto"/>
                                <w:sz w:val="24"/>
                              </w:rPr>
                              <w:t>Average hour rates for</w:t>
                            </w:r>
                            <w:r w:rsidRPr="007346BB">
                              <w:rPr>
                                <w:color w:val="auto"/>
                                <w:sz w:val="24"/>
                              </w:rPr>
                              <w:t xml:space="preserve"> </w:t>
                            </w:r>
                            <w:r>
                              <w:rPr>
                                <w:color w:val="auto"/>
                                <w:sz w:val="24"/>
                              </w:rPr>
                              <w:t>d</w:t>
                            </w:r>
                            <w:r w:rsidRPr="007346BB">
                              <w:rPr>
                                <w:color w:val="auto"/>
                                <w:sz w:val="24"/>
                              </w:rPr>
                              <w:t>aily</w:t>
                            </w:r>
                            <w:r>
                              <w:rPr>
                                <w:color w:val="auto"/>
                                <w:sz w:val="24"/>
                              </w:rPr>
                              <w:t xml:space="preserve"> 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15081B" id="Text Box 48" o:spid="_x0000_s1029" type="#_x0000_t202" style="position:absolute;left:0;text-align:left;margin-left:29.25pt;margin-top:642.65pt;width:409.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" stroked="f">
                <v:textbox style="mso-fit-shape-to-text:t" inset="0,0,0,0">
                  <w:txbxContent>
                    <w:p w14:paraId="42162722" w14:textId="77777777" w:rsidR="00E43EF8" w:rsidRPr="007346BB" w:rsidRDefault="00E43EF8" w:rsidP="007346BB">
                      <w:pPr>
                        <w:pStyle w:val="Caption"/>
                        <w:keepNext/>
                        <w:jc w:val="center"/>
                        <w:rPr>
                          <w:color w:val="auto"/>
                          <w:sz w:val="24"/>
                        </w:rPr>
                      </w:pPr>
                      <w:r w:rsidRPr="007346BB">
                        <w:rPr>
                          <w:color w:val="auto"/>
                          <w:sz w:val="24"/>
                        </w:rPr>
                        <w:t xml:space="preserve">Figure </w:t>
                      </w:r>
                      <w:r w:rsidRPr="007346BB">
                        <w:rPr>
                          <w:color w:val="auto"/>
                          <w:sz w:val="24"/>
                        </w:rPr>
                        <w:fldChar w:fldCharType="begin"/>
                      </w:r>
                      <w:r w:rsidRPr="007346BB">
                        <w:rPr>
                          <w:color w:val="auto"/>
                          <w:sz w:val="24"/>
                        </w:rPr>
                        <w:instrText xml:space="preserve"> SEQ Figure \* ARABIC </w:instrText>
                      </w:r>
                      <w:r w:rsidRPr="007346BB">
                        <w:rPr>
                          <w:color w:val="auto"/>
                          <w:sz w:val="24"/>
                        </w:rPr>
                        <w:fldChar w:fldCharType="separate"/>
                      </w:r>
                      <w:r w:rsidR="000C44DF">
                        <w:rPr>
                          <w:noProof/>
                          <w:color w:val="auto"/>
                          <w:sz w:val="24"/>
                        </w:rPr>
                        <w:t>4</w:t>
                      </w:r>
                      <w:r w:rsidRPr="007346BB">
                        <w:rPr>
                          <w:color w:val="auto"/>
                          <w:sz w:val="24"/>
                        </w:rPr>
                        <w:fldChar w:fldCharType="end"/>
                      </w:r>
                      <w:r w:rsidRPr="007346BB">
                        <w:rPr>
                          <w:color w:val="auto"/>
                          <w:sz w:val="24"/>
                        </w:rPr>
                        <w:t xml:space="preserve"> </w:t>
                      </w:r>
                      <w:r>
                        <w:rPr>
                          <w:color w:val="auto"/>
                          <w:sz w:val="24"/>
                        </w:rPr>
                        <w:t>Average hour rates for</w:t>
                      </w:r>
                      <w:r w:rsidRPr="007346BB">
                        <w:rPr>
                          <w:color w:val="auto"/>
                          <w:sz w:val="24"/>
                        </w:rPr>
                        <w:t xml:space="preserve"> </w:t>
                      </w:r>
                      <w:r>
                        <w:rPr>
                          <w:color w:val="auto"/>
                          <w:sz w:val="24"/>
                        </w:rPr>
                        <w:t>d</w:t>
                      </w:r>
                      <w:r w:rsidRPr="007346BB">
                        <w:rPr>
                          <w:color w:val="auto"/>
                          <w:sz w:val="24"/>
                        </w:rPr>
                        <w:t>aily</w:t>
                      </w:r>
                      <w:r>
                        <w:rPr>
                          <w:color w:val="auto"/>
                          <w:sz w:val="24"/>
                        </w:rPr>
                        <w:t xml:space="preserve"> customers</w:t>
                      </w:r>
                    </w:p>
                  </w:txbxContent>
                </v:textbox>
              </v:shape>
            </w:pict>
          </mc:Fallback>
        </mc:AlternateContent>
      </w:r>
      <w:r w:rsidR="00891218" w:rsidRPr="0030251C">
        <w:br w:type="page"/>
      </w:r>
    </w:p>
    <w:p w14:paraId="02EC633D" w14:textId="7F633D0B" w:rsidR="005F2ABD" w:rsidRDefault="00BB42E1" w:rsidP="005F2ABD">
      <w:pPr>
        <w:keepNext/>
        <w:autoSpaceDE w:val="0"/>
        <w:autoSpaceDN w:val="0"/>
        <w:adjustRightInd w:val="0"/>
        <w:ind w:left="360"/>
      </w:pPr>
      <w:r>
        <w:rPr>
          <w:noProof/>
          <w:lang w:val="en-US"/>
        </w:rPr>
        <w:lastRenderedPageBreak/>
        <mc:AlternateContent>
          <mc:Choice Requires="wpg">
            <w:drawing>
              <wp:anchor distT="0" distB="0" distL="114300" distR="114300" simplePos="0" relativeHeight="251716608" behindDoc="0" locked="0" layoutInCell="1" allowOverlap="1" wp14:anchorId="363D7BF4" wp14:editId="682F8700">
                <wp:simplePos x="0" y="0"/>
                <wp:positionH relativeFrom="column">
                  <wp:posOffset>3594295</wp:posOffset>
                </wp:positionH>
                <wp:positionV relativeFrom="paragraph">
                  <wp:posOffset>35169</wp:posOffset>
                </wp:positionV>
                <wp:extent cx="882650" cy="3924056"/>
                <wp:effectExtent l="0" t="0" r="12700" b="19685"/>
                <wp:wrapNone/>
                <wp:docPr id="45" name="Group 45"/>
                <wp:cNvGraphicFramePr/>
                <a:graphic xmlns:a="http://schemas.openxmlformats.org/drawingml/2006/main">
                  <a:graphicData uri="http://schemas.microsoft.com/office/word/2010/wordprocessingGroup">
                    <wpg:wgp>
                      <wpg:cNvGrpSpPr/>
                      <wpg:grpSpPr>
                        <a:xfrm>
                          <a:off x="0" y="0"/>
                          <a:ext cx="882650" cy="3924056"/>
                          <a:chOff x="0" y="0"/>
                          <a:chExt cx="882650" cy="3924056"/>
                        </a:xfrm>
                      </wpg:grpSpPr>
                      <wps:wsp>
                        <wps:cNvPr id="217" name="Text Box 2"/>
                        <wps:cNvSpPr txBox="1">
                          <a:spLocks noChangeArrowheads="1"/>
                        </wps:cNvSpPr>
                        <wps:spPr bwMode="auto">
                          <a:xfrm>
                            <a:off x="84407" y="0"/>
                            <a:ext cx="719455" cy="301625"/>
                          </a:xfrm>
                          <a:prstGeom prst="rect">
                            <a:avLst/>
                          </a:prstGeom>
                          <a:solidFill>
                            <a:srgbClr val="FFFFFF"/>
                          </a:solidFill>
                          <a:ln w="9525">
                            <a:solidFill>
                              <a:srgbClr val="000000"/>
                            </a:solidFill>
                            <a:miter lim="800000"/>
                            <a:headEnd/>
                            <a:tailEnd/>
                          </a:ln>
                        </wps:spPr>
                        <wps:txbx>
                          <w:txbxContent>
                            <w:p w14:paraId="325673CF" w14:textId="4896D727" w:rsidR="00E43EF8" w:rsidRPr="00BB42E1" w:rsidRDefault="00E43EF8" w:rsidP="005F2ABD">
                              <w:pPr>
                                <w:spacing w:before="0" w:after="0"/>
                                <w:jc w:val="center"/>
                              </w:pPr>
                              <w:r w:rsidRPr="00BB42E1">
                                <w:t>Arrivals</w:t>
                              </w:r>
                            </w:p>
                          </w:txbxContent>
                        </wps:txbx>
                        <wps:bodyPr rot="0" vert="horz" wrap="square" lIns="91440" tIns="45720" rIns="91440" bIns="45720" anchor="ctr" anchorCtr="0">
                          <a:noAutofit/>
                        </wps:bodyPr>
                      </wps:wsp>
                      <wps:wsp>
                        <wps:cNvPr id="39" name="Text Box 2"/>
                        <wps:cNvSpPr txBox="1">
                          <a:spLocks noChangeArrowheads="1"/>
                        </wps:cNvSpPr>
                        <wps:spPr bwMode="auto">
                          <a:xfrm>
                            <a:off x="0" y="3622431"/>
                            <a:ext cx="882650" cy="301625"/>
                          </a:xfrm>
                          <a:prstGeom prst="rect">
                            <a:avLst/>
                          </a:prstGeom>
                          <a:solidFill>
                            <a:srgbClr val="FFFFFF"/>
                          </a:solidFill>
                          <a:ln w="9525">
                            <a:solidFill>
                              <a:srgbClr val="000000"/>
                            </a:solidFill>
                            <a:miter lim="800000"/>
                            <a:headEnd/>
                            <a:tailEnd/>
                          </a:ln>
                        </wps:spPr>
                        <wps:txbx>
                          <w:txbxContent>
                            <w:p w14:paraId="0A112EE9" w14:textId="3F318DBE" w:rsidR="00E43EF8" w:rsidRPr="00BB42E1" w:rsidRDefault="00E43EF8" w:rsidP="00BB42E1">
                              <w:pPr>
                                <w:spacing w:before="0" w:after="0"/>
                                <w:jc w:val="center"/>
                              </w:pPr>
                              <w:r w:rsidRPr="00BB42E1">
                                <w:t>Departures</w:t>
                              </w:r>
                            </w:p>
                          </w:txbxContent>
                        </wps:txbx>
                        <wps:bodyPr rot="0" vert="horz" wrap="square" lIns="91440" tIns="45720" rIns="91440" bIns="45720" anchor="ctr" anchorCtr="0">
                          <a:noAutofit/>
                        </wps:bodyPr>
                      </wps:wsp>
                    </wpg:wgp>
                  </a:graphicData>
                </a:graphic>
              </wp:anchor>
            </w:drawing>
          </mc:Choice>
          <mc:Fallback>
            <w:pict>
              <v:group w14:anchorId="363D7BF4" id="Group 45" o:spid="_x0000_s1030" style="position:absolute;left:0;text-align:left;margin-left:283pt;margin-top:2.75pt;width:69.5pt;height:309pt;z-index:251716608" coordsize="8826,3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">
                <v:shape id="Text Box 2" o:spid="_x0000_s1031" type="#_x0000_t202" style="position:absolute;left:844;width:7194;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03sIA&#10;AADcAAAADwAAAGRycy9kb3ducmV2LnhtbESPQWsCMRSE7wX/Q3iCt5rVg5bVKIul4MWCVjw/kufu&#10;tpuXkMR1/femUOhxmJlvmPV2sJ3oKcTWsYLZtABBrJ1puVZw/vp4fQMRE7LBzjEpeFCE7Wb0ssbS&#10;uDsfqT+lWmQIxxIVNCn5UsqoG7IYp84TZ+/qgsWUZailCXjPcNvJeVEspMWW80KDnnYN6Z/TzSo4&#10;VIdd8Rl6W/nL9btDr/W7j0pNxkO1ApFoSP/hv/beKJjPlvB7Jh8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fTewgAAANwAAAAPAAAAAAAAAAAAAAAAAJgCAABkcnMvZG93&#10;bnJldi54bWxQSwUGAAAAAAQABAD1AAAAhwMAAAAA&#10;">
                  <v:textbox>
                    <w:txbxContent>
                      <w:p w14:paraId="325673CF" w14:textId="4896D727" w:rsidR="00E43EF8" w:rsidRPr="00BB42E1" w:rsidRDefault="00E43EF8" w:rsidP="005F2ABD">
                        <w:pPr>
                          <w:spacing w:before="0" w:after="0"/>
                          <w:jc w:val="center"/>
                        </w:pPr>
                        <w:r w:rsidRPr="00BB42E1">
                          <w:t>Arrivals</w:t>
                        </w:r>
                      </w:p>
                    </w:txbxContent>
                  </v:textbox>
                </v:shape>
                <v:shape id="Text Box 2" o:spid="_x0000_s1032" type="#_x0000_t202" style="position:absolute;top:36224;width:882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sIA&#10;AADbAAAADwAAAGRycy9kb3ducmV2LnhtbESPQWsCMRSE7wX/Q3iCt5pVodTVKItS8GKhtnh+JM/d&#10;1c1LSNJ1/fdNodDjMDPfMOvtYDvRU4itYwWzaQGCWDvTcq3g6/Pt+RVETMgGO8ek4EERtpvR0xpL&#10;4+78Qf0p1SJDOJaooEnJl1JG3ZDFOHWeOHsXFyymLEMtTcB7httOzoviRVpsOS806GnXkL6dvq2C&#10;Y3XcFe+ht5U/X64deq33Pio1GQ/VCkSiIf2H/9oHo2Cx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4KOwgAAANsAAAAPAAAAAAAAAAAAAAAAAJgCAABkcnMvZG93&#10;bnJldi54bWxQSwUGAAAAAAQABAD1AAAAhwMAAAAA&#10;">
                  <v:textbox>
                    <w:txbxContent>
                      <w:p w14:paraId="0A112EE9" w14:textId="3F318DBE" w:rsidR="00E43EF8" w:rsidRPr="00BB42E1" w:rsidRDefault="00E43EF8" w:rsidP="00BB42E1">
                        <w:pPr>
                          <w:spacing w:before="0" w:after="0"/>
                          <w:jc w:val="center"/>
                        </w:pPr>
                        <w:r w:rsidRPr="00BB42E1">
                          <w:t>Departures</w:t>
                        </w:r>
                      </w:p>
                    </w:txbxContent>
                  </v:textbox>
                </v:shape>
              </v:group>
            </w:pict>
          </mc:Fallback>
        </mc:AlternateContent>
      </w:r>
      <w:r w:rsidR="00BE3E25">
        <w:rPr>
          <w:noProof/>
          <w:lang w:val="en-US"/>
        </w:rPr>
        <w:drawing>
          <wp:inline distT="0" distB="0" distL="0" distR="0" wp14:anchorId="7F1E6AEC" wp14:editId="0CFC66A1">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Y_Fig_Context_Rates_JTRG_Memb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9CF49" w14:textId="69504B2D" w:rsidR="00BE3E25" w:rsidRPr="005F2ABD" w:rsidRDefault="005F2ABD" w:rsidP="005F2ABD">
      <w:pPr>
        <w:pStyle w:val="Caption"/>
        <w:keepNext/>
        <w:spacing w:before="0" w:after="0"/>
        <w:jc w:val="center"/>
        <w:rPr>
          <w:color w:val="auto"/>
          <w:sz w:val="24"/>
        </w:rPr>
      </w:pPr>
      <w:r w:rsidRPr="005F2ABD">
        <w:rPr>
          <w:color w:val="auto"/>
          <w:sz w:val="24"/>
        </w:rPr>
        <w:t>Figure 1 Average Hourly Arrival and Departure Rates for Members in Peak Hours</w:t>
      </w:r>
    </w:p>
    <w:p w14:paraId="22089460" w14:textId="3E30EE22" w:rsidR="00BE3E25" w:rsidRDefault="00BE3E25">
      <w:pPr>
        <w:spacing w:before="0" w:after="0"/>
      </w:pPr>
      <w:r>
        <w:br w:type="page"/>
      </w:r>
    </w:p>
    <w:p w14:paraId="727DC926" w14:textId="1D29D07A" w:rsidR="005F2ABD" w:rsidRDefault="00BB42E1" w:rsidP="005F2ABD">
      <w:pPr>
        <w:keepNext/>
        <w:autoSpaceDE w:val="0"/>
        <w:autoSpaceDN w:val="0"/>
        <w:adjustRightInd w:val="0"/>
        <w:ind w:left="360"/>
      </w:pPr>
      <w:r>
        <w:rPr>
          <w:noProof/>
          <w:lang w:val="en-US"/>
        </w:rPr>
        <w:lastRenderedPageBreak/>
        <mc:AlternateContent>
          <mc:Choice Requires="wpg">
            <w:drawing>
              <wp:anchor distT="0" distB="0" distL="114300" distR="114300" simplePos="0" relativeHeight="251720704" behindDoc="0" locked="0" layoutInCell="1" allowOverlap="1" wp14:anchorId="4754D5C1" wp14:editId="31F87342">
                <wp:simplePos x="0" y="0"/>
                <wp:positionH relativeFrom="column">
                  <wp:posOffset>3601085</wp:posOffset>
                </wp:positionH>
                <wp:positionV relativeFrom="paragraph">
                  <wp:posOffset>36668</wp:posOffset>
                </wp:positionV>
                <wp:extent cx="882650" cy="3917022"/>
                <wp:effectExtent l="0" t="0" r="12700" b="26670"/>
                <wp:wrapNone/>
                <wp:docPr id="44" name="Group 44"/>
                <wp:cNvGraphicFramePr/>
                <a:graphic xmlns:a="http://schemas.openxmlformats.org/drawingml/2006/main">
                  <a:graphicData uri="http://schemas.microsoft.com/office/word/2010/wordprocessingGroup">
                    <wpg:wgp>
                      <wpg:cNvGrpSpPr/>
                      <wpg:grpSpPr>
                        <a:xfrm>
                          <a:off x="0" y="0"/>
                          <a:ext cx="882650" cy="3917022"/>
                          <a:chOff x="0" y="0"/>
                          <a:chExt cx="882650" cy="3917022"/>
                        </a:xfrm>
                      </wpg:grpSpPr>
                      <wps:wsp>
                        <wps:cNvPr id="42" name="Text Box 2"/>
                        <wps:cNvSpPr txBox="1">
                          <a:spLocks noChangeArrowheads="1"/>
                        </wps:cNvSpPr>
                        <wps:spPr bwMode="auto">
                          <a:xfrm>
                            <a:off x="84406" y="0"/>
                            <a:ext cx="719455" cy="301625"/>
                          </a:xfrm>
                          <a:prstGeom prst="rect">
                            <a:avLst/>
                          </a:prstGeom>
                          <a:solidFill>
                            <a:srgbClr val="FFFFFF"/>
                          </a:solidFill>
                          <a:ln w="9525">
                            <a:solidFill>
                              <a:srgbClr val="000000"/>
                            </a:solidFill>
                            <a:miter lim="800000"/>
                            <a:headEnd/>
                            <a:tailEnd/>
                          </a:ln>
                        </wps:spPr>
                        <wps:txbx>
                          <w:txbxContent>
                            <w:p w14:paraId="3122D5A0" w14:textId="77777777" w:rsidR="00E43EF8" w:rsidRPr="00BB42E1" w:rsidRDefault="00E43EF8" w:rsidP="00BB42E1">
                              <w:pPr>
                                <w:spacing w:before="0" w:after="0"/>
                                <w:jc w:val="center"/>
                              </w:pPr>
                              <w:r w:rsidRPr="00BB42E1">
                                <w:t>Arrivals</w:t>
                              </w:r>
                            </w:p>
                          </w:txbxContent>
                        </wps:txbx>
                        <wps:bodyPr rot="0" vert="horz" wrap="square" lIns="91440" tIns="45720" rIns="91440" bIns="45720" anchor="ctr" anchorCtr="0">
                          <a:noAutofit/>
                        </wps:bodyPr>
                      </wps:wsp>
                      <wps:wsp>
                        <wps:cNvPr id="43" name="Text Box 2"/>
                        <wps:cNvSpPr txBox="1">
                          <a:spLocks noChangeArrowheads="1"/>
                        </wps:cNvSpPr>
                        <wps:spPr bwMode="auto">
                          <a:xfrm>
                            <a:off x="0" y="3615397"/>
                            <a:ext cx="882650" cy="301625"/>
                          </a:xfrm>
                          <a:prstGeom prst="rect">
                            <a:avLst/>
                          </a:prstGeom>
                          <a:solidFill>
                            <a:srgbClr val="FFFFFF"/>
                          </a:solidFill>
                          <a:ln w="9525">
                            <a:solidFill>
                              <a:srgbClr val="000000"/>
                            </a:solidFill>
                            <a:miter lim="800000"/>
                            <a:headEnd/>
                            <a:tailEnd/>
                          </a:ln>
                        </wps:spPr>
                        <wps:txbx>
                          <w:txbxContent>
                            <w:p w14:paraId="206A30C5" w14:textId="77777777" w:rsidR="00E43EF8" w:rsidRPr="00BB42E1" w:rsidRDefault="00E43EF8" w:rsidP="00BB42E1">
                              <w:pPr>
                                <w:spacing w:before="0" w:after="0"/>
                                <w:jc w:val="center"/>
                              </w:pPr>
                              <w:r w:rsidRPr="00BB42E1">
                                <w:t>Departures</w:t>
                              </w:r>
                            </w:p>
                          </w:txbxContent>
                        </wps:txbx>
                        <wps:bodyPr rot="0" vert="horz" wrap="square" lIns="91440" tIns="45720" rIns="91440" bIns="45720" anchor="ctr" anchorCtr="0">
                          <a:noAutofit/>
                        </wps:bodyPr>
                      </wps:wsp>
                    </wpg:wgp>
                  </a:graphicData>
                </a:graphic>
              </wp:anchor>
            </w:drawing>
          </mc:Choice>
          <mc:Fallback>
            <w:pict>
              <v:group w14:anchorId="4754D5C1" id="Group 44" o:spid="_x0000_s1033" style="position:absolute;left:0;text-align:left;margin-left:283.55pt;margin-top:2.9pt;width:69.5pt;height:308.45pt;z-index:251720704" coordsize="8826,3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">
                <v:shape id="Text Box 2" o:spid="_x0000_s1034" type="#_x0000_t202" style="position:absolute;left:844;width:7194;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gsEA&#10;AADbAAAADwAAAGRycy9kb3ducmV2LnhtbESPQWsCMRSE70L/Q3gFb5pVp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9Y4LBAAAA2wAAAA8AAAAAAAAAAAAAAAAAmAIAAGRycy9kb3du&#10;cmV2LnhtbFBLBQYAAAAABAAEAPUAAACGAwAAAAA=&#10;">
                  <v:textbox>
                    <w:txbxContent>
                      <w:p w14:paraId="3122D5A0" w14:textId="77777777" w:rsidR="00E43EF8" w:rsidRPr="00BB42E1" w:rsidRDefault="00E43EF8" w:rsidP="00BB42E1">
                        <w:pPr>
                          <w:spacing w:before="0" w:after="0"/>
                          <w:jc w:val="center"/>
                        </w:pPr>
                        <w:r w:rsidRPr="00BB42E1">
                          <w:t>Arrivals</w:t>
                        </w:r>
                      </w:p>
                    </w:txbxContent>
                  </v:textbox>
                </v:shape>
                <v:shape id="Text Box 2" o:spid="_x0000_s1035" type="#_x0000_t202" style="position:absolute;top:36153;width:8826;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GGcIA&#10;AADbAAAADwAAAGRycy9kb3ducmV2LnhtbESPQWsCMRSE7wX/Q3iCt5pVS5HVKItS8GKhtnh+JM/d&#10;1c1LSNJ1/fdNodDjMDPfMOvtYDvRU4itYwWzaQGCWDvTcq3g6/PteQkiJmSDnWNS8KAI283oaY2l&#10;cXf+oP6UapEhHEtU0KTkSymjbshinDpPnL2LCxZTlqGWJuA9w20n50XxKi22nBca9LRrSN9O31bB&#10;sTruivfQ28qfL9cOvdZ7H5WajIdqBSLRkP7Df+2DUfCyg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cYZwgAAANsAAAAPAAAAAAAAAAAAAAAAAJgCAABkcnMvZG93&#10;bnJldi54bWxQSwUGAAAAAAQABAD1AAAAhwMAAAAA&#10;">
                  <v:textbox>
                    <w:txbxContent>
                      <w:p w14:paraId="206A30C5" w14:textId="77777777" w:rsidR="00E43EF8" w:rsidRPr="00BB42E1" w:rsidRDefault="00E43EF8" w:rsidP="00BB42E1">
                        <w:pPr>
                          <w:spacing w:before="0" w:after="0"/>
                          <w:jc w:val="center"/>
                        </w:pPr>
                        <w:r w:rsidRPr="00BB42E1">
                          <w:t>Departures</w:t>
                        </w:r>
                      </w:p>
                    </w:txbxContent>
                  </v:textbox>
                </v:shape>
              </v:group>
            </w:pict>
          </mc:Fallback>
        </mc:AlternateContent>
      </w:r>
      <w:r w:rsidR="00BE3E25">
        <w:rPr>
          <w:noProof/>
          <w:lang w:val="en-US"/>
        </w:rPr>
        <w:drawing>
          <wp:inline distT="0" distB="0" distL="0" distR="0" wp14:anchorId="4C31C176" wp14:editId="7A7D448E">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Y_Fig_Context_Rates_JTRG_nonMemb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2C5E39" w14:textId="574AA1BD" w:rsidR="00BE3E25" w:rsidRPr="005F2ABD" w:rsidRDefault="005F2ABD" w:rsidP="005F2ABD">
      <w:pPr>
        <w:pStyle w:val="Caption"/>
        <w:keepNext/>
        <w:spacing w:before="0" w:after="0"/>
        <w:jc w:val="center"/>
        <w:rPr>
          <w:color w:val="auto"/>
          <w:sz w:val="24"/>
        </w:rPr>
      </w:pPr>
      <w:r w:rsidRPr="005F2ABD">
        <w:rPr>
          <w:color w:val="auto"/>
          <w:sz w:val="24"/>
        </w:rPr>
        <w:t xml:space="preserve">Figure </w:t>
      </w:r>
      <w:r>
        <w:rPr>
          <w:color w:val="auto"/>
          <w:sz w:val="24"/>
        </w:rPr>
        <w:t>2</w:t>
      </w:r>
      <w:r w:rsidRPr="005F2ABD">
        <w:rPr>
          <w:color w:val="auto"/>
          <w:sz w:val="24"/>
        </w:rPr>
        <w:t xml:space="preserve"> </w:t>
      </w:r>
      <w:r>
        <w:rPr>
          <w:color w:val="auto"/>
          <w:sz w:val="24"/>
        </w:rPr>
        <w:t xml:space="preserve">Average </w:t>
      </w:r>
      <w:r w:rsidRPr="005F2ABD">
        <w:rPr>
          <w:color w:val="auto"/>
          <w:sz w:val="24"/>
        </w:rPr>
        <w:t>Hourly Arrival and Departure Rates for Daily Customers</w:t>
      </w:r>
      <w:r>
        <w:rPr>
          <w:color w:val="auto"/>
          <w:sz w:val="24"/>
        </w:rPr>
        <w:t xml:space="preserve"> in Peak Hours</w:t>
      </w:r>
    </w:p>
    <w:p w14:paraId="5B621A5B" w14:textId="5D99F20B" w:rsidR="00BE3E25" w:rsidRDefault="00BE3E25">
      <w:pPr>
        <w:spacing w:before="0" w:after="0"/>
        <w:rPr>
          <w:b/>
          <w:bCs/>
          <w:szCs w:val="18"/>
        </w:rPr>
      </w:pPr>
      <w:r>
        <w:rPr>
          <w:b/>
          <w:bCs/>
          <w:szCs w:val="18"/>
        </w:rPr>
        <w:br w:type="page"/>
      </w:r>
    </w:p>
    <w:p w14:paraId="75E779CB" w14:textId="77777777" w:rsidR="00BE3E25" w:rsidRDefault="00BE3E25" w:rsidP="00BE3E25">
      <w:pPr>
        <w:autoSpaceDE w:val="0"/>
        <w:autoSpaceDN w:val="0"/>
        <w:adjustRightInd w:val="0"/>
        <w:ind w:left="360"/>
        <w:rPr>
          <w:b/>
          <w:bCs/>
          <w:szCs w:val="18"/>
        </w:rPr>
      </w:pPr>
    </w:p>
    <w:p w14:paraId="19A94297" w14:textId="35CB4493" w:rsidR="00932A4D" w:rsidRPr="00932A4D" w:rsidRDefault="00932A4D" w:rsidP="00C52F43">
      <w:pPr>
        <w:pStyle w:val="Caption"/>
        <w:keepNext/>
        <w:spacing w:before="0" w:after="0"/>
        <w:jc w:val="center"/>
        <w:rPr>
          <w:color w:val="auto"/>
          <w:sz w:val="24"/>
        </w:rPr>
      </w:pPr>
      <w:r w:rsidRPr="00932A4D">
        <w:rPr>
          <w:color w:val="auto"/>
          <w:sz w:val="24"/>
        </w:rPr>
        <w:t xml:space="preserve">Table </w:t>
      </w:r>
      <w:r w:rsidRPr="00932A4D">
        <w:rPr>
          <w:color w:val="auto"/>
          <w:sz w:val="24"/>
        </w:rPr>
        <w:fldChar w:fldCharType="begin"/>
      </w:r>
      <w:r w:rsidRPr="00932A4D">
        <w:rPr>
          <w:color w:val="auto"/>
          <w:sz w:val="24"/>
        </w:rPr>
        <w:instrText xml:space="preserve"> SEQ Table \* ARABIC </w:instrText>
      </w:r>
      <w:r w:rsidRPr="00932A4D">
        <w:rPr>
          <w:color w:val="auto"/>
          <w:sz w:val="24"/>
        </w:rPr>
        <w:fldChar w:fldCharType="separate"/>
      </w:r>
      <w:r w:rsidR="000C44DF">
        <w:rPr>
          <w:noProof/>
          <w:color w:val="auto"/>
          <w:sz w:val="24"/>
        </w:rPr>
        <w:t>1</w:t>
      </w:r>
      <w:r w:rsidRPr="00932A4D">
        <w:rPr>
          <w:color w:val="auto"/>
          <w:sz w:val="24"/>
        </w:rPr>
        <w:fldChar w:fldCharType="end"/>
      </w:r>
      <w:r w:rsidRPr="00932A4D">
        <w:rPr>
          <w:color w:val="auto"/>
          <w:sz w:val="24"/>
        </w:rPr>
        <w:t xml:space="preserve"> Descriptive Summary of </w:t>
      </w:r>
      <w:r w:rsidR="00272066" w:rsidRPr="00932A4D">
        <w:rPr>
          <w:color w:val="auto"/>
          <w:sz w:val="24"/>
        </w:rPr>
        <w:t>Sample Characteristics</w:t>
      </w:r>
    </w:p>
    <w:tbl>
      <w:tblPr>
        <w:tblStyle w:val="LightShading"/>
        <w:tblW w:w="8854" w:type="dxa"/>
        <w:jc w:val="center"/>
        <w:shd w:val="clear" w:color="auto" w:fill="FFFFFF" w:themeFill="background1"/>
        <w:tblLayout w:type="fixed"/>
        <w:tblLook w:val="04A0" w:firstRow="1" w:lastRow="0" w:firstColumn="1" w:lastColumn="0" w:noHBand="0" w:noVBand="1"/>
      </w:tblPr>
      <w:tblGrid>
        <w:gridCol w:w="4585"/>
        <w:gridCol w:w="850"/>
        <w:gridCol w:w="217"/>
        <w:gridCol w:w="775"/>
        <w:gridCol w:w="292"/>
        <w:gridCol w:w="859"/>
        <w:gridCol w:w="208"/>
        <w:gridCol w:w="1068"/>
      </w:tblGrid>
      <w:tr w:rsidR="00EB3072" w:rsidRPr="00EB3072" w14:paraId="0A5BA7CA" w14:textId="77777777" w:rsidTr="009C0700">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12" w:space="0" w:color="auto"/>
              <w:left w:val="single" w:sz="12" w:space="0" w:color="auto"/>
              <w:bottom w:val="single" w:sz="4" w:space="0" w:color="auto"/>
              <w:right w:val="single" w:sz="18" w:space="0" w:color="auto"/>
            </w:tcBorders>
            <w:shd w:val="clear" w:color="auto" w:fill="FFFFFF" w:themeFill="background1"/>
            <w:noWrap/>
            <w:vAlign w:val="center"/>
            <w:hideMark/>
          </w:tcPr>
          <w:p w14:paraId="0D6C657D" w14:textId="77777777" w:rsidR="00EB3072" w:rsidRPr="00EB3072" w:rsidRDefault="00EB3072" w:rsidP="00EB3072">
            <w:pPr>
              <w:tabs>
                <w:tab w:val="left" w:pos="1410"/>
              </w:tabs>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Continuous Variables</w:t>
            </w:r>
          </w:p>
        </w:tc>
        <w:tc>
          <w:tcPr>
            <w:tcW w:w="850" w:type="dxa"/>
            <w:tcBorders>
              <w:top w:val="single" w:sz="12" w:space="0" w:color="auto"/>
              <w:left w:val="single" w:sz="18" w:space="0" w:color="auto"/>
              <w:bottom w:val="single" w:sz="4" w:space="0" w:color="auto"/>
            </w:tcBorders>
            <w:shd w:val="clear" w:color="auto" w:fill="FFFFFF" w:themeFill="background1"/>
            <w:noWrap/>
            <w:vAlign w:val="center"/>
            <w:hideMark/>
          </w:tcPr>
          <w:p w14:paraId="127E1C98" w14:textId="77777777" w:rsidR="00EB3072" w:rsidRPr="00EB3072" w:rsidRDefault="00EB3072" w:rsidP="00EB307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Min</w:t>
            </w:r>
          </w:p>
        </w:tc>
        <w:tc>
          <w:tcPr>
            <w:tcW w:w="992" w:type="dxa"/>
            <w:gridSpan w:val="2"/>
            <w:tcBorders>
              <w:top w:val="single" w:sz="12" w:space="0" w:color="auto"/>
              <w:bottom w:val="single" w:sz="4" w:space="0" w:color="auto"/>
            </w:tcBorders>
            <w:shd w:val="clear" w:color="auto" w:fill="FFFFFF" w:themeFill="background1"/>
            <w:noWrap/>
            <w:vAlign w:val="center"/>
            <w:hideMark/>
          </w:tcPr>
          <w:p w14:paraId="0B1B9ED5" w14:textId="77777777" w:rsidR="00EB3072" w:rsidRPr="00EB3072" w:rsidRDefault="00EB3072" w:rsidP="00EB307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Max</w:t>
            </w:r>
          </w:p>
        </w:tc>
        <w:tc>
          <w:tcPr>
            <w:tcW w:w="1151" w:type="dxa"/>
            <w:gridSpan w:val="2"/>
            <w:tcBorders>
              <w:top w:val="single" w:sz="12" w:space="0" w:color="auto"/>
              <w:left w:val="single" w:sz="18" w:space="0" w:color="auto"/>
              <w:bottom w:val="single" w:sz="4" w:space="0" w:color="auto"/>
            </w:tcBorders>
            <w:shd w:val="clear" w:color="auto" w:fill="FFFFFF" w:themeFill="background1"/>
            <w:vAlign w:val="center"/>
          </w:tcPr>
          <w:p w14:paraId="3DA8F9EA" w14:textId="77777777" w:rsidR="00EB3072" w:rsidRPr="00EB3072" w:rsidRDefault="00EB3072" w:rsidP="00EB307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Mean</w:t>
            </w:r>
          </w:p>
        </w:tc>
        <w:tc>
          <w:tcPr>
            <w:tcW w:w="1276" w:type="dxa"/>
            <w:gridSpan w:val="2"/>
            <w:tcBorders>
              <w:top w:val="single" w:sz="12" w:space="0" w:color="auto"/>
              <w:bottom w:val="single" w:sz="4" w:space="0" w:color="auto"/>
              <w:right w:val="single" w:sz="12" w:space="0" w:color="auto"/>
            </w:tcBorders>
            <w:shd w:val="clear" w:color="auto" w:fill="FFFFFF" w:themeFill="background1"/>
            <w:noWrap/>
            <w:vAlign w:val="center"/>
          </w:tcPr>
          <w:p w14:paraId="16886A1D" w14:textId="77777777" w:rsidR="00EB3072" w:rsidRPr="00EB3072" w:rsidRDefault="00EB3072" w:rsidP="00EB307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Std. Deviation</w:t>
            </w:r>
          </w:p>
        </w:tc>
      </w:tr>
      <w:tr w:rsidR="00E853AC" w:rsidRPr="00EB3072" w14:paraId="24E3DBE0"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7940AE45" w14:textId="77777777" w:rsidR="00E853AC" w:rsidRPr="00E853AC" w:rsidRDefault="00E853AC" w:rsidP="00E853AC">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Hourly </w:t>
            </w:r>
            <w:r w:rsidRPr="00E853AC">
              <w:rPr>
                <w:rFonts w:ascii="Times New Roman" w:eastAsia="Times New Roman" w:hAnsi="Times New Roman" w:cs="Times New Roman"/>
                <w:color w:val="000000"/>
                <w:lang w:eastAsia="en-CA"/>
              </w:rPr>
              <w:t>Arrivals (Annual Members)</w:t>
            </w:r>
          </w:p>
        </w:tc>
        <w:tc>
          <w:tcPr>
            <w:tcW w:w="850" w:type="dxa"/>
            <w:tcBorders>
              <w:left w:val="single" w:sz="18" w:space="0" w:color="auto"/>
            </w:tcBorders>
            <w:shd w:val="clear" w:color="auto" w:fill="FFFFFF" w:themeFill="background1"/>
            <w:noWrap/>
            <w:vAlign w:val="center"/>
          </w:tcPr>
          <w:p w14:paraId="416A8E9E"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2FEE1F7D"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83.00</w:t>
            </w:r>
          </w:p>
        </w:tc>
        <w:tc>
          <w:tcPr>
            <w:tcW w:w="1151" w:type="dxa"/>
            <w:gridSpan w:val="2"/>
            <w:tcBorders>
              <w:left w:val="single" w:sz="18" w:space="0" w:color="auto"/>
            </w:tcBorders>
            <w:shd w:val="clear" w:color="auto" w:fill="FFFFFF" w:themeFill="background1"/>
            <w:vAlign w:val="center"/>
          </w:tcPr>
          <w:p w14:paraId="5D3ABAF3"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3.74</w:t>
            </w:r>
          </w:p>
        </w:tc>
        <w:tc>
          <w:tcPr>
            <w:tcW w:w="1276" w:type="dxa"/>
            <w:gridSpan w:val="2"/>
            <w:tcBorders>
              <w:right w:val="single" w:sz="12" w:space="0" w:color="auto"/>
            </w:tcBorders>
            <w:shd w:val="clear" w:color="auto" w:fill="FFFFFF" w:themeFill="background1"/>
            <w:noWrap/>
            <w:vAlign w:val="center"/>
          </w:tcPr>
          <w:p w14:paraId="3122F37D"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5.26</w:t>
            </w:r>
          </w:p>
        </w:tc>
      </w:tr>
      <w:tr w:rsidR="00E853AC" w:rsidRPr="00EB3072" w14:paraId="5D2633C3"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5476F591" w14:textId="77777777" w:rsidR="00E853AC" w:rsidRPr="00E853AC" w:rsidRDefault="00E853AC" w:rsidP="00E853AC">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Hourly </w:t>
            </w:r>
            <w:r w:rsidRPr="00E853AC">
              <w:rPr>
                <w:rFonts w:ascii="Times New Roman" w:eastAsia="Times New Roman" w:hAnsi="Times New Roman" w:cs="Times New Roman"/>
                <w:color w:val="000000"/>
                <w:lang w:eastAsia="en-CA"/>
              </w:rPr>
              <w:t>Arrivals (Daily Customers)</w:t>
            </w:r>
          </w:p>
        </w:tc>
        <w:tc>
          <w:tcPr>
            <w:tcW w:w="850" w:type="dxa"/>
            <w:tcBorders>
              <w:left w:val="single" w:sz="18" w:space="0" w:color="auto"/>
            </w:tcBorders>
            <w:shd w:val="clear" w:color="auto" w:fill="FFFFFF" w:themeFill="background1"/>
            <w:noWrap/>
            <w:vAlign w:val="center"/>
          </w:tcPr>
          <w:p w14:paraId="72B7A9AB"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0AF4F7D7"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39.00</w:t>
            </w:r>
          </w:p>
        </w:tc>
        <w:tc>
          <w:tcPr>
            <w:tcW w:w="1151" w:type="dxa"/>
            <w:gridSpan w:val="2"/>
            <w:tcBorders>
              <w:left w:val="single" w:sz="18" w:space="0" w:color="auto"/>
            </w:tcBorders>
            <w:shd w:val="clear" w:color="auto" w:fill="FFFFFF" w:themeFill="background1"/>
            <w:vAlign w:val="center"/>
          </w:tcPr>
          <w:p w14:paraId="72D4AA2D"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0.61</w:t>
            </w:r>
          </w:p>
        </w:tc>
        <w:tc>
          <w:tcPr>
            <w:tcW w:w="1276" w:type="dxa"/>
            <w:gridSpan w:val="2"/>
            <w:tcBorders>
              <w:right w:val="single" w:sz="12" w:space="0" w:color="auto"/>
            </w:tcBorders>
            <w:shd w:val="clear" w:color="auto" w:fill="FFFFFF" w:themeFill="background1"/>
            <w:noWrap/>
            <w:vAlign w:val="center"/>
          </w:tcPr>
          <w:p w14:paraId="63916D97"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1.50</w:t>
            </w:r>
          </w:p>
        </w:tc>
      </w:tr>
      <w:tr w:rsidR="00E853AC" w:rsidRPr="00EB3072" w14:paraId="0EB9B69C"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1D9CADFD" w14:textId="77777777" w:rsidR="00E853AC" w:rsidRPr="00E853AC" w:rsidRDefault="00E853AC" w:rsidP="00E853AC">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Hourly </w:t>
            </w:r>
            <w:r w:rsidRPr="00E853AC">
              <w:rPr>
                <w:rFonts w:ascii="Times New Roman" w:eastAsia="Times New Roman" w:hAnsi="Times New Roman" w:cs="Times New Roman"/>
                <w:color w:val="000000"/>
                <w:lang w:eastAsia="en-CA"/>
              </w:rPr>
              <w:t>Departures (Annual Members)</w:t>
            </w:r>
          </w:p>
        </w:tc>
        <w:tc>
          <w:tcPr>
            <w:tcW w:w="850" w:type="dxa"/>
            <w:tcBorders>
              <w:left w:val="single" w:sz="18" w:space="0" w:color="auto"/>
            </w:tcBorders>
            <w:shd w:val="clear" w:color="auto" w:fill="FFFFFF" w:themeFill="background1"/>
            <w:noWrap/>
            <w:vAlign w:val="center"/>
          </w:tcPr>
          <w:p w14:paraId="1ECB76D6"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7E9AC4DB"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102.00</w:t>
            </w:r>
          </w:p>
        </w:tc>
        <w:tc>
          <w:tcPr>
            <w:tcW w:w="1151" w:type="dxa"/>
            <w:gridSpan w:val="2"/>
            <w:tcBorders>
              <w:left w:val="single" w:sz="18" w:space="0" w:color="auto"/>
            </w:tcBorders>
            <w:shd w:val="clear" w:color="auto" w:fill="FFFFFF" w:themeFill="background1"/>
            <w:vAlign w:val="center"/>
          </w:tcPr>
          <w:p w14:paraId="127F12F4"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3.74</w:t>
            </w:r>
          </w:p>
        </w:tc>
        <w:tc>
          <w:tcPr>
            <w:tcW w:w="1276" w:type="dxa"/>
            <w:gridSpan w:val="2"/>
            <w:tcBorders>
              <w:right w:val="single" w:sz="12" w:space="0" w:color="auto"/>
            </w:tcBorders>
            <w:shd w:val="clear" w:color="auto" w:fill="FFFFFF" w:themeFill="background1"/>
            <w:noWrap/>
            <w:vAlign w:val="center"/>
          </w:tcPr>
          <w:p w14:paraId="3006C4D4" w14:textId="77777777" w:rsidR="00E853AC" w:rsidRPr="00E853AC" w:rsidRDefault="00E853AC"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5.36</w:t>
            </w:r>
          </w:p>
        </w:tc>
      </w:tr>
      <w:tr w:rsidR="00E853AC" w:rsidRPr="00EB3072" w14:paraId="65885537"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059F3DFD" w14:textId="77777777" w:rsidR="00E853AC" w:rsidRPr="00E853AC" w:rsidRDefault="00E853AC" w:rsidP="00E853AC">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Hourly </w:t>
            </w:r>
            <w:r w:rsidRPr="00E853AC">
              <w:rPr>
                <w:rFonts w:ascii="Times New Roman" w:eastAsia="Times New Roman" w:hAnsi="Times New Roman" w:cs="Times New Roman"/>
                <w:color w:val="000000"/>
                <w:lang w:eastAsia="en-CA"/>
              </w:rPr>
              <w:t xml:space="preserve">Departures (Daily Customers) </w:t>
            </w:r>
          </w:p>
        </w:tc>
        <w:tc>
          <w:tcPr>
            <w:tcW w:w="850" w:type="dxa"/>
            <w:tcBorders>
              <w:left w:val="single" w:sz="18" w:space="0" w:color="auto"/>
            </w:tcBorders>
            <w:shd w:val="clear" w:color="auto" w:fill="FFFFFF" w:themeFill="background1"/>
            <w:noWrap/>
            <w:vAlign w:val="center"/>
          </w:tcPr>
          <w:p w14:paraId="4919D90B"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7FA8556E"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34.00</w:t>
            </w:r>
          </w:p>
        </w:tc>
        <w:tc>
          <w:tcPr>
            <w:tcW w:w="1151" w:type="dxa"/>
            <w:gridSpan w:val="2"/>
            <w:tcBorders>
              <w:left w:val="single" w:sz="18" w:space="0" w:color="auto"/>
            </w:tcBorders>
            <w:shd w:val="clear" w:color="auto" w:fill="FFFFFF" w:themeFill="background1"/>
            <w:vAlign w:val="center"/>
          </w:tcPr>
          <w:p w14:paraId="77E26660"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0.61</w:t>
            </w:r>
          </w:p>
        </w:tc>
        <w:tc>
          <w:tcPr>
            <w:tcW w:w="1276" w:type="dxa"/>
            <w:gridSpan w:val="2"/>
            <w:tcBorders>
              <w:right w:val="single" w:sz="12" w:space="0" w:color="auto"/>
            </w:tcBorders>
            <w:shd w:val="clear" w:color="auto" w:fill="FFFFFF" w:themeFill="background1"/>
            <w:noWrap/>
            <w:vAlign w:val="center"/>
          </w:tcPr>
          <w:p w14:paraId="437E762C" w14:textId="77777777" w:rsidR="00E853AC" w:rsidRPr="00E853AC"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1.49</w:t>
            </w:r>
          </w:p>
        </w:tc>
      </w:tr>
      <w:tr w:rsidR="00EB3072" w:rsidRPr="00EB3072" w14:paraId="11762ED9"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hideMark/>
          </w:tcPr>
          <w:p w14:paraId="3A3A1A03" w14:textId="77777777" w:rsidR="00EB3072" w:rsidRPr="00EB3072" w:rsidRDefault="00EB3072"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Temperature (°C)</w:t>
            </w:r>
          </w:p>
        </w:tc>
        <w:tc>
          <w:tcPr>
            <w:tcW w:w="850" w:type="dxa"/>
            <w:tcBorders>
              <w:left w:val="single" w:sz="18" w:space="0" w:color="auto"/>
            </w:tcBorders>
            <w:shd w:val="clear" w:color="auto" w:fill="FFFFFF" w:themeFill="background1"/>
            <w:noWrap/>
            <w:vAlign w:val="center"/>
          </w:tcPr>
          <w:p w14:paraId="6204C8AB" w14:textId="77777777" w:rsidR="00EB3072" w:rsidRPr="00EB3072" w:rsidRDefault="00EB3072"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8.3</w:t>
            </w:r>
          </w:p>
        </w:tc>
        <w:tc>
          <w:tcPr>
            <w:tcW w:w="992" w:type="dxa"/>
            <w:gridSpan w:val="2"/>
            <w:shd w:val="clear" w:color="auto" w:fill="FFFFFF" w:themeFill="background1"/>
            <w:noWrap/>
            <w:vAlign w:val="center"/>
          </w:tcPr>
          <w:p w14:paraId="6C933151" w14:textId="77777777" w:rsidR="00EB3072" w:rsidRPr="00EB3072" w:rsidRDefault="00EB3072"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34.4</w:t>
            </w:r>
          </w:p>
        </w:tc>
        <w:tc>
          <w:tcPr>
            <w:tcW w:w="1151" w:type="dxa"/>
            <w:gridSpan w:val="2"/>
            <w:tcBorders>
              <w:left w:val="single" w:sz="18" w:space="0" w:color="auto"/>
            </w:tcBorders>
            <w:shd w:val="clear" w:color="auto" w:fill="FFFFFF" w:themeFill="background1"/>
            <w:vAlign w:val="center"/>
          </w:tcPr>
          <w:p w14:paraId="65D7F186" w14:textId="77777777" w:rsidR="00EB3072" w:rsidRPr="00EB3072" w:rsidRDefault="00EB3072"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19.64</w:t>
            </w:r>
          </w:p>
        </w:tc>
        <w:tc>
          <w:tcPr>
            <w:tcW w:w="1276" w:type="dxa"/>
            <w:gridSpan w:val="2"/>
            <w:tcBorders>
              <w:right w:val="single" w:sz="12" w:space="0" w:color="auto"/>
            </w:tcBorders>
            <w:shd w:val="clear" w:color="auto" w:fill="FFFFFF" w:themeFill="background1"/>
            <w:noWrap/>
            <w:vAlign w:val="center"/>
          </w:tcPr>
          <w:p w14:paraId="2859A0AF" w14:textId="77777777" w:rsidR="00EB3072" w:rsidRPr="00EB3072" w:rsidRDefault="00EB3072"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4.82</w:t>
            </w:r>
          </w:p>
        </w:tc>
      </w:tr>
      <w:tr w:rsidR="005A2C01" w:rsidRPr="00EB3072" w14:paraId="328ACE38"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hideMark/>
          </w:tcPr>
          <w:p w14:paraId="7DEFE311" w14:textId="77777777" w:rsidR="00EB3072" w:rsidRPr="00EB3072" w:rsidRDefault="00EB3072"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Relative Humidity (%)</w:t>
            </w:r>
          </w:p>
        </w:tc>
        <w:tc>
          <w:tcPr>
            <w:tcW w:w="850" w:type="dxa"/>
            <w:tcBorders>
              <w:left w:val="single" w:sz="18" w:space="0" w:color="auto"/>
            </w:tcBorders>
            <w:shd w:val="clear" w:color="auto" w:fill="FFFFFF" w:themeFill="background1"/>
            <w:noWrap/>
            <w:vAlign w:val="center"/>
          </w:tcPr>
          <w:p w14:paraId="76E6F1C4" w14:textId="77777777" w:rsidR="00EB3072" w:rsidRPr="00EB3072"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27.0</w:t>
            </w:r>
          </w:p>
        </w:tc>
        <w:tc>
          <w:tcPr>
            <w:tcW w:w="992" w:type="dxa"/>
            <w:gridSpan w:val="2"/>
            <w:shd w:val="clear" w:color="auto" w:fill="FFFFFF" w:themeFill="background1"/>
            <w:noWrap/>
            <w:vAlign w:val="center"/>
          </w:tcPr>
          <w:p w14:paraId="14D5F04E" w14:textId="77777777" w:rsidR="00EB3072" w:rsidRPr="00EB3072" w:rsidRDefault="005A2C01"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94.2</w:t>
            </w:r>
          </w:p>
        </w:tc>
        <w:tc>
          <w:tcPr>
            <w:tcW w:w="1151" w:type="dxa"/>
            <w:gridSpan w:val="2"/>
            <w:tcBorders>
              <w:left w:val="single" w:sz="18" w:space="0" w:color="auto"/>
            </w:tcBorders>
            <w:shd w:val="clear" w:color="auto" w:fill="FFFFFF" w:themeFill="background1"/>
            <w:vAlign w:val="center"/>
          </w:tcPr>
          <w:p w14:paraId="6E709CCD" w14:textId="77777777" w:rsidR="00EB3072" w:rsidRPr="00EB3072"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60.96</w:t>
            </w:r>
          </w:p>
        </w:tc>
        <w:tc>
          <w:tcPr>
            <w:tcW w:w="1276" w:type="dxa"/>
            <w:gridSpan w:val="2"/>
            <w:tcBorders>
              <w:right w:val="single" w:sz="12" w:space="0" w:color="auto"/>
            </w:tcBorders>
            <w:shd w:val="clear" w:color="auto" w:fill="FFFFFF" w:themeFill="background1"/>
            <w:noWrap/>
            <w:vAlign w:val="center"/>
          </w:tcPr>
          <w:p w14:paraId="713C54B6" w14:textId="77777777" w:rsidR="00EB3072" w:rsidRPr="00EB3072"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16.01</w:t>
            </w:r>
          </w:p>
        </w:tc>
      </w:tr>
      <w:tr w:rsidR="005A2C01" w:rsidRPr="00EB3072" w14:paraId="0B43FEF5"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1215F6D0" w14:textId="77777777" w:rsidR="005A2C01" w:rsidRPr="00EB3072" w:rsidRDefault="005A2C01"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Length of Bicycle</w:t>
            </w:r>
            <w:r>
              <w:rPr>
                <w:rFonts w:ascii="Times New Roman" w:eastAsia="Times New Roman" w:hAnsi="Times New Roman" w:cs="Times New Roman"/>
                <w:color w:val="000000"/>
                <w:lang w:eastAsia="en-CA"/>
              </w:rPr>
              <w:t xml:space="preserve"> Facility in 250m Buffer (</w:t>
            </w:r>
            <w:r w:rsidRPr="00EB3072">
              <w:rPr>
                <w:rFonts w:ascii="Times New Roman" w:eastAsia="Times New Roman" w:hAnsi="Times New Roman" w:cs="Times New Roman"/>
                <w:color w:val="000000"/>
                <w:lang w:eastAsia="en-CA"/>
              </w:rPr>
              <w:t>m)</w:t>
            </w:r>
          </w:p>
        </w:tc>
        <w:tc>
          <w:tcPr>
            <w:tcW w:w="850" w:type="dxa"/>
            <w:tcBorders>
              <w:left w:val="single" w:sz="18" w:space="0" w:color="auto"/>
            </w:tcBorders>
            <w:shd w:val="clear" w:color="auto" w:fill="FFFFFF" w:themeFill="background1"/>
            <w:noWrap/>
            <w:vAlign w:val="center"/>
          </w:tcPr>
          <w:p w14:paraId="6FAA5370" w14:textId="77777777" w:rsidR="005A2C01" w:rsidRPr="005A2C01"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744FF3A2" w14:textId="77777777" w:rsidR="005A2C01" w:rsidRPr="005A2C01"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1022.7</w:t>
            </w:r>
          </w:p>
        </w:tc>
        <w:tc>
          <w:tcPr>
            <w:tcW w:w="1151" w:type="dxa"/>
            <w:gridSpan w:val="2"/>
            <w:tcBorders>
              <w:left w:val="single" w:sz="18" w:space="0" w:color="auto"/>
            </w:tcBorders>
            <w:shd w:val="clear" w:color="auto" w:fill="FFFFFF" w:themeFill="background1"/>
            <w:vAlign w:val="center"/>
          </w:tcPr>
          <w:p w14:paraId="3A42891C" w14:textId="77777777" w:rsidR="005A2C01" w:rsidRPr="005A2C01"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314.95</w:t>
            </w:r>
          </w:p>
        </w:tc>
        <w:tc>
          <w:tcPr>
            <w:tcW w:w="1276" w:type="dxa"/>
            <w:gridSpan w:val="2"/>
            <w:tcBorders>
              <w:right w:val="single" w:sz="12" w:space="0" w:color="auto"/>
            </w:tcBorders>
            <w:shd w:val="clear" w:color="auto" w:fill="FFFFFF" w:themeFill="background1"/>
            <w:noWrap/>
            <w:vAlign w:val="center"/>
          </w:tcPr>
          <w:p w14:paraId="2592C95F" w14:textId="77777777" w:rsidR="005A2C01" w:rsidRPr="005A2C01"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178.82</w:t>
            </w:r>
          </w:p>
        </w:tc>
      </w:tr>
      <w:tr w:rsidR="005A2C01" w:rsidRPr="00EB3072" w14:paraId="51BC5992"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4A98AE62" w14:textId="77777777" w:rsidR="005A2C01" w:rsidRPr="00EB3072" w:rsidRDefault="005A2C01"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Area of Parks in 250m Buffer (m</w:t>
            </w:r>
            <w:r w:rsidRPr="00EB3072">
              <w:rPr>
                <w:rFonts w:ascii="Times New Roman" w:eastAsia="Times New Roman" w:hAnsi="Times New Roman" w:cs="Times New Roman"/>
                <w:color w:val="000000"/>
                <w:vertAlign w:val="superscript"/>
                <w:lang w:eastAsia="en-CA"/>
              </w:rPr>
              <w:t>2</w:t>
            </w:r>
            <w:r w:rsidRPr="00EB3072">
              <w:rPr>
                <w:rFonts w:ascii="Times New Roman" w:eastAsia="Times New Roman" w:hAnsi="Times New Roman" w:cs="Times New Roman"/>
                <w:color w:val="000000"/>
                <w:lang w:eastAsia="en-CA"/>
              </w:rPr>
              <w:t>)</w:t>
            </w:r>
          </w:p>
        </w:tc>
        <w:tc>
          <w:tcPr>
            <w:tcW w:w="850" w:type="dxa"/>
            <w:tcBorders>
              <w:left w:val="single" w:sz="18" w:space="0" w:color="auto"/>
            </w:tcBorders>
            <w:shd w:val="clear" w:color="auto" w:fill="FFFFFF" w:themeFill="background1"/>
            <w:noWrap/>
            <w:vAlign w:val="center"/>
          </w:tcPr>
          <w:p w14:paraId="5E66B3FA" w14:textId="77777777" w:rsidR="005A2C01" w:rsidRPr="005A2C01"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25135783" w14:textId="77777777" w:rsidR="005A2C01" w:rsidRPr="005A2C01" w:rsidRDefault="005A2C01"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95209.9</w:t>
            </w:r>
          </w:p>
        </w:tc>
        <w:tc>
          <w:tcPr>
            <w:tcW w:w="1151" w:type="dxa"/>
            <w:gridSpan w:val="2"/>
            <w:tcBorders>
              <w:left w:val="single" w:sz="18" w:space="0" w:color="auto"/>
            </w:tcBorders>
            <w:shd w:val="clear" w:color="auto" w:fill="FFFFFF" w:themeFill="background1"/>
            <w:vAlign w:val="center"/>
          </w:tcPr>
          <w:p w14:paraId="72110053" w14:textId="77777777" w:rsidR="005A2C01" w:rsidRPr="005A2C01" w:rsidRDefault="005A2C01"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10181.87</w:t>
            </w:r>
          </w:p>
        </w:tc>
        <w:tc>
          <w:tcPr>
            <w:tcW w:w="1276" w:type="dxa"/>
            <w:gridSpan w:val="2"/>
            <w:tcBorders>
              <w:right w:val="single" w:sz="12" w:space="0" w:color="auto"/>
            </w:tcBorders>
            <w:shd w:val="clear" w:color="auto" w:fill="FFFFFF" w:themeFill="background1"/>
            <w:noWrap/>
            <w:vAlign w:val="center"/>
          </w:tcPr>
          <w:p w14:paraId="114651C9" w14:textId="77777777" w:rsidR="005A2C01" w:rsidRPr="005A2C01" w:rsidRDefault="005A2C01"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5A2C01">
              <w:rPr>
                <w:rFonts w:ascii="Times New Roman" w:eastAsia="Times New Roman" w:hAnsi="Times New Roman" w:cs="Times New Roman"/>
                <w:color w:val="000000"/>
                <w:lang w:eastAsia="en-CA"/>
              </w:rPr>
              <w:t>15169.65</w:t>
            </w:r>
          </w:p>
        </w:tc>
      </w:tr>
      <w:tr w:rsidR="008A1A6B" w:rsidRPr="00EB3072" w14:paraId="1BFCA167"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41C50FCE" w14:textId="77777777" w:rsidR="00EB3072" w:rsidRPr="00EB3072" w:rsidRDefault="00EB3072"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Number of Restaurants in 250m Buffer</w:t>
            </w:r>
          </w:p>
        </w:tc>
        <w:tc>
          <w:tcPr>
            <w:tcW w:w="850" w:type="dxa"/>
            <w:tcBorders>
              <w:left w:val="single" w:sz="18" w:space="0" w:color="auto"/>
            </w:tcBorders>
            <w:shd w:val="clear" w:color="auto" w:fill="FFFFFF" w:themeFill="background1"/>
            <w:noWrap/>
            <w:vAlign w:val="center"/>
          </w:tcPr>
          <w:p w14:paraId="3FFC1C8A" w14:textId="77777777" w:rsidR="00EB3072" w:rsidRPr="00EB3072" w:rsidRDefault="00EB3072"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45DFB7A5" w14:textId="77777777" w:rsidR="00EB3072" w:rsidRPr="00EB3072"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545</w:t>
            </w:r>
          </w:p>
        </w:tc>
        <w:tc>
          <w:tcPr>
            <w:tcW w:w="1151" w:type="dxa"/>
            <w:gridSpan w:val="2"/>
            <w:tcBorders>
              <w:left w:val="single" w:sz="18" w:space="0" w:color="auto"/>
            </w:tcBorders>
            <w:shd w:val="clear" w:color="auto" w:fill="FFFFFF" w:themeFill="background1"/>
            <w:vAlign w:val="center"/>
          </w:tcPr>
          <w:p w14:paraId="329502CB" w14:textId="77777777" w:rsidR="00EB3072" w:rsidRPr="00EB3072"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54</w:t>
            </w:r>
            <w:r w:rsidR="00EB3072" w:rsidRPr="00EB3072">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35</w:t>
            </w:r>
          </w:p>
        </w:tc>
        <w:tc>
          <w:tcPr>
            <w:tcW w:w="1276" w:type="dxa"/>
            <w:gridSpan w:val="2"/>
            <w:tcBorders>
              <w:right w:val="single" w:sz="12" w:space="0" w:color="auto"/>
            </w:tcBorders>
            <w:shd w:val="clear" w:color="auto" w:fill="FFFFFF" w:themeFill="background1"/>
            <w:noWrap/>
            <w:vAlign w:val="center"/>
          </w:tcPr>
          <w:p w14:paraId="1998F506" w14:textId="77777777" w:rsidR="00EB3072" w:rsidRPr="00EB3072" w:rsidRDefault="005A2C01"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92</w:t>
            </w:r>
            <w:r w:rsidR="00EB3072" w:rsidRPr="00EB3072">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2</w:t>
            </w:r>
            <w:r w:rsidR="00EB3072" w:rsidRPr="00EB3072">
              <w:rPr>
                <w:rFonts w:ascii="Times New Roman" w:eastAsia="Times New Roman" w:hAnsi="Times New Roman" w:cs="Times New Roman"/>
                <w:color w:val="000000"/>
                <w:lang w:eastAsia="en-CA"/>
              </w:rPr>
              <w:t>1</w:t>
            </w:r>
          </w:p>
        </w:tc>
      </w:tr>
      <w:tr w:rsidR="008A1A6B" w:rsidRPr="00EB3072" w14:paraId="23BA308E"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45C8A510" w14:textId="77777777" w:rsidR="008A1A6B" w:rsidRPr="00EB3072" w:rsidRDefault="008A1A6B"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 xml:space="preserve">Number of </w:t>
            </w:r>
            <w:r>
              <w:rPr>
                <w:rFonts w:ascii="Times New Roman" w:eastAsia="Times New Roman" w:hAnsi="Times New Roman" w:cs="Times New Roman"/>
                <w:color w:val="000000"/>
                <w:lang w:eastAsia="en-CA"/>
              </w:rPr>
              <w:t>CitiBike</w:t>
            </w:r>
            <w:r w:rsidRPr="00EB3072">
              <w:rPr>
                <w:rFonts w:ascii="Times New Roman" w:eastAsia="Times New Roman" w:hAnsi="Times New Roman" w:cs="Times New Roman"/>
                <w:color w:val="000000"/>
                <w:lang w:eastAsia="en-CA"/>
              </w:rPr>
              <w:t xml:space="preserve"> stations in 250m Buffer</w:t>
            </w:r>
          </w:p>
        </w:tc>
        <w:tc>
          <w:tcPr>
            <w:tcW w:w="850" w:type="dxa"/>
            <w:tcBorders>
              <w:left w:val="single" w:sz="18" w:space="0" w:color="auto"/>
            </w:tcBorders>
            <w:shd w:val="clear" w:color="auto" w:fill="FFFFFF" w:themeFill="background1"/>
            <w:noWrap/>
            <w:vAlign w:val="center"/>
          </w:tcPr>
          <w:p w14:paraId="3D713CF1"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3C3BB322"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4.00</w:t>
            </w:r>
          </w:p>
        </w:tc>
        <w:tc>
          <w:tcPr>
            <w:tcW w:w="1151" w:type="dxa"/>
            <w:gridSpan w:val="2"/>
            <w:tcBorders>
              <w:left w:val="single" w:sz="18" w:space="0" w:color="auto"/>
            </w:tcBorders>
            <w:shd w:val="clear" w:color="auto" w:fill="FFFFFF" w:themeFill="background1"/>
            <w:vAlign w:val="center"/>
          </w:tcPr>
          <w:p w14:paraId="5953E110"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1.24</w:t>
            </w:r>
          </w:p>
        </w:tc>
        <w:tc>
          <w:tcPr>
            <w:tcW w:w="1276" w:type="dxa"/>
            <w:gridSpan w:val="2"/>
            <w:tcBorders>
              <w:right w:val="single" w:sz="12" w:space="0" w:color="auto"/>
            </w:tcBorders>
            <w:shd w:val="clear" w:color="auto" w:fill="FFFFFF" w:themeFill="background1"/>
            <w:noWrap/>
            <w:vAlign w:val="center"/>
          </w:tcPr>
          <w:p w14:paraId="01EE081F"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1.01</w:t>
            </w:r>
          </w:p>
        </w:tc>
      </w:tr>
      <w:tr w:rsidR="008A1A6B" w:rsidRPr="00EB3072" w14:paraId="5533CF5D"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38E58045" w14:textId="77777777" w:rsidR="008A1A6B" w:rsidRPr="00EB3072" w:rsidRDefault="008A1A6B" w:rsidP="00E853AC">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Capacity of CitiBike</w:t>
            </w:r>
            <w:r w:rsidRPr="00EB3072">
              <w:rPr>
                <w:rFonts w:ascii="Times New Roman" w:eastAsia="Times New Roman" w:hAnsi="Times New Roman" w:cs="Times New Roman"/>
                <w:color w:val="000000"/>
                <w:lang w:eastAsia="en-CA"/>
              </w:rPr>
              <w:t xml:space="preserve"> stations in 250m Buffer</w:t>
            </w:r>
          </w:p>
        </w:tc>
        <w:tc>
          <w:tcPr>
            <w:tcW w:w="850" w:type="dxa"/>
            <w:tcBorders>
              <w:left w:val="single" w:sz="18" w:space="0" w:color="auto"/>
            </w:tcBorders>
            <w:shd w:val="clear" w:color="auto" w:fill="FFFFFF" w:themeFill="background1"/>
            <w:noWrap/>
            <w:vAlign w:val="center"/>
          </w:tcPr>
          <w:p w14:paraId="5776A8E3"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shd w:val="clear" w:color="auto" w:fill="FFFFFF" w:themeFill="background1"/>
            <w:noWrap/>
            <w:vAlign w:val="center"/>
          </w:tcPr>
          <w:p w14:paraId="7E39F3CA"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169.00</w:t>
            </w:r>
          </w:p>
        </w:tc>
        <w:tc>
          <w:tcPr>
            <w:tcW w:w="1151" w:type="dxa"/>
            <w:gridSpan w:val="2"/>
            <w:tcBorders>
              <w:left w:val="single" w:sz="18" w:space="0" w:color="auto"/>
            </w:tcBorders>
            <w:shd w:val="clear" w:color="auto" w:fill="FFFFFF" w:themeFill="background1"/>
            <w:vAlign w:val="center"/>
          </w:tcPr>
          <w:p w14:paraId="104A78BB"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43.93</w:t>
            </w:r>
          </w:p>
        </w:tc>
        <w:tc>
          <w:tcPr>
            <w:tcW w:w="1276" w:type="dxa"/>
            <w:gridSpan w:val="2"/>
            <w:tcBorders>
              <w:right w:val="single" w:sz="12" w:space="0" w:color="auto"/>
            </w:tcBorders>
            <w:shd w:val="clear" w:color="auto" w:fill="FFFFFF" w:themeFill="background1"/>
            <w:noWrap/>
            <w:vAlign w:val="center"/>
          </w:tcPr>
          <w:p w14:paraId="14066A97"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38.93</w:t>
            </w:r>
          </w:p>
        </w:tc>
      </w:tr>
      <w:tr w:rsidR="005A2C01" w:rsidRPr="00EB3072" w14:paraId="7BACF7EB"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3FA6F894" w14:textId="77777777" w:rsidR="00EB3072" w:rsidRPr="00EB3072" w:rsidRDefault="00EB3072"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Station Capacity</w:t>
            </w:r>
          </w:p>
        </w:tc>
        <w:tc>
          <w:tcPr>
            <w:tcW w:w="850" w:type="dxa"/>
            <w:tcBorders>
              <w:left w:val="single" w:sz="18" w:space="0" w:color="auto"/>
            </w:tcBorders>
            <w:shd w:val="clear" w:color="auto" w:fill="FFFFFF" w:themeFill="background1"/>
            <w:noWrap/>
            <w:vAlign w:val="center"/>
          </w:tcPr>
          <w:p w14:paraId="039B1EC9" w14:textId="77777777" w:rsidR="00EB3072" w:rsidRPr="008A1A6B"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3.00</w:t>
            </w:r>
          </w:p>
        </w:tc>
        <w:tc>
          <w:tcPr>
            <w:tcW w:w="992" w:type="dxa"/>
            <w:gridSpan w:val="2"/>
            <w:shd w:val="clear" w:color="auto" w:fill="FFFFFF" w:themeFill="background1"/>
            <w:noWrap/>
            <w:vAlign w:val="center"/>
          </w:tcPr>
          <w:p w14:paraId="70F8B066" w14:textId="77777777" w:rsidR="00EB3072" w:rsidRPr="008A1A6B"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67.00</w:t>
            </w:r>
          </w:p>
        </w:tc>
        <w:tc>
          <w:tcPr>
            <w:tcW w:w="1151" w:type="dxa"/>
            <w:gridSpan w:val="2"/>
            <w:tcBorders>
              <w:left w:val="single" w:sz="18" w:space="0" w:color="auto"/>
            </w:tcBorders>
            <w:shd w:val="clear" w:color="auto" w:fill="FFFFFF" w:themeFill="background1"/>
            <w:vAlign w:val="center"/>
          </w:tcPr>
          <w:p w14:paraId="0F943FC7" w14:textId="77777777" w:rsidR="00EB3072" w:rsidRPr="008A1A6B"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34.35</w:t>
            </w:r>
          </w:p>
        </w:tc>
        <w:tc>
          <w:tcPr>
            <w:tcW w:w="1276" w:type="dxa"/>
            <w:gridSpan w:val="2"/>
            <w:tcBorders>
              <w:right w:val="single" w:sz="12" w:space="0" w:color="auto"/>
            </w:tcBorders>
            <w:shd w:val="clear" w:color="auto" w:fill="FFFFFF" w:themeFill="background1"/>
            <w:noWrap/>
            <w:vAlign w:val="center"/>
          </w:tcPr>
          <w:p w14:paraId="455F7F8C" w14:textId="77777777" w:rsidR="00EB3072" w:rsidRPr="008A1A6B" w:rsidRDefault="00EB3072"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10.76</w:t>
            </w:r>
          </w:p>
        </w:tc>
      </w:tr>
      <w:tr w:rsidR="008A1A6B" w:rsidRPr="00EB3072" w14:paraId="14D9A06F"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right w:val="single" w:sz="18" w:space="0" w:color="auto"/>
            </w:tcBorders>
            <w:shd w:val="clear" w:color="auto" w:fill="FFFFFF" w:themeFill="background1"/>
            <w:noWrap/>
            <w:vAlign w:val="center"/>
          </w:tcPr>
          <w:p w14:paraId="35AFFF50" w14:textId="77777777" w:rsidR="008A1A6B" w:rsidRPr="00EB3072" w:rsidRDefault="008A1A6B"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Pop Density (people per m</w:t>
            </w:r>
            <w:r w:rsidRPr="00EB3072">
              <w:rPr>
                <w:rFonts w:ascii="Times New Roman" w:eastAsia="Times New Roman" w:hAnsi="Times New Roman" w:cs="Times New Roman"/>
                <w:color w:val="000000"/>
                <w:vertAlign w:val="superscript"/>
                <w:lang w:eastAsia="en-CA"/>
              </w:rPr>
              <w:t xml:space="preserve">2 </w:t>
            </w:r>
            <w:r w:rsidRPr="00EB3072">
              <w:rPr>
                <w:rFonts w:ascii="Times New Roman" w:eastAsia="Times New Roman" w:hAnsi="Times New Roman" w:cs="Times New Roman"/>
                <w:color w:val="000000"/>
                <w:lang w:eastAsia="en-CA"/>
              </w:rPr>
              <w:t xml:space="preserve">×1000) </w:t>
            </w:r>
          </w:p>
        </w:tc>
        <w:tc>
          <w:tcPr>
            <w:tcW w:w="850" w:type="dxa"/>
            <w:tcBorders>
              <w:left w:val="single" w:sz="18" w:space="0" w:color="auto"/>
            </w:tcBorders>
            <w:shd w:val="clear" w:color="auto" w:fill="FFFFFF" w:themeFill="background1"/>
            <w:noWrap/>
            <w:vAlign w:val="center"/>
          </w:tcPr>
          <w:p w14:paraId="3BE26D2A"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0.01</w:t>
            </w:r>
          </w:p>
        </w:tc>
        <w:tc>
          <w:tcPr>
            <w:tcW w:w="992" w:type="dxa"/>
            <w:gridSpan w:val="2"/>
            <w:shd w:val="clear" w:color="auto" w:fill="FFFFFF" w:themeFill="background1"/>
            <w:noWrap/>
            <w:vAlign w:val="center"/>
          </w:tcPr>
          <w:p w14:paraId="7882BA92"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67.20</w:t>
            </w:r>
          </w:p>
        </w:tc>
        <w:tc>
          <w:tcPr>
            <w:tcW w:w="1151" w:type="dxa"/>
            <w:gridSpan w:val="2"/>
            <w:tcBorders>
              <w:left w:val="single" w:sz="18" w:space="0" w:color="auto"/>
            </w:tcBorders>
            <w:shd w:val="clear" w:color="auto" w:fill="FFFFFF" w:themeFill="background1"/>
            <w:vAlign w:val="center"/>
          </w:tcPr>
          <w:p w14:paraId="4A3C7CD5"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24.87</w:t>
            </w:r>
          </w:p>
        </w:tc>
        <w:tc>
          <w:tcPr>
            <w:tcW w:w="1276" w:type="dxa"/>
            <w:gridSpan w:val="2"/>
            <w:tcBorders>
              <w:right w:val="single" w:sz="12" w:space="0" w:color="auto"/>
            </w:tcBorders>
            <w:shd w:val="clear" w:color="auto" w:fill="FFFFFF" w:themeFill="background1"/>
            <w:noWrap/>
            <w:vAlign w:val="center"/>
          </w:tcPr>
          <w:p w14:paraId="0D8DD2B8" w14:textId="77777777" w:rsidR="008A1A6B" w:rsidRPr="008A1A6B" w:rsidRDefault="008A1A6B" w:rsidP="00E853AC">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14.68</w:t>
            </w:r>
          </w:p>
        </w:tc>
      </w:tr>
      <w:tr w:rsidR="008A1A6B" w:rsidRPr="00EB3072" w14:paraId="2B5C2177"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left w:val="single" w:sz="12" w:space="0" w:color="auto"/>
              <w:bottom w:val="single" w:sz="12" w:space="0" w:color="auto"/>
              <w:right w:val="single" w:sz="18" w:space="0" w:color="auto"/>
            </w:tcBorders>
            <w:shd w:val="clear" w:color="auto" w:fill="FFFFFF" w:themeFill="background1"/>
            <w:noWrap/>
            <w:vAlign w:val="center"/>
          </w:tcPr>
          <w:p w14:paraId="7BEC6FA7" w14:textId="77777777" w:rsidR="008A1A6B" w:rsidRPr="00EB3072" w:rsidRDefault="008A1A6B" w:rsidP="00E853AC">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Job Density (jobs per m</w:t>
            </w:r>
            <w:r w:rsidRPr="00EB3072">
              <w:rPr>
                <w:rFonts w:ascii="Times New Roman" w:eastAsia="Times New Roman" w:hAnsi="Times New Roman" w:cs="Times New Roman"/>
                <w:color w:val="000000"/>
                <w:vertAlign w:val="superscript"/>
                <w:lang w:eastAsia="en-CA"/>
              </w:rPr>
              <w:t xml:space="preserve">2 </w:t>
            </w:r>
            <w:r w:rsidRPr="00EB3072">
              <w:rPr>
                <w:rFonts w:ascii="Times New Roman" w:eastAsia="Times New Roman" w:hAnsi="Times New Roman" w:cs="Times New Roman"/>
                <w:color w:val="000000"/>
                <w:lang w:eastAsia="en-CA"/>
              </w:rPr>
              <w:t>×1000)</w:t>
            </w:r>
          </w:p>
        </w:tc>
        <w:tc>
          <w:tcPr>
            <w:tcW w:w="850" w:type="dxa"/>
            <w:tcBorders>
              <w:left w:val="single" w:sz="18" w:space="0" w:color="auto"/>
              <w:bottom w:val="single" w:sz="12" w:space="0" w:color="auto"/>
            </w:tcBorders>
            <w:shd w:val="clear" w:color="auto" w:fill="FFFFFF" w:themeFill="background1"/>
            <w:noWrap/>
            <w:vAlign w:val="center"/>
          </w:tcPr>
          <w:p w14:paraId="388455C0" w14:textId="77777777" w:rsidR="008A1A6B" w:rsidRPr="008A1A6B" w:rsidRDefault="00E853AC"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p>
        </w:tc>
        <w:tc>
          <w:tcPr>
            <w:tcW w:w="992" w:type="dxa"/>
            <w:gridSpan w:val="2"/>
            <w:tcBorders>
              <w:bottom w:val="single" w:sz="12" w:space="0" w:color="auto"/>
            </w:tcBorders>
            <w:shd w:val="clear" w:color="auto" w:fill="FFFFFF" w:themeFill="background1"/>
            <w:noWrap/>
            <w:vAlign w:val="center"/>
          </w:tcPr>
          <w:p w14:paraId="47DA78CC"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432.52</w:t>
            </w:r>
          </w:p>
        </w:tc>
        <w:tc>
          <w:tcPr>
            <w:tcW w:w="1151" w:type="dxa"/>
            <w:gridSpan w:val="2"/>
            <w:tcBorders>
              <w:left w:val="single" w:sz="18" w:space="0" w:color="auto"/>
              <w:bottom w:val="single" w:sz="12" w:space="0" w:color="auto"/>
            </w:tcBorders>
            <w:shd w:val="clear" w:color="auto" w:fill="FFFFFF" w:themeFill="background1"/>
            <w:vAlign w:val="center"/>
          </w:tcPr>
          <w:p w14:paraId="2358FFFB"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55.83</w:t>
            </w:r>
          </w:p>
        </w:tc>
        <w:tc>
          <w:tcPr>
            <w:tcW w:w="1276" w:type="dxa"/>
            <w:gridSpan w:val="2"/>
            <w:tcBorders>
              <w:bottom w:val="single" w:sz="12" w:space="0" w:color="auto"/>
              <w:right w:val="single" w:sz="12" w:space="0" w:color="auto"/>
            </w:tcBorders>
            <w:shd w:val="clear" w:color="auto" w:fill="FFFFFF" w:themeFill="background1"/>
            <w:noWrap/>
            <w:vAlign w:val="center"/>
          </w:tcPr>
          <w:p w14:paraId="2860F9CE" w14:textId="77777777" w:rsidR="008A1A6B" w:rsidRPr="008A1A6B" w:rsidRDefault="008A1A6B" w:rsidP="00E853AC">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A1A6B">
              <w:rPr>
                <w:rFonts w:ascii="Times New Roman" w:eastAsia="Times New Roman" w:hAnsi="Times New Roman" w:cs="Times New Roman"/>
                <w:color w:val="000000"/>
                <w:lang w:eastAsia="en-CA"/>
              </w:rPr>
              <w:t>53.83</w:t>
            </w:r>
          </w:p>
        </w:tc>
      </w:tr>
      <w:tr w:rsidR="00EB3072" w:rsidRPr="00EB3072" w14:paraId="5AA936ED" w14:textId="77777777" w:rsidTr="009C070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12" w:space="0" w:color="auto"/>
              <w:left w:val="single" w:sz="12" w:space="0" w:color="auto"/>
              <w:bottom w:val="single" w:sz="4" w:space="0" w:color="auto"/>
              <w:right w:val="single" w:sz="18" w:space="0" w:color="auto"/>
            </w:tcBorders>
            <w:shd w:val="clear" w:color="auto" w:fill="FFFFFF" w:themeFill="background1"/>
            <w:noWrap/>
            <w:vAlign w:val="center"/>
          </w:tcPr>
          <w:p w14:paraId="087C8C9A" w14:textId="77777777" w:rsidR="00EB3072" w:rsidRPr="00EB3072" w:rsidRDefault="00EB3072" w:rsidP="00EB3072">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Categorical Variables</w:t>
            </w:r>
          </w:p>
        </w:tc>
        <w:tc>
          <w:tcPr>
            <w:tcW w:w="4269" w:type="dxa"/>
            <w:gridSpan w:val="7"/>
            <w:tcBorders>
              <w:top w:val="single" w:sz="12" w:space="0" w:color="auto"/>
              <w:left w:val="single" w:sz="18" w:space="0" w:color="auto"/>
              <w:bottom w:val="single" w:sz="4" w:space="0" w:color="auto"/>
              <w:right w:val="single" w:sz="12" w:space="0" w:color="auto"/>
            </w:tcBorders>
            <w:shd w:val="clear" w:color="auto" w:fill="FFFFFF" w:themeFill="background1"/>
            <w:noWrap/>
            <w:vAlign w:val="center"/>
          </w:tcPr>
          <w:p w14:paraId="2D2AB687" w14:textId="77777777" w:rsidR="00EB3072" w:rsidRPr="00EB3072" w:rsidRDefault="00EB3072" w:rsidP="00EB307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EB3072">
              <w:rPr>
                <w:rFonts w:ascii="Times New Roman" w:eastAsia="Times New Roman" w:hAnsi="Times New Roman" w:cs="Times New Roman"/>
                <w:b/>
                <w:color w:val="000000"/>
                <w:lang w:eastAsia="en-CA"/>
              </w:rPr>
              <w:t>Percentage</w:t>
            </w:r>
          </w:p>
        </w:tc>
      </w:tr>
      <w:tr w:rsidR="00EB3072" w:rsidRPr="00EB3072" w14:paraId="059AB4F8"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12" w:space="0" w:color="auto"/>
              <w:bottom w:val="nil"/>
              <w:right w:val="single" w:sz="18" w:space="0" w:color="auto"/>
            </w:tcBorders>
            <w:shd w:val="clear" w:color="auto" w:fill="FFFFFF" w:themeFill="background1"/>
            <w:noWrap/>
            <w:vAlign w:val="center"/>
          </w:tcPr>
          <w:p w14:paraId="28AD12CB" w14:textId="77777777" w:rsidR="00EB3072" w:rsidRPr="00EB3072" w:rsidRDefault="00EB3072" w:rsidP="00EB3072">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Rainy Weather</w:t>
            </w:r>
          </w:p>
        </w:tc>
        <w:tc>
          <w:tcPr>
            <w:tcW w:w="4269" w:type="dxa"/>
            <w:gridSpan w:val="7"/>
            <w:tcBorders>
              <w:top w:val="single" w:sz="4" w:space="0" w:color="auto"/>
              <w:left w:val="single" w:sz="18" w:space="0" w:color="auto"/>
              <w:bottom w:val="nil"/>
              <w:right w:val="single" w:sz="12" w:space="0" w:color="auto"/>
            </w:tcBorders>
            <w:shd w:val="clear" w:color="auto" w:fill="FFFFFF" w:themeFill="background1"/>
            <w:noWrap/>
          </w:tcPr>
          <w:p w14:paraId="12B6B06B" w14:textId="77777777" w:rsidR="00EB3072" w:rsidRPr="00EB3072" w:rsidRDefault="008A1A6B" w:rsidP="008A1A6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2</w:t>
            </w:r>
            <w:r w:rsidR="00EB3072" w:rsidRPr="00EB3072">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6</w:t>
            </w:r>
          </w:p>
        </w:tc>
      </w:tr>
      <w:tr w:rsidR="00EB3072" w:rsidRPr="00EB3072" w14:paraId="7D7B28A7"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nil"/>
              <w:right w:val="single" w:sz="18" w:space="0" w:color="auto"/>
            </w:tcBorders>
            <w:shd w:val="clear" w:color="auto" w:fill="FFFFFF" w:themeFill="background1"/>
            <w:noWrap/>
            <w:vAlign w:val="center"/>
          </w:tcPr>
          <w:p w14:paraId="1B1D3522" w14:textId="77777777" w:rsidR="00EB3072" w:rsidRPr="00EB3072" w:rsidRDefault="00EB3072" w:rsidP="00EB3072">
            <w:pPr>
              <w:spacing w:before="0" w:after="0"/>
              <w:rPr>
                <w:rFonts w:ascii="Times New Roman" w:eastAsia="Times New Roman" w:hAnsi="Times New Roman" w:cs="Times New Roman"/>
                <w:color w:val="000000"/>
                <w:lang w:eastAsia="en-CA"/>
              </w:rPr>
            </w:pPr>
            <w:r w:rsidRPr="00EB3072">
              <w:rPr>
                <w:rFonts w:ascii="Times New Roman" w:eastAsia="Times New Roman" w:hAnsi="Times New Roman" w:cs="Times New Roman"/>
                <w:color w:val="000000"/>
                <w:lang w:eastAsia="en-CA"/>
              </w:rPr>
              <w:t>Weekends</w:t>
            </w:r>
          </w:p>
        </w:tc>
        <w:tc>
          <w:tcPr>
            <w:tcW w:w="4269" w:type="dxa"/>
            <w:gridSpan w:val="7"/>
            <w:tcBorders>
              <w:top w:val="nil"/>
              <w:left w:val="single" w:sz="18" w:space="0" w:color="auto"/>
              <w:bottom w:val="nil"/>
              <w:right w:val="single" w:sz="12" w:space="0" w:color="auto"/>
            </w:tcBorders>
            <w:shd w:val="clear" w:color="auto" w:fill="FFFFFF" w:themeFill="background1"/>
            <w:noWrap/>
          </w:tcPr>
          <w:p w14:paraId="4A8C252E" w14:textId="77777777" w:rsidR="00EB3072" w:rsidRPr="00EB3072" w:rsidRDefault="008A1A6B" w:rsidP="00EB307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30.0</w:t>
            </w:r>
          </w:p>
        </w:tc>
      </w:tr>
      <w:tr w:rsidR="00EB3072" w:rsidRPr="00EB3072" w14:paraId="248B3E85"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nil"/>
              <w:right w:val="single" w:sz="18" w:space="0" w:color="auto"/>
            </w:tcBorders>
            <w:shd w:val="clear" w:color="auto" w:fill="FFFFFF" w:themeFill="background1"/>
            <w:noWrap/>
            <w:vAlign w:val="center"/>
          </w:tcPr>
          <w:p w14:paraId="78D391CA" w14:textId="77777777" w:rsidR="00EB3072" w:rsidRPr="00EB3072" w:rsidRDefault="008A1A6B" w:rsidP="00EB3072">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Subway</w:t>
            </w:r>
            <w:r w:rsidR="00EB3072" w:rsidRPr="00EB3072">
              <w:rPr>
                <w:rFonts w:ascii="Times New Roman" w:eastAsia="Times New Roman" w:hAnsi="Times New Roman" w:cs="Times New Roman"/>
                <w:color w:val="000000"/>
                <w:lang w:eastAsia="en-CA"/>
              </w:rPr>
              <w:t xml:space="preserve"> Station in 250m Buffer</w:t>
            </w:r>
          </w:p>
        </w:tc>
        <w:tc>
          <w:tcPr>
            <w:tcW w:w="4269" w:type="dxa"/>
            <w:gridSpan w:val="7"/>
            <w:tcBorders>
              <w:top w:val="nil"/>
              <w:left w:val="single" w:sz="18" w:space="0" w:color="auto"/>
              <w:bottom w:val="nil"/>
              <w:right w:val="single" w:sz="12" w:space="0" w:color="auto"/>
            </w:tcBorders>
            <w:shd w:val="clear" w:color="auto" w:fill="FFFFFF" w:themeFill="background1"/>
            <w:noWrap/>
          </w:tcPr>
          <w:p w14:paraId="678CEDCA" w14:textId="77777777" w:rsidR="00EB3072" w:rsidRPr="00EB3072" w:rsidRDefault="008A1A6B" w:rsidP="00EB307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49</w:t>
            </w:r>
            <w:r w:rsidR="00EB3072" w:rsidRPr="00EB3072">
              <w:rPr>
                <w:rFonts w:ascii="Times New Roman" w:eastAsia="Times New Roman" w:hAnsi="Times New Roman" w:cs="Times New Roman"/>
                <w:color w:val="000000"/>
                <w:lang w:eastAsia="en-CA"/>
              </w:rPr>
              <w:t>.7</w:t>
            </w:r>
          </w:p>
        </w:tc>
      </w:tr>
      <w:tr w:rsidR="00886C01" w:rsidRPr="00EB3072" w14:paraId="68D72DBE"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single" w:sz="12" w:space="0" w:color="auto"/>
              <w:right w:val="single" w:sz="18" w:space="0" w:color="auto"/>
            </w:tcBorders>
            <w:shd w:val="clear" w:color="auto" w:fill="FFFFFF" w:themeFill="background1"/>
            <w:noWrap/>
            <w:vAlign w:val="center"/>
          </w:tcPr>
          <w:p w14:paraId="0CEA2985" w14:textId="77777777" w:rsidR="008A1A6B" w:rsidRPr="00EB3072" w:rsidRDefault="008A1A6B" w:rsidP="008A1A6B">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Path Train </w:t>
            </w:r>
            <w:r w:rsidR="009C0700">
              <w:rPr>
                <w:rFonts w:ascii="Times New Roman" w:eastAsia="Times New Roman" w:hAnsi="Times New Roman" w:cs="Times New Roman"/>
                <w:color w:val="000000"/>
                <w:lang w:eastAsia="en-CA"/>
              </w:rPr>
              <w:t>Station</w:t>
            </w:r>
            <w:r w:rsidRPr="00EB3072">
              <w:rPr>
                <w:rFonts w:ascii="Times New Roman" w:eastAsia="Times New Roman" w:hAnsi="Times New Roman" w:cs="Times New Roman"/>
                <w:color w:val="000000"/>
                <w:lang w:eastAsia="en-CA"/>
              </w:rPr>
              <w:t xml:space="preserve"> in</w:t>
            </w:r>
            <w:r>
              <w:rPr>
                <w:rFonts w:ascii="Times New Roman" w:eastAsia="Times New Roman" w:hAnsi="Times New Roman" w:cs="Times New Roman"/>
                <w:color w:val="000000"/>
                <w:lang w:eastAsia="en-CA"/>
              </w:rPr>
              <w:t xml:space="preserve"> 250m Buffer</w:t>
            </w:r>
          </w:p>
        </w:tc>
        <w:tc>
          <w:tcPr>
            <w:tcW w:w="4269" w:type="dxa"/>
            <w:gridSpan w:val="7"/>
            <w:tcBorders>
              <w:top w:val="nil"/>
              <w:left w:val="single" w:sz="18" w:space="0" w:color="auto"/>
              <w:bottom w:val="single" w:sz="12" w:space="0" w:color="auto"/>
              <w:right w:val="single" w:sz="12" w:space="0" w:color="auto"/>
            </w:tcBorders>
            <w:shd w:val="clear" w:color="auto" w:fill="FFFFFF" w:themeFill="background1"/>
            <w:noWrap/>
          </w:tcPr>
          <w:p w14:paraId="0E478572" w14:textId="77777777" w:rsidR="008A1A6B" w:rsidRPr="00EB3072" w:rsidRDefault="008A1A6B" w:rsidP="008A1A6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4</w:t>
            </w:r>
            <w:r w:rsidRPr="00EB3072">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2</w:t>
            </w:r>
          </w:p>
        </w:tc>
      </w:tr>
      <w:tr w:rsidR="009C0700" w:rsidRPr="00EB3072" w14:paraId="60D4D1EA" w14:textId="77777777" w:rsidTr="009C0700">
        <w:trPr>
          <w:trHeight w:val="567"/>
          <w:jc w:val="center"/>
        </w:trPr>
        <w:tc>
          <w:tcPr>
            <w:cnfStyle w:val="001000000000" w:firstRow="0" w:lastRow="0" w:firstColumn="1" w:lastColumn="0" w:oddVBand="0" w:evenVBand="0" w:oddHBand="0" w:evenHBand="0" w:firstRowFirstColumn="0" w:firstRowLastColumn="0" w:lastRowFirstColumn="0" w:lastRowLastColumn="0"/>
            <w:tcW w:w="8854" w:type="dxa"/>
            <w:gridSpan w:val="8"/>
            <w:tcBorders>
              <w:top w:val="single" w:sz="12" w:space="0" w:color="auto"/>
              <w:left w:val="single" w:sz="12" w:space="0" w:color="auto"/>
              <w:bottom w:val="single" w:sz="4" w:space="0" w:color="auto"/>
              <w:right w:val="single" w:sz="12" w:space="0" w:color="auto"/>
            </w:tcBorders>
            <w:shd w:val="clear" w:color="auto" w:fill="FFFFFF" w:themeFill="background1"/>
            <w:noWrap/>
            <w:vAlign w:val="bottom"/>
          </w:tcPr>
          <w:p w14:paraId="2202CF3B" w14:textId="77777777" w:rsidR="009C0700" w:rsidRPr="00886C01" w:rsidRDefault="009C0700" w:rsidP="009C0700">
            <w:pPr>
              <w:spacing w:before="0"/>
              <w:jc w:val="center"/>
              <w:rPr>
                <w:rFonts w:eastAsia="Times New Roman" w:cs="Times New Roman"/>
                <w:b w:val="0"/>
                <w:bCs w:val="0"/>
                <w:color w:val="000000"/>
                <w:lang w:eastAsia="en-CA"/>
              </w:rPr>
            </w:pPr>
            <w:r w:rsidRPr="009C0700">
              <w:rPr>
                <w:rFonts w:ascii="Times New Roman" w:eastAsia="Times New Roman" w:hAnsi="Times New Roman" w:cs="Times New Roman"/>
                <w:color w:val="000000"/>
                <w:lang w:eastAsia="en-CA"/>
              </w:rPr>
              <w:t xml:space="preserve">The Average </w:t>
            </w:r>
            <w:r>
              <w:rPr>
                <w:rFonts w:ascii="Times New Roman" w:eastAsia="Times New Roman" w:hAnsi="Times New Roman" w:cs="Times New Roman"/>
                <w:color w:val="000000"/>
                <w:lang w:eastAsia="en-CA"/>
              </w:rPr>
              <w:t>Hourly Arrival and Departure Rates b</w:t>
            </w:r>
            <w:r w:rsidRPr="009C0700">
              <w:rPr>
                <w:rFonts w:ascii="Times New Roman" w:eastAsia="Times New Roman" w:hAnsi="Times New Roman" w:cs="Times New Roman"/>
                <w:color w:val="000000"/>
                <w:lang w:eastAsia="en-CA"/>
              </w:rPr>
              <w:t xml:space="preserve">y Time </w:t>
            </w:r>
            <w:r>
              <w:rPr>
                <w:rFonts w:ascii="Times New Roman" w:eastAsia="Times New Roman" w:hAnsi="Times New Roman" w:cs="Times New Roman"/>
                <w:color w:val="000000"/>
                <w:lang w:eastAsia="en-CA"/>
              </w:rPr>
              <w:t>of the Day a</w:t>
            </w:r>
            <w:r w:rsidRPr="009C0700">
              <w:rPr>
                <w:rFonts w:ascii="Times New Roman" w:eastAsia="Times New Roman" w:hAnsi="Times New Roman" w:cs="Times New Roman"/>
                <w:color w:val="000000"/>
                <w:lang w:eastAsia="en-CA"/>
              </w:rPr>
              <w:t>nd User Type</w:t>
            </w:r>
          </w:p>
        </w:tc>
      </w:tr>
      <w:tr w:rsidR="00886C01" w:rsidRPr="00EB3072" w14:paraId="2F984D3E"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12" w:space="0" w:color="auto"/>
              <w:bottom w:val="nil"/>
              <w:right w:val="single" w:sz="18" w:space="0" w:color="auto"/>
            </w:tcBorders>
            <w:shd w:val="clear" w:color="auto" w:fill="FFFFFF" w:themeFill="background1"/>
            <w:noWrap/>
            <w:vAlign w:val="center"/>
          </w:tcPr>
          <w:p w14:paraId="5F85E2C9" w14:textId="77777777" w:rsidR="00886C01" w:rsidRPr="00886C01" w:rsidRDefault="00886C01" w:rsidP="008A1A6B">
            <w:pPr>
              <w:spacing w:before="0" w:after="0"/>
              <w:rPr>
                <w:rFonts w:ascii="Times New Roman" w:eastAsia="Times New Roman" w:hAnsi="Times New Roman" w:cs="Times New Roman"/>
                <w:color w:val="000000"/>
                <w:lang w:eastAsia="en-CA"/>
              </w:rPr>
            </w:pPr>
          </w:p>
        </w:tc>
        <w:tc>
          <w:tcPr>
            <w:tcW w:w="1067" w:type="dxa"/>
            <w:gridSpan w:val="2"/>
            <w:tcBorders>
              <w:top w:val="single" w:sz="4" w:space="0" w:color="auto"/>
              <w:left w:val="single" w:sz="18" w:space="0" w:color="auto"/>
              <w:bottom w:val="single" w:sz="4" w:space="0" w:color="auto"/>
              <w:right w:val="single" w:sz="4" w:space="0" w:color="auto"/>
            </w:tcBorders>
            <w:shd w:val="clear" w:color="auto" w:fill="FFFFFF" w:themeFill="background1"/>
            <w:noWrap/>
          </w:tcPr>
          <w:p w14:paraId="2E5A1EA0" w14:textId="77777777" w:rsidR="00886C01" w:rsidRPr="00886C01" w:rsidRDefault="00886C01" w:rsidP="008A1A6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886C01">
              <w:rPr>
                <w:rFonts w:ascii="Times New Roman" w:eastAsia="Times New Roman" w:hAnsi="Times New Roman" w:cs="Times New Roman"/>
                <w:b/>
                <w:bCs/>
                <w:color w:val="000000"/>
                <w:lang w:eastAsia="en-CA"/>
              </w:rPr>
              <w:t>AM</w:t>
            </w:r>
          </w:p>
        </w:tc>
        <w:tc>
          <w:tcPr>
            <w:tcW w:w="1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559F4A" w14:textId="77777777" w:rsidR="00886C01" w:rsidRPr="00886C01" w:rsidRDefault="00886C01" w:rsidP="008A1A6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886C01">
              <w:rPr>
                <w:rFonts w:ascii="Times New Roman" w:eastAsia="Times New Roman" w:hAnsi="Times New Roman" w:cs="Times New Roman"/>
                <w:b/>
                <w:bCs/>
                <w:color w:val="000000"/>
                <w:lang w:eastAsia="en-CA"/>
              </w:rPr>
              <w:t>Midday</w:t>
            </w:r>
          </w:p>
        </w:tc>
        <w:tc>
          <w:tcPr>
            <w:tcW w:w="1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CCB871" w14:textId="77777777" w:rsidR="00886C01" w:rsidRPr="00886C01" w:rsidRDefault="00886C01" w:rsidP="008A1A6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886C01">
              <w:rPr>
                <w:rFonts w:ascii="Times New Roman" w:eastAsia="Times New Roman" w:hAnsi="Times New Roman" w:cs="Times New Roman"/>
                <w:b/>
                <w:bCs/>
                <w:color w:val="000000"/>
                <w:lang w:eastAsia="en-CA"/>
              </w:rPr>
              <w:t>PM</w:t>
            </w:r>
          </w:p>
        </w:tc>
        <w:tc>
          <w:tcPr>
            <w:tcW w:w="1068" w:type="dxa"/>
            <w:tcBorders>
              <w:top w:val="single" w:sz="4" w:space="0" w:color="auto"/>
              <w:left w:val="single" w:sz="4" w:space="0" w:color="auto"/>
              <w:bottom w:val="single" w:sz="4" w:space="0" w:color="auto"/>
              <w:right w:val="single" w:sz="12" w:space="0" w:color="auto"/>
            </w:tcBorders>
            <w:shd w:val="clear" w:color="auto" w:fill="FFFFFF" w:themeFill="background1"/>
          </w:tcPr>
          <w:p w14:paraId="7DCCA9BA" w14:textId="77777777" w:rsidR="00886C01" w:rsidRPr="00886C01" w:rsidRDefault="00886C01" w:rsidP="008A1A6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886C01">
              <w:rPr>
                <w:rFonts w:ascii="Times New Roman" w:eastAsia="Times New Roman" w:hAnsi="Times New Roman" w:cs="Times New Roman"/>
                <w:b/>
                <w:bCs/>
                <w:color w:val="000000"/>
                <w:lang w:eastAsia="en-CA"/>
              </w:rPr>
              <w:t>Evening</w:t>
            </w:r>
          </w:p>
        </w:tc>
      </w:tr>
      <w:tr w:rsidR="00886C01" w:rsidRPr="00EB3072" w14:paraId="253B8E17"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nil"/>
              <w:right w:val="single" w:sz="18" w:space="0" w:color="auto"/>
            </w:tcBorders>
            <w:shd w:val="clear" w:color="auto" w:fill="FFFFFF" w:themeFill="background1"/>
            <w:noWrap/>
            <w:vAlign w:val="center"/>
          </w:tcPr>
          <w:p w14:paraId="00D802FE" w14:textId="77777777" w:rsidR="00886C01" w:rsidRPr="00E853AC" w:rsidRDefault="00886C01" w:rsidP="00886C01">
            <w:pPr>
              <w:spacing w:before="0" w:after="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Arrivals (Annual Members)</w:t>
            </w:r>
          </w:p>
        </w:tc>
        <w:tc>
          <w:tcPr>
            <w:tcW w:w="1067" w:type="dxa"/>
            <w:gridSpan w:val="2"/>
            <w:tcBorders>
              <w:top w:val="single" w:sz="4" w:space="0" w:color="auto"/>
              <w:left w:val="single" w:sz="18" w:space="0" w:color="auto"/>
              <w:right w:val="single" w:sz="4" w:space="0" w:color="auto"/>
            </w:tcBorders>
            <w:shd w:val="clear" w:color="auto" w:fill="FFFFFF" w:themeFill="background1"/>
            <w:noWrap/>
            <w:vAlign w:val="bottom"/>
          </w:tcPr>
          <w:p w14:paraId="79F777FA"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5.260</w:t>
            </w:r>
          </w:p>
        </w:tc>
        <w:tc>
          <w:tcPr>
            <w:tcW w:w="1067" w:type="dxa"/>
            <w:gridSpan w:val="2"/>
            <w:tcBorders>
              <w:top w:val="single" w:sz="4" w:space="0" w:color="auto"/>
              <w:left w:val="single" w:sz="4" w:space="0" w:color="auto"/>
              <w:right w:val="single" w:sz="4" w:space="0" w:color="auto"/>
            </w:tcBorders>
            <w:shd w:val="clear" w:color="auto" w:fill="FFFFFF" w:themeFill="background1"/>
            <w:vAlign w:val="bottom"/>
          </w:tcPr>
          <w:p w14:paraId="25C2AA62"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4.536</w:t>
            </w:r>
          </w:p>
        </w:tc>
        <w:tc>
          <w:tcPr>
            <w:tcW w:w="1067" w:type="dxa"/>
            <w:gridSpan w:val="2"/>
            <w:tcBorders>
              <w:top w:val="single" w:sz="4" w:space="0" w:color="auto"/>
              <w:left w:val="single" w:sz="4" w:space="0" w:color="auto"/>
              <w:right w:val="single" w:sz="4" w:space="0" w:color="auto"/>
            </w:tcBorders>
            <w:shd w:val="clear" w:color="auto" w:fill="FFFFFF" w:themeFill="background1"/>
            <w:vAlign w:val="bottom"/>
          </w:tcPr>
          <w:p w14:paraId="380F3AA8"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7.664</w:t>
            </w:r>
          </w:p>
        </w:tc>
        <w:tc>
          <w:tcPr>
            <w:tcW w:w="1068" w:type="dxa"/>
            <w:tcBorders>
              <w:top w:val="single" w:sz="4" w:space="0" w:color="auto"/>
              <w:left w:val="single" w:sz="4" w:space="0" w:color="auto"/>
              <w:right w:val="single" w:sz="12" w:space="0" w:color="auto"/>
            </w:tcBorders>
            <w:shd w:val="clear" w:color="auto" w:fill="FFFFFF" w:themeFill="background1"/>
            <w:vAlign w:val="bottom"/>
          </w:tcPr>
          <w:p w14:paraId="3B4A1CB1"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2.987</w:t>
            </w:r>
          </w:p>
        </w:tc>
      </w:tr>
      <w:tr w:rsidR="00886C01" w:rsidRPr="00EB3072" w14:paraId="20E335DF"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nil"/>
              <w:right w:val="single" w:sz="18" w:space="0" w:color="auto"/>
            </w:tcBorders>
            <w:shd w:val="clear" w:color="auto" w:fill="FFFFFF" w:themeFill="background1"/>
            <w:noWrap/>
            <w:vAlign w:val="center"/>
          </w:tcPr>
          <w:p w14:paraId="78C6CF62" w14:textId="77777777" w:rsidR="00886C01" w:rsidRPr="00E853AC" w:rsidRDefault="00886C01" w:rsidP="00886C01">
            <w:pPr>
              <w:spacing w:before="0" w:after="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Arrivals (Daily Customers)</w:t>
            </w:r>
          </w:p>
        </w:tc>
        <w:tc>
          <w:tcPr>
            <w:tcW w:w="1067" w:type="dxa"/>
            <w:gridSpan w:val="2"/>
            <w:tcBorders>
              <w:left w:val="single" w:sz="18" w:space="0" w:color="auto"/>
              <w:right w:val="single" w:sz="4" w:space="0" w:color="auto"/>
            </w:tcBorders>
            <w:shd w:val="clear" w:color="auto" w:fill="FFFFFF" w:themeFill="background1"/>
            <w:noWrap/>
            <w:vAlign w:val="bottom"/>
          </w:tcPr>
          <w:p w14:paraId="7E0EEA4B"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0.236</w:t>
            </w:r>
          </w:p>
        </w:tc>
        <w:tc>
          <w:tcPr>
            <w:tcW w:w="1067" w:type="dxa"/>
            <w:gridSpan w:val="2"/>
            <w:tcBorders>
              <w:left w:val="single" w:sz="4" w:space="0" w:color="auto"/>
              <w:right w:val="single" w:sz="4" w:space="0" w:color="auto"/>
            </w:tcBorders>
            <w:shd w:val="clear" w:color="auto" w:fill="FFFFFF" w:themeFill="background1"/>
            <w:vAlign w:val="bottom"/>
          </w:tcPr>
          <w:p w14:paraId="1D3F3DA7"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1.049</w:t>
            </w:r>
          </w:p>
        </w:tc>
        <w:tc>
          <w:tcPr>
            <w:tcW w:w="1067" w:type="dxa"/>
            <w:gridSpan w:val="2"/>
            <w:tcBorders>
              <w:left w:val="single" w:sz="4" w:space="0" w:color="auto"/>
              <w:right w:val="single" w:sz="4" w:space="0" w:color="auto"/>
            </w:tcBorders>
            <w:shd w:val="clear" w:color="auto" w:fill="FFFFFF" w:themeFill="background1"/>
            <w:vAlign w:val="bottom"/>
          </w:tcPr>
          <w:p w14:paraId="1E2CF3A1"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1.321</w:t>
            </w:r>
          </w:p>
        </w:tc>
        <w:tc>
          <w:tcPr>
            <w:tcW w:w="1068" w:type="dxa"/>
            <w:tcBorders>
              <w:left w:val="single" w:sz="4" w:space="0" w:color="auto"/>
              <w:right w:val="single" w:sz="12" w:space="0" w:color="auto"/>
            </w:tcBorders>
            <w:shd w:val="clear" w:color="auto" w:fill="FFFFFF" w:themeFill="background1"/>
            <w:vAlign w:val="bottom"/>
          </w:tcPr>
          <w:p w14:paraId="3D8B37A9"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0.450</w:t>
            </w:r>
          </w:p>
        </w:tc>
      </w:tr>
      <w:tr w:rsidR="00886C01" w:rsidRPr="00EB3072" w14:paraId="072C2600" w14:textId="77777777" w:rsidTr="009C0700">
        <w:trPr>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nil"/>
              <w:right w:val="single" w:sz="18" w:space="0" w:color="auto"/>
            </w:tcBorders>
            <w:shd w:val="clear" w:color="auto" w:fill="FFFFFF" w:themeFill="background1"/>
            <w:noWrap/>
            <w:vAlign w:val="center"/>
          </w:tcPr>
          <w:p w14:paraId="47967FEE" w14:textId="77777777" w:rsidR="00886C01" w:rsidRPr="00E853AC" w:rsidRDefault="00886C01" w:rsidP="00886C01">
            <w:pPr>
              <w:spacing w:before="0" w:after="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Departures (Annual Members)</w:t>
            </w:r>
          </w:p>
        </w:tc>
        <w:tc>
          <w:tcPr>
            <w:tcW w:w="1067" w:type="dxa"/>
            <w:gridSpan w:val="2"/>
            <w:tcBorders>
              <w:left w:val="single" w:sz="18" w:space="0" w:color="auto"/>
              <w:right w:val="single" w:sz="4" w:space="0" w:color="auto"/>
            </w:tcBorders>
            <w:shd w:val="clear" w:color="auto" w:fill="FFFFFF" w:themeFill="background1"/>
            <w:noWrap/>
            <w:vAlign w:val="bottom"/>
          </w:tcPr>
          <w:p w14:paraId="73B6B815"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5.423</w:t>
            </w:r>
          </w:p>
        </w:tc>
        <w:tc>
          <w:tcPr>
            <w:tcW w:w="1067" w:type="dxa"/>
            <w:gridSpan w:val="2"/>
            <w:tcBorders>
              <w:left w:val="single" w:sz="4" w:space="0" w:color="auto"/>
              <w:right w:val="single" w:sz="4" w:space="0" w:color="auto"/>
            </w:tcBorders>
            <w:shd w:val="clear" w:color="auto" w:fill="FFFFFF" w:themeFill="background1"/>
            <w:vAlign w:val="bottom"/>
          </w:tcPr>
          <w:p w14:paraId="43C0E9AD"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4.577</w:t>
            </w:r>
          </w:p>
        </w:tc>
        <w:tc>
          <w:tcPr>
            <w:tcW w:w="1067" w:type="dxa"/>
            <w:gridSpan w:val="2"/>
            <w:tcBorders>
              <w:left w:val="single" w:sz="4" w:space="0" w:color="auto"/>
              <w:right w:val="single" w:sz="4" w:space="0" w:color="auto"/>
            </w:tcBorders>
            <w:shd w:val="clear" w:color="auto" w:fill="FFFFFF" w:themeFill="background1"/>
            <w:vAlign w:val="bottom"/>
          </w:tcPr>
          <w:p w14:paraId="5AD168FD"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7.659</w:t>
            </w:r>
          </w:p>
        </w:tc>
        <w:tc>
          <w:tcPr>
            <w:tcW w:w="1068" w:type="dxa"/>
            <w:tcBorders>
              <w:left w:val="single" w:sz="4" w:space="0" w:color="auto"/>
              <w:right w:val="single" w:sz="12" w:space="0" w:color="auto"/>
            </w:tcBorders>
            <w:shd w:val="clear" w:color="auto" w:fill="FFFFFF" w:themeFill="background1"/>
            <w:vAlign w:val="bottom"/>
          </w:tcPr>
          <w:p w14:paraId="2EB59544" w14:textId="77777777" w:rsidR="00886C01" w:rsidRPr="00886C01" w:rsidRDefault="00886C01" w:rsidP="00886C0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2.769</w:t>
            </w:r>
          </w:p>
        </w:tc>
      </w:tr>
      <w:tr w:rsidR="00886C01" w:rsidRPr="00EB3072" w14:paraId="11BE8D44" w14:textId="77777777" w:rsidTr="009C07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85" w:type="dxa"/>
            <w:tcBorders>
              <w:top w:val="nil"/>
              <w:left w:val="single" w:sz="12" w:space="0" w:color="auto"/>
              <w:bottom w:val="single" w:sz="12" w:space="0" w:color="auto"/>
              <w:right w:val="single" w:sz="18" w:space="0" w:color="auto"/>
            </w:tcBorders>
            <w:shd w:val="clear" w:color="auto" w:fill="FFFFFF" w:themeFill="background1"/>
            <w:noWrap/>
            <w:vAlign w:val="center"/>
          </w:tcPr>
          <w:p w14:paraId="43BA8EBD" w14:textId="77777777" w:rsidR="00886C01" w:rsidRPr="00E853AC" w:rsidRDefault="00886C01" w:rsidP="00886C01">
            <w:pPr>
              <w:spacing w:before="0" w:after="0"/>
              <w:rPr>
                <w:rFonts w:ascii="Times New Roman" w:eastAsia="Times New Roman" w:hAnsi="Times New Roman" w:cs="Times New Roman"/>
                <w:color w:val="000000"/>
                <w:lang w:eastAsia="en-CA"/>
              </w:rPr>
            </w:pPr>
            <w:r w:rsidRPr="00E853AC">
              <w:rPr>
                <w:rFonts w:ascii="Times New Roman" w:eastAsia="Times New Roman" w:hAnsi="Times New Roman" w:cs="Times New Roman"/>
                <w:color w:val="000000"/>
                <w:lang w:eastAsia="en-CA"/>
              </w:rPr>
              <w:t xml:space="preserve">Departures (Daily Customers) </w:t>
            </w:r>
          </w:p>
        </w:tc>
        <w:tc>
          <w:tcPr>
            <w:tcW w:w="1067" w:type="dxa"/>
            <w:gridSpan w:val="2"/>
            <w:tcBorders>
              <w:left w:val="single" w:sz="18" w:space="0" w:color="auto"/>
              <w:bottom w:val="single" w:sz="12" w:space="0" w:color="auto"/>
              <w:right w:val="single" w:sz="4" w:space="0" w:color="auto"/>
            </w:tcBorders>
            <w:shd w:val="clear" w:color="auto" w:fill="FFFFFF" w:themeFill="background1"/>
            <w:noWrap/>
            <w:vAlign w:val="bottom"/>
          </w:tcPr>
          <w:p w14:paraId="6702C019"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0.294</w:t>
            </w:r>
          </w:p>
        </w:tc>
        <w:tc>
          <w:tcPr>
            <w:tcW w:w="1067" w:type="dxa"/>
            <w:gridSpan w:val="2"/>
            <w:tcBorders>
              <w:left w:val="single" w:sz="4" w:space="0" w:color="auto"/>
              <w:bottom w:val="single" w:sz="12" w:space="0" w:color="auto"/>
              <w:right w:val="single" w:sz="4" w:space="0" w:color="auto"/>
            </w:tcBorders>
            <w:shd w:val="clear" w:color="auto" w:fill="FFFFFF" w:themeFill="background1"/>
            <w:vAlign w:val="bottom"/>
          </w:tcPr>
          <w:p w14:paraId="6F907E4F"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1.118</w:t>
            </w:r>
          </w:p>
        </w:tc>
        <w:tc>
          <w:tcPr>
            <w:tcW w:w="1067" w:type="dxa"/>
            <w:gridSpan w:val="2"/>
            <w:tcBorders>
              <w:left w:val="single" w:sz="4" w:space="0" w:color="auto"/>
              <w:bottom w:val="single" w:sz="12" w:space="0" w:color="auto"/>
              <w:right w:val="single" w:sz="4" w:space="0" w:color="auto"/>
            </w:tcBorders>
            <w:shd w:val="clear" w:color="auto" w:fill="FFFFFF" w:themeFill="background1"/>
            <w:vAlign w:val="bottom"/>
          </w:tcPr>
          <w:p w14:paraId="154A86E0"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1.236</w:t>
            </w:r>
          </w:p>
        </w:tc>
        <w:tc>
          <w:tcPr>
            <w:tcW w:w="1068" w:type="dxa"/>
            <w:tcBorders>
              <w:left w:val="single" w:sz="4" w:space="0" w:color="auto"/>
              <w:bottom w:val="single" w:sz="12" w:space="0" w:color="auto"/>
              <w:right w:val="single" w:sz="12" w:space="0" w:color="auto"/>
            </w:tcBorders>
            <w:shd w:val="clear" w:color="auto" w:fill="FFFFFF" w:themeFill="background1"/>
            <w:vAlign w:val="bottom"/>
          </w:tcPr>
          <w:p w14:paraId="672501AF" w14:textId="77777777" w:rsidR="00886C01" w:rsidRPr="00886C01" w:rsidRDefault="00886C01" w:rsidP="00886C0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886C01">
              <w:rPr>
                <w:rFonts w:ascii="Times New Roman" w:eastAsia="Times New Roman" w:hAnsi="Times New Roman" w:cs="Times New Roman"/>
                <w:color w:val="000000"/>
                <w:lang w:eastAsia="en-CA"/>
              </w:rPr>
              <w:t>0.405</w:t>
            </w:r>
          </w:p>
        </w:tc>
      </w:tr>
    </w:tbl>
    <w:p w14:paraId="563E1263" w14:textId="77777777" w:rsidR="00EB3072" w:rsidRDefault="00EB3072" w:rsidP="00921E32">
      <w:pPr>
        <w:autoSpaceDE w:val="0"/>
        <w:autoSpaceDN w:val="0"/>
        <w:adjustRightInd w:val="0"/>
        <w:jc w:val="left"/>
        <w:rPr>
          <w:rFonts w:cs="Times New Roman"/>
          <w:b/>
        </w:rPr>
      </w:pPr>
    </w:p>
    <w:p w14:paraId="26545202" w14:textId="77777777" w:rsidR="00EC0691" w:rsidRDefault="00EC0691">
      <w:pPr>
        <w:spacing w:before="0" w:after="0"/>
        <w:rPr>
          <w:rFonts w:cs="Times New Roman"/>
          <w:b/>
        </w:rPr>
      </w:pPr>
      <w:r>
        <w:rPr>
          <w:rFonts w:cs="Times New Roman"/>
          <w:b/>
        </w:rPr>
        <w:br w:type="page"/>
      </w:r>
    </w:p>
    <w:p w14:paraId="0BDADBBD" w14:textId="77777777" w:rsidR="00775DF6" w:rsidRDefault="00775DF6">
      <w:pPr>
        <w:spacing w:before="0" w:after="0"/>
        <w:rPr>
          <w:rFonts w:cs="Times New Roman"/>
          <w:b/>
        </w:rPr>
        <w:sectPr w:rsidR="00775DF6" w:rsidSect="00921E32">
          <w:pgSz w:w="12240" w:h="15840"/>
          <w:pgMar w:top="1440" w:right="1440" w:bottom="1440" w:left="1440" w:header="708" w:footer="708" w:gutter="0"/>
          <w:cols w:space="708"/>
          <w:docGrid w:linePitch="360"/>
        </w:sectPr>
      </w:pPr>
    </w:p>
    <w:p w14:paraId="662CA04C" w14:textId="77777777" w:rsidR="00775DF6" w:rsidRDefault="00775DF6">
      <w:pPr>
        <w:spacing w:before="0" w:after="0"/>
        <w:rPr>
          <w:rFonts w:cs="Times New Roman"/>
          <w:b/>
        </w:rPr>
      </w:pPr>
    </w:p>
    <w:p w14:paraId="590E7E1E" w14:textId="77777777" w:rsidR="00D94003" w:rsidRPr="00D94003" w:rsidRDefault="00D94003" w:rsidP="00C52F43">
      <w:pPr>
        <w:pStyle w:val="Caption"/>
        <w:keepNext/>
        <w:spacing w:before="0" w:after="0"/>
        <w:jc w:val="center"/>
        <w:rPr>
          <w:color w:val="auto"/>
          <w:sz w:val="24"/>
        </w:rPr>
      </w:pPr>
      <w:r w:rsidRPr="00D94003">
        <w:rPr>
          <w:color w:val="auto"/>
          <w:sz w:val="24"/>
        </w:rPr>
        <w:t xml:space="preserve">Table </w:t>
      </w:r>
      <w:r w:rsidRPr="00D94003">
        <w:rPr>
          <w:color w:val="auto"/>
          <w:sz w:val="24"/>
        </w:rPr>
        <w:fldChar w:fldCharType="begin"/>
      </w:r>
      <w:r w:rsidRPr="00D94003">
        <w:rPr>
          <w:color w:val="auto"/>
          <w:sz w:val="24"/>
        </w:rPr>
        <w:instrText xml:space="preserve"> SEQ Table \* ARABIC </w:instrText>
      </w:r>
      <w:r w:rsidRPr="00D94003">
        <w:rPr>
          <w:color w:val="auto"/>
          <w:sz w:val="24"/>
        </w:rPr>
        <w:fldChar w:fldCharType="separate"/>
      </w:r>
      <w:r w:rsidR="000C44DF">
        <w:rPr>
          <w:noProof/>
          <w:color w:val="auto"/>
          <w:sz w:val="24"/>
        </w:rPr>
        <w:t>2</w:t>
      </w:r>
      <w:r w:rsidRPr="00D94003">
        <w:rPr>
          <w:color w:val="auto"/>
          <w:sz w:val="24"/>
        </w:rPr>
        <w:fldChar w:fldCharType="end"/>
      </w:r>
      <w:r w:rsidRPr="00D94003">
        <w:rPr>
          <w:color w:val="auto"/>
          <w:sz w:val="24"/>
        </w:rPr>
        <w:t xml:space="preserve"> Summary of Estimated Models</w:t>
      </w:r>
    </w:p>
    <w:tbl>
      <w:tblPr>
        <w:tblStyle w:val="TableGrid"/>
        <w:tblW w:w="12078" w:type="dxa"/>
        <w:tblLayout w:type="fixed"/>
        <w:tblLook w:val="04A0" w:firstRow="1" w:lastRow="0" w:firstColumn="1" w:lastColumn="0" w:noHBand="0" w:noVBand="1"/>
      </w:tblPr>
      <w:tblGrid>
        <w:gridCol w:w="475"/>
        <w:gridCol w:w="659"/>
        <w:gridCol w:w="2268"/>
        <w:gridCol w:w="964"/>
        <w:gridCol w:w="964"/>
        <w:gridCol w:w="964"/>
        <w:gridCol w:w="964"/>
        <w:gridCol w:w="964"/>
        <w:gridCol w:w="964"/>
        <w:gridCol w:w="964"/>
        <w:gridCol w:w="964"/>
        <w:gridCol w:w="964"/>
      </w:tblGrid>
      <w:tr w:rsidR="00860592" w:rsidRPr="00EC0691" w14:paraId="6E581389" w14:textId="77777777" w:rsidTr="00860592">
        <w:trPr>
          <w:trHeight w:val="300"/>
        </w:trPr>
        <w:tc>
          <w:tcPr>
            <w:tcW w:w="475" w:type="dxa"/>
            <w:tcBorders>
              <w:top w:val="nil"/>
              <w:left w:val="nil"/>
              <w:bottom w:val="nil"/>
              <w:right w:val="nil"/>
            </w:tcBorders>
          </w:tcPr>
          <w:p w14:paraId="1C091E11" w14:textId="77777777" w:rsidR="00860592" w:rsidRPr="00EC0691" w:rsidRDefault="00860592" w:rsidP="00EC0691">
            <w:pPr>
              <w:autoSpaceDE w:val="0"/>
              <w:autoSpaceDN w:val="0"/>
              <w:adjustRightInd w:val="0"/>
              <w:spacing w:before="0" w:after="0"/>
              <w:jc w:val="center"/>
              <w:rPr>
                <w:rFonts w:cs="Times New Roman"/>
                <w:sz w:val="22"/>
              </w:rPr>
            </w:pPr>
          </w:p>
        </w:tc>
        <w:tc>
          <w:tcPr>
            <w:tcW w:w="659" w:type="dxa"/>
            <w:tcBorders>
              <w:top w:val="nil"/>
              <w:left w:val="nil"/>
              <w:bottom w:val="single" w:sz="12" w:space="0" w:color="auto"/>
              <w:right w:val="nil"/>
            </w:tcBorders>
            <w:noWrap/>
            <w:vAlign w:val="center"/>
            <w:hideMark/>
          </w:tcPr>
          <w:p w14:paraId="24D32B7F" w14:textId="77777777" w:rsidR="00860592" w:rsidRPr="00EC0691" w:rsidRDefault="00860592" w:rsidP="00EC0691">
            <w:pPr>
              <w:autoSpaceDE w:val="0"/>
              <w:autoSpaceDN w:val="0"/>
              <w:adjustRightInd w:val="0"/>
              <w:spacing w:before="0" w:after="0"/>
              <w:jc w:val="center"/>
              <w:rPr>
                <w:rFonts w:cs="Times New Roman"/>
                <w:sz w:val="22"/>
              </w:rPr>
            </w:pPr>
          </w:p>
        </w:tc>
        <w:tc>
          <w:tcPr>
            <w:tcW w:w="2268" w:type="dxa"/>
            <w:tcBorders>
              <w:top w:val="nil"/>
              <w:left w:val="nil"/>
              <w:bottom w:val="single" w:sz="12" w:space="0" w:color="auto"/>
              <w:right w:val="single" w:sz="12" w:space="0" w:color="auto"/>
            </w:tcBorders>
            <w:noWrap/>
            <w:vAlign w:val="center"/>
            <w:hideMark/>
          </w:tcPr>
          <w:p w14:paraId="54387F40" w14:textId="77777777" w:rsidR="00860592" w:rsidRPr="00EC0691" w:rsidRDefault="00860592" w:rsidP="00EC0691">
            <w:pPr>
              <w:autoSpaceDE w:val="0"/>
              <w:autoSpaceDN w:val="0"/>
              <w:adjustRightInd w:val="0"/>
              <w:spacing w:before="0" w:after="0"/>
              <w:jc w:val="center"/>
              <w:rPr>
                <w:rFonts w:cs="Times New Roman"/>
                <w:sz w:val="22"/>
              </w:rPr>
            </w:pPr>
          </w:p>
        </w:tc>
        <w:tc>
          <w:tcPr>
            <w:tcW w:w="964" w:type="dxa"/>
            <w:tcBorders>
              <w:top w:val="single" w:sz="12" w:space="0" w:color="auto"/>
              <w:left w:val="single" w:sz="12" w:space="0" w:color="auto"/>
              <w:bottom w:val="single" w:sz="4" w:space="0" w:color="auto"/>
            </w:tcBorders>
            <w:noWrap/>
            <w:vAlign w:val="center"/>
            <w:hideMark/>
          </w:tcPr>
          <w:p w14:paraId="1676AB78" w14:textId="60289C29"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IM1</w:t>
            </w:r>
          </w:p>
        </w:tc>
        <w:tc>
          <w:tcPr>
            <w:tcW w:w="964" w:type="dxa"/>
            <w:tcBorders>
              <w:top w:val="single" w:sz="12" w:space="0" w:color="auto"/>
              <w:bottom w:val="single" w:sz="4" w:space="0" w:color="auto"/>
            </w:tcBorders>
            <w:noWrap/>
            <w:vAlign w:val="center"/>
            <w:hideMark/>
          </w:tcPr>
          <w:p w14:paraId="619CDFAD" w14:textId="21CEE01A"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IM2</w:t>
            </w:r>
          </w:p>
        </w:tc>
        <w:tc>
          <w:tcPr>
            <w:tcW w:w="964" w:type="dxa"/>
            <w:tcBorders>
              <w:top w:val="single" w:sz="12" w:space="0" w:color="auto"/>
              <w:bottom w:val="single" w:sz="4" w:space="0" w:color="auto"/>
            </w:tcBorders>
          </w:tcPr>
          <w:p w14:paraId="35255680" w14:textId="1877FC98"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IM3</w:t>
            </w:r>
          </w:p>
        </w:tc>
        <w:tc>
          <w:tcPr>
            <w:tcW w:w="964" w:type="dxa"/>
            <w:tcBorders>
              <w:top w:val="single" w:sz="12" w:space="0" w:color="auto"/>
              <w:bottom w:val="single" w:sz="4" w:space="0" w:color="auto"/>
            </w:tcBorders>
            <w:noWrap/>
            <w:vAlign w:val="center"/>
            <w:hideMark/>
          </w:tcPr>
          <w:p w14:paraId="5A3DDBD1" w14:textId="0E5B7ED1"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SE1</w:t>
            </w:r>
          </w:p>
        </w:tc>
        <w:tc>
          <w:tcPr>
            <w:tcW w:w="964" w:type="dxa"/>
            <w:tcBorders>
              <w:top w:val="single" w:sz="12" w:space="0" w:color="auto"/>
              <w:bottom w:val="single" w:sz="4" w:space="0" w:color="auto"/>
            </w:tcBorders>
            <w:noWrap/>
            <w:vAlign w:val="center"/>
            <w:hideMark/>
          </w:tcPr>
          <w:p w14:paraId="1226D751" w14:textId="57B6B473"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SE2</w:t>
            </w:r>
          </w:p>
        </w:tc>
        <w:tc>
          <w:tcPr>
            <w:tcW w:w="964" w:type="dxa"/>
            <w:tcBorders>
              <w:top w:val="single" w:sz="12" w:space="0" w:color="auto"/>
              <w:bottom w:val="single" w:sz="4" w:space="0" w:color="auto"/>
            </w:tcBorders>
            <w:noWrap/>
            <w:vAlign w:val="center"/>
            <w:hideMark/>
          </w:tcPr>
          <w:p w14:paraId="771EF199" w14:textId="7B5EDEDC"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SE3</w:t>
            </w:r>
          </w:p>
        </w:tc>
        <w:tc>
          <w:tcPr>
            <w:tcW w:w="964" w:type="dxa"/>
            <w:tcBorders>
              <w:top w:val="single" w:sz="12" w:space="0" w:color="auto"/>
              <w:bottom w:val="single" w:sz="4" w:space="0" w:color="auto"/>
            </w:tcBorders>
            <w:noWrap/>
            <w:vAlign w:val="center"/>
            <w:hideMark/>
          </w:tcPr>
          <w:p w14:paraId="79277D1B" w14:textId="53596D04"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SL1</w:t>
            </w:r>
          </w:p>
        </w:tc>
        <w:tc>
          <w:tcPr>
            <w:tcW w:w="964" w:type="dxa"/>
            <w:tcBorders>
              <w:top w:val="single" w:sz="12" w:space="0" w:color="auto"/>
              <w:bottom w:val="single" w:sz="4" w:space="0" w:color="auto"/>
            </w:tcBorders>
            <w:noWrap/>
            <w:vAlign w:val="center"/>
            <w:hideMark/>
          </w:tcPr>
          <w:p w14:paraId="7AF75ED4" w14:textId="365AE64A"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SL2</w:t>
            </w:r>
          </w:p>
        </w:tc>
        <w:tc>
          <w:tcPr>
            <w:tcW w:w="964" w:type="dxa"/>
            <w:tcBorders>
              <w:top w:val="single" w:sz="12" w:space="0" w:color="auto"/>
              <w:bottom w:val="single" w:sz="4" w:space="0" w:color="auto"/>
              <w:right w:val="single" w:sz="12" w:space="0" w:color="auto"/>
            </w:tcBorders>
            <w:noWrap/>
            <w:vAlign w:val="center"/>
            <w:hideMark/>
          </w:tcPr>
          <w:p w14:paraId="7EFDEC1D" w14:textId="639BD165" w:rsidR="00860592" w:rsidRPr="00860592" w:rsidRDefault="00860592" w:rsidP="00860592">
            <w:pPr>
              <w:autoSpaceDE w:val="0"/>
              <w:autoSpaceDN w:val="0"/>
              <w:adjustRightInd w:val="0"/>
              <w:spacing w:before="0" w:after="0"/>
              <w:jc w:val="center"/>
              <w:rPr>
                <w:rFonts w:cs="Times New Roman"/>
                <w:b/>
                <w:sz w:val="22"/>
              </w:rPr>
            </w:pPr>
            <w:r w:rsidRPr="00860592">
              <w:rPr>
                <w:rFonts w:cs="Times New Roman"/>
                <w:b/>
                <w:sz w:val="22"/>
              </w:rPr>
              <w:t>SL3</w:t>
            </w:r>
          </w:p>
        </w:tc>
      </w:tr>
      <w:tr w:rsidR="00860592" w:rsidRPr="00EC0691" w14:paraId="73C878C0" w14:textId="77777777" w:rsidTr="00860592">
        <w:trPr>
          <w:trHeight w:val="300"/>
        </w:trPr>
        <w:tc>
          <w:tcPr>
            <w:tcW w:w="475" w:type="dxa"/>
            <w:tcBorders>
              <w:top w:val="nil"/>
              <w:left w:val="nil"/>
              <w:bottom w:val="nil"/>
              <w:right w:val="single" w:sz="12" w:space="0" w:color="auto"/>
            </w:tcBorders>
            <w:textDirection w:val="btLr"/>
          </w:tcPr>
          <w:p w14:paraId="31F678DF"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val="restart"/>
            <w:tcBorders>
              <w:left w:val="single" w:sz="12" w:space="0" w:color="auto"/>
            </w:tcBorders>
            <w:noWrap/>
            <w:textDirection w:val="btLr"/>
            <w:vAlign w:val="center"/>
            <w:hideMark/>
          </w:tcPr>
          <w:p w14:paraId="5787D5E2" w14:textId="078D5AB1" w:rsidR="00860592" w:rsidRPr="00EC0691" w:rsidRDefault="00860592" w:rsidP="00860592">
            <w:pPr>
              <w:autoSpaceDE w:val="0"/>
              <w:autoSpaceDN w:val="0"/>
              <w:adjustRightInd w:val="0"/>
              <w:spacing w:before="0" w:after="0"/>
              <w:jc w:val="center"/>
              <w:rPr>
                <w:rFonts w:cs="Times New Roman"/>
                <w:sz w:val="22"/>
              </w:rPr>
            </w:pPr>
            <w:r>
              <w:rPr>
                <w:rFonts w:cs="Times New Roman"/>
                <w:sz w:val="22"/>
              </w:rPr>
              <w:t>Model Type</w:t>
            </w:r>
          </w:p>
        </w:tc>
        <w:tc>
          <w:tcPr>
            <w:tcW w:w="2268" w:type="dxa"/>
            <w:tcBorders>
              <w:top w:val="nil"/>
              <w:bottom w:val="nil"/>
              <w:right w:val="single" w:sz="12" w:space="0" w:color="auto"/>
            </w:tcBorders>
            <w:noWrap/>
            <w:vAlign w:val="center"/>
            <w:hideMark/>
          </w:tcPr>
          <w:p w14:paraId="112514E6" w14:textId="77777777" w:rsidR="00860592" w:rsidRPr="00EC0691" w:rsidRDefault="00860592" w:rsidP="00860592">
            <w:pPr>
              <w:autoSpaceDE w:val="0"/>
              <w:autoSpaceDN w:val="0"/>
              <w:adjustRightInd w:val="0"/>
              <w:spacing w:before="0" w:after="0"/>
              <w:jc w:val="center"/>
              <w:rPr>
                <w:rFonts w:cs="Times New Roman"/>
                <w:sz w:val="22"/>
              </w:rPr>
            </w:pPr>
            <w:r>
              <w:rPr>
                <w:rFonts w:cs="Times New Roman"/>
                <w:sz w:val="22"/>
              </w:rPr>
              <w:t>Temporally Lagged Y</w:t>
            </w:r>
          </w:p>
        </w:tc>
        <w:tc>
          <w:tcPr>
            <w:tcW w:w="964" w:type="dxa"/>
            <w:tcBorders>
              <w:top w:val="nil"/>
              <w:left w:val="single" w:sz="12" w:space="0" w:color="auto"/>
              <w:bottom w:val="nil"/>
            </w:tcBorders>
            <w:noWrap/>
            <w:vAlign w:val="center"/>
            <w:hideMark/>
          </w:tcPr>
          <w:p w14:paraId="569F6E3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3D53B90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vAlign w:val="center"/>
          </w:tcPr>
          <w:p w14:paraId="2945C59A" w14:textId="59D576B3"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4FED155B" w14:textId="747435ED"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5559348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5A40EB2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078ABF7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70DF1E5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right w:val="single" w:sz="12" w:space="0" w:color="auto"/>
            </w:tcBorders>
            <w:noWrap/>
            <w:vAlign w:val="center"/>
            <w:hideMark/>
          </w:tcPr>
          <w:p w14:paraId="3A9B52E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r>
      <w:tr w:rsidR="00860592" w:rsidRPr="00EC0691" w14:paraId="7E1C6B2C" w14:textId="77777777" w:rsidTr="00860592">
        <w:trPr>
          <w:trHeight w:val="300"/>
        </w:trPr>
        <w:tc>
          <w:tcPr>
            <w:tcW w:w="475" w:type="dxa"/>
            <w:tcBorders>
              <w:top w:val="nil"/>
              <w:left w:val="nil"/>
              <w:bottom w:val="nil"/>
              <w:right w:val="single" w:sz="12" w:space="0" w:color="auto"/>
            </w:tcBorders>
            <w:textDirection w:val="btLr"/>
          </w:tcPr>
          <w:p w14:paraId="6CCD6239"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tcBorders>
              <w:left w:val="single" w:sz="12" w:space="0" w:color="auto"/>
            </w:tcBorders>
            <w:noWrap/>
            <w:textDirection w:val="btLr"/>
            <w:vAlign w:val="center"/>
            <w:hideMark/>
          </w:tcPr>
          <w:p w14:paraId="1E3E03F1"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4C2A094B"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Spatial Error</w:t>
            </w:r>
          </w:p>
        </w:tc>
        <w:tc>
          <w:tcPr>
            <w:tcW w:w="964" w:type="dxa"/>
            <w:tcBorders>
              <w:top w:val="nil"/>
              <w:left w:val="single" w:sz="12" w:space="0" w:color="auto"/>
              <w:bottom w:val="nil"/>
            </w:tcBorders>
            <w:noWrap/>
            <w:vAlign w:val="center"/>
            <w:hideMark/>
          </w:tcPr>
          <w:p w14:paraId="03B36CCC"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15618CD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vAlign w:val="center"/>
          </w:tcPr>
          <w:p w14:paraId="2ED5D6C4" w14:textId="6D3785C5"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5A6455C4" w14:textId="74BA6C33"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563B153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33AAF1F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4010A58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59AA48D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right w:val="single" w:sz="12" w:space="0" w:color="auto"/>
            </w:tcBorders>
            <w:noWrap/>
            <w:vAlign w:val="center"/>
            <w:hideMark/>
          </w:tcPr>
          <w:p w14:paraId="74B9270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r>
      <w:tr w:rsidR="00860592" w:rsidRPr="00EC0691" w14:paraId="7D05635A" w14:textId="77777777" w:rsidTr="00860592">
        <w:trPr>
          <w:trHeight w:val="300"/>
        </w:trPr>
        <w:tc>
          <w:tcPr>
            <w:tcW w:w="475" w:type="dxa"/>
            <w:tcBorders>
              <w:top w:val="nil"/>
              <w:left w:val="nil"/>
              <w:bottom w:val="nil"/>
              <w:right w:val="single" w:sz="12" w:space="0" w:color="auto"/>
            </w:tcBorders>
            <w:textDirection w:val="btLr"/>
          </w:tcPr>
          <w:p w14:paraId="23487996"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tcBorders>
              <w:left w:val="single" w:sz="12" w:space="0" w:color="auto"/>
            </w:tcBorders>
            <w:noWrap/>
            <w:textDirection w:val="btLr"/>
            <w:vAlign w:val="center"/>
            <w:hideMark/>
          </w:tcPr>
          <w:p w14:paraId="2E6D3A0C"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2F58ADEF"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Spatial Lag</w:t>
            </w:r>
          </w:p>
        </w:tc>
        <w:tc>
          <w:tcPr>
            <w:tcW w:w="964" w:type="dxa"/>
            <w:tcBorders>
              <w:top w:val="nil"/>
              <w:left w:val="single" w:sz="12" w:space="0" w:color="auto"/>
              <w:bottom w:val="nil"/>
            </w:tcBorders>
            <w:noWrap/>
            <w:vAlign w:val="center"/>
            <w:hideMark/>
          </w:tcPr>
          <w:p w14:paraId="78157FEA"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6BD928E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vAlign w:val="center"/>
          </w:tcPr>
          <w:p w14:paraId="0AA1CAFC" w14:textId="0613C11E"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0502C0D2" w14:textId="5C9CE8F4"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55ABF3D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40B701E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nil"/>
            </w:tcBorders>
            <w:noWrap/>
            <w:vAlign w:val="center"/>
            <w:hideMark/>
          </w:tcPr>
          <w:p w14:paraId="47D109F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tcBorders>
            <w:noWrap/>
            <w:vAlign w:val="center"/>
            <w:hideMark/>
          </w:tcPr>
          <w:p w14:paraId="3977CC5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nil"/>
              <w:right w:val="single" w:sz="12" w:space="0" w:color="auto"/>
            </w:tcBorders>
            <w:noWrap/>
            <w:vAlign w:val="center"/>
            <w:hideMark/>
          </w:tcPr>
          <w:p w14:paraId="43E6819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r>
      <w:tr w:rsidR="00860592" w:rsidRPr="00EC0691" w14:paraId="424FD066" w14:textId="77777777" w:rsidTr="00860592">
        <w:trPr>
          <w:trHeight w:val="300"/>
        </w:trPr>
        <w:tc>
          <w:tcPr>
            <w:tcW w:w="475" w:type="dxa"/>
            <w:tcBorders>
              <w:top w:val="nil"/>
              <w:left w:val="nil"/>
              <w:bottom w:val="single" w:sz="12" w:space="0" w:color="auto"/>
              <w:right w:val="single" w:sz="12" w:space="0" w:color="auto"/>
            </w:tcBorders>
            <w:textDirection w:val="btLr"/>
          </w:tcPr>
          <w:p w14:paraId="52C15F11"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tcBorders>
              <w:left w:val="single" w:sz="12" w:space="0" w:color="auto"/>
              <w:bottom w:val="single" w:sz="12" w:space="0" w:color="auto"/>
            </w:tcBorders>
            <w:noWrap/>
            <w:textDirection w:val="btLr"/>
            <w:vAlign w:val="center"/>
            <w:hideMark/>
          </w:tcPr>
          <w:p w14:paraId="5F68F441"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single" w:sz="12" w:space="0" w:color="auto"/>
              <w:right w:val="single" w:sz="12" w:space="0" w:color="auto"/>
            </w:tcBorders>
            <w:noWrap/>
            <w:vAlign w:val="center"/>
            <w:hideMark/>
          </w:tcPr>
          <w:p w14:paraId="586F3CBA" w14:textId="77777777" w:rsidR="00860592" w:rsidRPr="00EC0691" w:rsidRDefault="00860592" w:rsidP="00860592">
            <w:pPr>
              <w:autoSpaceDE w:val="0"/>
              <w:autoSpaceDN w:val="0"/>
              <w:adjustRightInd w:val="0"/>
              <w:spacing w:before="0" w:after="0"/>
              <w:jc w:val="center"/>
              <w:rPr>
                <w:rFonts w:cs="Times New Roman"/>
                <w:sz w:val="22"/>
              </w:rPr>
            </w:pPr>
            <w:r>
              <w:rPr>
                <w:rFonts w:cs="Times New Roman"/>
                <w:sz w:val="22"/>
              </w:rPr>
              <w:t>Temporally &amp; Spatially Lagged Y</w:t>
            </w:r>
          </w:p>
        </w:tc>
        <w:tc>
          <w:tcPr>
            <w:tcW w:w="964" w:type="dxa"/>
            <w:tcBorders>
              <w:top w:val="nil"/>
              <w:left w:val="single" w:sz="12" w:space="0" w:color="auto"/>
              <w:bottom w:val="single" w:sz="12" w:space="0" w:color="auto"/>
            </w:tcBorders>
            <w:noWrap/>
            <w:vAlign w:val="center"/>
            <w:hideMark/>
          </w:tcPr>
          <w:p w14:paraId="3E79809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tcBorders>
            <w:noWrap/>
            <w:vAlign w:val="center"/>
            <w:hideMark/>
          </w:tcPr>
          <w:p w14:paraId="5647E71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tcBorders>
            <w:vAlign w:val="center"/>
          </w:tcPr>
          <w:p w14:paraId="7C44C0B1" w14:textId="581F9EA1" w:rsidR="00860592" w:rsidRPr="00FE0DCB" w:rsidRDefault="00860592" w:rsidP="00860592">
            <w:pPr>
              <w:autoSpaceDE w:val="0"/>
              <w:autoSpaceDN w:val="0"/>
              <w:adjustRightInd w:val="0"/>
              <w:spacing w:before="0" w:after="0"/>
              <w:jc w:val="center"/>
              <w:rPr>
                <w:rFonts w:cs="Times New Roman"/>
                <w:sz w:val="22"/>
              </w:rPr>
            </w:pPr>
            <w:r>
              <w:rPr>
                <w:rFonts w:cs="Times New Roman"/>
                <w:sz w:val="22"/>
              </w:rPr>
              <w:t>Yes</w:t>
            </w:r>
          </w:p>
        </w:tc>
        <w:tc>
          <w:tcPr>
            <w:tcW w:w="964" w:type="dxa"/>
            <w:tcBorders>
              <w:top w:val="nil"/>
              <w:bottom w:val="single" w:sz="12" w:space="0" w:color="auto"/>
            </w:tcBorders>
            <w:noWrap/>
            <w:vAlign w:val="center"/>
            <w:hideMark/>
          </w:tcPr>
          <w:p w14:paraId="1F795851" w14:textId="7BF4E010"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tcBorders>
            <w:noWrap/>
            <w:vAlign w:val="center"/>
            <w:hideMark/>
          </w:tcPr>
          <w:p w14:paraId="0D3DD1A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tcBorders>
            <w:noWrap/>
            <w:vAlign w:val="center"/>
            <w:hideMark/>
          </w:tcPr>
          <w:p w14:paraId="17A1A0C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c>
          <w:tcPr>
            <w:tcW w:w="964" w:type="dxa"/>
            <w:tcBorders>
              <w:top w:val="nil"/>
              <w:bottom w:val="single" w:sz="12" w:space="0" w:color="auto"/>
            </w:tcBorders>
            <w:noWrap/>
            <w:vAlign w:val="center"/>
            <w:hideMark/>
          </w:tcPr>
          <w:p w14:paraId="2EA2D93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tcBorders>
            <w:noWrap/>
            <w:vAlign w:val="center"/>
            <w:hideMark/>
          </w:tcPr>
          <w:p w14:paraId="3873559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No</w:t>
            </w:r>
          </w:p>
        </w:tc>
        <w:tc>
          <w:tcPr>
            <w:tcW w:w="964" w:type="dxa"/>
            <w:tcBorders>
              <w:top w:val="nil"/>
              <w:bottom w:val="single" w:sz="12" w:space="0" w:color="auto"/>
              <w:right w:val="single" w:sz="12" w:space="0" w:color="auto"/>
            </w:tcBorders>
            <w:noWrap/>
            <w:vAlign w:val="center"/>
            <w:hideMark/>
          </w:tcPr>
          <w:p w14:paraId="3BA84AF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Yes</w:t>
            </w:r>
          </w:p>
        </w:tc>
      </w:tr>
      <w:tr w:rsidR="00860592" w:rsidRPr="00EC0691" w14:paraId="5A01D710" w14:textId="77777777" w:rsidTr="00860592">
        <w:trPr>
          <w:cantSplit/>
          <w:trHeight w:val="283"/>
        </w:trPr>
        <w:tc>
          <w:tcPr>
            <w:tcW w:w="475" w:type="dxa"/>
            <w:vMerge w:val="restart"/>
            <w:tcBorders>
              <w:top w:val="single" w:sz="12" w:space="0" w:color="auto"/>
              <w:left w:val="single" w:sz="12" w:space="0" w:color="auto"/>
              <w:bottom w:val="single" w:sz="12" w:space="0" w:color="auto"/>
            </w:tcBorders>
            <w:textDirection w:val="btLr"/>
            <w:vAlign w:val="center"/>
          </w:tcPr>
          <w:p w14:paraId="0AFAB286" w14:textId="77777777" w:rsidR="00860592" w:rsidRPr="00860592" w:rsidRDefault="00860592" w:rsidP="00860592">
            <w:pPr>
              <w:autoSpaceDE w:val="0"/>
              <w:autoSpaceDN w:val="0"/>
              <w:adjustRightInd w:val="0"/>
              <w:spacing w:before="0" w:after="0"/>
              <w:ind w:left="113" w:right="113"/>
              <w:jc w:val="center"/>
              <w:rPr>
                <w:rFonts w:cs="Times New Roman"/>
                <w:b/>
                <w:sz w:val="22"/>
              </w:rPr>
            </w:pPr>
            <w:r w:rsidRPr="00860592">
              <w:rPr>
                <w:rFonts w:cs="Times New Roman"/>
                <w:b/>
                <w:sz w:val="22"/>
              </w:rPr>
              <w:t>Arrivals</w:t>
            </w:r>
          </w:p>
        </w:tc>
        <w:tc>
          <w:tcPr>
            <w:tcW w:w="659" w:type="dxa"/>
            <w:vMerge w:val="restart"/>
            <w:tcBorders>
              <w:top w:val="single" w:sz="12" w:space="0" w:color="auto"/>
            </w:tcBorders>
            <w:noWrap/>
            <w:textDirection w:val="btLr"/>
            <w:vAlign w:val="center"/>
            <w:hideMark/>
          </w:tcPr>
          <w:p w14:paraId="4E9F6D82"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Member</w:t>
            </w:r>
            <w:r>
              <w:rPr>
                <w:rFonts w:cs="Times New Roman"/>
                <w:sz w:val="22"/>
              </w:rPr>
              <w:t>s</w:t>
            </w:r>
          </w:p>
        </w:tc>
        <w:tc>
          <w:tcPr>
            <w:tcW w:w="2268" w:type="dxa"/>
            <w:tcBorders>
              <w:top w:val="single" w:sz="12" w:space="0" w:color="auto"/>
              <w:bottom w:val="nil"/>
              <w:right w:val="single" w:sz="12" w:space="0" w:color="auto"/>
            </w:tcBorders>
            <w:noWrap/>
            <w:vAlign w:val="center"/>
            <w:hideMark/>
          </w:tcPr>
          <w:p w14:paraId="55390238"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 Parameter</w:t>
            </w:r>
          </w:p>
        </w:tc>
        <w:tc>
          <w:tcPr>
            <w:tcW w:w="964" w:type="dxa"/>
            <w:tcBorders>
              <w:top w:val="single" w:sz="12" w:space="0" w:color="auto"/>
              <w:left w:val="single" w:sz="12" w:space="0" w:color="auto"/>
              <w:bottom w:val="nil"/>
            </w:tcBorders>
            <w:noWrap/>
            <w:vAlign w:val="center"/>
            <w:hideMark/>
          </w:tcPr>
          <w:p w14:paraId="0717111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19</w:t>
            </w:r>
          </w:p>
        </w:tc>
        <w:tc>
          <w:tcPr>
            <w:tcW w:w="964" w:type="dxa"/>
            <w:tcBorders>
              <w:top w:val="single" w:sz="12" w:space="0" w:color="auto"/>
              <w:bottom w:val="nil"/>
            </w:tcBorders>
            <w:noWrap/>
            <w:vAlign w:val="center"/>
            <w:hideMark/>
          </w:tcPr>
          <w:p w14:paraId="1AF649D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22</w:t>
            </w:r>
          </w:p>
        </w:tc>
        <w:tc>
          <w:tcPr>
            <w:tcW w:w="964" w:type="dxa"/>
            <w:tcBorders>
              <w:top w:val="single" w:sz="12" w:space="0" w:color="auto"/>
              <w:bottom w:val="nil"/>
            </w:tcBorders>
            <w:vAlign w:val="bottom"/>
          </w:tcPr>
          <w:p w14:paraId="69799BDA" w14:textId="14FD69EE"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23</w:t>
            </w:r>
          </w:p>
        </w:tc>
        <w:tc>
          <w:tcPr>
            <w:tcW w:w="964" w:type="dxa"/>
            <w:tcBorders>
              <w:top w:val="single" w:sz="12" w:space="0" w:color="auto"/>
              <w:bottom w:val="nil"/>
            </w:tcBorders>
            <w:noWrap/>
            <w:vAlign w:val="center"/>
            <w:hideMark/>
          </w:tcPr>
          <w:p w14:paraId="757A7079" w14:textId="74A1424E"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w:t>
            </w:r>
          </w:p>
        </w:tc>
        <w:tc>
          <w:tcPr>
            <w:tcW w:w="964" w:type="dxa"/>
            <w:tcBorders>
              <w:top w:val="single" w:sz="12" w:space="0" w:color="auto"/>
              <w:bottom w:val="nil"/>
            </w:tcBorders>
            <w:noWrap/>
            <w:vAlign w:val="center"/>
            <w:hideMark/>
          </w:tcPr>
          <w:p w14:paraId="7539CFD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23</w:t>
            </w:r>
          </w:p>
        </w:tc>
        <w:tc>
          <w:tcPr>
            <w:tcW w:w="964" w:type="dxa"/>
            <w:tcBorders>
              <w:top w:val="single" w:sz="12" w:space="0" w:color="auto"/>
              <w:bottom w:val="nil"/>
            </w:tcBorders>
            <w:noWrap/>
            <w:vAlign w:val="center"/>
            <w:hideMark/>
          </w:tcPr>
          <w:p w14:paraId="45E7249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22</w:t>
            </w:r>
          </w:p>
        </w:tc>
        <w:tc>
          <w:tcPr>
            <w:tcW w:w="964" w:type="dxa"/>
            <w:tcBorders>
              <w:top w:val="single" w:sz="12" w:space="0" w:color="auto"/>
              <w:bottom w:val="nil"/>
            </w:tcBorders>
            <w:noWrap/>
            <w:vAlign w:val="center"/>
            <w:hideMark/>
          </w:tcPr>
          <w:p w14:paraId="4F730187"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18</w:t>
            </w:r>
          </w:p>
        </w:tc>
        <w:tc>
          <w:tcPr>
            <w:tcW w:w="964" w:type="dxa"/>
            <w:tcBorders>
              <w:top w:val="single" w:sz="12" w:space="0" w:color="auto"/>
              <w:bottom w:val="nil"/>
            </w:tcBorders>
            <w:noWrap/>
            <w:vAlign w:val="center"/>
            <w:hideMark/>
          </w:tcPr>
          <w:p w14:paraId="0A0E87F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w:t>
            </w:r>
          </w:p>
        </w:tc>
        <w:tc>
          <w:tcPr>
            <w:tcW w:w="964" w:type="dxa"/>
            <w:tcBorders>
              <w:top w:val="single" w:sz="12" w:space="0" w:color="auto"/>
              <w:bottom w:val="nil"/>
              <w:right w:val="single" w:sz="12" w:space="0" w:color="auto"/>
            </w:tcBorders>
            <w:noWrap/>
            <w:vAlign w:val="center"/>
            <w:hideMark/>
          </w:tcPr>
          <w:p w14:paraId="6A83B69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w:t>
            </w:r>
          </w:p>
        </w:tc>
      </w:tr>
      <w:tr w:rsidR="00860592" w:rsidRPr="00EC0691" w14:paraId="1A7D2B13" w14:textId="77777777" w:rsidTr="00860592">
        <w:trPr>
          <w:trHeight w:val="300"/>
        </w:trPr>
        <w:tc>
          <w:tcPr>
            <w:tcW w:w="475" w:type="dxa"/>
            <w:vMerge/>
            <w:tcBorders>
              <w:left w:val="single" w:sz="12" w:space="0" w:color="auto"/>
              <w:bottom w:val="single" w:sz="12" w:space="0" w:color="auto"/>
            </w:tcBorders>
            <w:textDirection w:val="btLr"/>
            <w:vAlign w:val="center"/>
          </w:tcPr>
          <w:p w14:paraId="13A470D5"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noWrap/>
            <w:textDirection w:val="btLr"/>
            <w:vAlign w:val="center"/>
            <w:hideMark/>
          </w:tcPr>
          <w:p w14:paraId="26896410"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7FD074A1"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LL</w:t>
            </w:r>
          </w:p>
        </w:tc>
        <w:tc>
          <w:tcPr>
            <w:tcW w:w="964" w:type="dxa"/>
            <w:tcBorders>
              <w:top w:val="nil"/>
              <w:left w:val="single" w:sz="12" w:space="0" w:color="auto"/>
              <w:bottom w:val="nil"/>
            </w:tcBorders>
            <w:noWrap/>
            <w:vAlign w:val="center"/>
            <w:hideMark/>
          </w:tcPr>
          <w:p w14:paraId="7B1734E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-291388</w:t>
            </w:r>
          </w:p>
        </w:tc>
        <w:tc>
          <w:tcPr>
            <w:tcW w:w="964" w:type="dxa"/>
            <w:tcBorders>
              <w:top w:val="nil"/>
              <w:bottom w:val="nil"/>
            </w:tcBorders>
            <w:noWrap/>
            <w:vAlign w:val="center"/>
            <w:hideMark/>
          </w:tcPr>
          <w:p w14:paraId="4454874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-246056</w:t>
            </w:r>
          </w:p>
        </w:tc>
        <w:tc>
          <w:tcPr>
            <w:tcW w:w="964" w:type="dxa"/>
            <w:tcBorders>
              <w:top w:val="nil"/>
              <w:bottom w:val="nil"/>
            </w:tcBorders>
            <w:vAlign w:val="bottom"/>
          </w:tcPr>
          <w:p w14:paraId="7A532286" w14:textId="58D5870E"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-241249</w:t>
            </w:r>
          </w:p>
        </w:tc>
        <w:tc>
          <w:tcPr>
            <w:tcW w:w="964" w:type="dxa"/>
            <w:tcBorders>
              <w:top w:val="nil"/>
              <w:bottom w:val="nil"/>
            </w:tcBorders>
            <w:noWrap/>
            <w:vAlign w:val="center"/>
            <w:hideMark/>
          </w:tcPr>
          <w:p w14:paraId="79D5E1FD" w14:textId="795CDB39"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-271578</w:t>
            </w:r>
          </w:p>
        </w:tc>
        <w:tc>
          <w:tcPr>
            <w:tcW w:w="964" w:type="dxa"/>
            <w:tcBorders>
              <w:top w:val="nil"/>
              <w:bottom w:val="nil"/>
            </w:tcBorders>
            <w:noWrap/>
            <w:vAlign w:val="center"/>
            <w:hideMark/>
          </w:tcPr>
          <w:p w14:paraId="1D4BA02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-243884</w:t>
            </w:r>
          </w:p>
        </w:tc>
        <w:tc>
          <w:tcPr>
            <w:tcW w:w="964" w:type="dxa"/>
            <w:tcBorders>
              <w:top w:val="nil"/>
              <w:bottom w:val="nil"/>
            </w:tcBorders>
            <w:noWrap/>
            <w:vAlign w:val="center"/>
            <w:hideMark/>
          </w:tcPr>
          <w:p w14:paraId="794B816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-239445</w:t>
            </w:r>
          </w:p>
        </w:tc>
        <w:tc>
          <w:tcPr>
            <w:tcW w:w="964" w:type="dxa"/>
            <w:tcBorders>
              <w:top w:val="nil"/>
              <w:bottom w:val="nil"/>
            </w:tcBorders>
            <w:noWrap/>
            <w:vAlign w:val="center"/>
            <w:hideMark/>
          </w:tcPr>
          <w:p w14:paraId="60AF738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-270913</w:t>
            </w:r>
          </w:p>
        </w:tc>
        <w:tc>
          <w:tcPr>
            <w:tcW w:w="964" w:type="dxa"/>
            <w:tcBorders>
              <w:top w:val="nil"/>
              <w:bottom w:val="nil"/>
            </w:tcBorders>
            <w:noWrap/>
            <w:vAlign w:val="center"/>
            <w:hideMark/>
          </w:tcPr>
          <w:p w14:paraId="45F0D83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-240844</w:t>
            </w:r>
          </w:p>
        </w:tc>
        <w:tc>
          <w:tcPr>
            <w:tcW w:w="964" w:type="dxa"/>
            <w:tcBorders>
              <w:top w:val="nil"/>
              <w:bottom w:val="nil"/>
              <w:right w:val="single" w:sz="12" w:space="0" w:color="auto"/>
            </w:tcBorders>
            <w:noWrap/>
            <w:vAlign w:val="center"/>
            <w:hideMark/>
          </w:tcPr>
          <w:p w14:paraId="43A48B3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-239354</w:t>
            </w:r>
          </w:p>
        </w:tc>
      </w:tr>
      <w:tr w:rsidR="00860592" w:rsidRPr="00EC0691" w14:paraId="727D45E7" w14:textId="77777777" w:rsidTr="00860592">
        <w:trPr>
          <w:trHeight w:val="300"/>
        </w:trPr>
        <w:tc>
          <w:tcPr>
            <w:tcW w:w="475" w:type="dxa"/>
            <w:vMerge/>
            <w:tcBorders>
              <w:left w:val="single" w:sz="12" w:space="0" w:color="auto"/>
              <w:bottom w:val="single" w:sz="12" w:space="0" w:color="auto"/>
            </w:tcBorders>
            <w:textDirection w:val="btLr"/>
            <w:vAlign w:val="center"/>
          </w:tcPr>
          <w:p w14:paraId="4EEA41EE"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noWrap/>
            <w:textDirection w:val="btLr"/>
            <w:vAlign w:val="center"/>
            <w:hideMark/>
          </w:tcPr>
          <w:p w14:paraId="0BF032FD"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18E0BA20"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AIC</w:t>
            </w:r>
          </w:p>
        </w:tc>
        <w:tc>
          <w:tcPr>
            <w:tcW w:w="964" w:type="dxa"/>
            <w:tcBorders>
              <w:top w:val="nil"/>
              <w:left w:val="single" w:sz="12" w:space="0" w:color="auto"/>
              <w:bottom w:val="nil"/>
            </w:tcBorders>
            <w:noWrap/>
            <w:vAlign w:val="center"/>
            <w:hideMark/>
          </w:tcPr>
          <w:p w14:paraId="0051298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582814</w:t>
            </w:r>
          </w:p>
        </w:tc>
        <w:tc>
          <w:tcPr>
            <w:tcW w:w="964" w:type="dxa"/>
            <w:tcBorders>
              <w:top w:val="nil"/>
              <w:bottom w:val="nil"/>
            </w:tcBorders>
            <w:noWrap/>
            <w:vAlign w:val="center"/>
            <w:hideMark/>
          </w:tcPr>
          <w:p w14:paraId="44B2F9F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492156</w:t>
            </w:r>
          </w:p>
        </w:tc>
        <w:tc>
          <w:tcPr>
            <w:tcW w:w="964" w:type="dxa"/>
            <w:tcBorders>
              <w:top w:val="nil"/>
              <w:bottom w:val="nil"/>
            </w:tcBorders>
            <w:vAlign w:val="bottom"/>
          </w:tcPr>
          <w:p w14:paraId="26B33B0F" w14:textId="12AB1BC0"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482545</w:t>
            </w:r>
          </w:p>
        </w:tc>
        <w:tc>
          <w:tcPr>
            <w:tcW w:w="964" w:type="dxa"/>
            <w:tcBorders>
              <w:top w:val="nil"/>
              <w:bottom w:val="nil"/>
            </w:tcBorders>
            <w:noWrap/>
            <w:vAlign w:val="center"/>
            <w:hideMark/>
          </w:tcPr>
          <w:p w14:paraId="212C04A6" w14:textId="62606298"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543195</w:t>
            </w:r>
          </w:p>
        </w:tc>
        <w:tc>
          <w:tcPr>
            <w:tcW w:w="964" w:type="dxa"/>
            <w:tcBorders>
              <w:top w:val="nil"/>
              <w:bottom w:val="nil"/>
            </w:tcBorders>
            <w:noWrap/>
            <w:vAlign w:val="center"/>
            <w:hideMark/>
          </w:tcPr>
          <w:p w14:paraId="30BB119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487814</w:t>
            </w:r>
          </w:p>
        </w:tc>
        <w:tc>
          <w:tcPr>
            <w:tcW w:w="964" w:type="dxa"/>
            <w:tcBorders>
              <w:top w:val="nil"/>
              <w:bottom w:val="nil"/>
            </w:tcBorders>
            <w:noWrap/>
            <w:vAlign w:val="center"/>
            <w:hideMark/>
          </w:tcPr>
          <w:p w14:paraId="139EE46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478935</w:t>
            </w:r>
          </w:p>
        </w:tc>
        <w:tc>
          <w:tcPr>
            <w:tcW w:w="964" w:type="dxa"/>
            <w:tcBorders>
              <w:top w:val="nil"/>
              <w:bottom w:val="nil"/>
            </w:tcBorders>
            <w:noWrap/>
            <w:vAlign w:val="center"/>
            <w:hideMark/>
          </w:tcPr>
          <w:p w14:paraId="51AC809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541862</w:t>
            </w:r>
          </w:p>
        </w:tc>
        <w:tc>
          <w:tcPr>
            <w:tcW w:w="964" w:type="dxa"/>
            <w:tcBorders>
              <w:top w:val="nil"/>
              <w:bottom w:val="nil"/>
            </w:tcBorders>
            <w:noWrap/>
            <w:vAlign w:val="center"/>
            <w:hideMark/>
          </w:tcPr>
          <w:p w14:paraId="61CDAD1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481731</w:t>
            </w:r>
          </w:p>
        </w:tc>
        <w:tc>
          <w:tcPr>
            <w:tcW w:w="964" w:type="dxa"/>
            <w:tcBorders>
              <w:top w:val="nil"/>
              <w:bottom w:val="nil"/>
              <w:right w:val="single" w:sz="12" w:space="0" w:color="auto"/>
            </w:tcBorders>
            <w:noWrap/>
            <w:vAlign w:val="center"/>
            <w:hideMark/>
          </w:tcPr>
          <w:p w14:paraId="2A75565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478755</w:t>
            </w:r>
          </w:p>
        </w:tc>
      </w:tr>
      <w:tr w:rsidR="00860592" w:rsidRPr="00EC0691" w14:paraId="42A8547D" w14:textId="77777777" w:rsidTr="00860592">
        <w:trPr>
          <w:trHeight w:val="300"/>
        </w:trPr>
        <w:tc>
          <w:tcPr>
            <w:tcW w:w="475" w:type="dxa"/>
            <w:vMerge/>
            <w:tcBorders>
              <w:left w:val="single" w:sz="12" w:space="0" w:color="auto"/>
              <w:bottom w:val="single" w:sz="12" w:space="0" w:color="auto"/>
            </w:tcBorders>
            <w:textDirection w:val="btLr"/>
            <w:vAlign w:val="center"/>
          </w:tcPr>
          <w:p w14:paraId="4AEF9F03"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noWrap/>
            <w:textDirection w:val="btLr"/>
            <w:vAlign w:val="center"/>
            <w:hideMark/>
          </w:tcPr>
          <w:p w14:paraId="65B405BD"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single" w:sz="4" w:space="0" w:color="auto"/>
              <w:right w:val="single" w:sz="12" w:space="0" w:color="auto"/>
            </w:tcBorders>
            <w:noWrap/>
            <w:vAlign w:val="center"/>
            <w:hideMark/>
          </w:tcPr>
          <w:p w14:paraId="464D00B9"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BIC</w:t>
            </w:r>
          </w:p>
        </w:tc>
        <w:tc>
          <w:tcPr>
            <w:tcW w:w="964" w:type="dxa"/>
            <w:tcBorders>
              <w:top w:val="nil"/>
              <w:left w:val="single" w:sz="12" w:space="0" w:color="auto"/>
              <w:bottom w:val="single" w:sz="4" w:space="0" w:color="auto"/>
            </w:tcBorders>
            <w:noWrap/>
            <w:vAlign w:val="center"/>
            <w:hideMark/>
          </w:tcPr>
          <w:p w14:paraId="1321839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583014</w:t>
            </w:r>
          </w:p>
        </w:tc>
        <w:tc>
          <w:tcPr>
            <w:tcW w:w="964" w:type="dxa"/>
            <w:tcBorders>
              <w:top w:val="nil"/>
              <w:bottom w:val="single" w:sz="4" w:space="0" w:color="auto"/>
            </w:tcBorders>
            <w:noWrap/>
            <w:vAlign w:val="center"/>
            <w:hideMark/>
          </w:tcPr>
          <w:p w14:paraId="07C2DFA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492388</w:t>
            </w:r>
          </w:p>
        </w:tc>
        <w:tc>
          <w:tcPr>
            <w:tcW w:w="964" w:type="dxa"/>
            <w:tcBorders>
              <w:top w:val="nil"/>
              <w:bottom w:val="single" w:sz="4" w:space="0" w:color="auto"/>
            </w:tcBorders>
            <w:vAlign w:val="bottom"/>
          </w:tcPr>
          <w:p w14:paraId="6658FEA6" w14:textId="49544B4C"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482787</w:t>
            </w:r>
          </w:p>
        </w:tc>
        <w:tc>
          <w:tcPr>
            <w:tcW w:w="964" w:type="dxa"/>
            <w:tcBorders>
              <w:top w:val="nil"/>
              <w:bottom w:val="single" w:sz="4" w:space="0" w:color="auto"/>
            </w:tcBorders>
            <w:noWrap/>
            <w:vAlign w:val="center"/>
            <w:hideMark/>
          </w:tcPr>
          <w:p w14:paraId="5A0BA7D1" w14:textId="44ED801F"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543406</w:t>
            </w:r>
          </w:p>
        </w:tc>
        <w:tc>
          <w:tcPr>
            <w:tcW w:w="964" w:type="dxa"/>
            <w:tcBorders>
              <w:top w:val="nil"/>
              <w:bottom w:val="single" w:sz="4" w:space="0" w:color="auto"/>
            </w:tcBorders>
            <w:noWrap/>
            <w:vAlign w:val="center"/>
            <w:hideMark/>
          </w:tcPr>
          <w:p w14:paraId="0C31F11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488056</w:t>
            </w:r>
          </w:p>
        </w:tc>
        <w:tc>
          <w:tcPr>
            <w:tcW w:w="964" w:type="dxa"/>
            <w:tcBorders>
              <w:top w:val="nil"/>
              <w:bottom w:val="single" w:sz="4" w:space="0" w:color="auto"/>
            </w:tcBorders>
            <w:noWrap/>
            <w:vAlign w:val="center"/>
            <w:hideMark/>
          </w:tcPr>
          <w:p w14:paraId="72F9E17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479167</w:t>
            </w:r>
          </w:p>
        </w:tc>
        <w:tc>
          <w:tcPr>
            <w:tcW w:w="964" w:type="dxa"/>
            <w:tcBorders>
              <w:top w:val="nil"/>
              <w:bottom w:val="single" w:sz="4" w:space="0" w:color="auto"/>
            </w:tcBorders>
            <w:noWrap/>
            <w:vAlign w:val="center"/>
            <w:hideMark/>
          </w:tcPr>
          <w:p w14:paraId="774C106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542051</w:t>
            </w:r>
          </w:p>
        </w:tc>
        <w:tc>
          <w:tcPr>
            <w:tcW w:w="964" w:type="dxa"/>
            <w:tcBorders>
              <w:top w:val="nil"/>
              <w:bottom w:val="single" w:sz="4" w:space="0" w:color="auto"/>
            </w:tcBorders>
            <w:noWrap/>
            <w:vAlign w:val="center"/>
            <w:hideMark/>
          </w:tcPr>
          <w:p w14:paraId="3C1D849A"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481952</w:t>
            </w:r>
          </w:p>
        </w:tc>
        <w:tc>
          <w:tcPr>
            <w:tcW w:w="964" w:type="dxa"/>
            <w:tcBorders>
              <w:top w:val="nil"/>
              <w:bottom w:val="single" w:sz="4" w:space="0" w:color="auto"/>
              <w:right w:val="single" w:sz="12" w:space="0" w:color="auto"/>
            </w:tcBorders>
            <w:noWrap/>
            <w:vAlign w:val="center"/>
            <w:hideMark/>
          </w:tcPr>
          <w:p w14:paraId="5374CB4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479008</w:t>
            </w:r>
          </w:p>
        </w:tc>
      </w:tr>
      <w:tr w:rsidR="00860592" w:rsidRPr="00EC0691" w14:paraId="74613D4B" w14:textId="77777777" w:rsidTr="00860592">
        <w:trPr>
          <w:trHeight w:val="300"/>
        </w:trPr>
        <w:tc>
          <w:tcPr>
            <w:tcW w:w="475" w:type="dxa"/>
            <w:vMerge/>
            <w:tcBorders>
              <w:left w:val="single" w:sz="12" w:space="0" w:color="auto"/>
              <w:bottom w:val="single" w:sz="12" w:space="0" w:color="auto"/>
            </w:tcBorders>
            <w:textDirection w:val="btLr"/>
            <w:vAlign w:val="center"/>
          </w:tcPr>
          <w:p w14:paraId="4EBE217E"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val="restart"/>
            <w:noWrap/>
            <w:textDirection w:val="btLr"/>
            <w:vAlign w:val="center"/>
            <w:hideMark/>
          </w:tcPr>
          <w:p w14:paraId="6F17AFB2" w14:textId="77777777" w:rsidR="00860592" w:rsidRPr="00EC0691" w:rsidRDefault="00860592" w:rsidP="00860592">
            <w:pPr>
              <w:autoSpaceDE w:val="0"/>
              <w:autoSpaceDN w:val="0"/>
              <w:adjustRightInd w:val="0"/>
              <w:spacing w:before="0" w:after="0"/>
              <w:jc w:val="center"/>
              <w:rPr>
                <w:rFonts w:cs="Times New Roman"/>
                <w:sz w:val="22"/>
              </w:rPr>
            </w:pPr>
            <w:r>
              <w:rPr>
                <w:rFonts w:cs="Times New Roman"/>
                <w:sz w:val="22"/>
              </w:rPr>
              <w:t>Daily Customers</w:t>
            </w:r>
          </w:p>
        </w:tc>
        <w:tc>
          <w:tcPr>
            <w:tcW w:w="2268" w:type="dxa"/>
            <w:tcBorders>
              <w:bottom w:val="nil"/>
              <w:right w:val="single" w:sz="12" w:space="0" w:color="auto"/>
            </w:tcBorders>
            <w:noWrap/>
            <w:vAlign w:val="center"/>
            <w:hideMark/>
          </w:tcPr>
          <w:p w14:paraId="7ABC2018"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 Parameter</w:t>
            </w:r>
          </w:p>
        </w:tc>
        <w:tc>
          <w:tcPr>
            <w:tcW w:w="964" w:type="dxa"/>
            <w:tcBorders>
              <w:left w:val="single" w:sz="12" w:space="0" w:color="auto"/>
              <w:bottom w:val="nil"/>
            </w:tcBorders>
            <w:noWrap/>
            <w:vAlign w:val="center"/>
            <w:hideMark/>
          </w:tcPr>
          <w:p w14:paraId="1E28303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14</w:t>
            </w:r>
          </w:p>
        </w:tc>
        <w:tc>
          <w:tcPr>
            <w:tcW w:w="964" w:type="dxa"/>
            <w:tcBorders>
              <w:bottom w:val="nil"/>
            </w:tcBorders>
            <w:noWrap/>
            <w:vAlign w:val="center"/>
            <w:hideMark/>
          </w:tcPr>
          <w:p w14:paraId="06CF167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17</w:t>
            </w:r>
          </w:p>
        </w:tc>
        <w:tc>
          <w:tcPr>
            <w:tcW w:w="964" w:type="dxa"/>
            <w:tcBorders>
              <w:bottom w:val="nil"/>
            </w:tcBorders>
            <w:vAlign w:val="bottom"/>
          </w:tcPr>
          <w:p w14:paraId="26CA8EF2" w14:textId="41D98571"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22</w:t>
            </w:r>
          </w:p>
        </w:tc>
        <w:tc>
          <w:tcPr>
            <w:tcW w:w="964" w:type="dxa"/>
            <w:tcBorders>
              <w:bottom w:val="nil"/>
            </w:tcBorders>
            <w:noWrap/>
            <w:vAlign w:val="center"/>
            <w:hideMark/>
          </w:tcPr>
          <w:p w14:paraId="519E5EB9" w14:textId="7F2E1AE4"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15</w:t>
            </w:r>
          </w:p>
        </w:tc>
        <w:tc>
          <w:tcPr>
            <w:tcW w:w="964" w:type="dxa"/>
            <w:tcBorders>
              <w:bottom w:val="nil"/>
            </w:tcBorders>
            <w:noWrap/>
            <w:vAlign w:val="center"/>
            <w:hideMark/>
          </w:tcPr>
          <w:p w14:paraId="43A4CA9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18</w:t>
            </w:r>
          </w:p>
        </w:tc>
        <w:tc>
          <w:tcPr>
            <w:tcW w:w="964" w:type="dxa"/>
            <w:tcBorders>
              <w:bottom w:val="nil"/>
            </w:tcBorders>
            <w:noWrap/>
            <w:vAlign w:val="center"/>
            <w:hideMark/>
          </w:tcPr>
          <w:p w14:paraId="23FC74C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19</w:t>
            </w:r>
          </w:p>
        </w:tc>
        <w:tc>
          <w:tcPr>
            <w:tcW w:w="964" w:type="dxa"/>
            <w:tcBorders>
              <w:bottom w:val="nil"/>
            </w:tcBorders>
            <w:noWrap/>
            <w:vAlign w:val="center"/>
            <w:hideMark/>
          </w:tcPr>
          <w:p w14:paraId="27187DB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17</w:t>
            </w:r>
          </w:p>
        </w:tc>
        <w:tc>
          <w:tcPr>
            <w:tcW w:w="964" w:type="dxa"/>
            <w:tcBorders>
              <w:bottom w:val="nil"/>
            </w:tcBorders>
            <w:noWrap/>
            <w:vAlign w:val="center"/>
            <w:hideMark/>
          </w:tcPr>
          <w:p w14:paraId="719B8847"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w:t>
            </w:r>
          </w:p>
        </w:tc>
        <w:tc>
          <w:tcPr>
            <w:tcW w:w="964" w:type="dxa"/>
            <w:tcBorders>
              <w:bottom w:val="nil"/>
              <w:right w:val="single" w:sz="12" w:space="0" w:color="auto"/>
            </w:tcBorders>
            <w:noWrap/>
            <w:vAlign w:val="center"/>
            <w:hideMark/>
          </w:tcPr>
          <w:p w14:paraId="76C811D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23</w:t>
            </w:r>
          </w:p>
        </w:tc>
      </w:tr>
      <w:tr w:rsidR="00860592" w:rsidRPr="00EC0691" w14:paraId="3EB4D559" w14:textId="77777777" w:rsidTr="00860592">
        <w:trPr>
          <w:trHeight w:val="300"/>
        </w:trPr>
        <w:tc>
          <w:tcPr>
            <w:tcW w:w="475" w:type="dxa"/>
            <w:vMerge/>
            <w:tcBorders>
              <w:left w:val="single" w:sz="12" w:space="0" w:color="auto"/>
              <w:bottom w:val="single" w:sz="12" w:space="0" w:color="auto"/>
            </w:tcBorders>
            <w:textDirection w:val="btLr"/>
            <w:vAlign w:val="center"/>
          </w:tcPr>
          <w:p w14:paraId="51795E81"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noWrap/>
            <w:textDirection w:val="btLr"/>
            <w:vAlign w:val="center"/>
            <w:hideMark/>
          </w:tcPr>
          <w:p w14:paraId="382B693C"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7470EBA0"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LL</w:t>
            </w:r>
          </w:p>
        </w:tc>
        <w:tc>
          <w:tcPr>
            <w:tcW w:w="964" w:type="dxa"/>
            <w:tcBorders>
              <w:top w:val="nil"/>
              <w:left w:val="single" w:sz="12" w:space="0" w:color="auto"/>
              <w:bottom w:val="nil"/>
            </w:tcBorders>
            <w:noWrap/>
            <w:vAlign w:val="center"/>
            <w:hideMark/>
          </w:tcPr>
          <w:p w14:paraId="2B0C483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-213408</w:t>
            </w:r>
          </w:p>
        </w:tc>
        <w:tc>
          <w:tcPr>
            <w:tcW w:w="964" w:type="dxa"/>
            <w:tcBorders>
              <w:top w:val="nil"/>
              <w:bottom w:val="nil"/>
            </w:tcBorders>
            <w:noWrap/>
            <w:vAlign w:val="center"/>
            <w:hideMark/>
          </w:tcPr>
          <w:p w14:paraId="113C5AC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-203575</w:t>
            </w:r>
          </w:p>
        </w:tc>
        <w:tc>
          <w:tcPr>
            <w:tcW w:w="964" w:type="dxa"/>
            <w:tcBorders>
              <w:top w:val="nil"/>
              <w:bottom w:val="nil"/>
            </w:tcBorders>
            <w:vAlign w:val="bottom"/>
          </w:tcPr>
          <w:p w14:paraId="361DDC95" w14:textId="50E109EE"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-200863</w:t>
            </w:r>
          </w:p>
        </w:tc>
        <w:tc>
          <w:tcPr>
            <w:tcW w:w="964" w:type="dxa"/>
            <w:tcBorders>
              <w:top w:val="nil"/>
              <w:bottom w:val="nil"/>
            </w:tcBorders>
            <w:noWrap/>
            <w:vAlign w:val="center"/>
            <w:hideMark/>
          </w:tcPr>
          <w:p w14:paraId="537244A0" w14:textId="43DAA5F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-210466</w:t>
            </w:r>
          </w:p>
        </w:tc>
        <w:tc>
          <w:tcPr>
            <w:tcW w:w="964" w:type="dxa"/>
            <w:tcBorders>
              <w:top w:val="nil"/>
              <w:bottom w:val="nil"/>
            </w:tcBorders>
            <w:noWrap/>
            <w:vAlign w:val="center"/>
            <w:hideMark/>
          </w:tcPr>
          <w:p w14:paraId="61BF95E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-202863</w:t>
            </w:r>
          </w:p>
        </w:tc>
        <w:tc>
          <w:tcPr>
            <w:tcW w:w="964" w:type="dxa"/>
            <w:tcBorders>
              <w:top w:val="nil"/>
              <w:bottom w:val="nil"/>
            </w:tcBorders>
            <w:noWrap/>
            <w:vAlign w:val="center"/>
            <w:hideMark/>
          </w:tcPr>
          <w:p w14:paraId="0DE6885A"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-200456</w:t>
            </w:r>
          </w:p>
        </w:tc>
        <w:tc>
          <w:tcPr>
            <w:tcW w:w="964" w:type="dxa"/>
            <w:tcBorders>
              <w:top w:val="nil"/>
              <w:bottom w:val="nil"/>
            </w:tcBorders>
            <w:noWrap/>
            <w:vAlign w:val="center"/>
            <w:hideMark/>
          </w:tcPr>
          <w:p w14:paraId="6009987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-210433</w:t>
            </w:r>
          </w:p>
        </w:tc>
        <w:tc>
          <w:tcPr>
            <w:tcW w:w="964" w:type="dxa"/>
            <w:tcBorders>
              <w:top w:val="nil"/>
              <w:bottom w:val="nil"/>
            </w:tcBorders>
            <w:noWrap/>
            <w:vAlign w:val="center"/>
            <w:hideMark/>
          </w:tcPr>
          <w:p w14:paraId="6B2B212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-202204</w:t>
            </w:r>
          </w:p>
        </w:tc>
        <w:tc>
          <w:tcPr>
            <w:tcW w:w="964" w:type="dxa"/>
            <w:tcBorders>
              <w:top w:val="nil"/>
              <w:bottom w:val="nil"/>
              <w:right w:val="single" w:sz="12" w:space="0" w:color="auto"/>
            </w:tcBorders>
            <w:noWrap/>
            <w:vAlign w:val="center"/>
            <w:hideMark/>
          </w:tcPr>
          <w:p w14:paraId="70A32AF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-200372</w:t>
            </w:r>
          </w:p>
        </w:tc>
      </w:tr>
      <w:tr w:rsidR="00860592" w:rsidRPr="00EC0691" w14:paraId="725604E8" w14:textId="77777777" w:rsidTr="00860592">
        <w:trPr>
          <w:trHeight w:val="300"/>
        </w:trPr>
        <w:tc>
          <w:tcPr>
            <w:tcW w:w="475" w:type="dxa"/>
            <w:vMerge/>
            <w:tcBorders>
              <w:left w:val="single" w:sz="12" w:space="0" w:color="auto"/>
              <w:bottom w:val="single" w:sz="12" w:space="0" w:color="auto"/>
            </w:tcBorders>
            <w:textDirection w:val="btLr"/>
            <w:vAlign w:val="center"/>
          </w:tcPr>
          <w:p w14:paraId="3A697C0B"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noWrap/>
            <w:textDirection w:val="btLr"/>
            <w:vAlign w:val="center"/>
            <w:hideMark/>
          </w:tcPr>
          <w:p w14:paraId="7BC87B1F"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55285F41"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AIC</w:t>
            </w:r>
          </w:p>
        </w:tc>
        <w:tc>
          <w:tcPr>
            <w:tcW w:w="964" w:type="dxa"/>
            <w:tcBorders>
              <w:top w:val="nil"/>
              <w:left w:val="single" w:sz="12" w:space="0" w:color="auto"/>
              <w:bottom w:val="nil"/>
            </w:tcBorders>
            <w:noWrap/>
            <w:vAlign w:val="center"/>
            <w:hideMark/>
          </w:tcPr>
          <w:p w14:paraId="08DB185C"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426845</w:t>
            </w:r>
          </w:p>
        </w:tc>
        <w:tc>
          <w:tcPr>
            <w:tcW w:w="964" w:type="dxa"/>
            <w:tcBorders>
              <w:top w:val="nil"/>
              <w:bottom w:val="nil"/>
            </w:tcBorders>
            <w:noWrap/>
            <w:vAlign w:val="center"/>
            <w:hideMark/>
          </w:tcPr>
          <w:p w14:paraId="5842296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407184</w:t>
            </w:r>
          </w:p>
        </w:tc>
        <w:tc>
          <w:tcPr>
            <w:tcW w:w="964" w:type="dxa"/>
            <w:tcBorders>
              <w:top w:val="nil"/>
              <w:bottom w:val="nil"/>
            </w:tcBorders>
            <w:vAlign w:val="bottom"/>
          </w:tcPr>
          <w:p w14:paraId="5B1AE10F" w14:textId="6446CD0B"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401771</w:t>
            </w:r>
          </w:p>
        </w:tc>
        <w:tc>
          <w:tcPr>
            <w:tcW w:w="964" w:type="dxa"/>
            <w:tcBorders>
              <w:top w:val="nil"/>
              <w:bottom w:val="nil"/>
            </w:tcBorders>
            <w:noWrap/>
            <w:vAlign w:val="center"/>
            <w:hideMark/>
          </w:tcPr>
          <w:p w14:paraId="7D3C6103" w14:textId="32A4108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420962</w:t>
            </w:r>
          </w:p>
        </w:tc>
        <w:tc>
          <w:tcPr>
            <w:tcW w:w="964" w:type="dxa"/>
            <w:tcBorders>
              <w:top w:val="nil"/>
              <w:bottom w:val="nil"/>
            </w:tcBorders>
            <w:noWrap/>
            <w:vAlign w:val="center"/>
            <w:hideMark/>
          </w:tcPr>
          <w:p w14:paraId="10629A3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405762</w:t>
            </w:r>
          </w:p>
        </w:tc>
        <w:tc>
          <w:tcPr>
            <w:tcW w:w="964" w:type="dxa"/>
            <w:tcBorders>
              <w:top w:val="nil"/>
              <w:bottom w:val="nil"/>
            </w:tcBorders>
            <w:noWrap/>
            <w:vAlign w:val="center"/>
            <w:hideMark/>
          </w:tcPr>
          <w:p w14:paraId="31C2051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400950</w:t>
            </w:r>
          </w:p>
        </w:tc>
        <w:tc>
          <w:tcPr>
            <w:tcW w:w="964" w:type="dxa"/>
            <w:tcBorders>
              <w:top w:val="nil"/>
              <w:bottom w:val="nil"/>
            </w:tcBorders>
            <w:noWrap/>
            <w:vAlign w:val="center"/>
            <w:hideMark/>
          </w:tcPr>
          <w:p w14:paraId="7B49510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420901</w:t>
            </w:r>
          </w:p>
        </w:tc>
        <w:tc>
          <w:tcPr>
            <w:tcW w:w="964" w:type="dxa"/>
            <w:tcBorders>
              <w:top w:val="nil"/>
              <w:bottom w:val="nil"/>
            </w:tcBorders>
            <w:noWrap/>
            <w:vAlign w:val="center"/>
            <w:hideMark/>
          </w:tcPr>
          <w:p w14:paraId="46B5D94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404448</w:t>
            </w:r>
          </w:p>
        </w:tc>
        <w:tc>
          <w:tcPr>
            <w:tcW w:w="964" w:type="dxa"/>
            <w:tcBorders>
              <w:top w:val="nil"/>
              <w:bottom w:val="nil"/>
              <w:right w:val="single" w:sz="12" w:space="0" w:color="auto"/>
            </w:tcBorders>
            <w:noWrap/>
            <w:vAlign w:val="center"/>
            <w:hideMark/>
          </w:tcPr>
          <w:p w14:paraId="495C3B2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400790</w:t>
            </w:r>
          </w:p>
        </w:tc>
      </w:tr>
      <w:tr w:rsidR="00860592" w:rsidRPr="00EC0691" w14:paraId="2A7FBD2F" w14:textId="77777777" w:rsidTr="00860592">
        <w:trPr>
          <w:trHeight w:val="300"/>
        </w:trPr>
        <w:tc>
          <w:tcPr>
            <w:tcW w:w="475" w:type="dxa"/>
            <w:vMerge/>
            <w:tcBorders>
              <w:left w:val="single" w:sz="12" w:space="0" w:color="auto"/>
              <w:bottom w:val="single" w:sz="12" w:space="0" w:color="auto"/>
            </w:tcBorders>
            <w:textDirection w:val="btLr"/>
            <w:vAlign w:val="center"/>
          </w:tcPr>
          <w:p w14:paraId="69072BE5" w14:textId="77777777" w:rsidR="00860592" w:rsidRPr="00860592" w:rsidRDefault="00860592" w:rsidP="00860592">
            <w:pPr>
              <w:autoSpaceDE w:val="0"/>
              <w:autoSpaceDN w:val="0"/>
              <w:adjustRightInd w:val="0"/>
              <w:spacing w:before="0" w:after="0"/>
              <w:ind w:left="113" w:right="113"/>
              <w:jc w:val="center"/>
              <w:rPr>
                <w:rFonts w:cs="Times New Roman"/>
                <w:b/>
                <w:sz w:val="22"/>
              </w:rPr>
            </w:pPr>
          </w:p>
        </w:tc>
        <w:tc>
          <w:tcPr>
            <w:tcW w:w="659" w:type="dxa"/>
            <w:vMerge/>
            <w:tcBorders>
              <w:bottom w:val="single" w:sz="12" w:space="0" w:color="auto"/>
            </w:tcBorders>
            <w:noWrap/>
            <w:textDirection w:val="btLr"/>
            <w:vAlign w:val="center"/>
            <w:hideMark/>
          </w:tcPr>
          <w:p w14:paraId="532BD485"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single" w:sz="12" w:space="0" w:color="auto"/>
              <w:right w:val="single" w:sz="12" w:space="0" w:color="auto"/>
            </w:tcBorders>
            <w:noWrap/>
            <w:vAlign w:val="center"/>
            <w:hideMark/>
          </w:tcPr>
          <w:p w14:paraId="5384D479"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BIC</w:t>
            </w:r>
          </w:p>
        </w:tc>
        <w:tc>
          <w:tcPr>
            <w:tcW w:w="964" w:type="dxa"/>
            <w:tcBorders>
              <w:top w:val="nil"/>
              <w:left w:val="single" w:sz="12" w:space="0" w:color="auto"/>
              <w:bottom w:val="single" w:sz="12" w:space="0" w:color="auto"/>
            </w:tcBorders>
            <w:noWrap/>
            <w:vAlign w:val="center"/>
            <w:hideMark/>
          </w:tcPr>
          <w:p w14:paraId="29D7FDD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426992</w:t>
            </w:r>
          </w:p>
        </w:tc>
        <w:tc>
          <w:tcPr>
            <w:tcW w:w="964" w:type="dxa"/>
            <w:tcBorders>
              <w:top w:val="nil"/>
              <w:bottom w:val="single" w:sz="12" w:space="0" w:color="auto"/>
            </w:tcBorders>
            <w:noWrap/>
            <w:vAlign w:val="center"/>
            <w:hideMark/>
          </w:tcPr>
          <w:p w14:paraId="5E324A2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407363</w:t>
            </w:r>
          </w:p>
        </w:tc>
        <w:tc>
          <w:tcPr>
            <w:tcW w:w="964" w:type="dxa"/>
            <w:tcBorders>
              <w:top w:val="nil"/>
              <w:bottom w:val="single" w:sz="12" w:space="0" w:color="auto"/>
            </w:tcBorders>
            <w:vAlign w:val="bottom"/>
          </w:tcPr>
          <w:p w14:paraId="6F8403E5" w14:textId="0B351A2F"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402002</w:t>
            </w:r>
          </w:p>
        </w:tc>
        <w:tc>
          <w:tcPr>
            <w:tcW w:w="964" w:type="dxa"/>
            <w:tcBorders>
              <w:top w:val="nil"/>
              <w:bottom w:val="single" w:sz="12" w:space="0" w:color="auto"/>
            </w:tcBorders>
            <w:noWrap/>
            <w:vAlign w:val="center"/>
            <w:hideMark/>
          </w:tcPr>
          <w:p w14:paraId="4A533EE3" w14:textId="3138EA5F"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421120</w:t>
            </w:r>
          </w:p>
        </w:tc>
        <w:tc>
          <w:tcPr>
            <w:tcW w:w="964" w:type="dxa"/>
            <w:tcBorders>
              <w:top w:val="nil"/>
              <w:bottom w:val="single" w:sz="12" w:space="0" w:color="auto"/>
            </w:tcBorders>
            <w:noWrap/>
            <w:vAlign w:val="center"/>
            <w:hideMark/>
          </w:tcPr>
          <w:p w14:paraId="76A0754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405951</w:t>
            </w:r>
          </w:p>
        </w:tc>
        <w:tc>
          <w:tcPr>
            <w:tcW w:w="964" w:type="dxa"/>
            <w:tcBorders>
              <w:top w:val="nil"/>
              <w:bottom w:val="single" w:sz="12" w:space="0" w:color="auto"/>
            </w:tcBorders>
            <w:noWrap/>
            <w:vAlign w:val="center"/>
            <w:hideMark/>
          </w:tcPr>
          <w:p w14:paraId="04C158A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401150</w:t>
            </w:r>
          </w:p>
        </w:tc>
        <w:tc>
          <w:tcPr>
            <w:tcW w:w="964" w:type="dxa"/>
            <w:tcBorders>
              <w:top w:val="nil"/>
              <w:bottom w:val="single" w:sz="12" w:space="0" w:color="auto"/>
            </w:tcBorders>
            <w:noWrap/>
            <w:vAlign w:val="center"/>
            <w:hideMark/>
          </w:tcPr>
          <w:p w14:paraId="0872C96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421080</w:t>
            </w:r>
          </w:p>
        </w:tc>
        <w:tc>
          <w:tcPr>
            <w:tcW w:w="964" w:type="dxa"/>
            <w:tcBorders>
              <w:top w:val="nil"/>
              <w:bottom w:val="single" w:sz="12" w:space="0" w:color="auto"/>
            </w:tcBorders>
            <w:noWrap/>
            <w:vAlign w:val="center"/>
            <w:hideMark/>
          </w:tcPr>
          <w:p w14:paraId="36A41F0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404659</w:t>
            </w:r>
          </w:p>
        </w:tc>
        <w:tc>
          <w:tcPr>
            <w:tcW w:w="964" w:type="dxa"/>
            <w:tcBorders>
              <w:top w:val="nil"/>
              <w:bottom w:val="single" w:sz="12" w:space="0" w:color="auto"/>
              <w:right w:val="single" w:sz="12" w:space="0" w:color="auto"/>
            </w:tcBorders>
            <w:noWrap/>
            <w:vAlign w:val="center"/>
            <w:hideMark/>
          </w:tcPr>
          <w:p w14:paraId="5146F70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401032</w:t>
            </w:r>
          </w:p>
        </w:tc>
      </w:tr>
      <w:tr w:rsidR="00860592" w:rsidRPr="00EC0691" w14:paraId="2DAF9611" w14:textId="77777777" w:rsidTr="00860592">
        <w:trPr>
          <w:trHeight w:val="300"/>
        </w:trPr>
        <w:tc>
          <w:tcPr>
            <w:tcW w:w="475" w:type="dxa"/>
            <w:vMerge w:val="restart"/>
            <w:tcBorders>
              <w:top w:val="single" w:sz="12" w:space="0" w:color="auto"/>
              <w:left w:val="single" w:sz="12" w:space="0" w:color="auto"/>
            </w:tcBorders>
            <w:textDirection w:val="btLr"/>
            <w:vAlign w:val="center"/>
          </w:tcPr>
          <w:p w14:paraId="01896E4C" w14:textId="77777777" w:rsidR="00860592" w:rsidRPr="00860592" w:rsidRDefault="00860592" w:rsidP="00860592">
            <w:pPr>
              <w:autoSpaceDE w:val="0"/>
              <w:autoSpaceDN w:val="0"/>
              <w:adjustRightInd w:val="0"/>
              <w:spacing w:before="0" w:after="0"/>
              <w:ind w:left="113" w:right="113"/>
              <w:jc w:val="center"/>
              <w:rPr>
                <w:rFonts w:cs="Times New Roman"/>
                <w:b/>
                <w:sz w:val="22"/>
              </w:rPr>
            </w:pPr>
            <w:r w:rsidRPr="00860592">
              <w:rPr>
                <w:rFonts w:cs="Times New Roman"/>
                <w:b/>
                <w:sz w:val="22"/>
              </w:rPr>
              <w:t>Departures</w:t>
            </w:r>
          </w:p>
        </w:tc>
        <w:tc>
          <w:tcPr>
            <w:tcW w:w="659" w:type="dxa"/>
            <w:vMerge w:val="restart"/>
            <w:tcBorders>
              <w:top w:val="single" w:sz="12" w:space="0" w:color="auto"/>
            </w:tcBorders>
            <w:noWrap/>
            <w:textDirection w:val="btLr"/>
            <w:vAlign w:val="center"/>
            <w:hideMark/>
          </w:tcPr>
          <w:p w14:paraId="10591242"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Member</w:t>
            </w:r>
            <w:r>
              <w:rPr>
                <w:rFonts w:cs="Times New Roman"/>
                <w:sz w:val="22"/>
              </w:rPr>
              <w:t>s</w:t>
            </w:r>
          </w:p>
        </w:tc>
        <w:tc>
          <w:tcPr>
            <w:tcW w:w="2268" w:type="dxa"/>
            <w:tcBorders>
              <w:top w:val="single" w:sz="12" w:space="0" w:color="auto"/>
              <w:bottom w:val="nil"/>
              <w:right w:val="single" w:sz="12" w:space="0" w:color="auto"/>
            </w:tcBorders>
            <w:noWrap/>
            <w:vAlign w:val="center"/>
            <w:hideMark/>
          </w:tcPr>
          <w:p w14:paraId="441E2DBE"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 Parameter</w:t>
            </w:r>
          </w:p>
        </w:tc>
        <w:tc>
          <w:tcPr>
            <w:tcW w:w="964" w:type="dxa"/>
            <w:tcBorders>
              <w:top w:val="single" w:sz="12" w:space="0" w:color="auto"/>
              <w:left w:val="single" w:sz="12" w:space="0" w:color="auto"/>
              <w:bottom w:val="nil"/>
            </w:tcBorders>
            <w:noWrap/>
            <w:vAlign w:val="center"/>
            <w:hideMark/>
          </w:tcPr>
          <w:p w14:paraId="54CDA71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19</w:t>
            </w:r>
          </w:p>
        </w:tc>
        <w:tc>
          <w:tcPr>
            <w:tcW w:w="964" w:type="dxa"/>
            <w:tcBorders>
              <w:top w:val="single" w:sz="12" w:space="0" w:color="auto"/>
              <w:bottom w:val="nil"/>
            </w:tcBorders>
            <w:noWrap/>
            <w:vAlign w:val="center"/>
            <w:hideMark/>
          </w:tcPr>
          <w:p w14:paraId="7090872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w:t>
            </w:r>
          </w:p>
        </w:tc>
        <w:tc>
          <w:tcPr>
            <w:tcW w:w="964" w:type="dxa"/>
            <w:tcBorders>
              <w:top w:val="single" w:sz="12" w:space="0" w:color="auto"/>
              <w:bottom w:val="nil"/>
            </w:tcBorders>
            <w:vAlign w:val="bottom"/>
          </w:tcPr>
          <w:p w14:paraId="3E953176" w14:textId="0F3A21DE"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21</w:t>
            </w:r>
          </w:p>
        </w:tc>
        <w:tc>
          <w:tcPr>
            <w:tcW w:w="964" w:type="dxa"/>
            <w:tcBorders>
              <w:top w:val="single" w:sz="12" w:space="0" w:color="auto"/>
              <w:bottom w:val="nil"/>
            </w:tcBorders>
            <w:noWrap/>
            <w:vAlign w:val="center"/>
            <w:hideMark/>
          </w:tcPr>
          <w:p w14:paraId="739CF266" w14:textId="369649AD"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w:t>
            </w:r>
          </w:p>
        </w:tc>
        <w:tc>
          <w:tcPr>
            <w:tcW w:w="964" w:type="dxa"/>
            <w:tcBorders>
              <w:top w:val="single" w:sz="12" w:space="0" w:color="auto"/>
              <w:bottom w:val="nil"/>
            </w:tcBorders>
            <w:noWrap/>
            <w:vAlign w:val="center"/>
            <w:hideMark/>
          </w:tcPr>
          <w:p w14:paraId="670C252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22</w:t>
            </w:r>
          </w:p>
        </w:tc>
        <w:tc>
          <w:tcPr>
            <w:tcW w:w="964" w:type="dxa"/>
            <w:tcBorders>
              <w:top w:val="single" w:sz="12" w:space="0" w:color="auto"/>
              <w:bottom w:val="nil"/>
            </w:tcBorders>
            <w:noWrap/>
            <w:vAlign w:val="center"/>
            <w:hideMark/>
          </w:tcPr>
          <w:p w14:paraId="57FAD50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w:t>
            </w:r>
          </w:p>
        </w:tc>
        <w:tc>
          <w:tcPr>
            <w:tcW w:w="964" w:type="dxa"/>
            <w:tcBorders>
              <w:top w:val="single" w:sz="12" w:space="0" w:color="auto"/>
              <w:bottom w:val="nil"/>
            </w:tcBorders>
            <w:noWrap/>
            <w:vAlign w:val="center"/>
            <w:hideMark/>
          </w:tcPr>
          <w:p w14:paraId="4CCBA21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18</w:t>
            </w:r>
          </w:p>
        </w:tc>
        <w:tc>
          <w:tcPr>
            <w:tcW w:w="964" w:type="dxa"/>
            <w:tcBorders>
              <w:top w:val="single" w:sz="12" w:space="0" w:color="auto"/>
              <w:bottom w:val="nil"/>
            </w:tcBorders>
            <w:noWrap/>
            <w:vAlign w:val="center"/>
            <w:hideMark/>
          </w:tcPr>
          <w:p w14:paraId="3B174FA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w:t>
            </w:r>
          </w:p>
        </w:tc>
        <w:tc>
          <w:tcPr>
            <w:tcW w:w="964" w:type="dxa"/>
            <w:tcBorders>
              <w:top w:val="single" w:sz="12" w:space="0" w:color="auto"/>
              <w:bottom w:val="nil"/>
              <w:right w:val="single" w:sz="12" w:space="0" w:color="auto"/>
            </w:tcBorders>
            <w:noWrap/>
            <w:vAlign w:val="center"/>
            <w:hideMark/>
          </w:tcPr>
          <w:p w14:paraId="0857DC6A"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22</w:t>
            </w:r>
          </w:p>
        </w:tc>
      </w:tr>
      <w:tr w:rsidR="00860592" w:rsidRPr="00EC0691" w14:paraId="25638FF8" w14:textId="77777777" w:rsidTr="00860592">
        <w:trPr>
          <w:trHeight w:val="300"/>
        </w:trPr>
        <w:tc>
          <w:tcPr>
            <w:tcW w:w="475" w:type="dxa"/>
            <w:vMerge/>
            <w:tcBorders>
              <w:left w:val="single" w:sz="12" w:space="0" w:color="auto"/>
            </w:tcBorders>
            <w:textDirection w:val="btLr"/>
          </w:tcPr>
          <w:p w14:paraId="441CCF8F"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noWrap/>
            <w:textDirection w:val="btLr"/>
            <w:vAlign w:val="center"/>
            <w:hideMark/>
          </w:tcPr>
          <w:p w14:paraId="2053826F"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3EBF9BDD"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LL</w:t>
            </w:r>
          </w:p>
        </w:tc>
        <w:tc>
          <w:tcPr>
            <w:tcW w:w="964" w:type="dxa"/>
            <w:tcBorders>
              <w:top w:val="nil"/>
              <w:left w:val="single" w:sz="12" w:space="0" w:color="auto"/>
              <w:bottom w:val="nil"/>
            </w:tcBorders>
            <w:noWrap/>
            <w:vAlign w:val="center"/>
            <w:hideMark/>
          </w:tcPr>
          <w:p w14:paraId="57CB485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-289752</w:t>
            </w:r>
          </w:p>
        </w:tc>
        <w:tc>
          <w:tcPr>
            <w:tcW w:w="964" w:type="dxa"/>
            <w:tcBorders>
              <w:top w:val="nil"/>
              <w:bottom w:val="nil"/>
            </w:tcBorders>
            <w:noWrap/>
            <w:vAlign w:val="center"/>
            <w:hideMark/>
          </w:tcPr>
          <w:p w14:paraId="2CA2663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-250568</w:t>
            </w:r>
          </w:p>
        </w:tc>
        <w:tc>
          <w:tcPr>
            <w:tcW w:w="964" w:type="dxa"/>
            <w:tcBorders>
              <w:top w:val="nil"/>
              <w:bottom w:val="nil"/>
            </w:tcBorders>
            <w:vAlign w:val="bottom"/>
          </w:tcPr>
          <w:p w14:paraId="55F92454" w14:textId="4431FC3E"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-245586</w:t>
            </w:r>
          </w:p>
        </w:tc>
        <w:tc>
          <w:tcPr>
            <w:tcW w:w="964" w:type="dxa"/>
            <w:tcBorders>
              <w:top w:val="nil"/>
              <w:bottom w:val="nil"/>
            </w:tcBorders>
            <w:noWrap/>
            <w:vAlign w:val="center"/>
            <w:hideMark/>
          </w:tcPr>
          <w:p w14:paraId="6D38A33F" w14:textId="7C975DDF"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-271474</w:t>
            </w:r>
          </w:p>
        </w:tc>
        <w:tc>
          <w:tcPr>
            <w:tcW w:w="964" w:type="dxa"/>
            <w:tcBorders>
              <w:top w:val="nil"/>
              <w:bottom w:val="nil"/>
            </w:tcBorders>
            <w:noWrap/>
            <w:vAlign w:val="center"/>
            <w:hideMark/>
          </w:tcPr>
          <w:p w14:paraId="30DBA27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-247943</w:t>
            </w:r>
          </w:p>
        </w:tc>
        <w:tc>
          <w:tcPr>
            <w:tcW w:w="964" w:type="dxa"/>
            <w:tcBorders>
              <w:top w:val="nil"/>
              <w:bottom w:val="nil"/>
            </w:tcBorders>
            <w:noWrap/>
            <w:vAlign w:val="center"/>
            <w:hideMark/>
          </w:tcPr>
          <w:p w14:paraId="74F4B5B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-243498</w:t>
            </w:r>
          </w:p>
        </w:tc>
        <w:tc>
          <w:tcPr>
            <w:tcW w:w="964" w:type="dxa"/>
            <w:tcBorders>
              <w:top w:val="nil"/>
              <w:bottom w:val="nil"/>
            </w:tcBorders>
            <w:noWrap/>
            <w:vAlign w:val="center"/>
            <w:hideMark/>
          </w:tcPr>
          <w:p w14:paraId="6AEC7C2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-271026</w:t>
            </w:r>
          </w:p>
        </w:tc>
        <w:tc>
          <w:tcPr>
            <w:tcW w:w="964" w:type="dxa"/>
            <w:tcBorders>
              <w:top w:val="nil"/>
              <w:bottom w:val="nil"/>
            </w:tcBorders>
            <w:noWrap/>
            <w:vAlign w:val="center"/>
            <w:hideMark/>
          </w:tcPr>
          <w:p w14:paraId="0D62FCF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-244941</w:t>
            </w:r>
          </w:p>
        </w:tc>
        <w:tc>
          <w:tcPr>
            <w:tcW w:w="964" w:type="dxa"/>
            <w:tcBorders>
              <w:top w:val="nil"/>
              <w:bottom w:val="nil"/>
              <w:right w:val="single" w:sz="12" w:space="0" w:color="auto"/>
            </w:tcBorders>
            <w:noWrap/>
            <w:vAlign w:val="center"/>
            <w:hideMark/>
          </w:tcPr>
          <w:p w14:paraId="2990719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-243381</w:t>
            </w:r>
          </w:p>
        </w:tc>
      </w:tr>
      <w:tr w:rsidR="00860592" w:rsidRPr="00EC0691" w14:paraId="3B4D4C56" w14:textId="77777777" w:rsidTr="00860592">
        <w:trPr>
          <w:trHeight w:val="300"/>
        </w:trPr>
        <w:tc>
          <w:tcPr>
            <w:tcW w:w="475" w:type="dxa"/>
            <w:vMerge/>
            <w:tcBorders>
              <w:left w:val="single" w:sz="12" w:space="0" w:color="auto"/>
            </w:tcBorders>
            <w:textDirection w:val="btLr"/>
          </w:tcPr>
          <w:p w14:paraId="7796E133"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noWrap/>
            <w:textDirection w:val="btLr"/>
            <w:vAlign w:val="center"/>
            <w:hideMark/>
          </w:tcPr>
          <w:p w14:paraId="724A65FF"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2B37ED3C"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AIC</w:t>
            </w:r>
          </w:p>
        </w:tc>
        <w:tc>
          <w:tcPr>
            <w:tcW w:w="964" w:type="dxa"/>
            <w:tcBorders>
              <w:top w:val="nil"/>
              <w:left w:val="single" w:sz="12" w:space="0" w:color="auto"/>
              <w:bottom w:val="nil"/>
            </w:tcBorders>
            <w:noWrap/>
            <w:vAlign w:val="center"/>
            <w:hideMark/>
          </w:tcPr>
          <w:p w14:paraId="1B94EB8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579541</w:t>
            </w:r>
          </w:p>
        </w:tc>
        <w:tc>
          <w:tcPr>
            <w:tcW w:w="964" w:type="dxa"/>
            <w:tcBorders>
              <w:top w:val="nil"/>
              <w:bottom w:val="nil"/>
            </w:tcBorders>
            <w:noWrap/>
            <w:vAlign w:val="center"/>
            <w:hideMark/>
          </w:tcPr>
          <w:p w14:paraId="3B1CF7A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501179</w:t>
            </w:r>
          </w:p>
        </w:tc>
        <w:tc>
          <w:tcPr>
            <w:tcW w:w="964" w:type="dxa"/>
            <w:tcBorders>
              <w:top w:val="nil"/>
              <w:bottom w:val="nil"/>
            </w:tcBorders>
            <w:vAlign w:val="bottom"/>
          </w:tcPr>
          <w:p w14:paraId="07C7561C" w14:textId="4CA6B203"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491214</w:t>
            </w:r>
          </w:p>
        </w:tc>
        <w:tc>
          <w:tcPr>
            <w:tcW w:w="964" w:type="dxa"/>
            <w:tcBorders>
              <w:top w:val="nil"/>
              <w:bottom w:val="nil"/>
            </w:tcBorders>
            <w:noWrap/>
            <w:vAlign w:val="center"/>
            <w:hideMark/>
          </w:tcPr>
          <w:p w14:paraId="6156B34A" w14:textId="51F38F25"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542988</w:t>
            </w:r>
          </w:p>
        </w:tc>
        <w:tc>
          <w:tcPr>
            <w:tcW w:w="964" w:type="dxa"/>
            <w:tcBorders>
              <w:top w:val="nil"/>
              <w:bottom w:val="nil"/>
            </w:tcBorders>
            <w:noWrap/>
            <w:vAlign w:val="center"/>
            <w:hideMark/>
          </w:tcPr>
          <w:p w14:paraId="5628F8F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495930</w:t>
            </w:r>
          </w:p>
        </w:tc>
        <w:tc>
          <w:tcPr>
            <w:tcW w:w="964" w:type="dxa"/>
            <w:tcBorders>
              <w:top w:val="nil"/>
              <w:bottom w:val="nil"/>
            </w:tcBorders>
            <w:noWrap/>
            <w:vAlign w:val="center"/>
            <w:hideMark/>
          </w:tcPr>
          <w:p w14:paraId="7CE523A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487038</w:t>
            </w:r>
          </w:p>
        </w:tc>
        <w:tc>
          <w:tcPr>
            <w:tcW w:w="964" w:type="dxa"/>
            <w:tcBorders>
              <w:top w:val="nil"/>
              <w:bottom w:val="nil"/>
            </w:tcBorders>
            <w:noWrap/>
            <w:vAlign w:val="center"/>
            <w:hideMark/>
          </w:tcPr>
          <w:p w14:paraId="7D96AA4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542088</w:t>
            </w:r>
          </w:p>
        </w:tc>
        <w:tc>
          <w:tcPr>
            <w:tcW w:w="964" w:type="dxa"/>
            <w:tcBorders>
              <w:top w:val="nil"/>
              <w:bottom w:val="nil"/>
            </w:tcBorders>
            <w:noWrap/>
            <w:vAlign w:val="center"/>
            <w:hideMark/>
          </w:tcPr>
          <w:p w14:paraId="180EEDD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489922</w:t>
            </w:r>
          </w:p>
        </w:tc>
        <w:tc>
          <w:tcPr>
            <w:tcW w:w="964" w:type="dxa"/>
            <w:tcBorders>
              <w:top w:val="nil"/>
              <w:bottom w:val="nil"/>
              <w:right w:val="single" w:sz="12" w:space="0" w:color="auto"/>
            </w:tcBorders>
            <w:noWrap/>
            <w:vAlign w:val="center"/>
            <w:hideMark/>
          </w:tcPr>
          <w:p w14:paraId="0FC608D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486806</w:t>
            </w:r>
          </w:p>
        </w:tc>
      </w:tr>
      <w:tr w:rsidR="00860592" w:rsidRPr="00EC0691" w14:paraId="74576054" w14:textId="77777777" w:rsidTr="00860592">
        <w:trPr>
          <w:trHeight w:val="300"/>
        </w:trPr>
        <w:tc>
          <w:tcPr>
            <w:tcW w:w="475" w:type="dxa"/>
            <w:vMerge/>
            <w:tcBorders>
              <w:left w:val="single" w:sz="12" w:space="0" w:color="auto"/>
            </w:tcBorders>
            <w:textDirection w:val="btLr"/>
          </w:tcPr>
          <w:p w14:paraId="1F76563C"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noWrap/>
            <w:textDirection w:val="btLr"/>
            <w:vAlign w:val="center"/>
            <w:hideMark/>
          </w:tcPr>
          <w:p w14:paraId="19D71138"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single" w:sz="4" w:space="0" w:color="auto"/>
              <w:right w:val="single" w:sz="12" w:space="0" w:color="auto"/>
            </w:tcBorders>
            <w:noWrap/>
            <w:vAlign w:val="center"/>
            <w:hideMark/>
          </w:tcPr>
          <w:p w14:paraId="6ABC4784"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BIC</w:t>
            </w:r>
          </w:p>
        </w:tc>
        <w:tc>
          <w:tcPr>
            <w:tcW w:w="964" w:type="dxa"/>
            <w:tcBorders>
              <w:top w:val="nil"/>
              <w:left w:val="single" w:sz="12" w:space="0" w:color="auto"/>
              <w:bottom w:val="single" w:sz="4" w:space="0" w:color="auto"/>
            </w:tcBorders>
            <w:noWrap/>
            <w:vAlign w:val="center"/>
            <w:hideMark/>
          </w:tcPr>
          <w:p w14:paraId="5410794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579741</w:t>
            </w:r>
          </w:p>
        </w:tc>
        <w:tc>
          <w:tcPr>
            <w:tcW w:w="964" w:type="dxa"/>
            <w:tcBorders>
              <w:top w:val="nil"/>
              <w:bottom w:val="single" w:sz="4" w:space="0" w:color="auto"/>
            </w:tcBorders>
            <w:noWrap/>
            <w:vAlign w:val="center"/>
            <w:hideMark/>
          </w:tcPr>
          <w:p w14:paraId="170A83D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501400</w:t>
            </w:r>
          </w:p>
        </w:tc>
        <w:tc>
          <w:tcPr>
            <w:tcW w:w="964" w:type="dxa"/>
            <w:tcBorders>
              <w:top w:val="nil"/>
              <w:bottom w:val="single" w:sz="4" w:space="0" w:color="auto"/>
            </w:tcBorders>
            <w:vAlign w:val="bottom"/>
          </w:tcPr>
          <w:p w14:paraId="65440693" w14:textId="3207EE9D"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491435</w:t>
            </w:r>
          </w:p>
        </w:tc>
        <w:tc>
          <w:tcPr>
            <w:tcW w:w="964" w:type="dxa"/>
            <w:tcBorders>
              <w:top w:val="nil"/>
              <w:bottom w:val="single" w:sz="4" w:space="0" w:color="auto"/>
            </w:tcBorders>
            <w:noWrap/>
            <w:vAlign w:val="center"/>
            <w:hideMark/>
          </w:tcPr>
          <w:p w14:paraId="096FEB01" w14:textId="053F3795"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543198</w:t>
            </w:r>
          </w:p>
        </w:tc>
        <w:tc>
          <w:tcPr>
            <w:tcW w:w="964" w:type="dxa"/>
            <w:tcBorders>
              <w:top w:val="nil"/>
              <w:bottom w:val="single" w:sz="4" w:space="0" w:color="auto"/>
            </w:tcBorders>
            <w:noWrap/>
            <w:vAlign w:val="center"/>
            <w:hideMark/>
          </w:tcPr>
          <w:p w14:paraId="2597456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496161</w:t>
            </w:r>
          </w:p>
        </w:tc>
        <w:tc>
          <w:tcPr>
            <w:tcW w:w="964" w:type="dxa"/>
            <w:tcBorders>
              <w:top w:val="nil"/>
              <w:bottom w:val="single" w:sz="4" w:space="0" w:color="auto"/>
            </w:tcBorders>
            <w:noWrap/>
            <w:vAlign w:val="center"/>
            <w:hideMark/>
          </w:tcPr>
          <w:p w14:paraId="374F4C0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487259</w:t>
            </w:r>
          </w:p>
        </w:tc>
        <w:tc>
          <w:tcPr>
            <w:tcW w:w="964" w:type="dxa"/>
            <w:tcBorders>
              <w:top w:val="nil"/>
              <w:bottom w:val="single" w:sz="4" w:space="0" w:color="auto"/>
            </w:tcBorders>
            <w:noWrap/>
            <w:vAlign w:val="center"/>
            <w:hideMark/>
          </w:tcPr>
          <w:p w14:paraId="7825665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542277</w:t>
            </w:r>
          </w:p>
        </w:tc>
        <w:tc>
          <w:tcPr>
            <w:tcW w:w="964" w:type="dxa"/>
            <w:tcBorders>
              <w:top w:val="nil"/>
              <w:bottom w:val="single" w:sz="4" w:space="0" w:color="auto"/>
            </w:tcBorders>
            <w:noWrap/>
            <w:vAlign w:val="center"/>
            <w:hideMark/>
          </w:tcPr>
          <w:p w14:paraId="4DD2F1D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490133</w:t>
            </w:r>
          </w:p>
        </w:tc>
        <w:tc>
          <w:tcPr>
            <w:tcW w:w="964" w:type="dxa"/>
            <w:tcBorders>
              <w:top w:val="nil"/>
              <w:bottom w:val="single" w:sz="4" w:space="0" w:color="auto"/>
              <w:right w:val="single" w:sz="12" w:space="0" w:color="auto"/>
            </w:tcBorders>
            <w:noWrap/>
            <w:vAlign w:val="center"/>
            <w:hideMark/>
          </w:tcPr>
          <w:p w14:paraId="30958D38"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487038</w:t>
            </w:r>
          </w:p>
        </w:tc>
      </w:tr>
      <w:tr w:rsidR="00860592" w:rsidRPr="00EC0691" w14:paraId="299CBCDD" w14:textId="77777777" w:rsidTr="00860592">
        <w:trPr>
          <w:trHeight w:val="300"/>
        </w:trPr>
        <w:tc>
          <w:tcPr>
            <w:tcW w:w="475" w:type="dxa"/>
            <w:vMerge/>
            <w:tcBorders>
              <w:left w:val="single" w:sz="12" w:space="0" w:color="auto"/>
            </w:tcBorders>
            <w:textDirection w:val="btLr"/>
          </w:tcPr>
          <w:p w14:paraId="57175F30" w14:textId="77777777" w:rsidR="00860592" w:rsidRPr="00EC0691" w:rsidRDefault="00860592" w:rsidP="00860592">
            <w:pPr>
              <w:autoSpaceDE w:val="0"/>
              <w:autoSpaceDN w:val="0"/>
              <w:adjustRightInd w:val="0"/>
              <w:spacing w:before="0" w:after="0"/>
              <w:ind w:left="113" w:right="113"/>
              <w:jc w:val="center"/>
              <w:rPr>
                <w:rFonts w:cs="Times New Roman"/>
                <w:sz w:val="22"/>
              </w:rPr>
            </w:pPr>
          </w:p>
        </w:tc>
        <w:tc>
          <w:tcPr>
            <w:tcW w:w="659" w:type="dxa"/>
            <w:vMerge w:val="restart"/>
            <w:noWrap/>
            <w:textDirection w:val="btLr"/>
            <w:vAlign w:val="center"/>
            <w:hideMark/>
          </w:tcPr>
          <w:p w14:paraId="36ABAB33" w14:textId="77777777" w:rsidR="00860592" w:rsidRPr="00EC0691" w:rsidRDefault="00860592" w:rsidP="00860592">
            <w:pPr>
              <w:autoSpaceDE w:val="0"/>
              <w:autoSpaceDN w:val="0"/>
              <w:adjustRightInd w:val="0"/>
              <w:spacing w:before="0" w:after="0"/>
              <w:jc w:val="center"/>
              <w:rPr>
                <w:rFonts w:cs="Times New Roman"/>
                <w:sz w:val="22"/>
              </w:rPr>
            </w:pPr>
            <w:r>
              <w:rPr>
                <w:rFonts w:cs="Times New Roman"/>
                <w:sz w:val="22"/>
              </w:rPr>
              <w:t xml:space="preserve">Daily </w:t>
            </w:r>
            <w:r w:rsidRPr="00EC0691">
              <w:rPr>
                <w:rFonts w:cs="Times New Roman"/>
                <w:sz w:val="22"/>
              </w:rPr>
              <w:t>Customer</w:t>
            </w:r>
          </w:p>
        </w:tc>
        <w:tc>
          <w:tcPr>
            <w:tcW w:w="2268" w:type="dxa"/>
            <w:tcBorders>
              <w:bottom w:val="nil"/>
              <w:right w:val="single" w:sz="12" w:space="0" w:color="auto"/>
            </w:tcBorders>
            <w:noWrap/>
            <w:vAlign w:val="center"/>
            <w:hideMark/>
          </w:tcPr>
          <w:p w14:paraId="72D3998B"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 Parameter</w:t>
            </w:r>
          </w:p>
        </w:tc>
        <w:tc>
          <w:tcPr>
            <w:tcW w:w="964" w:type="dxa"/>
            <w:tcBorders>
              <w:left w:val="single" w:sz="12" w:space="0" w:color="auto"/>
              <w:bottom w:val="nil"/>
            </w:tcBorders>
            <w:noWrap/>
            <w:vAlign w:val="center"/>
            <w:hideMark/>
          </w:tcPr>
          <w:p w14:paraId="3AB6576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13</w:t>
            </w:r>
          </w:p>
        </w:tc>
        <w:tc>
          <w:tcPr>
            <w:tcW w:w="964" w:type="dxa"/>
            <w:tcBorders>
              <w:bottom w:val="nil"/>
            </w:tcBorders>
            <w:noWrap/>
            <w:vAlign w:val="center"/>
            <w:hideMark/>
          </w:tcPr>
          <w:p w14:paraId="0044695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15</w:t>
            </w:r>
          </w:p>
        </w:tc>
        <w:tc>
          <w:tcPr>
            <w:tcW w:w="964" w:type="dxa"/>
            <w:tcBorders>
              <w:bottom w:val="nil"/>
            </w:tcBorders>
            <w:vAlign w:val="bottom"/>
          </w:tcPr>
          <w:p w14:paraId="5B5FF3C7" w14:textId="7559C87C"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20</w:t>
            </w:r>
          </w:p>
        </w:tc>
        <w:tc>
          <w:tcPr>
            <w:tcW w:w="964" w:type="dxa"/>
            <w:tcBorders>
              <w:bottom w:val="nil"/>
            </w:tcBorders>
            <w:noWrap/>
            <w:vAlign w:val="center"/>
            <w:hideMark/>
          </w:tcPr>
          <w:p w14:paraId="5B89A3F7" w14:textId="7DBD1F1F"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14</w:t>
            </w:r>
          </w:p>
        </w:tc>
        <w:tc>
          <w:tcPr>
            <w:tcW w:w="964" w:type="dxa"/>
            <w:tcBorders>
              <w:bottom w:val="nil"/>
            </w:tcBorders>
            <w:noWrap/>
            <w:vAlign w:val="center"/>
            <w:hideMark/>
          </w:tcPr>
          <w:p w14:paraId="4A641C8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16</w:t>
            </w:r>
          </w:p>
        </w:tc>
        <w:tc>
          <w:tcPr>
            <w:tcW w:w="964" w:type="dxa"/>
            <w:tcBorders>
              <w:bottom w:val="nil"/>
            </w:tcBorders>
            <w:noWrap/>
            <w:vAlign w:val="center"/>
            <w:hideMark/>
          </w:tcPr>
          <w:p w14:paraId="7DA6B76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16</w:t>
            </w:r>
          </w:p>
        </w:tc>
        <w:tc>
          <w:tcPr>
            <w:tcW w:w="964" w:type="dxa"/>
            <w:tcBorders>
              <w:bottom w:val="nil"/>
            </w:tcBorders>
            <w:noWrap/>
            <w:vAlign w:val="center"/>
            <w:hideMark/>
          </w:tcPr>
          <w:p w14:paraId="7FD63D15"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17</w:t>
            </w:r>
          </w:p>
        </w:tc>
        <w:tc>
          <w:tcPr>
            <w:tcW w:w="964" w:type="dxa"/>
            <w:tcBorders>
              <w:bottom w:val="nil"/>
            </w:tcBorders>
            <w:noWrap/>
            <w:vAlign w:val="center"/>
            <w:hideMark/>
          </w:tcPr>
          <w:p w14:paraId="58F25307"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19</w:t>
            </w:r>
          </w:p>
        </w:tc>
        <w:tc>
          <w:tcPr>
            <w:tcW w:w="964" w:type="dxa"/>
            <w:tcBorders>
              <w:bottom w:val="nil"/>
              <w:right w:val="single" w:sz="12" w:space="0" w:color="auto"/>
            </w:tcBorders>
            <w:noWrap/>
            <w:vAlign w:val="center"/>
            <w:hideMark/>
          </w:tcPr>
          <w:p w14:paraId="63680BE2"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w:t>
            </w:r>
          </w:p>
        </w:tc>
      </w:tr>
      <w:tr w:rsidR="00860592" w:rsidRPr="00EC0691" w14:paraId="043F0B8B" w14:textId="77777777" w:rsidTr="00860592">
        <w:trPr>
          <w:trHeight w:val="300"/>
        </w:trPr>
        <w:tc>
          <w:tcPr>
            <w:tcW w:w="475" w:type="dxa"/>
            <w:vMerge/>
            <w:tcBorders>
              <w:left w:val="single" w:sz="12" w:space="0" w:color="auto"/>
            </w:tcBorders>
          </w:tcPr>
          <w:p w14:paraId="7D062301" w14:textId="77777777" w:rsidR="00860592" w:rsidRPr="00EC0691" w:rsidRDefault="00860592" w:rsidP="00860592">
            <w:pPr>
              <w:autoSpaceDE w:val="0"/>
              <w:autoSpaceDN w:val="0"/>
              <w:adjustRightInd w:val="0"/>
              <w:spacing w:before="0" w:after="0"/>
              <w:jc w:val="center"/>
              <w:rPr>
                <w:rFonts w:cs="Times New Roman"/>
                <w:sz w:val="22"/>
              </w:rPr>
            </w:pPr>
          </w:p>
        </w:tc>
        <w:tc>
          <w:tcPr>
            <w:tcW w:w="659" w:type="dxa"/>
            <w:vMerge/>
            <w:noWrap/>
            <w:vAlign w:val="center"/>
            <w:hideMark/>
          </w:tcPr>
          <w:p w14:paraId="6F79CA75"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2E58D654"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LL</w:t>
            </w:r>
          </w:p>
        </w:tc>
        <w:tc>
          <w:tcPr>
            <w:tcW w:w="964" w:type="dxa"/>
            <w:tcBorders>
              <w:top w:val="nil"/>
              <w:left w:val="single" w:sz="12" w:space="0" w:color="auto"/>
              <w:bottom w:val="nil"/>
            </w:tcBorders>
            <w:noWrap/>
            <w:vAlign w:val="center"/>
            <w:hideMark/>
          </w:tcPr>
          <w:p w14:paraId="212316AE"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-217584</w:t>
            </w:r>
          </w:p>
        </w:tc>
        <w:tc>
          <w:tcPr>
            <w:tcW w:w="964" w:type="dxa"/>
            <w:tcBorders>
              <w:top w:val="nil"/>
              <w:bottom w:val="nil"/>
            </w:tcBorders>
            <w:noWrap/>
            <w:vAlign w:val="center"/>
            <w:hideMark/>
          </w:tcPr>
          <w:p w14:paraId="5A29D399"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-205929</w:t>
            </w:r>
          </w:p>
        </w:tc>
        <w:tc>
          <w:tcPr>
            <w:tcW w:w="964" w:type="dxa"/>
            <w:tcBorders>
              <w:top w:val="nil"/>
              <w:bottom w:val="nil"/>
            </w:tcBorders>
            <w:vAlign w:val="bottom"/>
          </w:tcPr>
          <w:p w14:paraId="3219228A" w14:textId="106D39E1"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-204019</w:t>
            </w:r>
          </w:p>
        </w:tc>
        <w:tc>
          <w:tcPr>
            <w:tcW w:w="964" w:type="dxa"/>
            <w:tcBorders>
              <w:top w:val="nil"/>
              <w:bottom w:val="nil"/>
            </w:tcBorders>
            <w:noWrap/>
            <w:vAlign w:val="center"/>
            <w:hideMark/>
          </w:tcPr>
          <w:p w14:paraId="11A76BE0" w14:textId="0B17FB8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-215288</w:t>
            </w:r>
          </w:p>
        </w:tc>
        <w:tc>
          <w:tcPr>
            <w:tcW w:w="964" w:type="dxa"/>
            <w:tcBorders>
              <w:top w:val="nil"/>
              <w:bottom w:val="nil"/>
            </w:tcBorders>
            <w:noWrap/>
            <w:vAlign w:val="center"/>
            <w:hideMark/>
          </w:tcPr>
          <w:p w14:paraId="5EE23B4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-205425</w:t>
            </w:r>
          </w:p>
        </w:tc>
        <w:tc>
          <w:tcPr>
            <w:tcW w:w="964" w:type="dxa"/>
            <w:tcBorders>
              <w:top w:val="nil"/>
              <w:bottom w:val="nil"/>
            </w:tcBorders>
            <w:noWrap/>
            <w:vAlign w:val="center"/>
            <w:hideMark/>
          </w:tcPr>
          <w:p w14:paraId="2809EB6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-203723</w:t>
            </w:r>
          </w:p>
        </w:tc>
        <w:tc>
          <w:tcPr>
            <w:tcW w:w="964" w:type="dxa"/>
            <w:tcBorders>
              <w:top w:val="nil"/>
              <w:bottom w:val="nil"/>
            </w:tcBorders>
            <w:noWrap/>
            <w:vAlign w:val="center"/>
            <w:hideMark/>
          </w:tcPr>
          <w:p w14:paraId="1F981CD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-215217</w:t>
            </w:r>
          </w:p>
        </w:tc>
        <w:tc>
          <w:tcPr>
            <w:tcW w:w="964" w:type="dxa"/>
            <w:tcBorders>
              <w:top w:val="nil"/>
              <w:bottom w:val="nil"/>
            </w:tcBorders>
            <w:noWrap/>
            <w:vAlign w:val="center"/>
            <w:hideMark/>
          </w:tcPr>
          <w:p w14:paraId="29964E5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-204908</w:t>
            </w:r>
          </w:p>
        </w:tc>
        <w:tc>
          <w:tcPr>
            <w:tcW w:w="964" w:type="dxa"/>
            <w:tcBorders>
              <w:top w:val="nil"/>
              <w:bottom w:val="nil"/>
              <w:right w:val="single" w:sz="12" w:space="0" w:color="auto"/>
            </w:tcBorders>
            <w:noWrap/>
            <w:vAlign w:val="center"/>
            <w:hideMark/>
          </w:tcPr>
          <w:p w14:paraId="06479C2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-203656</w:t>
            </w:r>
          </w:p>
        </w:tc>
      </w:tr>
      <w:tr w:rsidR="00860592" w:rsidRPr="00EC0691" w14:paraId="22A6349E" w14:textId="77777777" w:rsidTr="00860592">
        <w:trPr>
          <w:trHeight w:val="300"/>
        </w:trPr>
        <w:tc>
          <w:tcPr>
            <w:tcW w:w="475" w:type="dxa"/>
            <w:vMerge/>
            <w:tcBorders>
              <w:left w:val="single" w:sz="12" w:space="0" w:color="auto"/>
            </w:tcBorders>
          </w:tcPr>
          <w:p w14:paraId="01AA98E2" w14:textId="77777777" w:rsidR="00860592" w:rsidRPr="00EC0691" w:rsidRDefault="00860592" w:rsidP="00860592">
            <w:pPr>
              <w:autoSpaceDE w:val="0"/>
              <w:autoSpaceDN w:val="0"/>
              <w:adjustRightInd w:val="0"/>
              <w:spacing w:before="0" w:after="0"/>
              <w:jc w:val="center"/>
              <w:rPr>
                <w:rFonts w:cs="Times New Roman"/>
                <w:sz w:val="22"/>
              </w:rPr>
            </w:pPr>
          </w:p>
        </w:tc>
        <w:tc>
          <w:tcPr>
            <w:tcW w:w="659" w:type="dxa"/>
            <w:vMerge/>
            <w:noWrap/>
            <w:vAlign w:val="center"/>
            <w:hideMark/>
          </w:tcPr>
          <w:p w14:paraId="08B7D139"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nil"/>
              <w:right w:val="single" w:sz="12" w:space="0" w:color="auto"/>
            </w:tcBorders>
            <w:noWrap/>
            <w:vAlign w:val="center"/>
            <w:hideMark/>
          </w:tcPr>
          <w:p w14:paraId="0EE23740"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AIC</w:t>
            </w:r>
          </w:p>
        </w:tc>
        <w:tc>
          <w:tcPr>
            <w:tcW w:w="964" w:type="dxa"/>
            <w:tcBorders>
              <w:top w:val="nil"/>
              <w:left w:val="single" w:sz="12" w:space="0" w:color="auto"/>
              <w:bottom w:val="nil"/>
            </w:tcBorders>
            <w:noWrap/>
            <w:vAlign w:val="center"/>
            <w:hideMark/>
          </w:tcPr>
          <w:p w14:paraId="176E5DEC"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435193</w:t>
            </w:r>
          </w:p>
        </w:tc>
        <w:tc>
          <w:tcPr>
            <w:tcW w:w="964" w:type="dxa"/>
            <w:tcBorders>
              <w:top w:val="nil"/>
              <w:bottom w:val="nil"/>
            </w:tcBorders>
            <w:noWrap/>
            <w:vAlign w:val="center"/>
            <w:hideMark/>
          </w:tcPr>
          <w:p w14:paraId="0015DC8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411889</w:t>
            </w:r>
          </w:p>
        </w:tc>
        <w:tc>
          <w:tcPr>
            <w:tcW w:w="964" w:type="dxa"/>
            <w:tcBorders>
              <w:top w:val="nil"/>
              <w:bottom w:val="nil"/>
            </w:tcBorders>
            <w:vAlign w:val="bottom"/>
          </w:tcPr>
          <w:p w14:paraId="3200A1FA" w14:textId="495237E4"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408078</w:t>
            </w:r>
          </w:p>
        </w:tc>
        <w:tc>
          <w:tcPr>
            <w:tcW w:w="964" w:type="dxa"/>
            <w:tcBorders>
              <w:top w:val="nil"/>
              <w:bottom w:val="nil"/>
            </w:tcBorders>
            <w:noWrap/>
            <w:vAlign w:val="center"/>
            <w:hideMark/>
          </w:tcPr>
          <w:p w14:paraId="61B8C758" w14:textId="094EE054"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430603</w:t>
            </w:r>
          </w:p>
        </w:tc>
        <w:tc>
          <w:tcPr>
            <w:tcW w:w="964" w:type="dxa"/>
            <w:tcBorders>
              <w:top w:val="nil"/>
              <w:bottom w:val="nil"/>
            </w:tcBorders>
            <w:noWrap/>
            <w:vAlign w:val="center"/>
            <w:hideMark/>
          </w:tcPr>
          <w:p w14:paraId="08C45CF1"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410882</w:t>
            </w:r>
          </w:p>
        </w:tc>
        <w:tc>
          <w:tcPr>
            <w:tcW w:w="964" w:type="dxa"/>
            <w:tcBorders>
              <w:top w:val="nil"/>
              <w:bottom w:val="nil"/>
            </w:tcBorders>
            <w:noWrap/>
            <w:vAlign w:val="center"/>
            <w:hideMark/>
          </w:tcPr>
          <w:p w14:paraId="702E4A8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407478</w:t>
            </w:r>
          </w:p>
        </w:tc>
        <w:tc>
          <w:tcPr>
            <w:tcW w:w="964" w:type="dxa"/>
            <w:tcBorders>
              <w:top w:val="nil"/>
              <w:bottom w:val="nil"/>
            </w:tcBorders>
            <w:noWrap/>
            <w:vAlign w:val="center"/>
            <w:hideMark/>
          </w:tcPr>
          <w:p w14:paraId="3AED6FF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430469</w:t>
            </w:r>
          </w:p>
        </w:tc>
        <w:tc>
          <w:tcPr>
            <w:tcW w:w="964" w:type="dxa"/>
            <w:tcBorders>
              <w:top w:val="nil"/>
              <w:bottom w:val="nil"/>
            </w:tcBorders>
            <w:noWrap/>
            <w:vAlign w:val="center"/>
            <w:hideMark/>
          </w:tcPr>
          <w:p w14:paraId="41EC16D7"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409853</w:t>
            </w:r>
          </w:p>
        </w:tc>
        <w:tc>
          <w:tcPr>
            <w:tcW w:w="964" w:type="dxa"/>
            <w:tcBorders>
              <w:top w:val="nil"/>
              <w:bottom w:val="nil"/>
              <w:right w:val="single" w:sz="12" w:space="0" w:color="auto"/>
            </w:tcBorders>
            <w:noWrap/>
            <w:vAlign w:val="center"/>
            <w:hideMark/>
          </w:tcPr>
          <w:p w14:paraId="193508FB"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407355</w:t>
            </w:r>
          </w:p>
        </w:tc>
      </w:tr>
      <w:tr w:rsidR="00860592" w:rsidRPr="00EC0691" w14:paraId="575F293C" w14:textId="77777777" w:rsidTr="00860592">
        <w:trPr>
          <w:trHeight w:val="300"/>
        </w:trPr>
        <w:tc>
          <w:tcPr>
            <w:tcW w:w="475" w:type="dxa"/>
            <w:vMerge/>
            <w:tcBorders>
              <w:left w:val="single" w:sz="12" w:space="0" w:color="auto"/>
              <w:bottom w:val="single" w:sz="12" w:space="0" w:color="auto"/>
            </w:tcBorders>
          </w:tcPr>
          <w:p w14:paraId="5D3D440C" w14:textId="77777777" w:rsidR="00860592" w:rsidRPr="00EC0691" w:rsidRDefault="00860592" w:rsidP="00860592">
            <w:pPr>
              <w:autoSpaceDE w:val="0"/>
              <w:autoSpaceDN w:val="0"/>
              <w:adjustRightInd w:val="0"/>
              <w:spacing w:before="0" w:after="0"/>
              <w:jc w:val="center"/>
              <w:rPr>
                <w:rFonts w:cs="Times New Roman"/>
                <w:sz w:val="22"/>
              </w:rPr>
            </w:pPr>
          </w:p>
        </w:tc>
        <w:tc>
          <w:tcPr>
            <w:tcW w:w="659" w:type="dxa"/>
            <w:vMerge/>
            <w:tcBorders>
              <w:bottom w:val="single" w:sz="12" w:space="0" w:color="auto"/>
            </w:tcBorders>
            <w:noWrap/>
            <w:vAlign w:val="center"/>
            <w:hideMark/>
          </w:tcPr>
          <w:p w14:paraId="12687879" w14:textId="77777777" w:rsidR="00860592" w:rsidRPr="00EC0691" w:rsidRDefault="00860592" w:rsidP="00860592">
            <w:pPr>
              <w:autoSpaceDE w:val="0"/>
              <w:autoSpaceDN w:val="0"/>
              <w:adjustRightInd w:val="0"/>
              <w:spacing w:before="0" w:after="0"/>
              <w:jc w:val="center"/>
              <w:rPr>
                <w:rFonts w:cs="Times New Roman"/>
                <w:sz w:val="22"/>
              </w:rPr>
            </w:pPr>
          </w:p>
        </w:tc>
        <w:tc>
          <w:tcPr>
            <w:tcW w:w="2268" w:type="dxa"/>
            <w:tcBorders>
              <w:top w:val="nil"/>
              <w:bottom w:val="single" w:sz="12" w:space="0" w:color="auto"/>
              <w:right w:val="single" w:sz="12" w:space="0" w:color="auto"/>
            </w:tcBorders>
            <w:noWrap/>
            <w:vAlign w:val="center"/>
            <w:hideMark/>
          </w:tcPr>
          <w:p w14:paraId="4CE273F3" w14:textId="77777777" w:rsidR="00860592" w:rsidRPr="00EC0691" w:rsidRDefault="00860592" w:rsidP="00860592">
            <w:pPr>
              <w:autoSpaceDE w:val="0"/>
              <w:autoSpaceDN w:val="0"/>
              <w:adjustRightInd w:val="0"/>
              <w:spacing w:before="0" w:after="0"/>
              <w:jc w:val="center"/>
              <w:rPr>
                <w:rFonts w:cs="Times New Roman"/>
                <w:sz w:val="22"/>
              </w:rPr>
            </w:pPr>
            <w:r w:rsidRPr="00EC0691">
              <w:rPr>
                <w:rFonts w:cs="Times New Roman"/>
                <w:sz w:val="22"/>
              </w:rPr>
              <w:t>BIC</w:t>
            </w:r>
          </w:p>
        </w:tc>
        <w:tc>
          <w:tcPr>
            <w:tcW w:w="964" w:type="dxa"/>
            <w:tcBorders>
              <w:top w:val="nil"/>
              <w:left w:val="single" w:sz="12" w:space="0" w:color="auto"/>
              <w:bottom w:val="single" w:sz="12" w:space="0" w:color="auto"/>
            </w:tcBorders>
            <w:noWrap/>
            <w:vAlign w:val="center"/>
            <w:hideMark/>
          </w:tcPr>
          <w:p w14:paraId="268721BF"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435330</w:t>
            </w:r>
          </w:p>
        </w:tc>
        <w:tc>
          <w:tcPr>
            <w:tcW w:w="964" w:type="dxa"/>
            <w:tcBorders>
              <w:top w:val="nil"/>
              <w:bottom w:val="single" w:sz="12" w:space="0" w:color="auto"/>
            </w:tcBorders>
            <w:noWrap/>
            <w:vAlign w:val="center"/>
            <w:hideMark/>
          </w:tcPr>
          <w:p w14:paraId="29266884"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412047</w:t>
            </w:r>
          </w:p>
        </w:tc>
        <w:tc>
          <w:tcPr>
            <w:tcW w:w="964" w:type="dxa"/>
            <w:tcBorders>
              <w:top w:val="nil"/>
              <w:bottom w:val="single" w:sz="12" w:space="0" w:color="auto"/>
            </w:tcBorders>
            <w:vAlign w:val="bottom"/>
          </w:tcPr>
          <w:p w14:paraId="48EE4901" w14:textId="723706C8" w:rsidR="00860592" w:rsidRPr="00FE0DCB" w:rsidRDefault="00860592" w:rsidP="00860592">
            <w:pPr>
              <w:autoSpaceDE w:val="0"/>
              <w:autoSpaceDN w:val="0"/>
              <w:adjustRightInd w:val="0"/>
              <w:spacing w:before="0" w:after="0"/>
              <w:jc w:val="center"/>
              <w:rPr>
                <w:rFonts w:cs="Times New Roman"/>
                <w:sz w:val="22"/>
              </w:rPr>
            </w:pPr>
            <w:r w:rsidRPr="00860592">
              <w:rPr>
                <w:rFonts w:cs="Times New Roman"/>
                <w:sz w:val="22"/>
              </w:rPr>
              <w:t>408289</w:t>
            </w:r>
          </w:p>
        </w:tc>
        <w:tc>
          <w:tcPr>
            <w:tcW w:w="964" w:type="dxa"/>
            <w:tcBorders>
              <w:top w:val="nil"/>
              <w:bottom w:val="single" w:sz="12" w:space="0" w:color="auto"/>
            </w:tcBorders>
            <w:noWrap/>
            <w:vAlign w:val="center"/>
            <w:hideMark/>
          </w:tcPr>
          <w:p w14:paraId="41845869" w14:textId="5D52B4C8"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430751</w:t>
            </w:r>
          </w:p>
        </w:tc>
        <w:tc>
          <w:tcPr>
            <w:tcW w:w="964" w:type="dxa"/>
            <w:tcBorders>
              <w:top w:val="nil"/>
              <w:bottom w:val="single" w:sz="12" w:space="0" w:color="auto"/>
            </w:tcBorders>
            <w:noWrap/>
            <w:vAlign w:val="center"/>
            <w:hideMark/>
          </w:tcPr>
          <w:p w14:paraId="0D40806D"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411050</w:t>
            </w:r>
          </w:p>
        </w:tc>
        <w:tc>
          <w:tcPr>
            <w:tcW w:w="964" w:type="dxa"/>
            <w:tcBorders>
              <w:top w:val="nil"/>
              <w:bottom w:val="single" w:sz="12" w:space="0" w:color="auto"/>
            </w:tcBorders>
            <w:noWrap/>
            <w:vAlign w:val="center"/>
            <w:hideMark/>
          </w:tcPr>
          <w:p w14:paraId="7E8B85A0"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407647</w:t>
            </w:r>
          </w:p>
        </w:tc>
        <w:tc>
          <w:tcPr>
            <w:tcW w:w="964" w:type="dxa"/>
            <w:tcBorders>
              <w:top w:val="nil"/>
              <w:bottom w:val="single" w:sz="12" w:space="0" w:color="auto"/>
            </w:tcBorders>
            <w:noWrap/>
            <w:vAlign w:val="center"/>
            <w:hideMark/>
          </w:tcPr>
          <w:p w14:paraId="4992358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430648</w:t>
            </w:r>
          </w:p>
        </w:tc>
        <w:tc>
          <w:tcPr>
            <w:tcW w:w="964" w:type="dxa"/>
            <w:tcBorders>
              <w:top w:val="nil"/>
              <w:bottom w:val="single" w:sz="12" w:space="0" w:color="auto"/>
            </w:tcBorders>
            <w:noWrap/>
            <w:vAlign w:val="center"/>
            <w:hideMark/>
          </w:tcPr>
          <w:p w14:paraId="091C2CD3"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410053</w:t>
            </w:r>
          </w:p>
        </w:tc>
        <w:tc>
          <w:tcPr>
            <w:tcW w:w="964" w:type="dxa"/>
            <w:tcBorders>
              <w:top w:val="nil"/>
              <w:bottom w:val="single" w:sz="12" w:space="0" w:color="auto"/>
              <w:right w:val="single" w:sz="12" w:space="0" w:color="auto"/>
            </w:tcBorders>
            <w:noWrap/>
            <w:vAlign w:val="center"/>
            <w:hideMark/>
          </w:tcPr>
          <w:p w14:paraId="18F057A6" w14:textId="77777777" w:rsidR="00860592" w:rsidRPr="00FE0DCB" w:rsidRDefault="00860592" w:rsidP="00860592">
            <w:pPr>
              <w:autoSpaceDE w:val="0"/>
              <w:autoSpaceDN w:val="0"/>
              <w:adjustRightInd w:val="0"/>
              <w:spacing w:before="0" w:after="0"/>
              <w:jc w:val="center"/>
              <w:rPr>
                <w:rFonts w:cs="Times New Roman"/>
                <w:sz w:val="22"/>
              </w:rPr>
            </w:pPr>
            <w:r w:rsidRPr="00FE0DCB">
              <w:rPr>
                <w:rFonts w:cs="Times New Roman"/>
                <w:sz w:val="22"/>
              </w:rPr>
              <w:t>407576</w:t>
            </w:r>
          </w:p>
        </w:tc>
      </w:tr>
    </w:tbl>
    <w:p w14:paraId="78BDC9E5" w14:textId="77777777" w:rsidR="00661119" w:rsidRDefault="00661119" w:rsidP="00921E32">
      <w:pPr>
        <w:autoSpaceDE w:val="0"/>
        <w:autoSpaceDN w:val="0"/>
        <w:adjustRightInd w:val="0"/>
        <w:jc w:val="left"/>
        <w:rPr>
          <w:rFonts w:cs="Times New Roman"/>
          <w:b/>
        </w:rPr>
      </w:pPr>
    </w:p>
    <w:p w14:paraId="23F75400" w14:textId="77777777" w:rsidR="00661119" w:rsidRDefault="00661119">
      <w:pPr>
        <w:spacing w:before="0" w:after="0"/>
        <w:rPr>
          <w:rFonts w:cs="Times New Roman"/>
          <w:b/>
        </w:rPr>
      </w:pPr>
      <w:r>
        <w:rPr>
          <w:rFonts w:cs="Times New Roman"/>
          <w:b/>
        </w:rPr>
        <w:br w:type="page"/>
      </w:r>
    </w:p>
    <w:p w14:paraId="625E3693" w14:textId="7D6B1A10" w:rsidR="00C52F43" w:rsidRPr="00C52F43" w:rsidRDefault="00C52F43" w:rsidP="00C52F43">
      <w:pPr>
        <w:pStyle w:val="Caption"/>
        <w:keepNext/>
        <w:spacing w:before="0" w:after="0"/>
        <w:jc w:val="center"/>
        <w:rPr>
          <w:color w:val="auto"/>
          <w:sz w:val="24"/>
        </w:rPr>
      </w:pPr>
      <w:r w:rsidRPr="00C52F43">
        <w:rPr>
          <w:color w:val="auto"/>
          <w:sz w:val="24"/>
        </w:rPr>
        <w:lastRenderedPageBreak/>
        <w:t xml:space="preserve">Table </w:t>
      </w:r>
      <w:r w:rsidRPr="00C52F43">
        <w:rPr>
          <w:color w:val="auto"/>
          <w:sz w:val="24"/>
        </w:rPr>
        <w:fldChar w:fldCharType="begin"/>
      </w:r>
      <w:r w:rsidRPr="00C52F43">
        <w:rPr>
          <w:color w:val="auto"/>
          <w:sz w:val="24"/>
        </w:rPr>
        <w:instrText xml:space="preserve"> SEQ Table \* ARABIC </w:instrText>
      </w:r>
      <w:r w:rsidRPr="00C52F43">
        <w:rPr>
          <w:color w:val="auto"/>
          <w:sz w:val="24"/>
        </w:rPr>
        <w:fldChar w:fldCharType="separate"/>
      </w:r>
      <w:r w:rsidR="000C44DF">
        <w:rPr>
          <w:noProof/>
          <w:color w:val="auto"/>
          <w:sz w:val="24"/>
        </w:rPr>
        <w:t>3</w:t>
      </w:r>
      <w:r w:rsidRPr="00C52F43">
        <w:rPr>
          <w:color w:val="auto"/>
          <w:sz w:val="24"/>
        </w:rPr>
        <w:fldChar w:fldCharType="end"/>
      </w:r>
      <w:r w:rsidRPr="00C52F43">
        <w:rPr>
          <w:color w:val="auto"/>
          <w:sz w:val="24"/>
        </w:rPr>
        <w:t xml:space="preserve"> </w:t>
      </w:r>
      <w:r w:rsidR="00B137A8">
        <w:rPr>
          <w:color w:val="auto"/>
          <w:sz w:val="24"/>
        </w:rPr>
        <w:t xml:space="preserve">Estimates of </w:t>
      </w:r>
      <w:r w:rsidRPr="00C52F43">
        <w:rPr>
          <w:color w:val="auto"/>
          <w:sz w:val="24"/>
        </w:rPr>
        <w:t xml:space="preserve">Spatial </w:t>
      </w:r>
      <w:r w:rsidR="00272066" w:rsidRPr="00C52F43">
        <w:rPr>
          <w:color w:val="auto"/>
          <w:sz w:val="24"/>
        </w:rPr>
        <w:t xml:space="preserve">Lag Model </w:t>
      </w:r>
      <w:r w:rsidR="00B26AA0">
        <w:rPr>
          <w:color w:val="auto"/>
          <w:sz w:val="24"/>
        </w:rPr>
        <w:t xml:space="preserve">with Temporal and Spatial </w:t>
      </w:r>
      <w:r w:rsidR="00B137A8">
        <w:rPr>
          <w:color w:val="auto"/>
          <w:sz w:val="24"/>
        </w:rPr>
        <w:t xml:space="preserve">Lagged Variables </w:t>
      </w:r>
    </w:p>
    <w:tbl>
      <w:tblPr>
        <w:tblStyle w:val="TableGrid"/>
        <w:tblW w:w="13691" w:type="dxa"/>
        <w:tblLook w:val="04A0" w:firstRow="1" w:lastRow="0" w:firstColumn="1" w:lastColumn="0" w:noHBand="0" w:noVBand="1"/>
      </w:tblPr>
      <w:tblGrid>
        <w:gridCol w:w="680"/>
        <w:gridCol w:w="4535"/>
        <w:gridCol w:w="1206"/>
        <w:gridCol w:w="931"/>
        <w:gridCol w:w="1206"/>
        <w:gridCol w:w="907"/>
        <w:gridCol w:w="1206"/>
        <w:gridCol w:w="907"/>
        <w:gridCol w:w="1206"/>
        <w:gridCol w:w="907"/>
      </w:tblGrid>
      <w:tr w:rsidR="0086169E" w:rsidRPr="00713BA4" w14:paraId="6973C612" w14:textId="77777777" w:rsidTr="0086169E">
        <w:trPr>
          <w:trHeight w:val="227"/>
        </w:trPr>
        <w:tc>
          <w:tcPr>
            <w:tcW w:w="680" w:type="dxa"/>
            <w:tcBorders>
              <w:top w:val="nil"/>
              <w:left w:val="nil"/>
              <w:bottom w:val="nil"/>
              <w:right w:val="nil"/>
            </w:tcBorders>
          </w:tcPr>
          <w:p w14:paraId="5360968B" w14:textId="77777777" w:rsidR="00B13514" w:rsidRPr="00713BA4" w:rsidRDefault="00B13514" w:rsidP="00357AF6">
            <w:pPr>
              <w:autoSpaceDE w:val="0"/>
              <w:autoSpaceDN w:val="0"/>
              <w:adjustRightInd w:val="0"/>
              <w:spacing w:before="0" w:after="0"/>
              <w:jc w:val="center"/>
              <w:rPr>
                <w:rFonts w:cs="Times New Roman"/>
                <w:sz w:val="20"/>
                <w:szCs w:val="20"/>
              </w:rPr>
            </w:pPr>
          </w:p>
        </w:tc>
        <w:tc>
          <w:tcPr>
            <w:tcW w:w="4535" w:type="dxa"/>
            <w:tcBorders>
              <w:top w:val="nil"/>
              <w:left w:val="nil"/>
              <w:bottom w:val="nil"/>
              <w:right w:val="single" w:sz="12" w:space="0" w:color="auto"/>
            </w:tcBorders>
            <w:noWrap/>
            <w:vAlign w:val="center"/>
          </w:tcPr>
          <w:p w14:paraId="3B7C36FA" w14:textId="77777777" w:rsidR="00B13514" w:rsidRPr="00713BA4" w:rsidRDefault="00B13514" w:rsidP="00B13514">
            <w:pPr>
              <w:autoSpaceDE w:val="0"/>
              <w:autoSpaceDN w:val="0"/>
              <w:adjustRightInd w:val="0"/>
              <w:spacing w:before="0" w:after="0"/>
              <w:jc w:val="left"/>
              <w:rPr>
                <w:rFonts w:cs="Times New Roman"/>
                <w:sz w:val="20"/>
                <w:szCs w:val="20"/>
              </w:rPr>
            </w:pPr>
          </w:p>
        </w:tc>
        <w:tc>
          <w:tcPr>
            <w:tcW w:w="4250" w:type="dxa"/>
            <w:gridSpan w:val="4"/>
            <w:tcBorders>
              <w:top w:val="single" w:sz="12" w:space="0" w:color="auto"/>
              <w:left w:val="single" w:sz="12" w:space="0" w:color="auto"/>
              <w:bottom w:val="single" w:sz="12" w:space="0" w:color="auto"/>
              <w:right w:val="single" w:sz="12" w:space="0" w:color="auto"/>
            </w:tcBorders>
            <w:noWrap/>
            <w:vAlign w:val="center"/>
          </w:tcPr>
          <w:p w14:paraId="2755DE8D" w14:textId="77777777" w:rsidR="00B13514" w:rsidRPr="00713BA4" w:rsidRDefault="00B13514" w:rsidP="00357AF6">
            <w:pPr>
              <w:autoSpaceDE w:val="0"/>
              <w:autoSpaceDN w:val="0"/>
              <w:adjustRightInd w:val="0"/>
              <w:spacing w:before="0" w:after="0"/>
              <w:jc w:val="center"/>
              <w:rPr>
                <w:rFonts w:cs="Times New Roman"/>
                <w:b/>
                <w:sz w:val="20"/>
                <w:szCs w:val="20"/>
              </w:rPr>
            </w:pPr>
            <w:r w:rsidRPr="00713BA4">
              <w:rPr>
                <w:rFonts w:cs="Times New Roman"/>
                <w:b/>
                <w:sz w:val="20"/>
                <w:szCs w:val="20"/>
              </w:rPr>
              <w:t>Members</w:t>
            </w:r>
          </w:p>
        </w:tc>
        <w:tc>
          <w:tcPr>
            <w:tcW w:w="4226" w:type="dxa"/>
            <w:gridSpan w:val="4"/>
            <w:tcBorders>
              <w:top w:val="single" w:sz="12" w:space="0" w:color="auto"/>
              <w:left w:val="single" w:sz="12" w:space="0" w:color="auto"/>
              <w:bottom w:val="single" w:sz="12" w:space="0" w:color="auto"/>
              <w:right w:val="single" w:sz="12" w:space="0" w:color="auto"/>
            </w:tcBorders>
            <w:noWrap/>
            <w:vAlign w:val="center"/>
          </w:tcPr>
          <w:p w14:paraId="244796E0" w14:textId="77777777" w:rsidR="00B13514" w:rsidRPr="00713BA4" w:rsidRDefault="00B13514" w:rsidP="00357AF6">
            <w:pPr>
              <w:autoSpaceDE w:val="0"/>
              <w:autoSpaceDN w:val="0"/>
              <w:adjustRightInd w:val="0"/>
              <w:spacing w:before="0" w:after="0"/>
              <w:jc w:val="center"/>
              <w:rPr>
                <w:rFonts w:cs="Times New Roman"/>
                <w:b/>
                <w:sz w:val="20"/>
                <w:szCs w:val="20"/>
              </w:rPr>
            </w:pPr>
            <w:r w:rsidRPr="00713BA4">
              <w:rPr>
                <w:rFonts w:cs="Times New Roman"/>
                <w:b/>
                <w:sz w:val="20"/>
                <w:szCs w:val="20"/>
              </w:rPr>
              <w:t>Daily Customers</w:t>
            </w:r>
          </w:p>
        </w:tc>
      </w:tr>
      <w:tr w:rsidR="0086169E" w:rsidRPr="00713BA4" w14:paraId="2C327AFC" w14:textId="77777777" w:rsidTr="00F65FD6">
        <w:trPr>
          <w:trHeight w:val="20"/>
        </w:trPr>
        <w:tc>
          <w:tcPr>
            <w:tcW w:w="680" w:type="dxa"/>
            <w:tcBorders>
              <w:top w:val="nil"/>
              <w:left w:val="nil"/>
              <w:bottom w:val="nil"/>
              <w:right w:val="nil"/>
            </w:tcBorders>
          </w:tcPr>
          <w:p w14:paraId="1982914F" w14:textId="77777777" w:rsidR="00B13514" w:rsidRPr="00713BA4" w:rsidRDefault="00B13514" w:rsidP="00357AF6">
            <w:pPr>
              <w:autoSpaceDE w:val="0"/>
              <w:autoSpaceDN w:val="0"/>
              <w:adjustRightInd w:val="0"/>
              <w:spacing w:before="0" w:after="0"/>
              <w:jc w:val="center"/>
              <w:rPr>
                <w:rFonts w:cs="Times New Roman"/>
                <w:sz w:val="20"/>
                <w:szCs w:val="20"/>
              </w:rPr>
            </w:pPr>
          </w:p>
        </w:tc>
        <w:tc>
          <w:tcPr>
            <w:tcW w:w="4535" w:type="dxa"/>
            <w:tcBorders>
              <w:top w:val="nil"/>
              <w:left w:val="nil"/>
              <w:bottom w:val="nil"/>
              <w:right w:val="single" w:sz="12" w:space="0" w:color="auto"/>
            </w:tcBorders>
            <w:noWrap/>
            <w:vAlign w:val="center"/>
          </w:tcPr>
          <w:p w14:paraId="410D4556" w14:textId="77777777" w:rsidR="00B13514" w:rsidRPr="00713BA4" w:rsidRDefault="00B13514" w:rsidP="00B13514">
            <w:pPr>
              <w:autoSpaceDE w:val="0"/>
              <w:autoSpaceDN w:val="0"/>
              <w:adjustRightInd w:val="0"/>
              <w:spacing w:before="0" w:after="0"/>
              <w:jc w:val="left"/>
              <w:rPr>
                <w:rFonts w:cs="Times New Roman"/>
                <w:sz w:val="20"/>
                <w:szCs w:val="20"/>
              </w:rPr>
            </w:pPr>
          </w:p>
        </w:tc>
        <w:tc>
          <w:tcPr>
            <w:tcW w:w="2137" w:type="dxa"/>
            <w:gridSpan w:val="2"/>
            <w:tcBorders>
              <w:top w:val="single" w:sz="12" w:space="0" w:color="auto"/>
              <w:left w:val="single" w:sz="12" w:space="0" w:color="auto"/>
              <w:bottom w:val="single" w:sz="12" w:space="0" w:color="auto"/>
              <w:right w:val="single" w:sz="12" w:space="0" w:color="auto"/>
            </w:tcBorders>
            <w:noWrap/>
            <w:vAlign w:val="center"/>
          </w:tcPr>
          <w:p w14:paraId="3529D294" w14:textId="77777777" w:rsidR="00B13514" w:rsidRPr="00713BA4" w:rsidRDefault="00B13514" w:rsidP="00357AF6">
            <w:pPr>
              <w:autoSpaceDE w:val="0"/>
              <w:autoSpaceDN w:val="0"/>
              <w:adjustRightInd w:val="0"/>
              <w:spacing w:before="0" w:after="0"/>
              <w:jc w:val="center"/>
              <w:rPr>
                <w:rFonts w:cs="Times New Roman"/>
                <w:sz w:val="20"/>
                <w:szCs w:val="20"/>
              </w:rPr>
            </w:pPr>
            <w:r w:rsidRPr="00713BA4">
              <w:rPr>
                <w:rFonts w:cs="Times New Roman"/>
                <w:sz w:val="20"/>
                <w:szCs w:val="20"/>
              </w:rPr>
              <w:t>Arrivals</w:t>
            </w:r>
          </w:p>
        </w:tc>
        <w:tc>
          <w:tcPr>
            <w:tcW w:w="2113" w:type="dxa"/>
            <w:gridSpan w:val="2"/>
            <w:tcBorders>
              <w:top w:val="single" w:sz="12" w:space="0" w:color="auto"/>
              <w:left w:val="single" w:sz="12" w:space="0" w:color="auto"/>
              <w:bottom w:val="single" w:sz="12" w:space="0" w:color="auto"/>
              <w:right w:val="single" w:sz="12" w:space="0" w:color="auto"/>
            </w:tcBorders>
            <w:noWrap/>
            <w:vAlign w:val="center"/>
          </w:tcPr>
          <w:p w14:paraId="2080458B" w14:textId="77777777" w:rsidR="00B13514" w:rsidRPr="00713BA4" w:rsidRDefault="00B13514" w:rsidP="00357AF6">
            <w:pPr>
              <w:autoSpaceDE w:val="0"/>
              <w:autoSpaceDN w:val="0"/>
              <w:adjustRightInd w:val="0"/>
              <w:spacing w:before="0" w:after="0"/>
              <w:jc w:val="center"/>
              <w:rPr>
                <w:rFonts w:cs="Times New Roman"/>
                <w:sz w:val="20"/>
                <w:szCs w:val="20"/>
              </w:rPr>
            </w:pPr>
            <w:r w:rsidRPr="00713BA4">
              <w:rPr>
                <w:rFonts w:cs="Times New Roman"/>
                <w:sz w:val="20"/>
                <w:szCs w:val="20"/>
              </w:rPr>
              <w:t>Departures</w:t>
            </w:r>
          </w:p>
        </w:tc>
        <w:tc>
          <w:tcPr>
            <w:tcW w:w="2113" w:type="dxa"/>
            <w:gridSpan w:val="2"/>
            <w:tcBorders>
              <w:top w:val="single" w:sz="12" w:space="0" w:color="auto"/>
              <w:left w:val="single" w:sz="12" w:space="0" w:color="auto"/>
              <w:bottom w:val="single" w:sz="12" w:space="0" w:color="auto"/>
              <w:right w:val="single" w:sz="12" w:space="0" w:color="auto"/>
            </w:tcBorders>
            <w:noWrap/>
            <w:vAlign w:val="center"/>
          </w:tcPr>
          <w:p w14:paraId="73F8ADCD" w14:textId="77777777" w:rsidR="00B13514" w:rsidRPr="00713BA4" w:rsidRDefault="00B13514" w:rsidP="00357AF6">
            <w:pPr>
              <w:autoSpaceDE w:val="0"/>
              <w:autoSpaceDN w:val="0"/>
              <w:adjustRightInd w:val="0"/>
              <w:spacing w:before="0" w:after="0"/>
              <w:jc w:val="center"/>
              <w:rPr>
                <w:rFonts w:cs="Times New Roman"/>
                <w:sz w:val="20"/>
                <w:szCs w:val="20"/>
              </w:rPr>
            </w:pPr>
            <w:r w:rsidRPr="00713BA4">
              <w:rPr>
                <w:rFonts w:cs="Times New Roman"/>
                <w:sz w:val="20"/>
                <w:szCs w:val="20"/>
              </w:rPr>
              <w:t>Arrivals</w:t>
            </w:r>
          </w:p>
        </w:tc>
        <w:tc>
          <w:tcPr>
            <w:tcW w:w="2113" w:type="dxa"/>
            <w:gridSpan w:val="2"/>
            <w:tcBorders>
              <w:top w:val="single" w:sz="12" w:space="0" w:color="auto"/>
              <w:left w:val="single" w:sz="12" w:space="0" w:color="auto"/>
              <w:bottom w:val="single" w:sz="12" w:space="0" w:color="auto"/>
              <w:right w:val="single" w:sz="12" w:space="0" w:color="auto"/>
            </w:tcBorders>
            <w:noWrap/>
            <w:vAlign w:val="center"/>
          </w:tcPr>
          <w:p w14:paraId="2630762E" w14:textId="77777777" w:rsidR="00B13514" w:rsidRPr="00713BA4" w:rsidRDefault="00B13514" w:rsidP="00357AF6">
            <w:pPr>
              <w:autoSpaceDE w:val="0"/>
              <w:autoSpaceDN w:val="0"/>
              <w:adjustRightInd w:val="0"/>
              <w:spacing w:before="0" w:after="0"/>
              <w:jc w:val="center"/>
              <w:rPr>
                <w:rFonts w:cs="Times New Roman"/>
                <w:sz w:val="20"/>
                <w:szCs w:val="20"/>
              </w:rPr>
            </w:pPr>
            <w:r w:rsidRPr="00713BA4">
              <w:rPr>
                <w:rFonts w:cs="Times New Roman"/>
                <w:sz w:val="20"/>
                <w:szCs w:val="20"/>
              </w:rPr>
              <w:t>Departures</w:t>
            </w:r>
          </w:p>
        </w:tc>
      </w:tr>
      <w:tr w:rsidR="0086169E" w:rsidRPr="00713BA4" w14:paraId="058DA3F7" w14:textId="77777777" w:rsidTr="00F65FD6">
        <w:trPr>
          <w:trHeight w:val="20"/>
        </w:trPr>
        <w:tc>
          <w:tcPr>
            <w:tcW w:w="680" w:type="dxa"/>
            <w:tcBorders>
              <w:top w:val="nil"/>
              <w:left w:val="nil"/>
              <w:bottom w:val="single" w:sz="12" w:space="0" w:color="auto"/>
              <w:right w:val="nil"/>
            </w:tcBorders>
          </w:tcPr>
          <w:p w14:paraId="27A4D8D6"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nil"/>
              <w:bottom w:val="single" w:sz="12" w:space="0" w:color="auto"/>
              <w:right w:val="single" w:sz="12" w:space="0" w:color="auto"/>
            </w:tcBorders>
            <w:noWrap/>
            <w:vAlign w:val="center"/>
            <w:hideMark/>
          </w:tcPr>
          <w:p w14:paraId="7A1F4190" w14:textId="77777777" w:rsidR="00661119" w:rsidRPr="00713BA4" w:rsidRDefault="00661119" w:rsidP="00B13514">
            <w:pPr>
              <w:autoSpaceDE w:val="0"/>
              <w:autoSpaceDN w:val="0"/>
              <w:adjustRightInd w:val="0"/>
              <w:spacing w:before="0" w:after="0"/>
              <w:jc w:val="left"/>
              <w:rPr>
                <w:rFonts w:cs="Times New Roman"/>
                <w:sz w:val="20"/>
                <w:szCs w:val="20"/>
              </w:rPr>
            </w:pPr>
          </w:p>
        </w:tc>
        <w:tc>
          <w:tcPr>
            <w:tcW w:w="1206" w:type="dxa"/>
            <w:tcBorders>
              <w:top w:val="single" w:sz="12" w:space="0" w:color="auto"/>
              <w:left w:val="single" w:sz="12" w:space="0" w:color="auto"/>
              <w:bottom w:val="single" w:sz="12" w:space="0" w:color="auto"/>
              <w:right w:val="nil"/>
            </w:tcBorders>
            <w:noWrap/>
            <w:vAlign w:val="center"/>
            <w:hideMark/>
          </w:tcPr>
          <w:p w14:paraId="1C23178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Coefficient</w:t>
            </w:r>
          </w:p>
        </w:tc>
        <w:tc>
          <w:tcPr>
            <w:tcW w:w="931" w:type="dxa"/>
            <w:tcBorders>
              <w:top w:val="single" w:sz="12" w:space="0" w:color="auto"/>
              <w:left w:val="nil"/>
              <w:bottom w:val="single" w:sz="12" w:space="0" w:color="auto"/>
              <w:right w:val="single" w:sz="12" w:space="0" w:color="auto"/>
            </w:tcBorders>
            <w:noWrap/>
            <w:vAlign w:val="center"/>
            <w:hideMark/>
          </w:tcPr>
          <w:p w14:paraId="0949F381"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t-stat</w:t>
            </w:r>
          </w:p>
        </w:tc>
        <w:tc>
          <w:tcPr>
            <w:tcW w:w="1206" w:type="dxa"/>
            <w:tcBorders>
              <w:top w:val="single" w:sz="12" w:space="0" w:color="auto"/>
              <w:left w:val="single" w:sz="12" w:space="0" w:color="auto"/>
              <w:bottom w:val="single" w:sz="12" w:space="0" w:color="auto"/>
              <w:right w:val="nil"/>
            </w:tcBorders>
            <w:noWrap/>
            <w:vAlign w:val="center"/>
            <w:hideMark/>
          </w:tcPr>
          <w:p w14:paraId="750F597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Coefficient</w:t>
            </w:r>
          </w:p>
        </w:tc>
        <w:tc>
          <w:tcPr>
            <w:tcW w:w="907" w:type="dxa"/>
            <w:tcBorders>
              <w:top w:val="single" w:sz="12" w:space="0" w:color="auto"/>
              <w:left w:val="nil"/>
              <w:bottom w:val="single" w:sz="12" w:space="0" w:color="auto"/>
              <w:right w:val="single" w:sz="12" w:space="0" w:color="auto"/>
            </w:tcBorders>
            <w:noWrap/>
            <w:vAlign w:val="center"/>
            <w:hideMark/>
          </w:tcPr>
          <w:p w14:paraId="68E79CD1"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t-stat</w:t>
            </w:r>
          </w:p>
        </w:tc>
        <w:tc>
          <w:tcPr>
            <w:tcW w:w="1206" w:type="dxa"/>
            <w:tcBorders>
              <w:top w:val="single" w:sz="12" w:space="0" w:color="auto"/>
              <w:left w:val="single" w:sz="12" w:space="0" w:color="auto"/>
              <w:bottom w:val="single" w:sz="12" w:space="0" w:color="auto"/>
              <w:right w:val="nil"/>
            </w:tcBorders>
            <w:noWrap/>
            <w:vAlign w:val="center"/>
            <w:hideMark/>
          </w:tcPr>
          <w:p w14:paraId="1877EA80"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Coefficient</w:t>
            </w:r>
          </w:p>
        </w:tc>
        <w:tc>
          <w:tcPr>
            <w:tcW w:w="907" w:type="dxa"/>
            <w:tcBorders>
              <w:top w:val="single" w:sz="12" w:space="0" w:color="auto"/>
              <w:left w:val="nil"/>
              <w:bottom w:val="single" w:sz="12" w:space="0" w:color="auto"/>
              <w:right w:val="single" w:sz="12" w:space="0" w:color="auto"/>
            </w:tcBorders>
            <w:noWrap/>
            <w:vAlign w:val="center"/>
            <w:hideMark/>
          </w:tcPr>
          <w:p w14:paraId="4B6BEB8B"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t-stat</w:t>
            </w:r>
          </w:p>
        </w:tc>
        <w:tc>
          <w:tcPr>
            <w:tcW w:w="1206" w:type="dxa"/>
            <w:tcBorders>
              <w:top w:val="single" w:sz="12" w:space="0" w:color="auto"/>
              <w:left w:val="single" w:sz="12" w:space="0" w:color="auto"/>
              <w:bottom w:val="single" w:sz="12" w:space="0" w:color="auto"/>
              <w:right w:val="nil"/>
            </w:tcBorders>
            <w:noWrap/>
            <w:vAlign w:val="center"/>
            <w:hideMark/>
          </w:tcPr>
          <w:p w14:paraId="0638126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Coefficient</w:t>
            </w:r>
          </w:p>
        </w:tc>
        <w:tc>
          <w:tcPr>
            <w:tcW w:w="907" w:type="dxa"/>
            <w:tcBorders>
              <w:top w:val="single" w:sz="12" w:space="0" w:color="auto"/>
              <w:left w:val="nil"/>
              <w:bottom w:val="single" w:sz="12" w:space="0" w:color="auto"/>
              <w:right w:val="single" w:sz="12" w:space="0" w:color="auto"/>
            </w:tcBorders>
            <w:noWrap/>
            <w:vAlign w:val="center"/>
            <w:hideMark/>
          </w:tcPr>
          <w:p w14:paraId="3027E51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t-stat</w:t>
            </w:r>
          </w:p>
        </w:tc>
      </w:tr>
      <w:tr w:rsidR="0086169E" w:rsidRPr="00713BA4" w14:paraId="7FE39FB5" w14:textId="77777777" w:rsidTr="00F65FD6">
        <w:trPr>
          <w:cantSplit/>
          <w:trHeight w:val="20"/>
        </w:trPr>
        <w:tc>
          <w:tcPr>
            <w:tcW w:w="680" w:type="dxa"/>
            <w:tcBorders>
              <w:top w:val="single" w:sz="12" w:space="0" w:color="auto"/>
              <w:left w:val="single" w:sz="12" w:space="0" w:color="auto"/>
              <w:bottom w:val="single" w:sz="12" w:space="0" w:color="auto"/>
              <w:right w:val="single" w:sz="12" w:space="0" w:color="auto"/>
            </w:tcBorders>
          </w:tcPr>
          <w:p w14:paraId="25D7FC12"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single" w:sz="12" w:space="0" w:color="auto"/>
              <w:left w:val="single" w:sz="12" w:space="0" w:color="auto"/>
              <w:bottom w:val="single" w:sz="12" w:space="0" w:color="auto"/>
              <w:right w:val="single" w:sz="12" w:space="0" w:color="auto"/>
            </w:tcBorders>
            <w:noWrap/>
            <w:vAlign w:val="center"/>
            <w:hideMark/>
          </w:tcPr>
          <w:p w14:paraId="69EE0100" w14:textId="44F39E5F" w:rsidR="00661119" w:rsidRPr="00713BA4" w:rsidRDefault="00F65FD6" w:rsidP="00B13514">
            <w:pPr>
              <w:autoSpaceDE w:val="0"/>
              <w:autoSpaceDN w:val="0"/>
              <w:adjustRightInd w:val="0"/>
              <w:spacing w:before="0" w:after="0"/>
              <w:jc w:val="left"/>
              <w:rPr>
                <w:rFonts w:cs="Times New Roman"/>
                <w:sz w:val="20"/>
                <w:szCs w:val="20"/>
              </w:rPr>
            </w:pPr>
            <w:r w:rsidRPr="00713BA4">
              <w:rPr>
                <w:rFonts w:cs="Times New Roman"/>
                <w:sz w:val="20"/>
                <w:szCs w:val="20"/>
              </w:rPr>
              <w:t>C</w:t>
            </w:r>
            <w:r w:rsidR="00661119" w:rsidRPr="00713BA4">
              <w:rPr>
                <w:rFonts w:cs="Times New Roman"/>
                <w:sz w:val="20"/>
                <w:szCs w:val="20"/>
              </w:rPr>
              <w:t>onstant</w:t>
            </w:r>
          </w:p>
        </w:tc>
        <w:tc>
          <w:tcPr>
            <w:tcW w:w="1206" w:type="dxa"/>
            <w:tcBorders>
              <w:top w:val="single" w:sz="12" w:space="0" w:color="auto"/>
              <w:left w:val="single" w:sz="12" w:space="0" w:color="auto"/>
              <w:bottom w:val="single" w:sz="12" w:space="0" w:color="auto"/>
              <w:right w:val="nil"/>
            </w:tcBorders>
            <w:noWrap/>
            <w:vAlign w:val="center"/>
            <w:hideMark/>
          </w:tcPr>
          <w:p w14:paraId="6AA93B42"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-0.3611</w:t>
            </w:r>
          </w:p>
        </w:tc>
        <w:tc>
          <w:tcPr>
            <w:tcW w:w="931" w:type="dxa"/>
            <w:tcBorders>
              <w:top w:val="single" w:sz="12" w:space="0" w:color="auto"/>
              <w:left w:val="nil"/>
              <w:bottom w:val="single" w:sz="12" w:space="0" w:color="auto"/>
              <w:right w:val="single" w:sz="12" w:space="0" w:color="auto"/>
            </w:tcBorders>
            <w:noWrap/>
            <w:vAlign w:val="center"/>
            <w:hideMark/>
          </w:tcPr>
          <w:p w14:paraId="7953402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-9.843</w:t>
            </w:r>
          </w:p>
        </w:tc>
        <w:tc>
          <w:tcPr>
            <w:tcW w:w="1206" w:type="dxa"/>
            <w:tcBorders>
              <w:top w:val="single" w:sz="12" w:space="0" w:color="auto"/>
              <w:left w:val="single" w:sz="12" w:space="0" w:color="auto"/>
              <w:bottom w:val="single" w:sz="12" w:space="0" w:color="auto"/>
              <w:right w:val="nil"/>
            </w:tcBorders>
            <w:noWrap/>
            <w:vAlign w:val="center"/>
            <w:hideMark/>
          </w:tcPr>
          <w:p w14:paraId="09D0BE3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-0.3635</w:t>
            </w:r>
          </w:p>
        </w:tc>
        <w:tc>
          <w:tcPr>
            <w:tcW w:w="907" w:type="dxa"/>
            <w:tcBorders>
              <w:top w:val="single" w:sz="12" w:space="0" w:color="auto"/>
              <w:left w:val="nil"/>
              <w:bottom w:val="single" w:sz="12" w:space="0" w:color="auto"/>
              <w:right w:val="single" w:sz="12" w:space="0" w:color="auto"/>
            </w:tcBorders>
            <w:noWrap/>
            <w:vAlign w:val="center"/>
            <w:hideMark/>
          </w:tcPr>
          <w:p w14:paraId="281EC1C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-9.633</w:t>
            </w:r>
          </w:p>
        </w:tc>
        <w:tc>
          <w:tcPr>
            <w:tcW w:w="1206" w:type="dxa"/>
            <w:tcBorders>
              <w:top w:val="single" w:sz="12" w:space="0" w:color="auto"/>
              <w:left w:val="single" w:sz="12" w:space="0" w:color="auto"/>
              <w:bottom w:val="single" w:sz="12" w:space="0" w:color="auto"/>
              <w:right w:val="nil"/>
            </w:tcBorders>
            <w:noWrap/>
            <w:vAlign w:val="center"/>
            <w:hideMark/>
          </w:tcPr>
          <w:p w14:paraId="3EFC37F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-1.4010</w:t>
            </w:r>
          </w:p>
        </w:tc>
        <w:tc>
          <w:tcPr>
            <w:tcW w:w="907" w:type="dxa"/>
            <w:tcBorders>
              <w:top w:val="single" w:sz="12" w:space="0" w:color="auto"/>
              <w:left w:val="nil"/>
              <w:bottom w:val="single" w:sz="12" w:space="0" w:color="auto"/>
              <w:right w:val="single" w:sz="12" w:space="0" w:color="auto"/>
            </w:tcBorders>
            <w:noWrap/>
            <w:vAlign w:val="center"/>
            <w:hideMark/>
          </w:tcPr>
          <w:p w14:paraId="6CFD0986"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-35.586</w:t>
            </w:r>
          </w:p>
        </w:tc>
        <w:tc>
          <w:tcPr>
            <w:tcW w:w="1206" w:type="dxa"/>
            <w:tcBorders>
              <w:top w:val="single" w:sz="12" w:space="0" w:color="auto"/>
              <w:left w:val="single" w:sz="12" w:space="0" w:color="auto"/>
              <w:bottom w:val="single" w:sz="12" w:space="0" w:color="auto"/>
              <w:right w:val="nil"/>
            </w:tcBorders>
            <w:noWrap/>
            <w:vAlign w:val="center"/>
            <w:hideMark/>
          </w:tcPr>
          <w:p w14:paraId="42635C5B"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-1.4444</w:t>
            </w:r>
          </w:p>
        </w:tc>
        <w:tc>
          <w:tcPr>
            <w:tcW w:w="907" w:type="dxa"/>
            <w:tcBorders>
              <w:top w:val="single" w:sz="12" w:space="0" w:color="auto"/>
              <w:left w:val="nil"/>
              <w:bottom w:val="single" w:sz="12" w:space="0" w:color="auto"/>
              <w:right w:val="single" w:sz="12" w:space="0" w:color="auto"/>
            </w:tcBorders>
            <w:noWrap/>
            <w:vAlign w:val="center"/>
            <w:hideMark/>
          </w:tcPr>
          <w:p w14:paraId="78DAE081"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-39.453</w:t>
            </w:r>
          </w:p>
        </w:tc>
      </w:tr>
      <w:tr w:rsidR="0086169E" w:rsidRPr="00713BA4" w14:paraId="13AE55D4" w14:textId="77777777" w:rsidTr="0086169E">
        <w:trPr>
          <w:cantSplit/>
          <w:trHeight w:val="20"/>
        </w:trPr>
        <w:tc>
          <w:tcPr>
            <w:tcW w:w="680" w:type="dxa"/>
            <w:vMerge w:val="restart"/>
            <w:tcBorders>
              <w:top w:val="single" w:sz="12" w:space="0" w:color="auto"/>
              <w:left w:val="single" w:sz="12" w:space="0" w:color="auto"/>
              <w:bottom w:val="single" w:sz="12" w:space="0" w:color="auto"/>
              <w:right w:val="single" w:sz="12" w:space="0" w:color="auto"/>
            </w:tcBorders>
            <w:textDirection w:val="btLr"/>
          </w:tcPr>
          <w:p w14:paraId="5A72E3DB" w14:textId="77777777" w:rsidR="00661119" w:rsidRPr="00713BA4" w:rsidRDefault="00661119" w:rsidP="0086169E">
            <w:pPr>
              <w:autoSpaceDE w:val="0"/>
              <w:autoSpaceDN w:val="0"/>
              <w:adjustRightInd w:val="0"/>
              <w:spacing w:before="0" w:after="0"/>
              <w:ind w:left="113" w:right="113"/>
              <w:jc w:val="center"/>
              <w:rPr>
                <w:rFonts w:cs="Times New Roman"/>
                <w:sz w:val="20"/>
                <w:szCs w:val="20"/>
              </w:rPr>
            </w:pPr>
            <w:r w:rsidRPr="00713BA4">
              <w:rPr>
                <w:rFonts w:cs="Times New Roman"/>
                <w:sz w:val="20"/>
                <w:szCs w:val="20"/>
              </w:rPr>
              <w:t>Time &amp; Weather variables</w:t>
            </w:r>
          </w:p>
        </w:tc>
        <w:tc>
          <w:tcPr>
            <w:tcW w:w="4535" w:type="dxa"/>
            <w:tcBorders>
              <w:top w:val="single" w:sz="12" w:space="0" w:color="auto"/>
              <w:left w:val="single" w:sz="12" w:space="0" w:color="auto"/>
              <w:bottom w:val="nil"/>
              <w:right w:val="single" w:sz="12" w:space="0" w:color="auto"/>
            </w:tcBorders>
            <w:noWrap/>
            <w:vAlign w:val="center"/>
            <w:hideMark/>
          </w:tcPr>
          <w:p w14:paraId="049C2134"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AM</w:t>
            </w:r>
          </w:p>
        </w:tc>
        <w:tc>
          <w:tcPr>
            <w:tcW w:w="1206" w:type="dxa"/>
            <w:tcBorders>
              <w:top w:val="single" w:sz="12" w:space="0" w:color="auto"/>
              <w:left w:val="single" w:sz="12" w:space="0" w:color="auto"/>
              <w:bottom w:val="nil"/>
              <w:right w:val="nil"/>
            </w:tcBorders>
            <w:noWrap/>
            <w:vAlign w:val="center"/>
            <w:hideMark/>
          </w:tcPr>
          <w:p w14:paraId="74B276CB"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0.2472</w:t>
            </w:r>
          </w:p>
        </w:tc>
        <w:tc>
          <w:tcPr>
            <w:tcW w:w="931" w:type="dxa"/>
            <w:tcBorders>
              <w:top w:val="single" w:sz="12" w:space="0" w:color="auto"/>
              <w:left w:val="nil"/>
              <w:bottom w:val="nil"/>
              <w:right w:val="single" w:sz="12" w:space="0" w:color="auto"/>
            </w:tcBorders>
            <w:noWrap/>
            <w:vAlign w:val="center"/>
            <w:hideMark/>
          </w:tcPr>
          <w:p w14:paraId="7D843EB5"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24.525</w:t>
            </w:r>
          </w:p>
        </w:tc>
        <w:tc>
          <w:tcPr>
            <w:tcW w:w="1206" w:type="dxa"/>
            <w:tcBorders>
              <w:top w:val="single" w:sz="12" w:space="0" w:color="auto"/>
              <w:left w:val="single" w:sz="12" w:space="0" w:color="auto"/>
              <w:bottom w:val="nil"/>
              <w:right w:val="nil"/>
            </w:tcBorders>
            <w:noWrap/>
            <w:vAlign w:val="center"/>
            <w:hideMark/>
          </w:tcPr>
          <w:p w14:paraId="5566946C"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0.2356</w:t>
            </w:r>
          </w:p>
        </w:tc>
        <w:tc>
          <w:tcPr>
            <w:tcW w:w="907" w:type="dxa"/>
            <w:tcBorders>
              <w:top w:val="single" w:sz="12" w:space="0" w:color="auto"/>
              <w:left w:val="nil"/>
              <w:bottom w:val="nil"/>
              <w:right w:val="single" w:sz="12" w:space="0" w:color="auto"/>
            </w:tcBorders>
            <w:noWrap/>
            <w:vAlign w:val="center"/>
            <w:hideMark/>
          </w:tcPr>
          <w:p w14:paraId="5B58D803"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26.516</w:t>
            </w:r>
          </w:p>
        </w:tc>
        <w:tc>
          <w:tcPr>
            <w:tcW w:w="1206" w:type="dxa"/>
            <w:tcBorders>
              <w:top w:val="single" w:sz="12" w:space="0" w:color="auto"/>
              <w:left w:val="single" w:sz="12" w:space="0" w:color="auto"/>
              <w:bottom w:val="nil"/>
              <w:right w:val="nil"/>
            </w:tcBorders>
            <w:noWrap/>
            <w:vAlign w:val="center"/>
            <w:hideMark/>
          </w:tcPr>
          <w:p w14:paraId="7A63D0B0"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0.0604</w:t>
            </w:r>
          </w:p>
        </w:tc>
        <w:tc>
          <w:tcPr>
            <w:tcW w:w="907" w:type="dxa"/>
            <w:tcBorders>
              <w:top w:val="single" w:sz="12" w:space="0" w:color="auto"/>
              <w:left w:val="nil"/>
              <w:bottom w:val="nil"/>
              <w:right w:val="single" w:sz="12" w:space="0" w:color="auto"/>
            </w:tcBorders>
            <w:noWrap/>
            <w:vAlign w:val="center"/>
            <w:hideMark/>
          </w:tcPr>
          <w:p w14:paraId="6249FBD4"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7.458</w:t>
            </w:r>
          </w:p>
        </w:tc>
        <w:tc>
          <w:tcPr>
            <w:tcW w:w="1206" w:type="dxa"/>
            <w:tcBorders>
              <w:top w:val="single" w:sz="12" w:space="0" w:color="auto"/>
              <w:left w:val="single" w:sz="12" w:space="0" w:color="auto"/>
              <w:bottom w:val="nil"/>
              <w:right w:val="nil"/>
            </w:tcBorders>
            <w:noWrap/>
            <w:vAlign w:val="center"/>
            <w:hideMark/>
          </w:tcPr>
          <w:p w14:paraId="4B4ED2A6"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0.0774</w:t>
            </w:r>
          </w:p>
        </w:tc>
        <w:tc>
          <w:tcPr>
            <w:tcW w:w="907" w:type="dxa"/>
            <w:tcBorders>
              <w:top w:val="single" w:sz="12" w:space="0" w:color="auto"/>
              <w:left w:val="nil"/>
              <w:bottom w:val="nil"/>
              <w:right w:val="single" w:sz="12" w:space="0" w:color="auto"/>
            </w:tcBorders>
            <w:noWrap/>
            <w:vAlign w:val="center"/>
            <w:hideMark/>
          </w:tcPr>
          <w:p w14:paraId="29F413F5"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18.996</w:t>
            </w:r>
          </w:p>
        </w:tc>
      </w:tr>
      <w:tr w:rsidR="0086169E" w:rsidRPr="00713BA4" w14:paraId="1CF297F0"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221F65DB"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2993531C"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Midday</w:t>
            </w:r>
          </w:p>
        </w:tc>
        <w:tc>
          <w:tcPr>
            <w:tcW w:w="1206" w:type="dxa"/>
            <w:tcBorders>
              <w:top w:val="nil"/>
              <w:left w:val="single" w:sz="12" w:space="0" w:color="auto"/>
              <w:bottom w:val="nil"/>
              <w:right w:val="nil"/>
            </w:tcBorders>
            <w:noWrap/>
            <w:vAlign w:val="center"/>
            <w:hideMark/>
          </w:tcPr>
          <w:p w14:paraId="13E816C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0.1524</w:t>
            </w:r>
          </w:p>
        </w:tc>
        <w:tc>
          <w:tcPr>
            <w:tcW w:w="931" w:type="dxa"/>
            <w:tcBorders>
              <w:top w:val="nil"/>
              <w:left w:val="nil"/>
              <w:bottom w:val="nil"/>
              <w:right w:val="single" w:sz="12" w:space="0" w:color="auto"/>
            </w:tcBorders>
            <w:noWrap/>
            <w:vAlign w:val="center"/>
            <w:hideMark/>
          </w:tcPr>
          <w:p w14:paraId="49BE1C8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28.284</w:t>
            </w:r>
          </w:p>
        </w:tc>
        <w:tc>
          <w:tcPr>
            <w:tcW w:w="1206" w:type="dxa"/>
            <w:tcBorders>
              <w:top w:val="nil"/>
              <w:left w:val="single" w:sz="12" w:space="0" w:color="auto"/>
              <w:bottom w:val="nil"/>
              <w:right w:val="nil"/>
            </w:tcBorders>
            <w:noWrap/>
            <w:vAlign w:val="center"/>
            <w:hideMark/>
          </w:tcPr>
          <w:p w14:paraId="1D58E07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0.1491</w:t>
            </w:r>
          </w:p>
        </w:tc>
        <w:tc>
          <w:tcPr>
            <w:tcW w:w="907" w:type="dxa"/>
            <w:tcBorders>
              <w:top w:val="nil"/>
              <w:left w:val="nil"/>
              <w:bottom w:val="nil"/>
              <w:right w:val="single" w:sz="12" w:space="0" w:color="auto"/>
            </w:tcBorders>
            <w:noWrap/>
            <w:vAlign w:val="center"/>
            <w:hideMark/>
          </w:tcPr>
          <w:p w14:paraId="75A77636"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33.337</w:t>
            </w:r>
          </w:p>
        </w:tc>
        <w:tc>
          <w:tcPr>
            <w:tcW w:w="1206" w:type="dxa"/>
            <w:tcBorders>
              <w:top w:val="nil"/>
              <w:left w:val="single" w:sz="12" w:space="0" w:color="auto"/>
              <w:bottom w:val="nil"/>
              <w:right w:val="nil"/>
            </w:tcBorders>
            <w:noWrap/>
            <w:vAlign w:val="center"/>
            <w:hideMark/>
          </w:tcPr>
          <w:p w14:paraId="346EFF09"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0.1952</w:t>
            </w:r>
          </w:p>
        </w:tc>
        <w:tc>
          <w:tcPr>
            <w:tcW w:w="907" w:type="dxa"/>
            <w:tcBorders>
              <w:top w:val="nil"/>
              <w:left w:val="nil"/>
              <w:bottom w:val="nil"/>
              <w:right w:val="single" w:sz="12" w:space="0" w:color="auto"/>
            </w:tcBorders>
            <w:noWrap/>
            <w:vAlign w:val="center"/>
            <w:hideMark/>
          </w:tcPr>
          <w:p w14:paraId="213ADB3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50.106</w:t>
            </w:r>
          </w:p>
        </w:tc>
        <w:tc>
          <w:tcPr>
            <w:tcW w:w="1206" w:type="dxa"/>
            <w:tcBorders>
              <w:top w:val="nil"/>
              <w:left w:val="single" w:sz="12" w:space="0" w:color="auto"/>
              <w:bottom w:val="nil"/>
              <w:right w:val="nil"/>
            </w:tcBorders>
            <w:noWrap/>
            <w:vAlign w:val="center"/>
            <w:hideMark/>
          </w:tcPr>
          <w:p w14:paraId="69F8390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0.2044</w:t>
            </w:r>
          </w:p>
        </w:tc>
        <w:tc>
          <w:tcPr>
            <w:tcW w:w="907" w:type="dxa"/>
            <w:tcBorders>
              <w:top w:val="nil"/>
              <w:left w:val="nil"/>
              <w:bottom w:val="nil"/>
              <w:right w:val="single" w:sz="12" w:space="0" w:color="auto"/>
            </w:tcBorders>
            <w:noWrap/>
            <w:vAlign w:val="center"/>
            <w:hideMark/>
          </w:tcPr>
          <w:p w14:paraId="72B1756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49.926</w:t>
            </w:r>
          </w:p>
        </w:tc>
      </w:tr>
      <w:tr w:rsidR="0086169E" w:rsidRPr="00713BA4" w14:paraId="357B04F1"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21BB94A7"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34428291"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PM</w:t>
            </w:r>
          </w:p>
        </w:tc>
        <w:tc>
          <w:tcPr>
            <w:tcW w:w="1206" w:type="dxa"/>
            <w:tcBorders>
              <w:top w:val="nil"/>
              <w:left w:val="single" w:sz="12" w:space="0" w:color="auto"/>
              <w:bottom w:val="nil"/>
              <w:right w:val="nil"/>
            </w:tcBorders>
            <w:noWrap/>
            <w:vAlign w:val="center"/>
            <w:hideMark/>
          </w:tcPr>
          <w:p w14:paraId="7697BB7B"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0.1561</w:t>
            </w:r>
          </w:p>
        </w:tc>
        <w:tc>
          <w:tcPr>
            <w:tcW w:w="931" w:type="dxa"/>
            <w:tcBorders>
              <w:top w:val="nil"/>
              <w:left w:val="nil"/>
              <w:bottom w:val="nil"/>
              <w:right w:val="single" w:sz="12" w:space="0" w:color="auto"/>
            </w:tcBorders>
            <w:noWrap/>
            <w:vAlign w:val="center"/>
            <w:hideMark/>
          </w:tcPr>
          <w:p w14:paraId="3600507A"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16.036</w:t>
            </w:r>
          </w:p>
        </w:tc>
        <w:tc>
          <w:tcPr>
            <w:tcW w:w="1206" w:type="dxa"/>
            <w:tcBorders>
              <w:top w:val="nil"/>
              <w:left w:val="single" w:sz="12" w:space="0" w:color="auto"/>
              <w:bottom w:val="nil"/>
              <w:right w:val="nil"/>
            </w:tcBorders>
            <w:noWrap/>
            <w:vAlign w:val="center"/>
            <w:hideMark/>
          </w:tcPr>
          <w:p w14:paraId="451C1649"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0.1361</w:t>
            </w:r>
          </w:p>
        </w:tc>
        <w:tc>
          <w:tcPr>
            <w:tcW w:w="907" w:type="dxa"/>
            <w:tcBorders>
              <w:top w:val="nil"/>
              <w:left w:val="nil"/>
              <w:bottom w:val="nil"/>
              <w:right w:val="single" w:sz="12" w:space="0" w:color="auto"/>
            </w:tcBorders>
            <w:noWrap/>
            <w:vAlign w:val="center"/>
            <w:hideMark/>
          </w:tcPr>
          <w:p w14:paraId="618FD0AD"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15.104</w:t>
            </w:r>
          </w:p>
        </w:tc>
        <w:tc>
          <w:tcPr>
            <w:tcW w:w="1206" w:type="dxa"/>
            <w:tcBorders>
              <w:top w:val="nil"/>
              <w:left w:val="single" w:sz="12" w:space="0" w:color="auto"/>
              <w:bottom w:val="nil"/>
              <w:right w:val="nil"/>
            </w:tcBorders>
            <w:noWrap/>
            <w:vAlign w:val="center"/>
            <w:hideMark/>
          </w:tcPr>
          <w:p w14:paraId="654554BD"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0.1857</w:t>
            </w:r>
          </w:p>
        </w:tc>
        <w:tc>
          <w:tcPr>
            <w:tcW w:w="907" w:type="dxa"/>
            <w:tcBorders>
              <w:top w:val="nil"/>
              <w:left w:val="nil"/>
              <w:bottom w:val="nil"/>
              <w:right w:val="single" w:sz="12" w:space="0" w:color="auto"/>
            </w:tcBorders>
            <w:noWrap/>
            <w:vAlign w:val="center"/>
            <w:hideMark/>
          </w:tcPr>
          <w:p w14:paraId="2FD0B2F9"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25.949</w:t>
            </w:r>
          </w:p>
        </w:tc>
        <w:tc>
          <w:tcPr>
            <w:tcW w:w="1206" w:type="dxa"/>
            <w:tcBorders>
              <w:top w:val="nil"/>
              <w:left w:val="single" w:sz="12" w:space="0" w:color="auto"/>
              <w:bottom w:val="nil"/>
              <w:right w:val="nil"/>
            </w:tcBorders>
            <w:noWrap/>
            <w:vAlign w:val="center"/>
            <w:hideMark/>
          </w:tcPr>
          <w:p w14:paraId="746ECBE7"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0.1782</w:t>
            </w:r>
          </w:p>
        </w:tc>
        <w:tc>
          <w:tcPr>
            <w:tcW w:w="907" w:type="dxa"/>
            <w:tcBorders>
              <w:top w:val="nil"/>
              <w:left w:val="nil"/>
              <w:bottom w:val="nil"/>
              <w:right w:val="single" w:sz="12" w:space="0" w:color="auto"/>
            </w:tcBorders>
            <w:noWrap/>
            <w:vAlign w:val="center"/>
            <w:hideMark/>
          </w:tcPr>
          <w:p w14:paraId="599147C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36.405</w:t>
            </w:r>
          </w:p>
        </w:tc>
      </w:tr>
      <w:tr w:rsidR="0086169E" w:rsidRPr="00713BA4" w14:paraId="23FED3FF"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4B796A1E"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0BE8CF34" w14:textId="7EB0548C"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Even</w:t>
            </w:r>
            <w:r w:rsidR="000167E1">
              <w:rPr>
                <w:rFonts w:cs="Times New Roman"/>
                <w:sz w:val="20"/>
                <w:szCs w:val="20"/>
              </w:rPr>
              <w:t>ing</w:t>
            </w:r>
          </w:p>
        </w:tc>
        <w:tc>
          <w:tcPr>
            <w:tcW w:w="1206" w:type="dxa"/>
            <w:tcBorders>
              <w:top w:val="nil"/>
              <w:left w:val="single" w:sz="12" w:space="0" w:color="auto"/>
              <w:bottom w:val="nil"/>
              <w:right w:val="nil"/>
            </w:tcBorders>
            <w:noWrap/>
            <w:vAlign w:val="center"/>
            <w:hideMark/>
          </w:tcPr>
          <w:p w14:paraId="7D61AA3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0.0092</w:t>
            </w:r>
          </w:p>
        </w:tc>
        <w:tc>
          <w:tcPr>
            <w:tcW w:w="931" w:type="dxa"/>
            <w:tcBorders>
              <w:top w:val="nil"/>
              <w:left w:val="nil"/>
              <w:bottom w:val="nil"/>
              <w:right w:val="single" w:sz="12" w:space="0" w:color="auto"/>
            </w:tcBorders>
            <w:noWrap/>
            <w:vAlign w:val="center"/>
            <w:hideMark/>
          </w:tcPr>
          <w:p w14:paraId="26CD211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1.748</w:t>
            </w:r>
          </w:p>
        </w:tc>
        <w:tc>
          <w:tcPr>
            <w:tcW w:w="1206" w:type="dxa"/>
            <w:tcBorders>
              <w:top w:val="nil"/>
              <w:left w:val="single" w:sz="12" w:space="0" w:color="auto"/>
              <w:bottom w:val="nil"/>
              <w:right w:val="nil"/>
            </w:tcBorders>
            <w:noWrap/>
            <w:vAlign w:val="center"/>
            <w:hideMark/>
          </w:tcPr>
          <w:p w14:paraId="267BEA24" w14:textId="3206DC35" w:rsidR="00661119" w:rsidRPr="00713BA4" w:rsidRDefault="00272066" w:rsidP="00357AF6">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7AD23F0A" w14:textId="30045A3E" w:rsidR="00661119" w:rsidRPr="00713BA4" w:rsidRDefault="00272066" w:rsidP="00357AF6">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6EC96C46"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0.0440</w:t>
            </w:r>
          </w:p>
        </w:tc>
        <w:tc>
          <w:tcPr>
            <w:tcW w:w="907" w:type="dxa"/>
            <w:tcBorders>
              <w:top w:val="nil"/>
              <w:left w:val="nil"/>
              <w:bottom w:val="nil"/>
              <w:right w:val="single" w:sz="12" w:space="0" w:color="auto"/>
            </w:tcBorders>
            <w:noWrap/>
            <w:vAlign w:val="center"/>
            <w:hideMark/>
          </w:tcPr>
          <w:p w14:paraId="404BAD32"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11.389</w:t>
            </w:r>
          </w:p>
        </w:tc>
        <w:tc>
          <w:tcPr>
            <w:tcW w:w="1206" w:type="dxa"/>
            <w:tcBorders>
              <w:top w:val="nil"/>
              <w:left w:val="single" w:sz="12" w:space="0" w:color="auto"/>
              <w:bottom w:val="nil"/>
              <w:right w:val="nil"/>
            </w:tcBorders>
            <w:noWrap/>
            <w:vAlign w:val="center"/>
            <w:hideMark/>
          </w:tcPr>
          <w:p w14:paraId="32402311"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0.0423</w:t>
            </w:r>
          </w:p>
        </w:tc>
        <w:tc>
          <w:tcPr>
            <w:tcW w:w="907" w:type="dxa"/>
            <w:tcBorders>
              <w:top w:val="nil"/>
              <w:left w:val="nil"/>
              <w:bottom w:val="nil"/>
              <w:right w:val="single" w:sz="12" w:space="0" w:color="auto"/>
            </w:tcBorders>
            <w:noWrap/>
            <w:vAlign w:val="center"/>
            <w:hideMark/>
          </w:tcPr>
          <w:p w14:paraId="618E1D17"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10.896</w:t>
            </w:r>
          </w:p>
        </w:tc>
      </w:tr>
      <w:tr w:rsidR="0086169E" w:rsidRPr="00713BA4" w14:paraId="11F1B2F2"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0217B2E9"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62373CE1"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Weekend</w:t>
            </w:r>
          </w:p>
        </w:tc>
        <w:tc>
          <w:tcPr>
            <w:tcW w:w="1206" w:type="dxa"/>
            <w:tcBorders>
              <w:top w:val="nil"/>
              <w:left w:val="single" w:sz="12" w:space="0" w:color="auto"/>
              <w:bottom w:val="nil"/>
              <w:right w:val="nil"/>
            </w:tcBorders>
            <w:noWrap/>
            <w:vAlign w:val="center"/>
            <w:hideMark/>
          </w:tcPr>
          <w:p w14:paraId="7C27725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-0.0491</w:t>
            </w:r>
          </w:p>
        </w:tc>
        <w:tc>
          <w:tcPr>
            <w:tcW w:w="931" w:type="dxa"/>
            <w:tcBorders>
              <w:top w:val="nil"/>
              <w:left w:val="nil"/>
              <w:bottom w:val="nil"/>
              <w:right w:val="single" w:sz="12" w:space="0" w:color="auto"/>
            </w:tcBorders>
            <w:noWrap/>
            <w:vAlign w:val="center"/>
            <w:hideMark/>
          </w:tcPr>
          <w:p w14:paraId="105A1B9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-13.617</w:t>
            </w:r>
          </w:p>
        </w:tc>
        <w:tc>
          <w:tcPr>
            <w:tcW w:w="1206" w:type="dxa"/>
            <w:tcBorders>
              <w:top w:val="nil"/>
              <w:left w:val="single" w:sz="12" w:space="0" w:color="auto"/>
              <w:bottom w:val="nil"/>
              <w:right w:val="nil"/>
            </w:tcBorders>
            <w:noWrap/>
            <w:vAlign w:val="center"/>
            <w:hideMark/>
          </w:tcPr>
          <w:p w14:paraId="6BE2563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-0.0493</w:t>
            </w:r>
          </w:p>
        </w:tc>
        <w:tc>
          <w:tcPr>
            <w:tcW w:w="907" w:type="dxa"/>
            <w:tcBorders>
              <w:top w:val="nil"/>
              <w:left w:val="nil"/>
              <w:bottom w:val="nil"/>
              <w:right w:val="single" w:sz="12" w:space="0" w:color="auto"/>
            </w:tcBorders>
            <w:noWrap/>
            <w:vAlign w:val="center"/>
            <w:hideMark/>
          </w:tcPr>
          <w:p w14:paraId="651333D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-13.453</w:t>
            </w:r>
          </w:p>
        </w:tc>
        <w:tc>
          <w:tcPr>
            <w:tcW w:w="1206" w:type="dxa"/>
            <w:tcBorders>
              <w:top w:val="nil"/>
              <w:left w:val="single" w:sz="12" w:space="0" w:color="auto"/>
              <w:bottom w:val="nil"/>
              <w:right w:val="nil"/>
            </w:tcBorders>
            <w:noWrap/>
            <w:vAlign w:val="center"/>
            <w:hideMark/>
          </w:tcPr>
          <w:p w14:paraId="2CB84BEB"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0.0863</w:t>
            </w:r>
          </w:p>
        </w:tc>
        <w:tc>
          <w:tcPr>
            <w:tcW w:w="907" w:type="dxa"/>
            <w:tcBorders>
              <w:top w:val="nil"/>
              <w:left w:val="nil"/>
              <w:bottom w:val="nil"/>
              <w:right w:val="single" w:sz="12" w:space="0" w:color="auto"/>
            </w:tcBorders>
            <w:noWrap/>
            <w:vAlign w:val="center"/>
            <w:hideMark/>
          </w:tcPr>
          <w:p w14:paraId="35455289"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27.156</w:t>
            </w:r>
          </w:p>
        </w:tc>
        <w:tc>
          <w:tcPr>
            <w:tcW w:w="1206" w:type="dxa"/>
            <w:tcBorders>
              <w:top w:val="nil"/>
              <w:left w:val="single" w:sz="12" w:space="0" w:color="auto"/>
              <w:bottom w:val="nil"/>
              <w:right w:val="nil"/>
            </w:tcBorders>
            <w:noWrap/>
            <w:vAlign w:val="center"/>
            <w:hideMark/>
          </w:tcPr>
          <w:p w14:paraId="3F7C1548"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0.0860</w:t>
            </w:r>
          </w:p>
        </w:tc>
        <w:tc>
          <w:tcPr>
            <w:tcW w:w="907" w:type="dxa"/>
            <w:tcBorders>
              <w:top w:val="nil"/>
              <w:left w:val="nil"/>
              <w:bottom w:val="nil"/>
              <w:right w:val="single" w:sz="12" w:space="0" w:color="auto"/>
            </w:tcBorders>
            <w:noWrap/>
            <w:vAlign w:val="center"/>
            <w:hideMark/>
          </w:tcPr>
          <w:p w14:paraId="164937E3"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26.662</w:t>
            </w:r>
          </w:p>
        </w:tc>
      </w:tr>
      <w:tr w:rsidR="0086169E" w:rsidRPr="00713BA4" w14:paraId="6330A337"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006A993A"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1484F919"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Relative Humidity</w:t>
            </w:r>
          </w:p>
        </w:tc>
        <w:tc>
          <w:tcPr>
            <w:tcW w:w="1206" w:type="dxa"/>
            <w:tcBorders>
              <w:top w:val="nil"/>
              <w:left w:val="single" w:sz="12" w:space="0" w:color="auto"/>
              <w:bottom w:val="nil"/>
              <w:right w:val="nil"/>
            </w:tcBorders>
            <w:noWrap/>
            <w:vAlign w:val="center"/>
            <w:hideMark/>
          </w:tcPr>
          <w:p w14:paraId="4C55024F"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-0.1562</w:t>
            </w:r>
          </w:p>
        </w:tc>
        <w:tc>
          <w:tcPr>
            <w:tcW w:w="931" w:type="dxa"/>
            <w:tcBorders>
              <w:top w:val="nil"/>
              <w:left w:val="nil"/>
              <w:bottom w:val="nil"/>
              <w:right w:val="single" w:sz="12" w:space="0" w:color="auto"/>
            </w:tcBorders>
            <w:noWrap/>
            <w:vAlign w:val="center"/>
            <w:hideMark/>
          </w:tcPr>
          <w:p w14:paraId="744667F3"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-14.960</w:t>
            </w:r>
          </w:p>
        </w:tc>
        <w:tc>
          <w:tcPr>
            <w:tcW w:w="1206" w:type="dxa"/>
            <w:tcBorders>
              <w:top w:val="nil"/>
              <w:left w:val="single" w:sz="12" w:space="0" w:color="auto"/>
              <w:bottom w:val="nil"/>
              <w:right w:val="nil"/>
            </w:tcBorders>
            <w:noWrap/>
            <w:vAlign w:val="center"/>
            <w:hideMark/>
          </w:tcPr>
          <w:p w14:paraId="4C0ED64E"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-0.1604</w:t>
            </w:r>
          </w:p>
        </w:tc>
        <w:tc>
          <w:tcPr>
            <w:tcW w:w="907" w:type="dxa"/>
            <w:tcBorders>
              <w:top w:val="nil"/>
              <w:left w:val="nil"/>
              <w:bottom w:val="nil"/>
              <w:right w:val="single" w:sz="12" w:space="0" w:color="auto"/>
            </w:tcBorders>
            <w:noWrap/>
            <w:vAlign w:val="center"/>
            <w:hideMark/>
          </w:tcPr>
          <w:p w14:paraId="7040401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-15.331</w:t>
            </w:r>
          </w:p>
        </w:tc>
        <w:tc>
          <w:tcPr>
            <w:tcW w:w="1206" w:type="dxa"/>
            <w:tcBorders>
              <w:top w:val="nil"/>
              <w:left w:val="single" w:sz="12" w:space="0" w:color="auto"/>
              <w:bottom w:val="nil"/>
              <w:right w:val="nil"/>
            </w:tcBorders>
            <w:noWrap/>
            <w:vAlign w:val="center"/>
            <w:hideMark/>
          </w:tcPr>
          <w:p w14:paraId="6BE745FC"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-0.0418</w:t>
            </w:r>
          </w:p>
        </w:tc>
        <w:tc>
          <w:tcPr>
            <w:tcW w:w="907" w:type="dxa"/>
            <w:tcBorders>
              <w:top w:val="nil"/>
              <w:left w:val="nil"/>
              <w:bottom w:val="nil"/>
              <w:right w:val="single" w:sz="12" w:space="0" w:color="auto"/>
            </w:tcBorders>
            <w:noWrap/>
            <w:vAlign w:val="center"/>
            <w:hideMark/>
          </w:tcPr>
          <w:p w14:paraId="2274C52B"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-4.781</w:t>
            </w:r>
          </w:p>
        </w:tc>
        <w:tc>
          <w:tcPr>
            <w:tcW w:w="1206" w:type="dxa"/>
            <w:tcBorders>
              <w:top w:val="nil"/>
              <w:left w:val="single" w:sz="12" w:space="0" w:color="auto"/>
              <w:bottom w:val="nil"/>
              <w:right w:val="nil"/>
            </w:tcBorders>
            <w:noWrap/>
            <w:vAlign w:val="center"/>
            <w:hideMark/>
          </w:tcPr>
          <w:p w14:paraId="74BCB66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-0.0245</w:t>
            </w:r>
          </w:p>
        </w:tc>
        <w:tc>
          <w:tcPr>
            <w:tcW w:w="907" w:type="dxa"/>
            <w:tcBorders>
              <w:top w:val="nil"/>
              <w:left w:val="nil"/>
              <w:bottom w:val="nil"/>
              <w:right w:val="single" w:sz="12" w:space="0" w:color="auto"/>
            </w:tcBorders>
            <w:noWrap/>
            <w:vAlign w:val="center"/>
            <w:hideMark/>
          </w:tcPr>
          <w:p w14:paraId="06AE2E3E"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-2.762</w:t>
            </w:r>
          </w:p>
        </w:tc>
      </w:tr>
      <w:tr w:rsidR="0086169E" w:rsidRPr="00713BA4" w14:paraId="546287A7"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5BF252A4" w14:textId="77777777" w:rsidR="00661119" w:rsidRPr="00713BA4" w:rsidRDefault="00661119" w:rsidP="00357AF6">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single" w:sz="12" w:space="0" w:color="auto"/>
              <w:right w:val="single" w:sz="12" w:space="0" w:color="auto"/>
            </w:tcBorders>
            <w:noWrap/>
            <w:vAlign w:val="center"/>
            <w:hideMark/>
          </w:tcPr>
          <w:p w14:paraId="7A59395D" w14:textId="77777777" w:rsidR="00661119" w:rsidRPr="00713BA4" w:rsidRDefault="00661119" w:rsidP="00B13514">
            <w:pPr>
              <w:autoSpaceDE w:val="0"/>
              <w:autoSpaceDN w:val="0"/>
              <w:adjustRightInd w:val="0"/>
              <w:spacing w:before="0" w:after="0"/>
              <w:jc w:val="left"/>
              <w:rPr>
                <w:rFonts w:cs="Times New Roman"/>
                <w:sz w:val="20"/>
                <w:szCs w:val="20"/>
              </w:rPr>
            </w:pPr>
            <w:r w:rsidRPr="00713BA4">
              <w:rPr>
                <w:rFonts w:cs="Times New Roman"/>
                <w:sz w:val="20"/>
                <w:szCs w:val="20"/>
              </w:rPr>
              <w:t>Rainy</w:t>
            </w:r>
          </w:p>
        </w:tc>
        <w:tc>
          <w:tcPr>
            <w:tcW w:w="1206" w:type="dxa"/>
            <w:tcBorders>
              <w:top w:val="nil"/>
              <w:left w:val="single" w:sz="12" w:space="0" w:color="auto"/>
              <w:bottom w:val="single" w:sz="12" w:space="0" w:color="auto"/>
              <w:right w:val="nil"/>
            </w:tcBorders>
            <w:noWrap/>
            <w:vAlign w:val="center"/>
            <w:hideMark/>
          </w:tcPr>
          <w:p w14:paraId="4BFA922E"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-0.2201</w:t>
            </w:r>
          </w:p>
        </w:tc>
        <w:tc>
          <w:tcPr>
            <w:tcW w:w="931" w:type="dxa"/>
            <w:tcBorders>
              <w:top w:val="nil"/>
              <w:left w:val="nil"/>
              <w:bottom w:val="single" w:sz="12" w:space="0" w:color="auto"/>
              <w:right w:val="single" w:sz="12" w:space="0" w:color="auto"/>
            </w:tcBorders>
            <w:noWrap/>
            <w:vAlign w:val="center"/>
            <w:hideMark/>
          </w:tcPr>
          <w:p w14:paraId="66C6D00A"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-25.216</w:t>
            </w:r>
          </w:p>
        </w:tc>
        <w:tc>
          <w:tcPr>
            <w:tcW w:w="1206" w:type="dxa"/>
            <w:tcBorders>
              <w:top w:val="nil"/>
              <w:left w:val="single" w:sz="12" w:space="0" w:color="auto"/>
              <w:bottom w:val="single" w:sz="12" w:space="0" w:color="auto"/>
              <w:right w:val="nil"/>
            </w:tcBorders>
            <w:noWrap/>
            <w:vAlign w:val="center"/>
            <w:hideMark/>
          </w:tcPr>
          <w:p w14:paraId="74280DF6"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-0.2298</w:t>
            </w:r>
          </w:p>
        </w:tc>
        <w:tc>
          <w:tcPr>
            <w:tcW w:w="907" w:type="dxa"/>
            <w:tcBorders>
              <w:top w:val="nil"/>
              <w:left w:val="nil"/>
              <w:bottom w:val="single" w:sz="12" w:space="0" w:color="auto"/>
              <w:right w:val="single" w:sz="12" w:space="0" w:color="auto"/>
            </w:tcBorders>
            <w:noWrap/>
            <w:vAlign w:val="center"/>
            <w:hideMark/>
          </w:tcPr>
          <w:p w14:paraId="3FAC79A6"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-25.905</w:t>
            </w:r>
          </w:p>
        </w:tc>
        <w:tc>
          <w:tcPr>
            <w:tcW w:w="1206" w:type="dxa"/>
            <w:tcBorders>
              <w:top w:val="nil"/>
              <w:left w:val="single" w:sz="12" w:space="0" w:color="auto"/>
              <w:bottom w:val="single" w:sz="12" w:space="0" w:color="auto"/>
              <w:right w:val="nil"/>
            </w:tcBorders>
            <w:noWrap/>
            <w:vAlign w:val="center"/>
            <w:hideMark/>
          </w:tcPr>
          <w:p w14:paraId="56C3A2B4"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-0.1011</w:t>
            </w:r>
          </w:p>
        </w:tc>
        <w:tc>
          <w:tcPr>
            <w:tcW w:w="907" w:type="dxa"/>
            <w:tcBorders>
              <w:top w:val="nil"/>
              <w:left w:val="nil"/>
              <w:bottom w:val="single" w:sz="12" w:space="0" w:color="auto"/>
              <w:right w:val="single" w:sz="12" w:space="0" w:color="auto"/>
            </w:tcBorders>
            <w:noWrap/>
            <w:vAlign w:val="center"/>
            <w:hideMark/>
          </w:tcPr>
          <w:p w14:paraId="2A45C595"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-13.652</w:t>
            </w:r>
          </w:p>
        </w:tc>
        <w:tc>
          <w:tcPr>
            <w:tcW w:w="1206" w:type="dxa"/>
            <w:tcBorders>
              <w:top w:val="nil"/>
              <w:left w:val="single" w:sz="12" w:space="0" w:color="auto"/>
              <w:bottom w:val="single" w:sz="12" w:space="0" w:color="auto"/>
              <w:right w:val="nil"/>
            </w:tcBorders>
            <w:noWrap/>
            <w:vAlign w:val="center"/>
            <w:hideMark/>
          </w:tcPr>
          <w:p w14:paraId="51B9B813"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-0.1136</w:t>
            </w:r>
          </w:p>
        </w:tc>
        <w:tc>
          <w:tcPr>
            <w:tcW w:w="907" w:type="dxa"/>
            <w:tcBorders>
              <w:top w:val="nil"/>
              <w:left w:val="nil"/>
              <w:bottom w:val="single" w:sz="12" w:space="0" w:color="auto"/>
              <w:right w:val="single" w:sz="12" w:space="0" w:color="auto"/>
            </w:tcBorders>
            <w:noWrap/>
            <w:vAlign w:val="center"/>
            <w:hideMark/>
          </w:tcPr>
          <w:p w14:paraId="5CD78DAA" w14:textId="77777777" w:rsidR="00661119" w:rsidRPr="00713BA4" w:rsidRDefault="00661119" w:rsidP="00357AF6">
            <w:pPr>
              <w:autoSpaceDE w:val="0"/>
              <w:autoSpaceDN w:val="0"/>
              <w:adjustRightInd w:val="0"/>
              <w:spacing w:before="0" w:after="0"/>
              <w:jc w:val="center"/>
              <w:rPr>
                <w:rFonts w:cs="Times New Roman"/>
                <w:sz w:val="20"/>
                <w:szCs w:val="20"/>
              </w:rPr>
            </w:pPr>
            <w:r w:rsidRPr="00713BA4">
              <w:rPr>
                <w:rFonts w:cs="Times New Roman"/>
                <w:sz w:val="20"/>
                <w:szCs w:val="20"/>
              </w:rPr>
              <w:t>-15.120</w:t>
            </w:r>
          </w:p>
        </w:tc>
      </w:tr>
      <w:tr w:rsidR="0086169E" w:rsidRPr="00713BA4" w14:paraId="20A17987" w14:textId="77777777" w:rsidTr="0086169E">
        <w:trPr>
          <w:cantSplit/>
          <w:trHeight w:val="20"/>
        </w:trPr>
        <w:tc>
          <w:tcPr>
            <w:tcW w:w="680"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62FAE3CA" w14:textId="77777777" w:rsidR="00661119" w:rsidRPr="00713BA4" w:rsidRDefault="00661119" w:rsidP="00B13514">
            <w:pPr>
              <w:autoSpaceDE w:val="0"/>
              <w:autoSpaceDN w:val="0"/>
              <w:adjustRightInd w:val="0"/>
              <w:spacing w:before="0" w:after="0"/>
              <w:ind w:left="113" w:right="113"/>
              <w:jc w:val="center"/>
              <w:rPr>
                <w:rFonts w:cs="Times New Roman"/>
                <w:sz w:val="20"/>
                <w:szCs w:val="20"/>
              </w:rPr>
            </w:pPr>
            <w:r w:rsidRPr="00713BA4">
              <w:rPr>
                <w:rFonts w:cs="Times New Roman"/>
                <w:sz w:val="20"/>
                <w:szCs w:val="20"/>
              </w:rPr>
              <w:t>Built Environment Attributes</w:t>
            </w:r>
          </w:p>
        </w:tc>
        <w:tc>
          <w:tcPr>
            <w:tcW w:w="4535" w:type="dxa"/>
            <w:tcBorders>
              <w:top w:val="single" w:sz="12" w:space="0" w:color="auto"/>
              <w:left w:val="single" w:sz="12" w:space="0" w:color="auto"/>
              <w:bottom w:val="nil"/>
              <w:right w:val="single" w:sz="12" w:space="0" w:color="auto"/>
            </w:tcBorders>
            <w:noWrap/>
            <w:vAlign w:val="center"/>
            <w:hideMark/>
          </w:tcPr>
          <w:p w14:paraId="4E019938" w14:textId="77777777" w:rsidR="00661119" w:rsidRPr="00713BA4" w:rsidRDefault="00661119" w:rsidP="00B13514">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Length of Bicycle Routes in Buffer</w:t>
            </w:r>
          </w:p>
        </w:tc>
        <w:tc>
          <w:tcPr>
            <w:tcW w:w="1206" w:type="dxa"/>
            <w:tcBorders>
              <w:top w:val="single" w:sz="12" w:space="0" w:color="auto"/>
              <w:left w:val="single" w:sz="12" w:space="0" w:color="auto"/>
              <w:bottom w:val="nil"/>
              <w:right w:val="nil"/>
            </w:tcBorders>
            <w:noWrap/>
            <w:vAlign w:val="center"/>
            <w:hideMark/>
          </w:tcPr>
          <w:p w14:paraId="2E5FD535" w14:textId="3EA21BA7"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31" w:type="dxa"/>
            <w:tcBorders>
              <w:top w:val="single" w:sz="12" w:space="0" w:color="auto"/>
              <w:left w:val="nil"/>
              <w:bottom w:val="nil"/>
              <w:right w:val="single" w:sz="12" w:space="0" w:color="auto"/>
            </w:tcBorders>
            <w:noWrap/>
            <w:vAlign w:val="center"/>
            <w:hideMark/>
          </w:tcPr>
          <w:p w14:paraId="2D832041" w14:textId="6C0BB01B"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single" w:sz="12" w:space="0" w:color="auto"/>
              <w:left w:val="single" w:sz="12" w:space="0" w:color="auto"/>
              <w:bottom w:val="nil"/>
              <w:right w:val="nil"/>
            </w:tcBorders>
            <w:noWrap/>
            <w:vAlign w:val="center"/>
            <w:hideMark/>
          </w:tcPr>
          <w:p w14:paraId="1A793AD4" w14:textId="034CC85E"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single" w:sz="12" w:space="0" w:color="auto"/>
              <w:left w:val="nil"/>
              <w:bottom w:val="nil"/>
              <w:right w:val="single" w:sz="12" w:space="0" w:color="auto"/>
            </w:tcBorders>
            <w:noWrap/>
            <w:vAlign w:val="center"/>
            <w:hideMark/>
          </w:tcPr>
          <w:p w14:paraId="37D288FE" w14:textId="4C3AB55F"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single" w:sz="12" w:space="0" w:color="auto"/>
              <w:left w:val="single" w:sz="12" w:space="0" w:color="auto"/>
              <w:bottom w:val="nil"/>
              <w:right w:val="nil"/>
            </w:tcBorders>
            <w:noWrap/>
            <w:vAlign w:val="center"/>
            <w:hideMark/>
          </w:tcPr>
          <w:p w14:paraId="22DE5809"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0.0475</w:t>
            </w:r>
          </w:p>
        </w:tc>
        <w:tc>
          <w:tcPr>
            <w:tcW w:w="907" w:type="dxa"/>
            <w:tcBorders>
              <w:top w:val="single" w:sz="12" w:space="0" w:color="auto"/>
              <w:left w:val="nil"/>
              <w:bottom w:val="nil"/>
              <w:right w:val="single" w:sz="12" w:space="0" w:color="auto"/>
            </w:tcBorders>
            <w:noWrap/>
            <w:vAlign w:val="center"/>
            <w:hideMark/>
          </w:tcPr>
          <w:p w14:paraId="46E409FD"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1.948</w:t>
            </w:r>
          </w:p>
        </w:tc>
        <w:tc>
          <w:tcPr>
            <w:tcW w:w="1206" w:type="dxa"/>
            <w:tcBorders>
              <w:top w:val="single" w:sz="12" w:space="0" w:color="auto"/>
              <w:left w:val="single" w:sz="12" w:space="0" w:color="auto"/>
              <w:bottom w:val="nil"/>
              <w:right w:val="nil"/>
            </w:tcBorders>
            <w:noWrap/>
            <w:vAlign w:val="center"/>
            <w:hideMark/>
          </w:tcPr>
          <w:p w14:paraId="35601C02"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0.0418</w:t>
            </w:r>
          </w:p>
        </w:tc>
        <w:tc>
          <w:tcPr>
            <w:tcW w:w="907" w:type="dxa"/>
            <w:tcBorders>
              <w:top w:val="single" w:sz="12" w:space="0" w:color="auto"/>
              <w:left w:val="nil"/>
              <w:bottom w:val="nil"/>
              <w:right w:val="single" w:sz="12" w:space="0" w:color="auto"/>
            </w:tcBorders>
            <w:noWrap/>
            <w:vAlign w:val="center"/>
            <w:hideMark/>
          </w:tcPr>
          <w:p w14:paraId="431F3E2F"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1.988</w:t>
            </w:r>
          </w:p>
        </w:tc>
      </w:tr>
      <w:tr w:rsidR="0086169E" w:rsidRPr="00713BA4" w14:paraId="23DFCD01"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6DBFEB75" w14:textId="77777777" w:rsidR="00661119" w:rsidRPr="00713BA4" w:rsidRDefault="00661119" w:rsidP="00661119">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76B8E947" w14:textId="77777777" w:rsidR="00661119" w:rsidRPr="00713BA4" w:rsidRDefault="00661119" w:rsidP="00B13514">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Length of Rails in Buffer</w:t>
            </w:r>
          </w:p>
        </w:tc>
        <w:tc>
          <w:tcPr>
            <w:tcW w:w="1206" w:type="dxa"/>
            <w:tcBorders>
              <w:top w:val="nil"/>
              <w:left w:val="single" w:sz="12" w:space="0" w:color="auto"/>
              <w:bottom w:val="nil"/>
              <w:right w:val="nil"/>
            </w:tcBorders>
            <w:noWrap/>
            <w:vAlign w:val="center"/>
            <w:hideMark/>
          </w:tcPr>
          <w:p w14:paraId="2EDA39B6"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-0.0828</w:t>
            </w:r>
          </w:p>
        </w:tc>
        <w:tc>
          <w:tcPr>
            <w:tcW w:w="931" w:type="dxa"/>
            <w:tcBorders>
              <w:top w:val="nil"/>
              <w:left w:val="nil"/>
              <w:bottom w:val="nil"/>
              <w:right w:val="single" w:sz="12" w:space="0" w:color="auto"/>
            </w:tcBorders>
            <w:noWrap/>
            <w:vAlign w:val="center"/>
            <w:hideMark/>
          </w:tcPr>
          <w:p w14:paraId="04E4CAC5"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-3.593</w:t>
            </w:r>
          </w:p>
        </w:tc>
        <w:tc>
          <w:tcPr>
            <w:tcW w:w="1206" w:type="dxa"/>
            <w:tcBorders>
              <w:top w:val="nil"/>
              <w:left w:val="single" w:sz="12" w:space="0" w:color="auto"/>
              <w:bottom w:val="nil"/>
              <w:right w:val="nil"/>
            </w:tcBorders>
            <w:noWrap/>
            <w:vAlign w:val="center"/>
            <w:hideMark/>
          </w:tcPr>
          <w:p w14:paraId="58439E43"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-0.0915</w:t>
            </w:r>
          </w:p>
        </w:tc>
        <w:tc>
          <w:tcPr>
            <w:tcW w:w="907" w:type="dxa"/>
            <w:tcBorders>
              <w:top w:val="nil"/>
              <w:left w:val="nil"/>
              <w:bottom w:val="nil"/>
              <w:right w:val="single" w:sz="12" w:space="0" w:color="auto"/>
            </w:tcBorders>
            <w:noWrap/>
            <w:vAlign w:val="center"/>
            <w:hideMark/>
          </w:tcPr>
          <w:p w14:paraId="351B611C"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-3.761</w:t>
            </w:r>
          </w:p>
        </w:tc>
        <w:tc>
          <w:tcPr>
            <w:tcW w:w="1206" w:type="dxa"/>
            <w:tcBorders>
              <w:top w:val="nil"/>
              <w:left w:val="single" w:sz="12" w:space="0" w:color="auto"/>
              <w:bottom w:val="nil"/>
              <w:right w:val="nil"/>
            </w:tcBorders>
            <w:noWrap/>
            <w:vAlign w:val="center"/>
            <w:hideMark/>
          </w:tcPr>
          <w:p w14:paraId="766930CE"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-0.1052</w:t>
            </w:r>
          </w:p>
        </w:tc>
        <w:tc>
          <w:tcPr>
            <w:tcW w:w="907" w:type="dxa"/>
            <w:tcBorders>
              <w:top w:val="nil"/>
              <w:left w:val="nil"/>
              <w:bottom w:val="nil"/>
              <w:right w:val="single" w:sz="12" w:space="0" w:color="auto"/>
            </w:tcBorders>
            <w:noWrap/>
            <w:vAlign w:val="center"/>
            <w:hideMark/>
          </w:tcPr>
          <w:p w14:paraId="3C825389"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-4.516</w:t>
            </w:r>
          </w:p>
        </w:tc>
        <w:tc>
          <w:tcPr>
            <w:tcW w:w="1206" w:type="dxa"/>
            <w:tcBorders>
              <w:top w:val="nil"/>
              <w:left w:val="single" w:sz="12" w:space="0" w:color="auto"/>
              <w:bottom w:val="nil"/>
              <w:right w:val="nil"/>
            </w:tcBorders>
            <w:noWrap/>
            <w:vAlign w:val="center"/>
            <w:hideMark/>
          </w:tcPr>
          <w:p w14:paraId="6ECB7C9E"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-0.0896</w:t>
            </w:r>
          </w:p>
        </w:tc>
        <w:tc>
          <w:tcPr>
            <w:tcW w:w="907" w:type="dxa"/>
            <w:tcBorders>
              <w:top w:val="nil"/>
              <w:left w:val="nil"/>
              <w:bottom w:val="nil"/>
              <w:right w:val="single" w:sz="12" w:space="0" w:color="auto"/>
            </w:tcBorders>
            <w:noWrap/>
            <w:vAlign w:val="center"/>
            <w:hideMark/>
          </w:tcPr>
          <w:p w14:paraId="0F78AF0A"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-4.458</w:t>
            </w:r>
          </w:p>
        </w:tc>
      </w:tr>
      <w:tr w:rsidR="0086169E" w:rsidRPr="00713BA4" w14:paraId="153D0297"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5BC865F2" w14:textId="77777777" w:rsidR="00661119" w:rsidRPr="00713BA4" w:rsidRDefault="00661119" w:rsidP="00661119">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31FBD2CD" w14:textId="77777777" w:rsidR="00661119" w:rsidRPr="00713BA4" w:rsidRDefault="00661119" w:rsidP="00B13514">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Presence of Subway Station in Buffer</w:t>
            </w:r>
          </w:p>
        </w:tc>
        <w:tc>
          <w:tcPr>
            <w:tcW w:w="1206" w:type="dxa"/>
            <w:tcBorders>
              <w:top w:val="nil"/>
              <w:left w:val="single" w:sz="12" w:space="0" w:color="auto"/>
              <w:bottom w:val="nil"/>
              <w:right w:val="nil"/>
            </w:tcBorders>
            <w:noWrap/>
            <w:vAlign w:val="center"/>
            <w:hideMark/>
          </w:tcPr>
          <w:p w14:paraId="24D2CCCE"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0.0839</w:t>
            </w:r>
          </w:p>
        </w:tc>
        <w:tc>
          <w:tcPr>
            <w:tcW w:w="931" w:type="dxa"/>
            <w:tcBorders>
              <w:top w:val="nil"/>
              <w:left w:val="nil"/>
              <w:bottom w:val="nil"/>
              <w:right w:val="single" w:sz="12" w:space="0" w:color="auto"/>
            </w:tcBorders>
            <w:noWrap/>
            <w:vAlign w:val="center"/>
            <w:hideMark/>
          </w:tcPr>
          <w:p w14:paraId="4607B581"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2.912</w:t>
            </w:r>
          </w:p>
        </w:tc>
        <w:tc>
          <w:tcPr>
            <w:tcW w:w="1206" w:type="dxa"/>
            <w:tcBorders>
              <w:top w:val="nil"/>
              <w:left w:val="single" w:sz="12" w:space="0" w:color="auto"/>
              <w:bottom w:val="nil"/>
              <w:right w:val="nil"/>
            </w:tcBorders>
            <w:noWrap/>
            <w:vAlign w:val="center"/>
            <w:hideMark/>
          </w:tcPr>
          <w:p w14:paraId="30CAF852"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0.0937</w:t>
            </w:r>
          </w:p>
        </w:tc>
        <w:tc>
          <w:tcPr>
            <w:tcW w:w="907" w:type="dxa"/>
            <w:tcBorders>
              <w:top w:val="nil"/>
              <w:left w:val="nil"/>
              <w:bottom w:val="nil"/>
              <w:right w:val="single" w:sz="12" w:space="0" w:color="auto"/>
            </w:tcBorders>
            <w:noWrap/>
            <w:vAlign w:val="center"/>
            <w:hideMark/>
          </w:tcPr>
          <w:p w14:paraId="75A52F30"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3.081</w:t>
            </w:r>
          </w:p>
        </w:tc>
        <w:tc>
          <w:tcPr>
            <w:tcW w:w="1206" w:type="dxa"/>
            <w:tcBorders>
              <w:top w:val="nil"/>
              <w:left w:val="single" w:sz="12" w:space="0" w:color="auto"/>
              <w:bottom w:val="nil"/>
              <w:right w:val="nil"/>
            </w:tcBorders>
            <w:noWrap/>
            <w:vAlign w:val="center"/>
            <w:hideMark/>
          </w:tcPr>
          <w:p w14:paraId="5D1036A0"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0.0624</w:t>
            </w:r>
          </w:p>
        </w:tc>
        <w:tc>
          <w:tcPr>
            <w:tcW w:w="907" w:type="dxa"/>
            <w:tcBorders>
              <w:top w:val="nil"/>
              <w:left w:val="nil"/>
              <w:bottom w:val="nil"/>
              <w:right w:val="single" w:sz="12" w:space="0" w:color="auto"/>
            </w:tcBorders>
            <w:noWrap/>
            <w:vAlign w:val="center"/>
            <w:hideMark/>
          </w:tcPr>
          <w:p w14:paraId="520C916F"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2.171</w:t>
            </w:r>
          </w:p>
        </w:tc>
        <w:tc>
          <w:tcPr>
            <w:tcW w:w="1206" w:type="dxa"/>
            <w:tcBorders>
              <w:top w:val="nil"/>
              <w:left w:val="single" w:sz="12" w:space="0" w:color="auto"/>
              <w:bottom w:val="nil"/>
              <w:right w:val="nil"/>
            </w:tcBorders>
            <w:noWrap/>
            <w:vAlign w:val="center"/>
            <w:hideMark/>
          </w:tcPr>
          <w:p w14:paraId="47342C16"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0.0564</w:t>
            </w:r>
          </w:p>
        </w:tc>
        <w:tc>
          <w:tcPr>
            <w:tcW w:w="907" w:type="dxa"/>
            <w:tcBorders>
              <w:top w:val="nil"/>
              <w:left w:val="nil"/>
              <w:bottom w:val="nil"/>
              <w:right w:val="single" w:sz="12" w:space="0" w:color="auto"/>
            </w:tcBorders>
            <w:noWrap/>
            <w:vAlign w:val="center"/>
            <w:hideMark/>
          </w:tcPr>
          <w:p w14:paraId="378C1CE3"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2.274</w:t>
            </w:r>
          </w:p>
        </w:tc>
      </w:tr>
      <w:tr w:rsidR="0086169E" w:rsidRPr="00713BA4" w14:paraId="74926FDE"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60991154" w14:textId="77777777" w:rsidR="00661119" w:rsidRPr="00713BA4" w:rsidRDefault="00661119" w:rsidP="00661119">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6B3A9F60" w14:textId="77777777" w:rsidR="00661119" w:rsidRPr="00713BA4" w:rsidRDefault="00661119" w:rsidP="00B13514">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Area of Parks in Buffer</w:t>
            </w:r>
          </w:p>
        </w:tc>
        <w:tc>
          <w:tcPr>
            <w:tcW w:w="1206" w:type="dxa"/>
            <w:tcBorders>
              <w:top w:val="nil"/>
              <w:left w:val="single" w:sz="12" w:space="0" w:color="auto"/>
              <w:bottom w:val="nil"/>
              <w:right w:val="nil"/>
            </w:tcBorders>
            <w:noWrap/>
            <w:vAlign w:val="center"/>
            <w:hideMark/>
          </w:tcPr>
          <w:p w14:paraId="43011A3D" w14:textId="41A3A949"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31" w:type="dxa"/>
            <w:tcBorders>
              <w:top w:val="nil"/>
              <w:left w:val="nil"/>
              <w:bottom w:val="nil"/>
              <w:right w:val="single" w:sz="12" w:space="0" w:color="auto"/>
            </w:tcBorders>
            <w:noWrap/>
            <w:vAlign w:val="center"/>
            <w:hideMark/>
          </w:tcPr>
          <w:p w14:paraId="1C587373" w14:textId="41610257"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0851BBBA" w14:textId="33AF833C"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429B83D8" w14:textId="6F4A5A68" w:rsidR="00661119" w:rsidRPr="00713BA4" w:rsidRDefault="00272066"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631DD4ED"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2.0842</w:t>
            </w:r>
          </w:p>
        </w:tc>
        <w:tc>
          <w:tcPr>
            <w:tcW w:w="907" w:type="dxa"/>
            <w:tcBorders>
              <w:top w:val="nil"/>
              <w:left w:val="nil"/>
              <w:bottom w:val="nil"/>
              <w:right w:val="single" w:sz="12" w:space="0" w:color="auto"/>
            </w:tcBorders>
            <w:noWrap/>
            <w:vAlign w:val="center"/>
            <w:hideMark/>
          </w:tcPr>
          <w:p w14:paraId="0A7E71AD"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2.214</w:t>
            </w:r>
          </w:p>
        </w:tc>
        <w:tc>
          <w:tcPr>
            <w:tcW w:w="1206" w:type="dxa"/>
            <w:tcBorders>
              <w:top w:val="nil"/>
              <w:left w:val="single" w:sz="12" w:space="0" w:color="auto"/>
              <w:bottom w:val="nil"/>
              <w:right w:val="nil"/>
            </w:tcBorders>
            <w:noWrap/>
            <w:vAlign w:val="center"/>
            <w:hideMark/>
          </w:tcPr>
          <w:p w14:paraId="2FDBAAB4"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1.5096</w:t>
            </w:r>
          </w:p>
        </w:tc>
        <w:tc>
          <w:tcPr>
            <w:tcW w:w="907" w:type="dxa"/>
            <w:tcBorders>
              <w:top w:val="nil"/>
              <w:left w:val="nil"/>
              <w:bottom w:val="nil"/>
              <w:right w:val="single" w:sz="12" w:space="0" w:color="auto"/>
            </w:tcBorders>
            <w:noWrap/>
            <w:vAlign w:val="center"/>
            <w:hideMark/>
          </w:tcPr>
          <w:p w14:paraId="19307F5A"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1.849</w:t>
            </w:r>
          </w:p>
        </w:tc>
      </w:tr>
      <w:tr w:rsidR="0086169E" w:rsidRPr="00713BA4" w14:paraId="7A9F51DA"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30DA7F20" w14:textId="77777777" w:rsidR="00661119" w:rsidRPr="00713BA4" w:rsidRDefault="00661119" w:rsidP="00661119">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494BC29F" w14:textId="77777777" w:rsidR="00661119" w:rsidRPr="00713BA4" w:rsidRDefault="00661119" w:rsidP="00B13514">
            <w:pPr>
              <w:spacing w:before="0" w:after="0"/>
              <w:jc w:val="left"/>
              <w:rPr>
                <w:rFonts w:eastAsia="Times New Roman" w:cs="Times New Roman"/>
                <w:color w:val="000000"/>
                <w:sz w:val="20"/>
                <w:szCs w:val="20"/>
                <w:lang w:eastAsia="en-CA"/>
              </w:rPr>
            </w:pPr>
            <w:r w:rsidRPr="00713BA4">
              <w:rPr>
                <w:rFonts w:eastAsia="Times New Roman" w:cs="Times New Roman"/>
                <w:color w:val="000000"/>
                <w:sz w:val="20"/>
                <w:szCs w:val="20"/>
                <w:lang w:eastAsia="en-CA"/>
              </w:rPr>
              <w:t>Area of Parks in Buffer *Weekend</w:t>
            </w:r>
          </w:p>
        </w:tc>
        <w:tc>
          <w:tcPr>
            <w:tcW w:w="1206" w:type="dxa"/>
            <w:tcBorders>
              <w:top w:val="nil"/>
              <w:left w:val="single" w:sz="12" w:space="0" w:color="auto"/>
              <w:bottom w:val="nil"/>
              <w:right w:val="nil"/>
            </w:tcBorders>
            <w:noWrap/>
            <w:vAlign w:val="center"/>
            <w:hideMark/>
          </w:tcPr>
          <w:p w14:paraId="7A7618FD"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1.1051</w:t>
            </w:r>
          </w:p>
        </w:tc>
        <w:tc>
          <w:tcPr>
            <w:tcW w:w="931" w:type="dxa"/>
            <w:tcBorders>
              <w:top w:val="nil"/>
              <w:left w:val="nil"/>
              <w:bottom w:val="nil"/>
              <w:right w:val="single" w:sz="12" w:space="0" w:color="auto"/>
            </w:tcBorders>
            <w:noWrap/>
            <w:vAlign w:val="center"/>
            <w:hideMark/>
          </w:tcPr>
          <w:p w14:paraId="1FA989D7"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5.694</w:t>
            </w:r>
          </w:p>
        </w:tc>
        <w:tc>
          <w:tcPr>
            <w:tcW w:w="1206" w:type="dxa"/>
            <w:tcBorders>
              <w:top w:val="nil"/>
              <w:left w:val="single" w:sz="12" w:space="0" w:color="auto"/>
              <w:bottom w:val="nil"/>
              <w:right w:val="nil"/>
            </w:tcBorders>
            <w:noWrap/>
            <w:vAlign w:val="center"/>
            <w:hideMark/>
          </w:tcPr>
          <w:p w14:paraId="4619AE2F"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1.0925</w:t>
            </w:r>
          </w:p>
        </w:tc>
        <w:tc>
          <w:tcPr>
            <w:tcW w:w="907" w:type="dxa"/>
            <w:tcBorders>
              <w:top w:val="nil"/>
              <w:left w:val="nil"/>
              <w:bottom w:val="nil"/>
              <w:right w:val="single" w:sz="12" w:space="0" w:color="auto"/>
            </w:tcBorders>
            <w:noWrap/>
            <w:vAlign w:val="center"/>
            <w:hideMark/>
          </w:tcPr>
          <w:p w14:paraId="623C19F0"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5.537</w:t>
            </w:r>
          </w:p>
        </w:tc>
        <w:tc>
          <w:tcPr>
            <w:tcW w:w="1206" w:type="dxa"/>
            <w:tcBorders>
              <w:top w:val="nil"/>
              <w:left w:val="single" w:sz="12" w:space="0" w:color="auto"/>
              <w:bottom w:val="nil"/>
              <w:right w:val="nil"/>
            </w:tcBorders>
            <w:noWrap/>
            <w:vAlign w:val="center"/>
            <w:hideMark/>
          </w:tcPr>
          <w:p w14:paraId="36BBF65D"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1.0257</w:t>
            </w:r>
          </w:p>
        </w:tc>
        <w:tc>
          <w:tcPr>
            <w:tcW w:w="907" w:type="dxa"/>
            <w:tcBorders>
              <w:top w:val="nil"/>
              <w:left w:val="nil"/>
              <w:bottom w:val="nil"/>
              <w:right w:val="single" w:sz="12" w:space="0" w:color="auto"/>
            </w:tcBorders>
            <w:noWrap/>
            <w:vAlign w:val="center"/>
            <w:hideMark/>
          </w:tcPr>
          <w:p w14:paraId="63E71005"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6.203</w:t>
            </w:r>
          </w:p>
        </w:tc>
        <w:tc>
          <w:tcPr>
            <w:tcW w:w="1206" w:type="dxa"/>
            <w:tcBorders>
              <w:top w:val="nil"/>
              <w:left w:val="single" w:sz="12" w:space="0" w:color="auto"/>
              <w:bottom w:val="nil"/>
              <w:right w:val="nil"/>
            </w:tcBorders>
            <w:noWrap/>
            <w:vAlign w:val="center"/>
            <w:hideMark/>
          </w:tcPr>
          <w:p w14:paraId="325E7F89"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0.9912</w:t>
            </w:r>
          </w:p>
        </w:tc>
        <w:tc>
          <w:tcPr>
            <w:tcW w:w="907" w:type="dxa"/>
            <w:tcBorders>
              <w:top w:val="nil"/>
              <w:left w:val="nil"/>
              <w:bottom w:val="nil"/>
              <w:right w:val="single" w:sz="12" w:space="0" w:color="auto"/>
            </w:tcBorders>
            <w:noWrap/>
            <w:vAlign w:val="center"/>
            <w:hideMark/>
          </w:tcPr>
          <w:p w14:paraId="6E4F7DF0"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5.909</w:t>
            </w:r>
          </w:p>
        </w:tc>
      </w:tr>
      <w:tr w:rsidR="0086169E" w:rsidRPr="00713BA4" w14:paraId="572A31ED"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4D14072A" w14:textId="77777777" w:rsidR="00661119" w:rsidRPr="00713BA4" w:rsidRDefault="00661119" w:rsidP="00661119">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1463B08D" w14:textId="77777777" w:rsidR="00661119" w:rsidRPr="00713BA4" w:rsidRDefault="00661119" w:rsidP="00B13514">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Number of Restaurants in Buffer</w:t>
            </w:r>
          </w:p>
        </w:tc>
        <w:tc>
          <w:tcPr>
            <w:tcW w:w="1206" w:type="dxa"/>
            <w:tcBorders>
              <w:top w:val="nil"/>
              <w:left w:val="single" w:sz="12" w:space="0" w:color="auto"/>
              <w:bottom w:val="nil"/>
              <w:right w:val="nil"/>
            </w:tcBorders>
            <w:noWrap/>
            <w:vAlign w:val="center"/>
            <w:hideMark/>
          </w:tcPr>
          <w:p w14:paraId="4F78BFFA"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0.3549</w:t>
            </w:r>
          </w:p>
        </w:tc>
        <w:tc>
          <w:tcPr>
            <w:tcW w:w="931" w:type="dxa"/>
            <w:tcBorders>
              <w:top w:val="nil"/>
              <w:left w:val="nil"/>
              <w:bottom w:val="nil"/>
              <w:right w:val="single" w:sz="12" w:space="0" w:color="auto"/>
            </w:tcBorders>
            <w:noWrap/>
            <w:vAlign w:val="center"/>
            <w:hideMark/>
          </w:tcPr>
          <w:p w14:paraId="6669C0D8"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2.322</w:t>
            </w:r>
          </w:p>
        </w:tc>
        <w:tc>
          <w:tcPr>
            <w:tcW w:w="1206" w:type="dxa"/>
            <w:tcBorders>
              <w:top w:val="nil"/>
              <w:left w:val="single" w:sz="12" w:space="0" w:color="auto"/>
              <w:bottom w:val="nil"/>
              <w:right w:val="nil"/>
            </w:tcBorders>
            <w:noWrap/>
            <w:vAlign w:val="center"/>
            <w:hideMark/>
          </w:tcPr>
          <w:p w14:paraId="0218154F"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0.3865</w:t>
            </w:r>
          </w:p>
        </w:tc>
        <w:tc>
          <w:tcPr>
            <w:tcW w:w="907" w:type="dxa"/>
            <w:tcBorders>
              <w:top w:val="nil"/>
              <w:left w:val="nil"/>
              <w:bottom w:val="nil"/>
              <w:right w:val="single" w:sz="12" w:space="0" w:color="auto"/>
            </w:tcBorders>
            <w:noWrap/>
            <w:vAlign w:val="center"/>
            <w:hideMark/>
          </w:tcPr>
          <w:p w14:paraId="70F62E52"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2.394</w:t>
            </w:r>
          </w:p>
        </w:tc>
        <w:tc>
          <w:tcPr>
            <w:tcW w:w="1206" w:type="dxa"/>
            <w:tcBorders>
              <w:top w:val="nil"/>
              <w:left w:val="single" w:sz="12" w:space="0" w:color="auto"/>
              <w:bottom w:val="nil"/>
              <w:right w:val="nil"/>
            </w:tcBorders>
            <w:noWrap/>
            <w:vAlign w:val="center"/>
            <w:hideMark/>
          </w:tcPr>
          <w:p w14:paraId="2F5BE997" w14:textId="520CA84F" w:rsidR="00661119" w:rsidRPr="00713BA4" w:rsidRDefault="0086169E"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741D22B0" w14:textId="4AA1BF82" w:rsidR="00661119" w:rsidRPr="00713BA4" w:rsidRDefault="0086169E" w:rsidP="00661119">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1CC8BC2A"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0.2338</w:t>
            </w:r>
          </w:p>
        </w:tc>
        <w:tc>
          <w:tcPr>
            <w:tcW w:w="907" w:type="dxa"/>
            <w:tcBorders>
              <w:top w:val="nil"/>
              <w:left w:val="nil"/>
              <w:bottom w:val="nil"/>
              <w:right w:val="single" w:sz="12" w:space="0" w:color="auto"/>
            </w:tcBorders>
            <w:noWrap/>
            <w:vAlign w:val="center"/>
            <w:hideMark/>
          </w:tcPr>
          <w:p w14:paraId="5BE76568" w14:textId="77777777" w:rsidR="00661119" w:rsidRPr="00713BA4" w:rsidRDefault="00661119" w:rsidP="00661119">
            <w:pPr>
              <w:autoSpaceDE w:val="0"/>
              <w:autoSpaceDN w:val="0"/>
              <w:adjustRightInd w:val="0"/>
              <w:spacing w:before="0" w:after="0"/>
              <w:jc w:val="center"/>
              <w:rPr>
                <w:rFonts w:cs="Times New Roman"/>
                <w:sz w:val="20"/>
                <w:szCs w:val="20"/>
              </w:rPr>
            </w:pPr>
            <w:r w:rsidRPr="00713BA4">
              <w:rPr>
                <w:rFonts w:cs="Times New Roman"/>
                <w:sz w:val="20"/>
                <w:szCs w:val="20"/>
              </w:rPr>
              <w:t>1.754</w:t>
            </w:r>
          </w:p>
        </w:tc>
      </w:tr>
      <w:tr w:rsidR="0086169E" w:rsidRPr="00713BA4" w14:paraId="6EE1FFEA"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08CA4790" w14:textId="77777777" w:rsidR="0086169E" w:rsidRPr="00713BA4" w:rsidRDefault="0086169E" w:rsidP="0086169E">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53281975" w14:textId="77777777" w:rsidR="0086169E" w:rsidRPr="00713BA4" w:rsidRDefault="0086169E" w:rsidP="0086169E">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Population Density</w:t>
            </w:r>
          </w:p>
        </w:tc>
        <w:tc>
          <w:tcPr>
            <w:tcW w:w="1206" w:type="dxa"/>
            <w:tcBorders>
              <w:top w:val="nil"/>
              <w:left w:val="single" w:sz="12" w:space="0" w:color="auto"/>
              <w:bottom w:val="nil"/>
              <w:right w:val="nil"/>
            </w:tcBorders>
            <w:noWrap/>
            <w:vAlign w:val="center"/>
            <w:hideMark/>
          </w:tcPr>
          <w:p w14:paraId="4465758B"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2.4118</w:t>
            </w:r>
          </w:p>
        </w:tc>
        <w:tc>
          <w:tcPr>
            <w:tcW w:w="931" w:type="dxa"/>
            <w:tcBorders>
              <w:top w:val="nil"/>
              <w:left w:val="nil"/>
              <w:bottom w:val="nil"/>
              <w:right w:val="single" w:sz="12" w:space="0" w:color="auto"/>
            </w:tcBorders>
            <w:noWrap/>
            <w:vAlign w:val="center"/>
            <w:hideMark/>
          </w:tcPr>
          <w:p w14:paraId="035B3FC0"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2.453</w:t>
            </w:r>
          </w:p>
        </w:tc>
        <w:tc>
          <w:tcPr>
            <w:tcW w:w="1206" w:type="dxa"/>
            <w:tcBorders>
              <w:top w:val="nil"/>
              <w:left w:val="single" w:sz="12" w:space="0" w:color="auto"/>
              <w:bottom w:val="nil"/>
              <w:right w:val="nil"/>
            </w:tcBorders>
            <w:noWrap/>
            <w:vAlign w:val="center"/>
            <w:hideMark/>
          </w:tcPr>
          <w:p w14:paraId="5EA94B97"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2.4503</w:t>
            </w:r>
          </w:p>
        </w:tc>
        <w:tc>
          <w:tcPr>
            <w:tcW w:w="907" w:type="dxa"/>
            <w:tcBorders>
              <w:top w:val="nil"/>
              <w:left w:val="nil"/>
              <w:bottom w:val="nil"/>
              <w:right w:val="single" w:sz="12" w:space="0" w:color="auto"/>
            </w:tcBorders>
            <w:noWrap/>
            <w:vAlign w:val="center"/>
            <w:hideMark/>
          </w:tcPr>
          <w:p w14:paraId="1FC5CB74"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2.360</w:t>
            </w:r>
          </w:p>
        </w:tc>
        <w:tc>
          <w:tcPr>
            <w:tcW w:w="1206" w:type="dxa"/>
            <w:tcBorders>
              <w:top w:val="nil"/>
              <w:left w:val="single" w:sz="12" w:space="0" w:color="auto"/>
              <w:bottom w:val="nil"/>
              <w:right w:val="nil"/>
            </w:tcBorders>
            <w:noWrap/>
            <w:vAlign w:val="center"/>
            <w:hideMark/>
          </w:tcPr>
          <w:p w14:paraId="021AF4B1" w14:textId="3A3CABC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5F29CBB8" w14:textId="4496CB0F"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61792C22" w14:textId="28F2AE38"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009F007A" w14:textId="011262BB"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r>
      <w:tr w:rsidR="0086169E" w:rsidRPr="00713BA4" w14:paraId="4D47D7F9"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6F23ABAB" w14:textId="77777777" w:rsidR="0086169E" w:rsidRPr="00713BA4" w:rsidRDefault="0086169E" w:rsidP="0086169E">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467DA7A5" w14:textId="77777777" w:rsidR="0086169E" w:rsidRPr="00713BA4" w:rsidRDefault="0086169E" w:rsidP="0086169E">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Population Density*AM</w:t>
            </w:r>
          </w:p>
        </w:tc>
        <w:tc>
          <w:tcPr>
            <w:tcW w:w="1206" w:type="dxa"/>
            <w:tcBorders>
              <w:top w:val="nil"/>
              <w:left w:val="single" w:sz="12" w:space="0" w:color="auto"/>
              <w:bottom w:val="nil"/>
              <w:right w:val="nil"/>
            </w:tcBorders>
            <w:noWrap/>
            <w:vAlign w:val="center"/>
            <w:hideMark/>
          </w:tcPr>
          <w:p w14:paraId="5D954DC4"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-1.5093</w:t>
            </w:r>
          </w:p>
        </w:tc>
        <w:tc>
          <w:tcPr>
            <w:tcW w:w="931" w:type="dxa"/>
            <w:tcBorders>
              <w:top w:val="nil"/>
              <w:left w:val="nil"/>
              <w:bottom w:val="nil"/>
              <w:right w:val="single" w:sz="12" w:space="0" w:color="auto"/>
            </w:tcBorders>
            <w:noWrap/>
            <w:vAlign w:val="center"/>
            <w:hideMark/>
          </w:tcPr>
          <w:p w14:paraId="43D53677"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-5.329</w:t>
            </w:r>
          </w:p>
        </w:tc>
        <w:tc>
          <w:tcPr>
            <w:tcW w:w="1206" w:type="dxa"/>
            <w:tcBorders>
              <w:top w:val="nil"/>
              <w:left w:val="single" w:sz="12" w:space="0" w:color="auto"/>
              <w:bottom w:val="nil"/>
              <w:right w:val="nil"/>
            </w:tcBorders>
            <w:noWrap/>
            <w:vAlign w:val="center"/>
            <w:hideMark/>
          </w:tcPr>
          <w:p w14:paraId="65973A09"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0.9810</w:t>
            </w:r>
          </w:p>
        </w:tc>
        <w:tc>
          <w:tcPr>
            <w:tcW w:w="907" w:type="dxa"/>
            <w:tcBorders>
              <w:top w:val="nil"/>
              <w:left w:val="nil"/>
              <w:bottom w:val="nil"/>
              <w:right w:val="single" w:sz="12" w:space="0" w:color="auto"/>
            </w:tcBorders>
            <w:noWrap/>
            <w:vAlign w:val="center"/>
            <w:hideMark/>
          </w:tcPr>
          <w:p w14:paraId="759A5E0F"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3.414</w:t>
            </w:r>
          </w:p>
        </w:tc>
        <w:tc>
          <w:tcPr>
            <w:tcW w:w="1206" w:type="dxa"/>
            <w:tcBorders>
              <w:top w:val="nil"/>
              <w:left w:val="single" w:sz="12" w:space="0" w:color="auto"/>
              <w:bottom w:val="nil"/>
              <w:right w:val="nil"/>
            </w:tcBorders>
            <w:noWrap/>
            <w:vAlign w:val="center"/>
            <w:hideMark/>
          </w:tcPr>
          <w:p w14:paraId="3E1749C7"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-0.4198</w:t>
            </w:r>
          </w:p>
        </w:tc>
        <w:tc>
          <w:tcPr>
            <w:tcW w:w="907" w:type="dxa"/>
            <w:tcBorders>
              <w:top w:val="nil"/>
              <w:left w:val="nil"/>
              <w:bottom w:val="nil"/>
              <w:right w:val="single" w:sz="12" w:space="0" w:color="auto"/>
            </w:tcBorders>
            <w:noWrap/>
            <w:vAlign w:val="center"/>
            <w:hideMark/>
          </w:tcPr>
          <w:p w14:paraId="1E763987"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-1.749</w:t>
            </w:r>
          </w:p>
        </w:tc>
        <w:tc>
          <w:tcPr>
            <w:tcW w:w="1206" w:type="dxa"/>
            <w:tcBorders>
              <w:top w:val="nil"/>
              <w:left w:val="single" w:sz="12" w:space="0" w:color="auto"/>
              <w:bottom w:val="nil"/>
              <w:right w:val="nil"/>
            </w:tcBorders>
            <w:noWrap/>
            <w:vAlign w:val="center"/>
            <w:hideMark/>
          </w:tcPr>
          <w:p w14:paraId="3889A88A" w14:textId="39623EE1"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14138E54" w14:textId="09131842"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r>
      <w:tr w:rsidR="0086169E" w:rsidRPr="00713BA4" w14:paraId="27CAC052"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583552C8" w14:textId="77777777" w:rsidR="0086169E" w:rsidRPr="00713BA4" w:rsidRDefault="0086169E" w:rsidP="0086169E">
            <w:pPr>
              <w:spacing w:before="0" w:after="0"/>
              <w:rPr>
                <w:rFonts w:eastAsia="Times New Roman" w:cs="Times New Roman"/>
                <w:color w:val="000000"/>
                <w:sz w:val="20"/>
                <w:szCs w:val="20"/>
                <w:lang w:eastAsia="en-CA"/>
              </w:rPr>
            </w:pPr>
          </w:p>
        </w:tc>
        <w:tc>
          <w:tcPr>
            <w:tcW w:w="4535" w:type="dxa"/>
            <w:tcBorders>
              <w:top w:val="nil"/>
              <w:left w:val="single" w:sz="12" w:space="0" w:color="auto"/>
              <w:bottom w:val="nil"/>
              <w:right w:val="single" w:sz="12" w:space="0" w:color="auto"/>
            </w:tcBorders>
            <w:noWrap/>
            <w:vAlign w:val="center"/>
            <w:hideMark/>
          </w:tcPr>
          <w:p w14:paraId="10B5AF01" w14:textId="77777777" w:rsidR="0086169E" w:rsidRPr="00713BA4" w:rsidRDefault="0086169E" w:rsidP="0086169E">
            <w:pPr>
              <w:spacing w:before="0" w:after="0"/>
              <w:jc w:val="left"/>
              <w:rPr>
                <w:rFonts w:eastAsia="Times New Roman" w:cs="Times New Roman"/>
                <w:bCs/>
                <w:color w:val="000000"/>
                <w:sz w:val="20"/>
                <w:szCs w:val="20"/>
                <w:lang w:eastAsia="en-CA"/>
              </w:rPr>
            </w:pPr>
            <w:r w:rsidRPr="00713BA4">
              <w:rPr>
                <w:rFonts w:eastAsia="Times New Roman" w:cs="Times New Roman"/>
                <w:color w:val="000000"/>
                <w:sz w:val="20"/>
                <w:szCs w:val="20"/>
                <w:lang w:eastAsia="en-CA"/>
              </w:rPr>
              <w:t>Population Density*PM</w:t>
            </w:r>
          </w:p>
        </w:tc>
        <w:tc>
          <w:tcPr>
            <w:tcW w:w="1206" w:type="dxa"/>
            <w:tcBorders>
              <w:top w:val="nil"/>
              <w:left w:val="single" w:sz="12" w:space="0" w:color="auto"/>
              <w:bottom w:val="nil"/>
              <w:right w:val="nil"/>
            </w:tcBorders>
            <w:noWrap/>
            <w:vAlign w:val="center"/>
            <w:hideMark/>
          </w:tcPr>
          <w:p w14:paraId="250785DE"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2.1641</w:t>
            </w:r>
          </w:p>
        </w:tc>
        <w:tc>
          <w:tcPr>
            <w:tcW w:w="931" w:type="dxa"/>
            <w:tcBorders>
              <w:top w:val="nil"/>
              <w:left w:val="nil"/>
              <w:bottom w:val="nil"/>
              <w:right w:val="single" w:sz="12" w:space="0" w:color="auto"/>
            </w:tcBorders>
            <w:noWrap/>
            <w:vAlign w:val="center"/>
            <w:hideMark/>
          </w:tcPr>
          <w:p w14:paraId="2CA75A95"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8.597</w:t>
            </w:r>
          </w:p>
        </w:tc>
        <w:tc>
          <w:tcPr>
            <w:tcW w:w="1206" w:type="dxa"/>
            <w:tcBorders>
              <w:top w:val="nil"/>
              <w:left w:val="single" w:sz="12" w:space="0" w:color="auto"/>
              <w:bottom w:val="nil"/>
              <w:right w:val="nil"/>
            </w:tcBorders>
            <w:noWrap/>
            <w:vAlign w:val="center"/>
            <w:hideMark/>
          </w:tcPr>
          <w:p w14:paraId="2B4AE42A"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0.8257</w:t>
            </w:r>
          </w:p>
        </w:tc>
        <w:tc>
          <w:tcPr>
            <w:tcW w:w="907" w:type="dxa"/>
            <w:tcBorders>
              <w:top w:val="nil"/>
              <w:left w:val="nil"/>
              <w:bottom w:val="nil"/>
              <w:right w:val="single" w:sz="12" w:space="0" w:color="auto"/>
            </w:tcBorders>
            <w:noWrap/>
            <w:vAlign w:val="center"/>
            <w:hideMark/>
          </w:tcPr>
          <w:p w14:paraId="731FF785"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3.240</w:t>
            </w:r>
          </w:p>
        </w:tc>
        <w:tc>
          <w:tcPr>
            <w:tcW w:w="1206" w:type="dxa"/>
            <w:tcBorders>
              <w:top w:val="nil"/>
              <w:left w:val="single" w:sz="12" w:space="0" w:color="auto"/>
              <w:bottom w:val="nil"/>
              <w:right w:val="nil"/>
            </w:tcBorders>
            <w:noWrap/>
            <w:vAlign w:val="center"/>
            <w:hideMark/>
          </w:tcPr>
          <w:p w14:paraId="2C67A879"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0.6880</w:t>
            </w:r>
          </w:p>
        </w:tc>
        <w:tc>
          <w:tcPr>
            <w:tcW w:w="907" w:type="dxa"/>
            <w:tcBorders>
              <w:top w:val="nil"/>
              <w:left w:val="nil"/>
              <w:bottom w:val="nil"/>
              <w:right w:val="single" w:sz="12" w:space="0" w:color="auto"/>
            </w:tcBorders>
            <w:noWrap/>
            <w:vAlign w:val="center"/>
            <w:hideMark/>
          </w:tcPr>
          <w:p w14:paraId="1FB6E6E0"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2.819</w:t>
            </w:r>
          </w:p>
        </w:tc>
        <w:tc>
          <w:tcPr>
            <w:tcW w:w="1206" w:type="dxa"/>
            <w:tcBorders>
              <w:top w:val="nil"/>
              <w:left w:val="single" w:sz="12" w:space="0" w:color="auto"/>
              <w:bottom w:val="nil"/>
              <w:right w:val="nil"/>
            </w:tcBorders>
            <w:noWrap/>
            <w:vAlign w:val="center"/>
            <w:hideMark/>
          </w:tcPr>
          <w:p w14:paraId="46C3ECB3" w14:textId="65B04A60"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655C7A3F" w14:textId="3722278E"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r>
      <w:tr w:rsidR="0086169E" w:rsidRPr="00713BA4" w14:paraId="7A33CA3E"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2840BFD0" w14:textId="77777777" w:rsidR="0086169E" w:rsidRPr="00713BA4" w:rsidRDefault="0086169E" w:rsidP="0086169E">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570B66FA" w14:textId="77777777" w:rsidR="0086169E" w:rsidRPr="00713BA4" w:rsidRDefault="0086169E" w:rsidP="0086169E">
            <w:pPr>
              <w:autoSpaceDE w:val="0"/>
              <w:autoSpaceDN w:val="0"/>
              <w:adjustRightInd w:val="0"/>
              <w:spacing w:before="0" w:after="0"/>
              <w:jc w:val="left"/>
              <w:rPr>
                <w:rFonts w:cs="Times New Roman"/>
                <w:sz w:val="20"/>
                <w:szCs w:val="20"/>
              </w:rPr>
            </w:pPr>
            <w:r w:rsidRPr="00713BA4">
              <w:rPr>
                <w:rFonts w:cs="Times New Roman"/>
                <w:sz w:val="20"/>
                <w:szCs w:val="20"/>
              </w:rPr>
              <w:t>Job Density*AM</w:t>
            </w:r>
          </w:p>
        </w:tc>
        <w:tc>
          <w:tcPr>
            <w:tcW w:w="1206" w:type="dxa"/>
            <w:tcBorders>
              <w:top w:val="nil"/>
              <w:left w:val="single" w:sz="12" w:space="0" w:color="auto"/>
              <w:bottom w:val="nil"/>
              <w:right w:val="nil"/>
            </w:tcBorders>
            <w:noWrap/>
            <w:vAlign w:val="center"/>
            <w:hideMark/>
          </w:tcPr>
          <w:p w14:paraId="6B7A6B8B"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0.8418</w:t>
            </w:r>
          </w:p>
        </w:tc>
        <w:tc>
          <w:tcPr>
            <w:tcW w:w="931" w:type="dxa"/>
            <w:tcBorders>
              <w:top w:val="nil"/>
              <w:left w:val="nil"/>
              <w:bottom w:val="nil"/>
              <w:right w:val="single" w:sz="12" w:space="0" w:color="auto"/>
            </w:tcBorders>
            <w:noWrap/>
            <w:vAlign w:val="center"/>
            <w:hideMark/>
          </w:tcPr>
          <w:p w14:paraId="527CB4D2"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10.790</w:t>
            </w:r>
          </w:p>
        </w:tc>
        <w:tc>
          <w:tcPr>
            <w:tcW w:w="1206" w:type="dxa"/>
            <w:tcBorders>
              <w:top w:val="nil"/>
              <w:left w:val="single" w:sz="12" w:space="0" w:color="auto"/>
              <w:bottom w:val="nil"/>
              <w:right w:val="nil"/>
            </w:tcBorders>
            <w:noWrap/>
            <w:vAlign w:val="center"/>
            <w:hideMark/>
          </w:tcPr>
          <w:p w14:paraId="1531C9E9" w14:textId="127B2ED0"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321BBF85" w14:textId="1ABF8BC0"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nil"/>
              <w:right w:val="nil"/>
            </w:tcBorders>
            <w:noWrap/>
            <w:vAlign w:val="center"/>
            <w:hideMark/>
          </w:tcPr>
          <w:p w14:paraId="6D8F1CEB"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0.1819</w:t>
            </w:r>
          </w:p>
        </w:tc>
        <w:tc>
          <w:tcPr>
            <w:tcW w:w="907" w:type="dxa"/>
            <w:tcBorders>
              <w:top w:val="nil"/>
              <w:left w:val="nil"/>
              <w:bottom w:val="nil"/>
              <w:right w:val="single" w:sz="12" w:space="0" w:color="auto"/>
            </w:tcBorders>
            <w:noWrap/>
            <w:vAlign w:val="center"/>
            <w:hideMark/>
          </w:tcPr>
          <w:p w14:paraId="265547C7"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3.230</w:t>
            </w:r>
          </w:p>
        </w:tc>
        <w:tc>
          <w:tcPr>
            <w:tcW w:w="1206" w:type="dxa"/>
            <w:tcBorders>
              <w:top w:val="nil"/>
              <w:left w:val="single" w:sz="12" w:space="0" w:color="auto"/>
              <w:bottom w:val="nil"/>
              <w:right w:val="nil"/>
            </w:tcBorders>
            <w:noWrap/>
            <w:vAlign w:val="center"/>
            <w:hideMark/>
          </w:tcPr>
          <w:p w14:paraId="30AF600E" w14:textId="7927B9DC"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nil"/>
              <w:right w:val="single" w:sz="12" w:space="0" w:color="auto"/>
            </w:tcBorders>
            <w:noWrap/>
            <w:vAlign w:val="center"/>
            <w:hideMark/>
          </w:tcPr>
          <w:p w14:paraId="5304CCDB" w14:textId="4482E29A"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r>
      <w:tr w:rsidR="0086169E" w:rsidRPr="00713BA4" w14:paraId="561C6926" w14:textId="77777777" w:rsidTr="0086169E">
        <w:trPr>
          <w:cantSplit/>
          <w:trHeight w:val="20"/>
        </w:trPr>
        <w:tc>
          <w:tcPr>
            <w:tcW w:w="680" w:type="dxa"/>
            <w:vMerge/>
            <w:tcBorders>
              <w:top w:val="single" w:sz="12" w:space="0" w:color="auto"/>
              <w:left w:val="single" w:sz="12" w:space="0" w:color="auto"/>
              <w:bottom w:val="single" w:sz="12" w:space="0" w:color="auto"/>
              <w:right w:val="single" w:sz="12" w:space="0" w:color="auto"/>
            </w:tcBorders>
          </w:tcPr>
          <w:p w14:paraId="2FE2A0D0" w14:textId="77777777" w:rsidR="0086169E" w:rsidRPr="00713BA4" w:rsidRDefault="0086169E" w:rsidP="0086169E">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single" w:sz="12" w:space="0" w:color="auto"/>
              <w:right w:val="single" w:sz="12" w:space="0" w:color="auto"/>
            </w:tcBorders>
            <w:noWrap/>
            <w:vAlign w:val="center"/>
            <w:hideMark/>
          </w:tcPr>
          <w:p w14:paraId="244021CF" w14:textId="77777777" w:rsidR="0086169E" w:rsidRPr="00713BA4" w:rsidRDefault="0086169E" w:rsidP="0086169E">
            <w:pPr>
              <w:autoSpaceDE w:val="0"/>
              <w:autoSpaceDN w:val="0"/>
              <w:adjustRightInd w:val="0"/>
              <w:spacing w:before="0" w:after="0"/>
              <w:jc w:val="left"/>
              <w:rPr>
                <w:rFonts w:cs="Times New Roman"/>
                <w:sz w:val="20"/>
                <w:szCs w:val="20"/>
              </w:rPr>
            </w:pPr>
            <w:r w:rsidRPr="00713BA4">
              <w:rPr>
                <w:rFonts w:cs="Times New Roman"/>
                <w:sz w:val="20"/>
                <w:szCs w:val="20"/>
              </w:rPr>
              <w:t>Job Density*PM</w:t>
            </w:r>
          </w:p>
        </w:tc>
        <w:tc>
          <w:tcPr>
            <w:tcW w:w="1206" w:type="dxa"/>
            <w:tcBorders>
              <w:top w:val="nil"/>
              <w:left w:val="single" w:sz="12" w:space="0" w:color="auto"/>
              <w:bottom w:val="single" w:sz="12" w:space="0" w:color="auto"/>
              <w:right w:val="nil"/>
            </w:tcBorders>
            <w:noWrap/>
            <w:vAlign w:val="center"/>
            <w:hideMark/>
          </w:tcPr>
          <w:p w14:paraId="4B5DB84C"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-0.1741</w:t>
            </w:r>
          </w:p>
        </w:tc>
        <w:tc>
          <w:tcPr>
            <w:tcW w:w="931" w:type="dxa"/>
            <w:tcBorders>
              <w:top w:val="nil"/>
              <w:left w:val="nil"/>
              <w:bottom w:val="single" w:sz="12" w:space="0" w:color="auto"/>
              <w:right w:val="single" w:sz="12" w:space="0" w:color="auto"/>
            </w:tcBorders>
            <w:noWrap/>
            <w:vAlign w:val="center"/>
            <w:hideMark/>
          </w:tcPr>
          <w:p w14:paraId="65741AFE"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-2.549</w:t>
            </w:r>
          </w:p>
        </w:tc>
        <w:tc>
          <w:tcPr>
            <w:tcW w:w="1206" w:type="dxa"/>
            <w:tcBorders>
              <w:top w:val="nil"/>
              <w:left w:val="single" w:sz="12" w:space="0" w:color="auto"/>
              <w:bottom w:val="single" w:sz="12" w:space="0" w:color="auto"/>
              <w:right w:val="nil"/>
            </w:tcBorders>
            <w:noWrap/>
            <w:vAlign w:val="center"/>
            <w:hideMark/>
          </w:tcPr>
          <w:p w14:paraId="323C64E1"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0.2881</w:t>
            </w:r>
          </w:p>
        </w:tc>
        <w:tc>
          <w:tcPr>
            <w:tcW w:w="907" w:type="dxa"/>
            <w:tcBorders>
              <w:top w:val="nil"/>
              <w:left w:val="nil"/>
              <w:bottom w:val="single" w:sz="12" w:space="0" w:color="auto"/>
              <w:right w:val="single" w:sz="12" w:space="0" w:color="auto"/>
            </w:tcBorders>
            <w:noWrap/>
            <w:vAlign w:val="center"/>
            <w:hideMark/>
          </w:tcPr>
          <w:p w14:paraId="51F6E713" w14:textId="7777777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4.184</w:t>
            </w:r>
          </w:p>
        </w:tc>
        <w:tc>
          <w:tcPr>
            <w:tcW w:w="1206" w:type="dxa"/>
            <w:tcBorders>
              <w:top w:val="nil"/>
              <w:left w:val="single" w:sz="12" w:space="0" w:color="auto"/>
              <w:bottom w:val="single" w:sz="12" w:space="0" w:color="auto"/>
              <w:right w:val="nil"/>
            </w:tcBorders>
            <w:noWrap/>
            <w:vAlign w:val="center"/>
            <w:hideMark/>
          </w:tcPr>
          <w:p w14:paraId="080BADDB" w14:textId="67F8C927"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single" w:sz="12" w:space="0" w:color="auto"/>
              <w:right w:val="single" w:sz="12" w:space="0" w:color="auto"/>
            </w:tcBorders>
            <w:noWrap/>
            <w:vAlign w:val="center"/>
            <w:hideMark/>
          </w:tcPr>
          <w:p w14:paraId="431957E4" w14:textId="4E49BAAE"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1206" w:type="dxa"/>
            <w:tcBorders>
              <w:top w:val="nil"/>
              <w:left w:val="single" w:sz="12" w:space="0" w:color="auto"/>
              <w:bottom w:val="single" w:sz="12" w:space="0" w:color="auto"/>
              <w:right w:val="nil"/>
            </w:tcBorders>
            <w:noWrap/>
            <w:vAlign w:val="center"/>
            <w:hideMark/>
          </w:tcPr>
          <w:p w14:paraId="3E4D9B8C" w14:textId="6C3C0443"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c>
          <w:tcPr>
            <w:tcW w:w="907" w:type="dxa"/>
            <w:tcBorders>
              <w:top w:val="nil"/>
              <w:left w:val="nil"/>
              <w:bottom w:val="single" w:sz="12" w:space="0" w:color="auto"/>
              <w:right w:val="single" w:sz="12" w:space="0" w:color="auto"/>
            </w:tcBorders>
            <w:noWrap/>
            <w:vAlign w:val="center"/>
            <w:hideMark/>
          </w:tcPr>
          <w:p w14:paraId="42551BE8" w14:textId="557C61C5" w:rsidR="0086169E" w:rsidRPr="00713BA4" w:rsidRDefault="0086169E" w:rsidP="0086169E">
            <w:pPr>
              <w:autoSpaceDE w:val="0"/>
              <w:autoSpaceDN w:val="0"/>
              <w:adjustRightInd w:val="0"/>
              <w:spacing w:before="0" w:after="0"/>
              <w:jc w:val="center"/>
              <w:rPr>
                <w:rFonts w:cs="Times New Roman"/>
                <w:sz w:val="20"/>
                <w:szCs w:val="20"/>
              </w:rPr>
            </w:pPr>
            <w:r w:rsidRPr="00713BA4">
              <w:rPr>
                <w:rFonts w:cs="Times New Roman"/>
                <w:sz w:val="20"/>
                <w:szCs w:val="20"/>
              </w:rPr>
              <w:t>-</w:t>
            </w:r>
          </w:p>
        </w:tc>
      </w:tr>
      <w:tr w:rsidR="0086169E" w:rsidRPr="00713BA4" w14:paraId="313A8E93" w14:textId="77777777" w:rsidTr="0086169E">
        <w:trPr>
          <w:cantSplit/>
          <w:trHeight w:val="20"/>
        </w:trPr>
        <w:tc>
          <w:tcPr>
            <w:tcW w:w="680" w:type="dxa"/>
            <w:vMerge w:val="restart"/>
            <w:tcBorders>
              <w:top w:val="single" w:sz="12" w:space="0" w:color="auto"/>
              <w:left w:val="single" w:sz="12" w:space="0" w:color="auto"/>
              <w:right w:val="single" w:sz="12" w:space="0" w:color="auto"/>
            </w:tcBorders>
            <w:textDirection w:val="btLr"/>
            <w:vAlign w:val="center"/>
          </w:tcPr>
          <w:p w14:paraId="1AFAB6CA" w14:textId="77777777" w:rsidR="00C52F43" w:rsidRPr="00713BA4" w:rsidRDefault="00C52F43" w:rsidP="00C52F43">
            <w:pPr>
              <w:autoSpaceDE w:val="0"/>
              <w:autoSpaceDN w:val="0"/>
              <w:adjustRightInd w:val="0"/>
              <w:spacing w:before="0" w:after="0"/>
              <w:ind w:left="113" w:right="113"/>
              <w:jc w:val="center"/>
              <w:rPr>
                <w:rFonts w:cs="Times New Roman"/>
                <w:sz w:val="20"/>
                <w:szCs w:val="20"/>
              </w:rPr>
            </w:pPr>
            <w:r w:rsidRPr="00713BA4">
              <w:rPr>
                <w:rFonts w:cs="Times New Roman"/>
                <w:sz w:val="20"/>
                <w:szCs w:val="20"/>
              </w:rPr>
              <w:t>Lag Variables</w:t>
            </w:r>
          </w:p>
        </w:tc>
        <w:tc>
          <w:tcPr>
            <w:tcW w:w="4535" w:type="dxa"/>
            <w:tcBorders>
              <w:top w:val="single" w:sz="12" w:space="0" w:color="auto"/>
              <w:left w:val="single" w:sz="12" w:space="0" w:color="auto"/>
              <w:bottom w:val="nil"/>
              <w:right w:val="single" w:sz="12" w:space="0" w:color="auto"/>
            </w:tcBorders>
            <w:noWrap/>
            <w:vAlign w:val="center"/>
          </w:tcPr>
          <w:p w14:paraId="1F433103"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Temporally lagged dependent variable</w:t>
            </w:r>
          </w:p>
        </w:tc>
        <w:tc>
          <w:tcPr>
            <w:tcW w:w="1206" w:type="dxa"/>
            <w:tcBorders>
              <w:top w:val="single" w:sz="12" w:space="0" w:color="auto"/>
              <w:left w:val="single" w:sz="12" w:space="0" w:color="auto"/>
              <w:bottom w:val="nil"/>
              <w:right w:val="nil"/>
            </w:tcBorders>
            <w:noWrap/>
            <w:vAlign w:val="center"/>
          </w:tcPr>
          <w:p w14:paraId="6FBBFA75"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31" w:type="dxa"/>
            <w:tcBorders>
              <w:top w:val="single" w:sz="12" w:space="0" w:color="auto"/>
              <w:left w:val="nil"/>
              <w:bottom w:val="nil"/>
              <w:right w:val="single" w:sz="12" w:space="0" w:color="auto"/>
            </w:tcBorders>
            <w:noWrap/>
            <w:vAlign w:val="center"/>
          </w:tcPr>
          <w:p w14:paraId="19844774"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single" w:sz="12" w:space="0" w:color="auto"/>
              <w:left w:val="single" w:sz="12" w:space="0" w:color="auto"/>
              <w:bottom w:val="nil"/>
              <w:right w:val="nil"/>
            </w:tcBorders>
            <w:noWrap/>
            <w:vAlign w:val="center"/>
          </w:tcPr>
          <w:p w14:paraId="02B5E4D1"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single" w:sz="12" w:space="0" w:color="auto"/>
              <w:left w:val="nil"/>
              <w:bottom w:val="nil"/>
              <w:right w:val="single" w:sz="12" w:space="0" w:color="auto"/>
            </w:tcBorders>
            <w:noWrap/>
            <w:vAlign w:val="center"/>
          </w:tcPr>
          <w:p w14:paraId="1717D7D5"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single" w:sz="12" w:space="0" w:color="auto"/>
              <w:left w:val="single" w:sz="12" w:space="0" w:color="auto"/>
              <w:bottom w:val="nil"/>
              <w:right w:val="nil"/>
            </w:tcBorders>
            <w:noWrap/>
            <w:vAlign w:val="center"/>
          </w:tcPr>
          <w:p w14:paraId="08BFB8D0"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single" w:sz="12" w:space="0" w:color="auto"/>
              <w:left w:val="nil"/>
              <w:bottom w:val="nil"/>
              <w:right w:val="single" w:sz="12" w:space="0" w:color="auto"/>
            </w:tcBorders>
            <w:noWrap/>
            <w:vAlign w:val="center"/>
          </w:tcPr>
          <w:p w14:paraId="3E21B10B"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single" w:sz="12" w:space="0" w:color="auto"/>
              <w:left w:val="single" w:sz="12" w:space="0" w:color="auto"/>
              <w:bottom w:val="nil"/>
              <w:right w:val="nil"/>
            </w:tcBorders>
            <w:noWrap/>
            <w:vAlign w:val="center"/>
          </w:tcPr>
          <w:p w14:paraId="2D91D6A7"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single" w:sz="12" w:space="0" w:color="auto"/>
              <w:left w:val="nil"/>
              <w:bottom w:val="nil"/>
              <w:right w:val="single" w:sz="12" w:space="0" w:color="auto"/>
            </w:tcBorders>
            <w:noWrap/>
            <w:vAlign w:val="center"/>
          </w:tcPr>
          <w:p w14:paraId="4EE48E79" w14:textId="77777777" w:rsidR="00C52F43" w:rsidRPr="00713BA4" w:rsidRDefault="00C52F43" w:rsidP="00C52F43">
            <w:pPr>
              <w:autoSpaceDE w:val="0"/>
              <w:autoSpaceDN w:val="0"/>
              <w:adjustRightInd w:val="0"/>
              <w:spacing w:before="0" w:after="0"/>
              <w:jc w:val="center"/>
              <w:rPr>
                <w:rFonts w:cs="Times New Roman"/>
                <w:sz w:val="20"/>
                <w:szCs w:val="20"/>
              </w:rPr>
            </w:pPr>
          </w:p>
        </w:tc>
      </w:tr>
      <w:tr w:rsidR="0086169E" w:rsidRPr="00713BA4" w14:paraId="149DF802" w14:textId="77777777" w:rsidTr="0086169E">
        <w:trPr>
          <w:cantSplit/>
          <w:trHeight w:val="20"/>
        </w:trPr>
        <w:tc>
          <w:tcPr>
            <w:tcW w:w="680" w:type="dxa"/>
            <w:vMerge/>
            <w:tcBorders>
              <w:left w:val="single" w:sz="12" w:space="0" w:color="auto"/>
              <w:right w:val="single" w:sz="12" w:space="0" w:color="auto"/>
            </w:tcBorders>
            <w:textDirection w:val="btLr"/>
            <w:vAlign w:val="center"/>
          </w:tcPr>
          <w:p w14:paraId="2E7C7658" w14:textId="77777777" w:rsidR="00C52F43" w:rsidRPr="00713BA4" w:rsidRDefault="00C52F43" w:rsidP="00C52F43">
            <w:pPr>
              <w:autoSpaceDE w:val="0"/>
              <w:autoSpaceDN w:val="0"/>
              <w:adjustRightInd w:val="0"/>
              <w:spacing w:before="0" w:after="0"/>
              <w:ind w:left="113" w:right="113"/>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77D4D8BE"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hour</w:t>
            </w:r>
          </w:p>
        </w:tc>
        <w:tc>
          <w:tcPr>
            <w:tcW w:w="1206" w:type="dxa"/>
            <w:tcBorders>
              <w:top w:val="nil"/>
              <w:left w:val="single" w:sz="12" w:space="0" w:color="auto"/>
              <w:bottom w:val="nil"/>
              <w:right w:val="nil"/>
            </w:tcBorders>
            <w:noWrap/>
            <w:vAlign w:val="center"/>
            <w:hideMark/>
          </w:tcPr>
          <w:p w14:paraId="3B8BFBDE"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0.1916</w:t>
            </w:r>
          </w:p>
        </w:tc>
        <w:tc>
          <w:tcPr>
            <w:tcW w:w="931" w:type="dxa"/>
            <w:tcBorders>
              <w:top w:val="nil"/>
              <w:left w:val="nil"/>
              <w:bottom w:val="nil"/>
              <w:right w:val="single" w:sz="12" w:space="0" w:color="auto"/>
            </w:tcBorders>
            <w:noWrap/>
            <w:vAlign w:val="center"/>
            <w:hideMark/>
          </w:tcPr>
          <w:p w14:paraId="044A3D75"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99.137</w:t>
            </w:r>
          </w:p>
        </w:tc>
        <w:tc>
          <w:tcPr>
            <w:tcW w:w="1206" w:type="dxa"/>
            <w:tcBorders>
              <w:top w:val="nil"/>
              <w:left w:val="single" w:sz="12" w:space="0" w:color="auto"/>
              <w:bottom w:val="nil"/>
              <w:right w:val="nil"/>
            </w:tcBorders>
            <w:noWrap/>
            <w:vAlign w:val="center"/>
            <w:hideMark/>
          </w:tcPr>
          <w:p w14:paraId="2F2461C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0.1808</w:t>
            </w:r>
          </w:p>
        </w:tc>
        <w:tc>
          <w:tcPr>
            <w:tcW w:w="907" w:type="dxa"/>
            <w:tcBorders>
              <w:top w:val="nil"/>
              <w:left w:val="nil"/>
              <w:bottom w:val="nil"/>
              <w:right w:val="single" w:sz="12" w:space="0" w:color="auto"/>
            </w:tcBorders>
            <w:noWrap/>
            <w:vAlign w:val="center"/>
            <w:hideMark/>
          </w:tcPr>
          <w:p w14:paraId="21C7286B"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93.650</w:t>
            </w:r>
          </w:p>
        </w:tc>
        <w:tc>
          <w:tcPr>
            <w:tcW w:w="1206" w:type="dxa"/>
            <w:tcBorders>
              <w:top w:val="nil"/>
              <w:left w:val="single" w:sz="12" w:space="0" w:color="auto"/>
              <w:bottom w:val="nil"/>
              <w:right w:val="nil"/>
            </w:tcBorders>
            <w:noWrap/>
            <w:vAlign w:val="center"/>
            <w:hideMark/>
          </w:tcPr>
          <w:p w14:paraId="70665BA6"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0.1379</w:t>
            </w:r>
          </w:p>
        </w:tc>
        <w:tc>
          <w:tcPr>
            <w:tcW w:w="907" w:type="dxa"/>
            <w:tcBorders>
              <w:top w:val="nil"/>
              <w:left w:val="nil"/>
              <w:bottom w:val="nil"/>
              <w:right w:val="single" w:sz="12" w:space="0" w:color="auto"/>
            </w:tcBorders>
            <w:noWrap/>
            <w:vAlign w:val="center"/>
            <w:hideMark/>
          </w:tcPr>
          <w:p w14:paraId="21D6D3C9"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68.178</w:t>
            </w:r>
          </w:p>
        </w:tc>
        <w:tc>
          <w:tcPr>
            <w:tcW w:w="1206" w:type="dxa"/>
            <w:tcBorders>
              <w:top w:val="nil"/>
              <w:left w:val="single" w:sz="12" w:space="0" w:color="auto"/>
              <w:bottom w:val="nil"/>
              <w:right w:val="nil"/>
            </w:tcBorders>
            <w:noWrap/>
            <w:vAlign w:val="center"/>
            <w:hideMark/>
          </w:tcPr>
          <w:p w14:paraId="49878FD3"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0.1839</w:t>
            </w:r>
          </w:p>
        </w:tc>
        <w:tc>
          <w:tcPr>
            <w:tcW w:w="907" w:type="dxa"/>
            <w:tcBorders>
              <w:top w:val="nil"/>
              <w:left w:val="nil"/>
              <w:bottom w:val="nil"/>
              <w:right w:val="single" w:sz="12" w:space="0" w:color="auto"/>
            </w:tcBorders>
            <w:noWrap/>
            <w:vAlign w:val="center"/>
            <w:hideMark/>
          </w:tcPr>
          <w:p w14:paraId="70A56844"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91.621</w:t>
            </w:r>
          </w:p>
        </w:tc>
      </w:tr>
      <w:tr w:rsidR="0086169E" w:rsidRPr="00713BA4" w14:paraId="225DEE07" w14:textId="77777777" w:rsidTr="0086169E">
        <w:trPr>
          <w:cantSplit/>
          <w:trHeight w:val="20"/>
        </w:trPr>
        <w:tc>
          <w:tcPr>
            <w:tcW w:w="680" w:type="dxa"/>
            <w:vMerge/>
            <w:tcBorders>
              <w:left w:val="single" w:sz="12" w:space="0" w:color="auto"/>
              <w:right w:val="single" w:sz="12" w:space="0" w:color="auto"/>
            </w:tcBorders>
          </w:tcPr>
          <w:p w14:paraId="0B402F95"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386E2C37"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day</w:t>
            </w:r>
          </w:p>
        </w:tc>
        <w:tc>
          <w:tcPr>
            <w:tcW w:w="1206" w:type="dxa"/>
            <w:tcBorders>
              <w:top w:val="nil"/>
              <w:left w:val="single" w:sz="12" w:space="0" w:color="auto"/>
              <w:bottom w:val="nil"/>
              <w:right w:val="nil"/>
            </w:tcBorders>
            <w:noWrap/>
            <w:vAlign w:val="center"/>
            <w:hideMark/>
          </w:tcPr>
          <w:p w14:paraId="75A2FF96"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0.1549</w:t>
            </w:r>
          </w:p>
        </w:tc>
        <w:tc>
          <w:tcPr>
            <w:tcW w:w="931" w:type="dxa"/>
            <w:tcBorders>
              <w:top w:val="nil"/>
              <w:left w:val="nil"/>
              <w:bottom w:val="nil"/>
              <w:right w:val="single" w:sz="12" w:space="0" w:color="auto"/>
            </w:tcBorders>
            <w:noWrap/>
            <w:vAlign w:val="center"/>
            <w:hideMark/>
          </w:tcPr>
          <w:p w14:paraId="093413E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80.076</w:t>
            </w:r>
          </w:p>
        </w:tc>
        <w:tc>
          <w:tcPr>
            <w:tcW w:w="1206" w:type="dxa"/>
            <w:tcBorders>
              <w:top w:val="nil"/>
              <w:left w:val="single" w:sz="12" w:space="0" w:color="auto"/>
              <w:bottom w:val="nil"/>
              <w:right w:val="nil"/>
            </w:tcBorders>
            <w:noWrap/>
            <w:vAlign w:val="center"/>
            <w:hideMark/>
          </w:tcPr>
          <w:p w14:paraId="2DEB7847"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0.1441</w:t>
            </w:r>
          </w:p>
        </w:tc>
        <w:tc>
          <w:tcPr>
            <w:tcW w:w="907" w:type="dxa"/>
            <w:tcBorders>
              <w:top w:val="nil"/>
              <w:left w:val="nil"/>
              <w:bottom w:val="nil"/>
              <w:right w:val="single" w:sz="12" w:space="0" w:color="auto"/>
            </w:tcBorders>
            <w:noWrap/>
            <w:vAlign w:val="center"/>
            <w:hideMark/>
          </w:tcPr>
          <w:p w14:paraId="3D7217F5"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74.223</w:t>
            </w:r>
          </w:p>
        </w:tc>
        <w:tc>
          <w:tcPr>
            <w:tcW w:w="1206" w:type="dxa"/>
            <w:tcBorders>
              <w:top w:val="nil"/>
              <w:left w:val="single" w:sz="12" w:space="0" w:color="auto"/>
              <w:bottom w:val="nil"/>
              <w:right w:val="nil"/>
            </w:tcBorders>
            <w:noWrap/>
            <w:vAlign w:val="center"/>
            <w:hideMark/>
          </w:tcPr>
          <w:p w14:paraId="5D0DD583"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0.0839</w:t>
            </w:r>
          </w:p>
        </w:tc>
        <w:tc>
          <w:tcPr>
            <w:tcW w:w="907" w:type="dxa"/>
            <w:tcBorders>
              <w:top w:val="nil"/>
              <w:left w:val="nil"/>
              <w:bottom w:val="nil"/>
              <w:right w:val="single" w:sz="12" w:space="0" w:color="auto"/>
            </w:tcBorders>
            <w:noWrap/>
            <w:vAlign w:val="center"/>
            <w:hideMark/>
          </w:tcPr>
          <w:p w14:paraId="76C4F5AD"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42.454</w:t>
            </w:r>
          </w:p>
        </w:tc>
        <w:tc>
          <w:tcPr>
            <w:tcW w:w="1206" w:type="dxa"/>
            <w:tcBorders>
              <w:top w:val="nil"/>
              <w:left w:val="single" w:sz="12" w:space="0" w:color="auto"/>
              <w:bottom w:val="nil"/>
              <w:right w:val="nil"/>
            </w:tcBorders>
            <w:noWrap/>
            <w:vAlign w:val="center"/>
            <w:hideMark/>
          </w:tcPr>
          <w:p w14:paraId="7D11EE0C"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0.0983</w:t>
            </w:r>
          </w:p>
        </w:tc>
        <w:tc>
          <w:tcPr>
            <w:tcW w:w="907" w:type="dxa"/>
            <w:tcBorders>
              <w:top w:val="nil"/>
              <w:left w:val="nil"/>
              <w:bottom w:val="nil"/>
              <w:right w:val="single" w:sz="12" w:space="0" w:color="auto"/>
            </w:tcBorders>
            <w:noWrap/>
            <w:vAlign w:val="center"/>
            <w:hideMark/>
          </w:tcPr>
          <w:p w14:paraId="33E63A78"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50.198</w:t>
            </w:r>
          </w:p>
        </w:tc>
      </w:tr>
      <w:tr w:rsidR="0086169E" w:rsidRPr="00713BA4" w14:paraId="1D304778" w14:textId="77777777" w:rsidTr="0086169E">
        <w:trPr>
          <w:cantSplit/>
          <w:trHeight w:val="20"/>
        </w:trPr>
        <w:tc>
          <w:tcPr>
            <w:tcW w:w="680" w:type="dxa"/>
            <w:vMerge/>
            <w:tcBorders>
              <w:left w:val="single" w:sz="12" w:space="0" w:color="auto"/>
              <w:right w:val="single" w:sz="12" w:space="0" w:color="auto"/>
            </w:tcBorders>
          </w:tcPr>
          <w:p w14:paraId="0881539E"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64719C67"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week</w:t>
            </w:r>
          </w:p>
        </w:tc>
        <w:tc>
          <w:tcPr>
            <w:tcW w:w="1206" w:type="dxa"/>
            <w:tcBorders>
              <w:top w:val="nil"/>
              <w:left w:val="single" w:sz="12" w:space="0" w:color="auto"/>
              <w:bottom w:val="nil"/>
              <w:right w:val="nil"/>
            </w:tcBorders>
            <w:noWrap/>
            <w:vAlign w:val="center"/>
            <w:hideMark/>
          </w:tcPr>
          <w:p w14:paraId="758A0A9C"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0.1994</w:t>
            </w:r>
          </w:p>
        </w:tc>
        <w:tc>
          <w:tcPr>
            <w:tcW w:w="931" w:type="dxa"/>
            <w:tcBorders>
              <w:top w:val="nil"/>
              <w:left w:val="nil"/>
              <w:bottom w:val="nil"/>
              <w:right w:val="single" w:sz="12" w:space="0" w:color="auto"/>
            </w:tcBorders>
            <w:noWrap/>
            <w:vAlign w:val="center"/>
            <w:hideMark/>
          </w:tcPr>
          <w:p w14:paraId="4BC5F1CA"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102.068</w:t>
            </w:r>
          </w:p>
        </w:tc>
        <w:tc>
          <w:tcPr>
            <w:tcW w:w="1206" w:type="dxa"/>
            <w:tcBorders>
              <w:top w:val="nil"/>
              <w:left w:val="single" w:sz="12" w:space="0" w:color="auto"/>
              <w:bottom w:val="nil"/>
              <w:right w:val="nil"/>
            </w:tcBorders>
            <w:noWrap/>
            <w:vAlign w:val="center"/>
            <w:hideMark/>
          </w:tcPr>
          <w:p w14:paraId="03D9BA9D"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0.1934</w:t>
            </w:r>
          </w:p>
        </w:tc>
        <w:tc>
          <w:tcPr>
            <w:tcW w:w="907" w:type="dxa"/>
            <w:tcBorders>
              <w:top w:val="nil"/>
              <w:left w:val="nil"/>
              <w:bottom w:val="nil"/>
              <w:right w:val="single" w:sz="12" w:space="0" w:color="auto"/>
            </w:tcBorders>
            <w:noWrap/>
            <w:vAlign w:val="center"/>
            <w:hideMark/>
          </w:tcPr>
          <w:p w14:paraId="52D8BF8C"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98.620</w:t>
            </w:r>
          </w:p>
        </w:tc>
        <w:tc>
          <w:tcPr>
            <w:tcW w:w="1206" w:type="dxa"/>
            <w:tcBorders>
              <w:top w:val="nil"/>
              <w:left w:val="single" w:sz="12" w:space="0" w:color="auto"/>
              <w:bottom w:val="nil"/>
              <w:right w:val="nil"/>
            </w:tcBorders>
            <w:noWrap/>
            <w:vAlign w:val="center"/>
            <w:hideMark/>
          </w:tcPr>
          <w:p w14:paraId="603945A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0.0995</w:t>
            </w:r>
          </w:p>
        </w:tc>
        <w:tc>
          <w:tcPr>
            <w:tcW w:w="907" w:type="dxa"/>
            <w:tcBorders>
              <w:top w:val="nil"/>
              <w:left w:val="nil"/>
              <w:bottom w:val="nil"/>
              <w:right w:val="single" w:sz="12" w:space="0" w:color="auto"/>
            </w:tcBorders>
            <w:noWrap/>
            <w:vAlign w:val="center"/>
            <w:hideMark/>
          </w:tcPr>
          <w:p w14:paraId="103147A6"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49.664</w:t>
            </w:r>
          </w:p>
        </w:tc>
        <w:tc>
          <w:tcPr>
            <w:tcW w:w="1206" w:type="dxa"/>
            <w:tcBorders>
              <w:top w:val="nil"/>
              <w:left w:val="single" w:sz="12" w:space="0" w:color="auto"/>
              <w:bottom w:val="nil"/>
              <w:right w:val="nil"/>
            </w:tcBorders>
            <w:noWrap/>
            <w:vAlign w:val="center"/>
            <w:hideMark/>
          </w:tcPr>
          <w:p w14:paraId="4D965F14"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0.0953</w:t>
            </w:r>
          </w:p>
        </w:tc>
        <w:tc>
          <w:tcPr>
            <w:tcW w:w="907" w:type="dxa"/>
            <w:tcBorders>
              <w:top w:val="nil"/>
              <w:left w:val="nil"/>
              <w:bottom w:val="nil"/>
              <w:right w:val="single" w:sz="12" w:space="0" w:color="auto"/>
            </w:tcBorders>
            <w:noWrap/>
            <w:vAlign w:val="center"/>
            <w:hideMark/>
          </w:tcPr>
          <w:p w14:paraId="1CCA6FD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48.157</w:t>
            </w:r>
          </w:p>
        </w:tc>
      </w:tr>
      <w:tr w:rsidR="0086169E" w:rsidRPr="00713BA4" w14:paraId="11FF8899" w14:textId="77777777" w:rsidTr="0086169E">
        <w:trPr>
          <w:cantSplit/>
          <w:trHeight w:val="20"/>
        </w:trPr>
        <w:tc>
          <w:tcPr>
            <w:tcW w:w="680" w:type="dxa"/>
            <w:vMerge/>
            <w:tcBorders>
              <w:left w:val="single" w:sz="12" w:space="0" w:color="auto"/>
              <w:right w:val="single" w:sz="12" w:space="0" w:color="auto"/>
            </w:tcBorders>
          </w:tcPr>
          <w:p w14:paraId="60329651"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tcPr>
          <w:p w14:paraId="0FBD8575" w14:textId="039B5B36" w:rsidR="00C52F43" w:rsidRPr="00713BA4" w:rsidRDefault="0086169E" w:rsidP="0086169E">
            <w:pPr>
              <w:autoSpaceDE w:val="0"/>
              <w:autoSpaceDN w:val="0"/>
              <w:adjustRightInd w:val="0"/>
              <w:spacing w:before="0" w:after="0"/>
              <w:jc w:val="left"/>
              <w:rPr>
                <w:rFonts w:cs="Times New Roman"/>
                <w:sz w:val="20"/>
                <w:szCs w:val="20"/>
              </w:rPr>
            </w:pPr>
            <w:r w:rsidRPr="00713BA4">
              <w:rPr>
                <w:rFonts w:cs="Times New Roman"/>
                <w:sz w:val="20"/>
                <w:szCs w:val="20"/>
              </w:rPr>
              <w:t>Temporally</w:t>
            </w:r>
            <w:r w:rsidR="00CC70C3">
              <w:rPr>
                <w:rFonts w:cs="Times New Roman"/>
                <w:sz w:val="20"/>
                <w:szCs w:val="20"/>
              </w:rPr>
              <w:t xml:space="preserve"> </w:t>
            </w:r>
            <w:r w:rsidRPr="00713BA4">
              <w:rPr>
                <w:rFonts w:cs="Times New Roman"/>
                <w:sz w:val="20"/>
                <w:szCs w:val="20"/>
              </w:rPr>
              <w:t>&amp;</w:t>
            </w:r>
            <w:r w:rsidR="00CC70C3">
              <w:rPr>
                <w:rFonts w:cs="Times New Roman"/>
                <w:sz w:val="20"/>
                <w:szCs w:val="20"/>
              </w:rPr>
              <w:t xml:space="preserve"> </w:t>
            </w:r>
            <w:r w:rsidRPr="00713BA4">
              <w:rPr>
                <w:rFonts w:cs="Times New Roman"/>
                <w:sz w:val="20"/>
                <w:szCs w:val="20"/>
              </w:rPr>
              <w:t>s</w:t>
            </w:r>
            <w:r w:rsidR="00C52F43" w:rsidRPr="00713BA4">
              <w:rPr>
                <w:rFonts w:cs="Times New Roman"/>
                <w:sz w:val="20"/>
                <w:szCs w:val="20"/>
              </w:rPr>
              <w:t>patial</w:t>
            </w:r>
            <w:r w:rsidRPr="00713BA4">
              <w:rPr>
                <w:rFonts w:cs="Times New Roman"/>
                <w:sz w:val="20"/>
                <w:szCs w:val="20"/>
              </w:rPr>
              <w:t>ly</w:t>
            </w:r>
            <w:r w:rsidR="00C52F43" w:rsidRPr="00713BA4">
              <w:rPr>
                <w:rFonts w:cs="Times New Roman"/>
                <w:sz w:val="20"/>
                <w:szCs w:val="20"/>
              </w:rPr>
              <w:t xml:space="preserve"> lag</w:t>
            </w:r>
            <w:r w:rsidRPr="00713BA4">
              <w:rPr>
                <w:rFonts w:cs="Times New Roman"/>
                <w:sz w:val="20"/>
                <w:szCs w:val="20"/>
              </w:rPr>
              <w:t>ged</w:t>
            </w:r>
            <w:r w:rsidR="00C52F43" w:rsidRPr="00713BA4">
              <w:rPr>
                <w:rFonts w:cs="Times New Roman"/>
                <w:sz w:val="20"/>
                <w:szCs w:val="20"/>
              </w:rPr>
              <w:t xml:space="preserve"> </w:t>
            </w:r>
            <w:r w:rsidRPr="00713BA4">
              <w:rPr>
                <w:rFonts w:cs="Times New Roman"/>
                <w:sz w:val="20"/>
                <w:szCs w:val="20"/>
              </w:rPr>
              <w:t xml:space="preserve">dependent </w:t>
            </w:r>
            <w:r w:rsidR="00C52F43" w:rsidRPr="00713BA4">
              <w:rPr>
                <w:rFonts w:cs="Times New Roman"/>
                <w:sz w:val="20"/>
                <w:szCs w:val="20"/>
              </w:rPr>
              <w:t>variable</w:t>
            </w:r>
          </w:p>
        </w:tc>
        <w:tc>
          <w:tcPr>
            <w:tcW w:w="1206" w:type="dxa"/>
            <w:tcBorders>
              <w:top w:val="nil"/>
              <w:left w:val="single" w:sz="12" w:space="0" w:color="auto"/>
              <w:bottom w:val="nil"/>
              <w:right w:val="nil"/>
            </w:tcBorders>
            <w:noWrap/>
            <w:vAlign w:val="center"/>
          </w:tcPr>
          <w:p w14:paraId="74B59FC9"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31" w:type="dxa"/>
            <w:tcBorders>
              <w:top w:val="nil"/>
              <w:left w:val="nil"/>
              <w:bottom w:val="nil"/>
              <w:right w:val="single" w:sz="12" w:space="0" w:color="auto"/>
            </w:tcBorders>
            <w:noWrap/>
            <w:vAlign w:val="center"/>
          </w:tcPr>
          <w:p w14:paraId="76BFCA64"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nil"/>
              <w:left w:val="single" w:sz="12" w:space="0" w:color="auto"/>
              <w:bottom w:val="nil"/>
              <w:right w:val="nil"/>
            </w:tcBorders>
            <w:noWrap/>
            <w:vAlign w:val="center"/>
          </w:tcPr>
          <w:p w14:paraId="36C45F95"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nil"/>
              <w:left w:val="nil"/>
              <w:bottom w:val="nil"/>
              <w:right w:val="single" w:sz="12" w:space="0" w:color="auto"/>
            </w:tcBorders>
            <w:noWrap/>
            <w:vAlign w:val="center"/>
          </w:tcPr>
          <w:p w14:paraId="26939758"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nil"/>
              <w:left w:val="single" w:sz="12" w:space="0" w:color="auto"/>
              <w:bottom w:val="nil"/>
              <w:right w:val="nil"/>
            </w:tcBorders>
            <w:noWrap/>
            <w:vAlign w:val="center"/>
          </w:tcPr>
          <w:p w14:paraId="0721D800"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nil"/>
              <w:left w:val="nil"/>
              <w:bottom w:val="nil"/>
              <w:right w:val="single" w:sz="12" w:space="0" w:color="auto"/>
            </w:tcBorders>
            <w:noWrap/>
            <w:vAlign w:val="center"/>
          </w:tcPr>
          <w:p w14:paraId="386820FD"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1206" w:type="dxa"/>
            <w:tcBorders>
              <w:top w:val="nil"/>
              <w:left w:val="single" w:sz="12" w:space="0" w:color="auto"/>
              <w:bottom w:val="nil"/>
              <w:right w:val="nil"/>
            </w:tcBorders>
            <w:noWrap/>
            <w:vAlign w:val="center"/>
          </w:tcPr>
          <w:p w14:paraId="0DC64B1A"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907" w:type="dxa"/>
            <w:tcBorders>
              <w:top w:val="nil"/>
              <w:left w:val="nil"/>
              <w:bottom w:val="nil"/>
              <w:right w:val="single" w:sz="12" w:space="0" w:color="auto"/>
            </w:tcBorders>
            <w:noWrap/>
            <w:vAlign w:val="center"/>
          </w:tcPr>
          <w:p w14:paraId="0B3BD8F9" w14:textId="77777777" w:rsidR="00C52F43" w:rsidRPr="00713BA4" w:rsidRDefault="00C52F43" w:rsidP="00C52F43">
            <w:pPr>
              <w:autoSpaceDE w:val="0"/>
              <w:autoSpaceDN w:val="0"/>
              <w:adjustRightInd w:val="0"/>
              <w:spacing w:before="0" w:after="0"/>
              <w:jc w:val="center"/>
              <w:rPr>
                <w:rFonts w:cs="Times New Roman"/>
                <w:sz w:val="20"/>
                <w:szCs w:val="20"/>
              </w:rPr>
            </w:pPr>
          </w:p>
        </w:tc>
      </w:tr>
      <w:tr w:rsidR="0086169E" w:rsidRPr="00713BA4" w14:paraId="4C515862" w14:textId="77777777" w:rsidTr="0086169E">
        <w:trPr>
          <w:cantSplit/>
          <w:trHeight w:val="20"/>
        </w:trPr>
        <w:tc>
          <w:tcPr>
            <w:tcW w:w="680" w:type="dxa"/>
            <w:vMerge/>
            <w:tcBorders>
              <w:left w:val="single" w:sz="12" w:space="0" w:color="auto"/>
              <w:right w:val="single" w:sz="12" w:space="0" w:color="auto"/>
            </w:tcBorders>
          </w:tcPr>
          <w:p w14:paraId="13281BA5"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04B9360D"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hour</w:t>
            </w:r>
          </w:p>
        </w:tc>
        <w:tc>
          <w:tcPr>
            <w:tcW w:w="1206" w:type="dxa"/>
            <w:tcBorders>
              <w:top w:val="nil"/>
              <w:left w:val="single" w:sz="12" w:space="0" w:color="auto"/>
              <w:bottom w:val="nil"/>
              <w:right w:val="nil"/>
            </w:tcBorders>
            <w:noWrap/>
            <w:vAlign w:val="center"/>
            <w:hideMark/>
          </w:tcPr>
          <w:p w14:paraId="505B5189"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0.0807</w:t>
            </w:r>
          </w:p>
        </w:tc>
        <w:tc>
          <w:tcPr>
            <w:tcW w:w="931" w:type="dxa"/>
            <w:tcBorders>
              <w:top w:val="nil"/>
              <w:left w:val="nil"/>
              <w:bottom w:val="nil"/>
              <w:right w:val="single" w:sz="12" w:space="0" w:color="auto"/>
            </w:tcBorders>
            <w:noWrap/>
            <w:vAlign w:val="center"/>
            <w:hideMark/>
          </w:tcPr>
          <w:p w14:paraId="5A53D32E"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27.213</w:t>
            </w:r>
          </w:p>
        </w:tc>
        <w:tc>
          <w:tcPr>
            <w:tcW w:w="1206" w:type="dxa"/>
            <w:tcBorders>
              <w:top w:val="nil"/>
              <w:left w:val="single" w:sz="12" w:space="0" w:color="auto"/>
              <w:bottom w:val="nil"/>
              <w:right w:val="nil"/>
            </w:tcBorders>
            <w:noWrap/>
            <w:vAlign w:val="center"/>
            <w:hideMark/>
          </w:tcPr>
          <w:p w14:paraId="5CD96074"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0.0723</w:t>
            </w:r>
          </w:p>
        </w:tc>
        <w:tc>
          <w:tcPr>
            <w:tcW w:w="907" w:type="dxa"/>
            <w:tcBorders>
              <w:top w:val="nil"/>
              <w:left w:val="nil"/>
              <w:bottom w:val="nil"/>
              <w:right w:val="single" w:sz="12" w:space="0" w:color="auto"/>
            </w:tcBorders>
            <w:noWrap/>
            <w:vAlign w:val="center"/>
            <w:hideMark/>
          </w:tcPr>
          <w:p w14:paraId="1A562CB1"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24.981</w:t>
            </w:r>
          </w:p>
        </w:tc>
        <w:tc>
          <w:tcPr>
            <w:tcW w:w="1206" w:type="dxa"/>
            <w:tcBorders>
              <w:top w:val="nil"/>
              <w:left w:val="single" w:sz="12" w:space="0" w:color="auto"/>
              <w:bottom w:val="nil"/>
              <w:right w:val="nil"/>
            </w:tcBorders>
            <w:noWrap/>
            <w:vAlign w:val="center"/>
            <w:hideMark/>
          </w:tcPr>
          <w:p w14:paraId="76FD4103"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0.1340</w:t>
            </w:r>
          </w:p>
        </w:tc>
        <w:tc>
          <w:tcPr>
            <w:tcW w:w="907" w:type="dxa"/>
            <w:tcBorders>
              <w:top w:val="nil"/>
              <w:left w:val="nil"/>
              <w:bottom w:val="nil"/>
              <w:right w:val="single" w:sz="12" w:space="0" w:color="auto"/>
            </w:tcBorders>
            <w:noWrap/>
            <w:vAlign w:val="center"/>
            <w:hideMark/>
          </w:tcPr>
          <w:p w14:paraId="6CB4119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37.013</w:t>
            </w:r>
          </w:p>
        </w:tc>
        <w:tc>
          <w:tcPr>
            <w:tcW w:w="1206" w:type="dxa"/>
            <w:tcBorders>
              <w:top w:val="nil"/>
              <w:left w:val="single" w:sz="12" w:space="0" w:color="auto"/>
              <w:bottom w:val="nil"/>
              <w:right w:val="nil"/>
            </w:tcBorders>
            <w:noWrap/>
            <w:vAlign w:val="center"/>
            <w:hideMark/>
          </w:tcPr>
          <w:p w14:paraId="5312BCB8"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0.0953</w:t>
            </w:r>
          </w:p>
        </w:tc>
        <w:tc>
          <w:tcPr>
            <w:tcW w:w="907" w:type="dxa"/>
            <w:tcBorders>
              <w:top w:val="nil"/>
              <w:left w:val="nil"/>
              <w:bottom w:val="nil"/>
              <w:right w:val="single" w:sz="12" w:space="0" w:color="auto"/>
            </w:tcBorders>
            <w:noWrap/>
            <w:vAlign w:val="center"/>
            <w:hideMark/>
          </w:tcPr>
          <w:p w14:paraId="10DEBEFB"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26.315</w:t>
            </w:r>
          </w:p>
        </w:tc>
      </w:tr>
      <w:tr w:rsidR="0086169E" w:rsidRPr="00713BA4" w14:paraId="6DF6B346" w14:textId="77777777" w:rsidTr="0086169E">
        <w:trPr>
          <w:cantSplit/>
          <w:trHeight w:val="20"/>
        </w:trPr>
        <w:tc>
          <w:tcPr>
            <w:tcW w:w="680" w:type="dxa"/>
            <w:vMerge/>
            <w:tcBorders>
              <w:left w:val="single" w:sz="12" w:space="0" w:color="auto"/>
              <w:right w:val="single" w:sz="12" w:space="0" w:color="auto"/>
            </w:tcBorders>
          </w:tcPr>
          <w:p w14:paraId="67B88017"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nil"/>
              <w:right w:val="single" w:sz="12" w:space="0" w:color="auto"/>
            </w:tcBorders>
            <w:noWrap/>
            <w:vAlign w:val="center"/>
            <w:hideMark/>
          </w:tcPr>
          <w:p w14:paraId="2C16E00D"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day</w:t>
            </w:r>
          </w:p>
        </w:tc>
        <w:tc>
          <w:tcPr>
            <w:tcW w:w="1206" w:type="dxa"/>
            <w:tcBorders>
              <w:top w:val="nil"/>
              <w:left w:val="single" w:sz="12" w:space="0" w:color="auto"/>
              <w:bottom w:val="nil"/>
              <w:right w:val="nil"/>
            </w:tcBorders>
            <w:noWrap/>
            <w:vAlign w:val="center"/>
            <w:hideMark/>
          </w:tcPr>
          <w:p w14:paraId="049E299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0.0217</w:t>
            </w:r>
          </w:p>
        </w:tc>
        <w:tc>
          <w:tcPr>
            <w:tcW w:w="931" w:type="dxa"/>
            <w:tcBorders>
              <w:top w:val="nil"/>
              <w:left w:val="nil"/>
              <w:bottom w:val="nil"/>
              <w:right w:val="single" w:sz="12" w:space="0" w:color="auto"/>
            </w:tcBorders>
            <w:noWrap/>
            <w:vAlign w:val="center"/>
            <w:hideMark/>
          </w:tcPr>
          <w:p w14:paraId="42AD6728"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7.401</w:t>
            </w:r>
          </w:p>
        </w:tc>
        <w:tc>
          <w:tcPr>
            <w:tcW w:w="1206" w:type="dxa"/>
            <w:tcBorders>
              <w:top w:val="nil"/>
              <w:left w:val="single" w:sz="12" w:space="0" w:color="auto"/>
              <w:bottom w:val="nil"/>
              <w:right w:val="nil"/>
            </w:tcBorders>
            <w:noWrap/>
            <w:vAlign w:val="center"/>
            <w:hideMark/>
          </w:tcPr>
          <w:p w14:paraId="115B4E5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0.0343</w:t>
            </w:r>
          </w:p>
        </w:tc>
        <w:tc>
          <w:tcPr>
            <w:tcW w:w="907" w:type="dxa"/>
            <w:tcBorders>
              <w:top w:val="nil"/>
              <w:left w:val="nil"/>
              <w:bottom w:val="nil"/>
              <w:right w:val="single" w:sz="12" w:space="0" w:color="auto"/>
            </w:tcBorders>
            <w:noWrap/>
            <w:vAlign w:val="center"/>
            <w:hideMark/>
          </w:tcPr>
          <w:p w14:paraId="76D8124D"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11.748</w:t>
            </w:r>
          </w:p>
        </w:tc>
        <w:tc>
          <w:tcPr>
            <w:tcW w:w="1206" w:type="dxa"/>
            <w:tcBorders>
              <w:top w:val="nil"/>
              <w:left w:val="single" w:sz="12" w:space="0" w:color="auto"/>
              <w:bottom w:val="nil"/>
              <w:right w:val="nil"/>
            </w:tcBorders>
            <w:noWrap/>
            <w:vAlign w:val="center"/>
            <w:hideMark/>
          </w:tcPr>
          <w:p w14:paraId="5A42F98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0.0431</w:t>
            </w:r>
          </w:p>
        </w:tc>
        <w:tc>
          <w:tcPr>
            <w:tcW w:w="907" w:type="dxa"/>
            <w:tcBorders>
              <w:top w:val="nil"/>
              <w:left w:val="nil"/>
              <w:bottom w:val="nil"/>
              <w:right w:val="single" w:sz="12" w:space="0" w:color="auto"/>
            </w:tcBorders>
            <w:noWrap/>
            <w:vAlign w:val="center"/>
            <w:hideMark/>
          </w:tcPr>
          <w:p w14:paraId="566A822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12.722</w:t>
            </w:r>
          </w:p>
        </w:tc>
        <w:tc>
          <w:tcPr>
            <w:tcW w:w="1206" w:type="dxa"/>
            <w:tcBorders>
              <w:top w:val="nil"/>
              <w:left w:val="single" w:sz="12" w:space="0" w:color="auto"/>
              <w:bottom w:val="nil"/>
              <w:right w:val="nil"/>
            </w:tcBorders>
            <w:noWrap/>
            <w:vAlign w:val="center"/>
            <w:hideMark/>
          </w:tcPr>
          <w:p w14:paraId="4F0F3C0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0.0296</w:t>
            </w:r>
          </w:p>
        </w:tc>
        <w:tc>
          <w:tcPr>
            <w:tcW w:w="907" w:type="dxa"/>
            <w:tcBorders>
              <w:top w:val="nil"/>
              <w:left w:val="nil"/>
              <w:bottom w:val="nil"/>
              <w:right w:val="single" w:sz="12" w:space="0" w:color="auto"/>
            </w:tcBorders>
            <w:noWrap/>
            <w:vAlign w:val="center"/>
            <w:hideMark/>
          </w:tcPr>
          <w:p w14:paraId="167DAA30"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8.818</w:t>
            </w:r>
          </w:p>
        </w:tc>
      </w:tr>
      <w:tr w:rsidR="0086169E" w:rsidRPr="00713BA4" w14:paraId="279380D8" w14:textId="77777777" w:rsidTr="0086169E">
        <w:trPr>
          <w:cantSplit/>
          <w:trHeight w:val="20"/>
        </w:trPr>
        <w:tc>
          <w:tcPr>
            <w:tcW w:w="680" w:type="dxa"/>
            <w:vMerge/>
            <w:tcBorders>
              <w:left w:val="single" w:sz="12" w:space="0" w:color="auto"/>
              <w:bottom w:val="single" w:sz="12" w:space="0" w:color="auto"/>
              <w:right w:val="single" w:sz="12" w:space="0" w:color="auto"/>
            </w:tcBorders>
          </w:tcPr>
          <w:p w14:paraId="2C487B58"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single" w:sz="12" w:space="0" w:color="auto"/>
              <w:right w:val="single" w:sz="12" w:space="0" w:color="auto"/>
            </w:tcBorders>
            <w:noWrap/>
            <w:vAlign w:val="center"/>
            <w:hideMark/>
          </w:tcPr>
          <w:p w14:paraId="73B09CA2" w14:textId="77777777" w:rsidR="00C52F43" w:rsidRPr="00713BA4" w:rsidRDefault="00C52F43" w:rsidP="00C52F43">
            <w:pPr>
              <w:autoSpaceDE w:val="0"/>
              <w:autoSpaceDN w:val="0"/>
              <w:adjustRightInd w:val="0"/>
              <w:spacing w:before="0" w:after="0"/>
              <w:jc w:val="left"/>
              <w:rPr>
                <w:rFonts w:cs="Times New Roman"/>
                <w:sz w:val="20"/>
                <w:szCs w:val="20"/>
              </w:rPr>
            </w:pPr>
            <w:r w:rsidRPr="00713BA4">
              <w:rPr>
                <w:rFonts w:cs="Times New Roman"/>
                <w:sz w:val="20"/>
                <w:szCs w:val="20"/>
              </w:rPr>
              <w:t>1 week</w:t>
            </w:r>
          </w:p>
        </w:tc>
        <w:tc>
          <w:tcPr>
            <w:tcW w:w="1206" w:type="dxa"/>
            <w:tcBorders>
              <w:top w:val="nil"/>
              <w:left w:val="single" w:sz="12" w:space="0" w:color="auto"/>
              <w:bottom w:val="single" w:sz="12" w:space="0" w:color="auto"/>
              <w:right w:val="nil"/>
            </w:tcBorders>
            <w:noWrap/>
            <w:vAlign w:val="center"/>
            <w:hideMark/>
          </w:tcPr>
          <w:p w14:paraId="5975DF7F"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0.1060</w:t>
            </w:r>
          </w:p>
        </w:tc>
        <w:tc>
          <w:tcPr>
            <w:tcW w:w="931" w:type="dxa"/>
            <w:tcBorders>
              <w:top w:val="nil"/>
              <w:left w:val="nil"/>
              <w:bottom w:val="single" w:sz="12" w:space="0" w:color="auto"/>
              <w:right w:val="single" w:sz="12" w:space="0" w:color="auto"/>
            </w:tcBorders>
            <w:noWrap/>
            <w:vAlign w:val="center"/>
            <w:hideMark/>
          </w:tcPr>
          <w:p w14:paraId="1A0BF3AA"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34.066</w:t>
            </w:r>
          </w:p>
        </w:tc>
        <w:tc>
          <w:tcPr>
            <w:tcW w:w="1206" w:type="dxa"/>
            <w:tcBorders>
              <w:top w:val="nil"/>
              <w:left w:val="single" w:sz="12" w:space="0" w:color="auto"/>
              <w:bottom w:val="single" w:sz="12" w:space="0" w:color="auto"/>
              <w:right w:val="nil"/>
            </w:tcBorders>
            <w:noWrap/>
            <w:vAlign w:val="center"/>
            <w:hideMark/>
          </w:tcPr>
          <w:p w14:paraId="578F8325"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0.1152</w:t>
            </w:r>
          </w:p>
        </w:tc>
        <w:tc>
          <w:tcPr>
            <w:tcW w:w="907" w:type="dxa"/>
            <w:tcBorders>
              <w:top w:val="nil"/>
              <w:left w:val="nil"/>
              <w:bottom w:val="single" w:sz="12" w:space="0" w:color="auto"/>
              <w:right w:val="single" w:sz="12" w:space="0" w:color="auto"/>
            </w:tcBorders>
            <w:noWrap/>
            <w:vAlign w:val="center"/>
            <w:hideMark/>
          </w:tcPr>
          <w:p w14:paraId="37A6F9BC"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36.951</w:t>
            </w:r>
          </w:p>
        </w:tc>
        <w:tc>
          <w:tcPr>
            <w:tcW w:w="1206" w:type="dxa"/>
            <w:tcBorders>
              <w:top w:val="nil"/>
              <w:left w:val="single" w:sz="12" w:space="0" w:color="auto"/>
              <w:bottom w:val="single" w:sz="12" w:space="0" w:color="auto"/>
              <w:right w:val="nil"/>
            </w:tcBorders>
            <w:noWrap/>
            <w:vAlign w:val="center"/>
            <w:hideMark/>
          </w:tcPr>
          <w:p w14:paraId="1BC76C3A"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0.1195</w:t>
            </w:r>
          </w:p>
        </w:tc>
        <w:tc>
          <w:tcPr>
            <w:tcW w:w="907" w:type="dxa"/>
            <w:tcBorders>
              <w:top w:val="nil"/>
              <w:left w:val="nil"/>
              <w:bottom w:val="single" w:sz="12" w:space="0" w:color="auto"/>
              <w:right w:val="single" w:sz="12" w:space="0" w:color="auto"/>
            </w:tcBorders>
            <w:noWrap/>
            <w:vAlign w:val="center"/>
            <w:hideMark/>
          </w:tcPr>
          <w:p w14:paraId="4C8FB91F"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33.417</w:t>
            </w:r>
          </w:p>
        </w:tc>
        <w:tc>
          <w:tcPr>
            <w:tcW w:w="1206" w:type="dxa"/>
            <w:tcBorders>
              <w:top w:val="nil"/>
              <w:left w:val="single" w:sz="12" w:space="0" w:color="auto"/>
              <w:bottom w:val="single" w:sz="12" w:space="0" w:color="auto"/>
              <w:right w:val="nil"/>
            </w:tcBorders>
            <w:noWrap/>
            <w:vAlign w:val="center"/>
            <w:hideMark/>
          </w:tcPr>
          <w:p w14:paraId="40BDC21D"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0.1161</w:t>
            </w:r>
          </w:p>
        </w:tc>
        <w:tc>
          <w:tcPr>
            <w:tcW w:w="907" w:type="dxa"/>
            <w:tcBorders>
              <w:top w:val="nil"/>
              <w:left w:val="nil"/>
              <w:bottom w:val="single" w:sz="12" w:space="0" w:color="auto"/>
              <w:right w:val="single" w:sz="12" w:space="0" w:color="auto"/>
            </w:tcBorders>
            <w:noWrap/>
            <w:vAlign w:val="center"/>
            <w:hideMark/>
          </w:tcPr>
          <w:p w14:paraId="4ACCA2EF"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32.743</w:t>
            </w:r>
          </w:p>
        </w:tc>
      </w:tr>
      <w:tr w:rsidR="0086169E" w:rsidRPr="00713BA4" w14:paraId="6C6B0AE3" w14:textId="77777777" w:rsidTr="007F5783">
        <w:trPr>
          <w:cantSplit/>
          <w:trHeight w:val="20"/>
        </w:trPr>
        <w:tc>
          <w:tcPr>
            <w:tcW w:w="680" w:type="dxa"/>
            <w:tcBorders>
              <w:top w:val="single" w:sz="12" w:space="0" w:color="auto"/>
              <w:left w:val="nil"/>
              <w:bottom w:val="nil"/>
              <w:right w:val="single" w:sz="12" w:space="0" w:color="auto"/>
            </w:tcBorders>
          </w:tcPr>
          <w:p w14:paraId="60C2A606"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single" w:sz="12" w:space="0" w:color="auto"/>
              <w:left w:val="single" w:sz="12" w:space="0" w:color="auto"/>
              <w:bottom w:val="nil"/>
              <w:right w:val="single" w:sz="12" w:space="0" w:color="auto"/>
            </w:tcBorders>
            <w:noWrap/>
            <w:vAlign w:val="center"/>
            <w:hideMark/>
          </w:tcPr>
          <w:p w14:paraId="26681FEE" w14:textId="77777777" w:rsidR="00C52F43" w:rsidRPr="00713BA4" w:rsidRDefault="004B4545" w:rsidP="00C52F43">
            <w:pPr>
              <w:autoSpaceDE w:val="0"/>
              <w:autoSpaceDN w:val="0"/>
              <w:adjustRightInd w:val="0"/>
              <w:spacing w:before="0" w:after="0"/>
              <w:jc w:val="left"/>
              <w:rPr>
                <w:rFonts w:cs="Times New Roman"/>
                <w:sz w:val="20"/>
                <w:szCs w:val="20"/>
              </w:rPr>
            </w:pPr>
            <w:r w:rsidRPr="00713BA4">
              <w:rPr>
                <w:rFonts w:cs="Times New Roman"/>
                <w:sz w:val="20"/>
                <w:szCs w:val="20"/>
              </w:rPr>
              <w:t>Spatial autoregressive coefficient</w:t>
            </w:r>
          </w:p>
        </w:tc>
        <w:tc>
          <w:tcPr>
            <w:tcW w:w="1206" w:type="dxa"/>
            <w:tcBorders>
              <w:top w:val="single" w:sz="12" w:space="0" w:color="auto"/>
              <w:left w:val="single" w:sz="12" w:space="0" w:color="auto"/>
              <w:bottom w:val="nil"/>
              <w:right w:val="nil"/>
            </w:tcBorders>
            <w:noWrap/>
            <w:vAlign w:val="center"/>
            <w:hideMark/>
          </w:tcPr>
          <w:p w14:paraId="039DA895"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0.1620</w:t>
            </w:r>
          </w:p>
        </w:tc>
        <w:tc>
          <w:tcPr>
            <w:tcW w:w="931" w:type="dxa"/>
            <w:tcBorders>
              <w:top w:val="single" w:sz="12" w:space="0" w:color="auto"/>
              <w:left w:val="nil"/>
              <w:bottom w:val="nil"/>
              <w:right w:val="single" w:sz="12" w:space="0" w:color="auto"/>
            </w:tcBorders>
            <w:noWrap/>
            <w:vAlign w:val="center"/>
            <w:hideMark/>
          </w:tcPr>
          <w:p w14:paraId="52591BAB"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60.759</w:t>
            </w:r>
          </w:p>
        </w:tc>
        <w:tc>
          <w:tcPr>
            <w:tcW w:w="1206" w:type="dxa"/>
            <w:tcBorders>
              <w:top w:val="single" w:sz="12" w:space="0" w:color="auto"/>
              <w:left w:val="single" w:sz="12" w:space="0" w:color="auto"/>
              <w:bottom w:val="nil"/>
              <w:right w:val="nil"/>
            </w:tcBorders>
            <w:noWrap/>
            <w:vAlign w:val="center"/>
            <w:hideMark/>
          </w:tcPr>
          <w:p w14:paraId="3F874A29"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0.1750</w:t>
            </w:r>
          </w:p>
        </w:tc>
        <w:tc>
          <w:tcPr>
            <w:tcW w:w="907" w:type="dxa"/>
            <w:tcBorders>
              <w:top w:val="single" w:sz="12" w:space="0" w:color="auto"/>
              <w:left w:val="nil"/>
              <w:bottom w:val="nil"/>
              <w:right w:val="single" w:sz="12" w:space="0" w:color="auto"/>
            </w:tcBorders>
            <w:noWrap/>
            <w:vAlign w:val="center"/>
            <w:hideMark/>
          </w:tcPr>
          <w:p w14:paraId="4434D4F8"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66.019</w:t>
            </w:r>
          </w:p>
        </w:tc>
        <w:tc>
          <w:tcPr>
            <w:tcW w:w="1206" w:type="dxa"/>
            <w:tcBorders>
              <w:top w:val="single" w:sz="12" w:space="0" w:color="auto"/>
              <w:left w:val="single" w:sz="12" w:space="0" w:color="auto"/>
              <w:bottom w:val="nil"/>
              <w:right w:val="nil"/>
            </w:tcBorders>
            <w:noWrap/>
            <w:vAlign w:val="center"/>
            <w:hideMark/>
          </w:tcPr>
          <w:p w14:paraId="39DB1246"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0.0839</w:t>
            </w:r>
          </w:p>
        </w:tc>
        <w:tc>
          <w:tcPr>
            <w:tcW w:w="907" w:type="dxa"/>
            <w:tcBorders>
              <w:top w:val="single" w:sz="12" w:space="0" w:color="auto"/>
              <w:left w:val="nil"/>
              <w:bottom w:val="nil"/>
              <w:right w:val="single" w:sz="12" w:space="0" w:color="auto"/>
            </w:tcBorders>
            <w:noWrap/>
            <w:vAlign w:val="center"/>
            <w:hideMark/>
          </w:tcPr>
          <w:p w14:paraId="2458DBA7"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30.543</w:t>
            </w:r>
          </w:p>
        </w:tc>
        <w:tc>
          <w:tcPr>
            <w:tcW w:w="1206" w:type="dxa"/>
            <w:tcBorders>
              <w:top w:val="single" w:sz="12" w:space="0" w:color="auto"/>
              <w:left w:val="single" w:sz="12" w:space="0" w:color="auto"/>
              <w:bottom w:val="nil"/>
              <w:right w:val="nil"/>
            </w:tcBorders>
            <w:noWrap/>
            <w:vAlign w:val="center"/>
            <w:hideMark/>
          </w:tcPr>
          <w:p w14:paraId="7FEF4F6F"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0.0740</w:t>
            </w:r>
          </w:p>
        </w:tc>
        <w:tc>
          <w:tcPr>
            <w:tcW w:w="907" w:type="dxa"/>
            <w:tcBorders>
              <w:top w:val="single" w:sz="12" w:space="0" w:color="auto"/>
              <w:left w:val="nil"/>
              <w:bottom w:val="nil"/>
              <w:right w:val="single" w:sz="12" w:space="0" w:color="auto"/>
            </w:tcBorders>
            <w:noWrap/>
            <w:vAlign w:val="center"/>
            <w:hideMark/>
          </w:tcPr>
          <w:p w14:paraId="1AC75741"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26.792</w:t>
            </w:r>
          </w:p>
        </w:tc>
      </w:tr>
      <w:tr w:rsidR="0086169E" w:rsidRPr="00713BA4" w14:paraId="73091BB3" w14:textId="77777777" w:rsidTr="007F5783">
        <w:trPr>
          <w:cantSplit/>
          <w:trHeight w:val="20"/>
        </w:trPr>
        <w:tc>
          <w:tcPr>
            <w:tcW w:w="680" w:type="dxa"/>
            <w:tcBorders>
              <w:top w:val="nil"/>
              <w:left w:val="nil"/>
              <w:bottom w:val="nil"/>
              <w:right w:val="single" w:sz="12" w:space="0" w:color="auto"/>
            </w:tcBorders>
          </w:tcPr>
          <w:p w14:paraId="618DA218" w14:textId="77777777" w:rsidR="00C52F43" w:rsidRPr="00713BA4" w:rsidRDefault="00C52F43" w:rsidP="00C52F43">
            <w:pPr>
              <w:autoSpaceDE w:val="0"/>
              <w:autoSpaceDN w:val="0"/>
              <w:adjustRightInd w:val="0"/>
              <w:spacing w:before="0" w:after="0"/>
              <w:jc w:val="center"/>
              <w:rPr>
                <w:rFonts w:cs="Times New Roman"/>
                <w:sz w:val="20"/>
                <w:szCs w:val="20"/>
              </w:rPr>
            </w:pPr>
          </w:p>
        </w:tc>
        <w:tc>
          <w:tcPr>
            <w:tcW w:w="4535" w:type="dxa"/>
            <w:tcBorders>
              <w:top w:val="nil"/>
              <w:left w:val="single" w:sz="12" w:space="0" w:color="auto"/>
              <w:bottom w:val="single" w:sz="12" w:space="0" w:color="auto"/>
              <w:right w:val="single" w:sz="12" w:space="0" w:color="auto"/>
            </w:tcBorders>
            <w:noWrap/>
            <w:vAlign w:val="center"/>
            <w:hideMark/>
          </w:tcPr>
          <w:p w14:paraId="119067D6" w14:textId="77777777" w:rsidR="00C52F43" w:rsidRPr="00713BA4" w:rsidRDefault="004B4545" w:rsidP="004B4545">
            <w:pPr>
              <w:autoSpaceDE w:val="0"/>
              <w:autoSpaceDN w:val="0"/>
              <w:adjustRightInd w:val="0"/>
              <w:spacing w:before="0" w:after="0"/>
              <w:jc w:val="left"/>
              <w:rPr>
                <w:rFonts w:cs="Times New Roman"/>
                <w:sz w:val="20"/>
                <w:szCs w:val="20"/>
              </w:rPr>
            </w:pPr>
            <w:r w:rsidRPr="00713BA4">
              <w:rPr>
                <w:rFonts w:cs="Times New Roman"/>
                <w:sz w:val="20"/>
                <w:szCs w:val="20"/>
              </w:rPr>
              <w:t>Spatial specific random effects SD</w:t>
            </w:r>
          </w:p>
        </w:tc>
        <w:tc>
          <w:tcPr>
            <w:tcW w:w="1206" w:type="dxa"/>
            <w:tcBorders>
              <w:top w:val="nil"/>
              <w:left w:val="single" w:sz="12" w:space="0" w:color="auto"/>
              <w:bottom w:val="single" w:sz="12" w:space="0" w:color="auto"/>
              <w:right w:val="nil"/>
            </w:tcBorders>
            <w:noWrap/>
            <w:vAlign w:val="center"/>
            <w:hideMark/>
          </w:tcPr>
          <w:p w14:paraId="6BEC2C8B"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0.0967</w:t>
            </w:r>
          </w:p>
        </w:tc>
        <w:tc>
          <w:tcPr>
            <w:tcW w:w="931" w:type="dxa"/>
            <w:tcBorders>
              <w:top w:val="nil"/>
              <w:left w:val="nil"/>
              <w:bottom w:val="single" w:sz="12" w:space="0" w:color="auto"/>
              <w:right w:val="single" w:sz="12" w:space="0" w:color="auto"/>
            </w:tcBorders>
            <w:noWrap/>
            <w:vAlign w:val="center"/>
            <w:hideMark/>
          </w:tcPr>
          <w:p w14:paraId="5E75CC5A"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18.250</w:t>
            </w:r>
          </w:p>
        </w:tc>
        <w:tc>
          <w:tcPr>
            <w:tcW w:w="1206" w:type="dxa"/>
            <w:tcBorders>
              <w:top w:val="nil"/>
              <w:left w:val="single" w:sz="12" w:space="0" w:color="auto"/>
              <w:bottom w:val="single" w:sz="12" w:space="0" w:color="auto"/>
              <w:right w:val="nil"/>
            </w:tcBorders>
            <w:noWrap/>
            <w:vAlign w:val="center"/>
            <w:hideMark/>
          </w:tcPr>
          <w:p w14:paraId="682D7C46"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0.0931</w:t>
            </w:r>
          </w:p>
        </w:tc>
        <w:tc>
          <w:tcPr>
            <w:tcW w:w="907" w:type="dxa"/>
            <w:tcBorders>
              <w:top w:val="nil"/>
              <w:left w:val="nil"/>
              <w:bottom w:val="single" w:sz="12" w:space="0" w:color="auto"/>
              <w:right w:val="single" w:sz="12" w:space="0" w:color="auto"/>
            </w:tcBorders>
            <w:noWrap/>
            <w:vAlign w:val="center"/>
            <w:hideMark/>
          </w:tcPr>
          <w:p w14:paraId="340572A1"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18.244</w:t>
            </w:r>
          </w:p>
        </w:tc>
        <w:tc>
          <w:tcPr>
            <w:tcW w:w="1206" w:type="dxa"/>
            <w:tcBorders>
              <w:top w:val="nil"/>
              <w:left w:val="single" w:sz="12" w:space="0" w:color="auto"/>
              <w:bottom w:val="single" w:sz="12" w:space="0" w:color="auto"/>
              <w:right w:val="nil"/>
            </w:tcBorders>
            <w:noWrap/>
            <w:vAlign w:val="center"/>
            <w:hideMark/>
          </w:tcPr>
          <w:p w14:paraId="500B653A"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0.0811</w:t>
            </w:r>
          </w:p>
        </w:tc>
        <w:tc>
          <w:tcPr>
            <w:tcW w:w="907" w:type="dxa"/>
            <w:tcBorders>
              <w:top w:val="nil"/>
              <w:left w:val="nil"/>
              <w:bottom w:val="single" w:sz="12" w:space="0" w:color="auto"/>
              <w:right w:val="single" w:sz="12" w:space="0" w:color="auto"/>
            </w:tcBorders>
            <w:noWrap/>
            <w:vAlign w:val="center"/>
            <w:hideMark/>
          </w:tcPr>
          <w:p w14:paraId="60373AA2"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18.225</w:t>
            </w:r>
          </w:p>
        </w:tc>
        <w:tc>
          <w:tcPr>
            <w:tcW w:w="1206" w:type="dxa"/>
            <w:tcBorders>
              <w:top w:val="nil"/>
              <w:left w:val="single" w:sz="12" w:space="0" w:color="auto"/>
              <w:bottom w:val="single" w:sz="12" w:space="0" w:color="auto"/>
              <w:right w:val="nil"/>
            </w:tcBorders>
            <w:noWrap/>
            <w:vAlign w:val="center"/>
            <w:hideMark/>
          </w:tcPr>
          <w:p w14:paraId="41D14D84"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0.0954</w:t>
            </w:r>
          </w:p>
        </w:tc>
        <w:tc>
          <w:tcPr>
            <w:tcW w:w="907" w:type="dxa"/>
            <w:tcBorders>
              <w:top w:val="nil"/>
              <w:left w:val="nil"/>
              <w:bottom w:val="single" w:sz="12" w:space="0" w:color="auto"/>
              <w:right w:val="single" w:sz="12" w:space="0" w:color="auto"/>
            </w:tcBorders>
            <w:noWrap/>
            <w:vAlign w:val="center"/>
            <w:hideMark/>
          </w:tcPr>
          <w:p w14:paraId="159793AD" w14:textId="77777777" w:rsidR="00C52F43" w:rsidRPr="00713BA4" w:rsidRDefault="00C52F43" w:rsidP="00C52F43">
            <w:pPr>
              <w:autoSpaceDE w:val="0"/>
              <w:autoSpaceDN w:val="0"/>
              <w:adjustRightInd w:val="0"/>
              <w:spacing w:before="0" w:after="0"/>
              <w:jc w:val="center"/>
              <w:rPr>
                <w:rFonts w:cs="Times New Roman"/>
                <w:sz w:val="20"/>
                <w:szCs w:val="20"/>
              </w:rPr>
            </w:pPr>
            <w:r w:rsidRPr="00713BA4">
              <w:rPr>
                <w:rFonts w:cs="Times New Roman"/>
                <w:sz w:val="20"/>
                <w:szCs w:val="20"/>
              </w:rPr>
              <w:t>18.248</w:t>
            </w:r>
          </w:p>
        </w:tc>
      </w:tr>
    </w:tbl>
    <w:p w14:paraId="1B03E9E7" w14:textId="77777777" w:rsidR="00985924" w:rsidRDefault="00985924" w:rsidP="0043327D">
      <w:pPr>
        <w:autoSpaceDE w:val="0"/>
        <w:autoSpaceDN w:val="0"/>
        <w:adjustRightInd w:val="0"/>
        <w:jc w:val="left"/>
        <w:rPr>
          <w:rFonts w:cs="Times New Roman"/>
          <w:b/>
        </w:rPr>
        <w:sectPr w:rsidR="00985924" w:rsidSect="007F5783">
          <w:pgSz w:w="15840" w:h="12240" w:orient="landscape"/>
          <w:pgMar w:top="1440" w:right="1440" w:bottom="1440" w:left="1440" w:header="709" w:footer="709" w:gutter="0"/>
          <w:cols w:space="708"/>
          <w:titlePg/>
          <w:docGrid w:linePitch="360"/>
        </w:sectPr>
      </w:pPr>
    </w:p>
    <w:p w14:paraId="63D0F446" w14:textId="756279BC" w:rsidR="000362DF" w:rsidRPr="000362DF" w:rsidRDefault="000362DF" w:rsidP="000362DF">
      <w:pPr>
        <w:pStyle w:val="Caption"/>
        <w:keepNext/>
        <w:spacing w:before="0" w:after="0"/>
        <w:jc w:val="center"/>
        <w:rPr>
          <w:color w:val="auto"/>
          <w:sz w:val="24"/>
        </w:rPr>
      </w:pPr>
      <w:r w:rsidRPr="000362DF">
        <w:rPr>
          <w:color w:val="auto"/>
          <w:sz w:val="24"/>
        </w:rPr>
        <w:lastRenderedPageBreak/>
        <w:t xml:space="preserve">Table </w:t>
      </w:r>
      <w:r w:rsidRPr="000362DF">
        <w:rPr>
          <w:color w:val="auto"/>
          <w:sz w:val="24"/>
        </w:rPr>
        <w:fldChar w:fldCharType="begin"/>
      </w:r>
      <w:r w:rsidRPr="000362DF">
        <w:rPr>
          <w:color w:val="auto"/>
          <w:sz w:val="24"/>
        </w:rPr>
        <w:instrText xml:space="preserve"> SEQ Table \* ARABIC </w:instrText>
      </w:r>
      <w:r w:rsidRPr="000362DF">
        <w:rPr>
          <w:color w:val="auto"/>
          <w:sz w:val="24"/>
        </w:rPr>
        <w:fldChar w:fldCharType="separate"/>
      </w:r>
      <w:r w:rsidR="000C44DF">
        <w:rPr>
          <w:noProof/>
          <w:color w:val="auto"/>
          <w:sz w:val="24"/>
        </w:rPr>
        <w:t>4</w:t>
      </w:r>
      <w:r w:rsidRPr="000362DF">
        <w:rPr>
          <w:color w:val="auto"/>
          <w:sz w:val="24"/>
        </w:rPr>
        <w:fldChar w:fldCharType="end"/>
      </w:r>
      <w:r w:rsidRPr="000362DF">
        <w:rPr>
          <w:color w:val="auto"/>
          <w:sz w:val="24"/>
        </w:rPr>
        <w:t xml:space="preserve"> Validation </w:t>
      </w:r>
      <w:r>
        <w:rPr>
          <w:color w:val="auto"/>
          <w:sz w:val="24"/>
        </w:rPr>
        <w:t>Results</w:t>
      </w:r>
      <w:r w:rsidR="00B137A8">
        <w:rPr>
          <w:color w:val="auto"/>
          <w:sz w:val="24"/>
        </w:rPr>
        <w:t xml:space="preserve"> for Spatial Lag Model with Temporal and Spatial Lagged Variables</w:t>
      </w:r>
    </w:p>
    <w:tbl>
      <w:tblPr>
        <w:tblStyle w:val="MediumShading2-Accent2"/>
        <w:tblW w:w="9334" w:type="dxa"/>
        <w:jc w:val="center"/>
        <w:tblLayout w:type="fixed"/>
        <w:tblLook w:val="04A0" w:firstRow="1" w:lastRow="0" w:firstColumn="1" w:lastColumn="0" w:noHBand="0" w:noVBand="1"/>
      </w:tblPr>
      <w:tblGrid>
        <w:gridCol w:w="431"/>
        <w:gridCol w:w="3236"/>
        <w:gridCol w:w="1020"/>
        <w:gridCol w:w="850"/>
        <w:gridCol w:w="850"/>
        <w:gridCol w:w="1020"/>
        <w:gridCol w:w="850"/>
        <w:gridCol w:w="1077"/>
      </w:tblGrid>
      <w:tr w:rsidR="00985924" w:rsidRPr="00985924" w14:paraId="36379845" w14:textId="77777777" w:rsidTr="00B74A20">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100" w:firstRow="0" w:lastRow="0" w:firstColumn="1" w:lastColumn="0" w:oddVBand="0" w:evenVBand="0" w:oddHBand="0" w:evenHBand="0" w:firstRowFirstColumn="1" w:firstRowLastColumn="0" w:lastRowFirstColumn="0" w:lastRowLastColumn="0"/>
            <w:tcW w:w="431" w:type="dxa"/>
            <w:tcBorders>
              <w:top w:val="nil"/>
            </w:tcBorders>
            <w:shd w:val="clear" w:color="auto" w:fill="auto"/>
          </w:tcPr>
          <w:p w14:paraId="1AF0BD72" w14:textId="77777777" w:rsidR="00985924" w:rsidRPr="00985924" w:rsidRDefault="00985924" w:rsidP="00985924">
            <w:pPr>
              <w:spacing w:before="0" w:after="0"/>
              <w:rPr>
                <w:b w:val="0"/>
                <w:color w:val="000000" w:themeColor="text1"/>
              </w:rPr>
            </w:pPr>
          </w:p>
        </w:tc>
        <w:tc>
          <w:tcPr>
            <w:tcW w:w="3236" w:type="dxa"/>
            <w:tcBorders>
              <w:top w:val="nil"/>
              <w:right w:val="single" w:sz="12" w:space="0" w:color="auto"/>
            </w:tcBorders>
            <w:shd w:val="clear" w:color="auto" w:fill="auto"/>
          </w:tcPr>
          <w:p w14:paraId="20A071A1" w14:textId="77777777" w:rsidR="00985924" w:rsidRPr="00985924" w:rsidRDefault="00985924" w:rsidP="00985924">
            <w:pPr>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p>
        </w:tc>
        <w:tc>
          <w:tcPr>
            <w:tcW w:w="1020" w:type="dxa"/>
            <w:tcBorders>
              <w:left w:val="single" w:sz="12" w:space="0" w:color="auto"/>
            </w:tcBorders>
            <w:shd w:val="clear" w:color="auto" w:fill="auto"/>
          </w:tcPr>
          <w:p w14:paraId="4633F9F4"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985924">
              <w:rPr>
                <w:color w:val="000000" w:themeColor="text1"/>
              </w:rPr>
              <w:t>Overall</w:t>
            </w:r>
          </w:p>
        </w:tc>
        <w:tc>
          <w:tcPr>
            <w:tcW w:w="850" w:type="dxa"/>
            <w:tcBorders>
              <w:left w:val="single" w:sz="4" w:space="0" w:color="auto"/>
            </w:tcBorders>
            <w:shd w:val="clear" w:color="auto" w:fill="auto"/>
          </w:tcPr>
          <w:p w14:paraId="5308DA45"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985924">
              <w:rPr>
                <w:color w:val="000000" w:themeColor="text1"/>
              </w:rPr>
              <w:t>Night</w:t>
            </w:r>
          </w:p>
        </w:tc>
        <w:tc>
          <w:tcPr>
            <w:tcW w:w="850" w:type="dxa"/>
            <w:shd w:val="clear" w:color="auto" w:fill="auto"/>
          </w:tcPr>
          <w:p w14:paraId="15AA7C4F"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985924">
              <w:rPr>
                <w:color w:val="000000" w:themeColor="text1"/>
              </w:rPr>
              <w:t>AM</w:t>
            </w:r>
          </w:p>
        </w:tc>
        <w:tc>
          <w:tcPr>
            <w:tcW w:w="1020" w:type="dxa"/>
            <w:shd w:val="clear" w:color="auto" w:fill="auto"/>
          </w:tcPr>
          <w:p w14:paraId="486FA41D"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985924">
              <w:rPr>
                <w:color w:val="000000" w:themeColor="text1"/>
              </w:rPr>
              <w:t>Midday</w:t>
            </w:r>
          </w:p>
        </w:tc>
        <w:tc>
          <w:tcPr>
            <w:tcW w:w="850" w:type="dxa"/>
            <w:shd w:val="clear" w:color="auto" w:fill="auto"/>
          </w:tcPr>
          <w:p w14:paraId="7DF7B5F6"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985924">
              <w:rPr>
                <w:color w:val="000000" w:themeColor="text1"/>
              </w:rPr>
              <w:t>PM</w:t>
            </w:r>
          </w:p>
        </w:tc>
        <w:tc>
          <w:tcPr>
            <w:tcW w:w="1077" w:type="dxa"/>
            <w:tcBorders>
              <w:right w:val="single" w:sz="12" w:space="0" w:color="auto"/>
            </w:tcBorders>
            <w:shd w:val="clear" w:color="auto" w:fill="auto"/>
          </w:tcPr>
          <w:p w14:paraId="230C9EDF" w14:textId="77777777" w:rsidR="00985924" w:rsidRPr="00985924" w:rsidRDefault="00985924" w:rsidP="00985924">
            <w:pPr>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985924">
              <w:rPr>
                <w:color w:val="000000" w:themeColor="text1"/>
              </w:rPr>
              <w:t>Evening</w:t>
            </w:r>
          </w:p>
        </w:tc>
      </w:tr>
      <w:tr w:rsidR="00985924" w:rsidRPr="00985924" w14:paraId="7CAE1B37"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val="restart"/>
            <w:tcBorders>
              <w:left w:val="single" w:sz="12" w:space="0" w:color="auto"/>
              <w:right w:val="single" w:sz="4" w:space="0" w:color="auto"/>
            </w:tcBorders>
            <w:shd w:val="clear" w:color="auto" w:fill="auto"/>
            <w:textDirection w:val="btLr"/>
            <w:vAlign w:val="center"/>
          </w:tcPr>
          <w:p w14:paraId="0DD95EF1" w14:textId="77777777" w:rsidR="00985924" w:rsidRPr="00985924" w:rsidRDefault="00985924" w:rsidP="00985924">
            <w:pPr>
              <w:spacing w:before="0" w:after="0"/>
              <w:ind w:left="113" w:right="113"/>
              <w:jc w:val="center"/>
              <w:rPr>
                <w:color w:val="000000" w:themeColor="text1"/>
              </w:rPr>
            </w:pPr>
            <w:r w:rsidRPr="00985924">
              <w:rPr>
                <w:color w:val="000000" w:themeColor="text1"/>
              </w:rPr>
              <w:t>Arrival</w:t>
            </w:r>
          </w:p>
        </w:tc>
        <w:tc>
          <w:tcPr>
            <w:tcW w:w="3236" w:type="dxa"/>
            <w:tcBorders>
              <w:top w:val="single" w:sz="18" w:space="0" w:color="auto"/>
              <w:left w:val="single" w:sz="4" w:space="0" w:color="auto"/>
              <w:bottom w:val="nil"/>
              <w:right w:val="single" w:sz="4" w:space="0" w:color="auto"/>
            </w:tcBorders>
            <w:shd w:val="clear" w:color="auto" w:fill="auto"/>
          </w:tcPr>
          <w:p w14:paraId="671C0F27" w14:textId="77777777" w:rsidR="00985924" w:rsidRPr="00985924" w:rsidRDefault="00985924" w:rsidP="00985924">
            <w:pPr>
              <w:spacing w:before="0" w:after="0"/>
              <w:cnfStyle w:val="000000100000" w:firstRow="0" w:lastRow="0" w:firstColumn="0" w:lastColumn="0" w:oddVBand="0" w:evenVBand="0" w:oddHBand="1" w:evenHBand="0" w:firstRowFirstColumn="0" w:firstRowLastColumn="0" w:lastRowFirstColumn="0" w:lastRowLastColumn="0"/>
              <w:rPr>
                <w:b/>
                <w:color w:val="000000" w:themeColor="text1"/>
              </w:rPr>
            </w:pPr>
            <w:r w:rsidRPr="00985924">
              <w:rPr>
                <w:color w:val="000000" w:themeColor="text1"/>
              </w:rPr>
              <w:t>Mean Absolute Error</w:t>
            </w:r>
          </w:p>
        </w:tc>
        <w:tc>
          <w:tcPr>
            <w:tcW w:w="1020" w:type="dxa"/>
            <w:tcBorders>
              <w:top w:val="single" w:sz="18" w:space="0" w:color="auto"/>
              <w:left w:val="single" w:sz="4" w:space="0" w:color="auto"/>
              <w:bottom w:val="nil"/>
            </w:tcBorders>
            <w:shd w:val="clear" w:color="auto" w:fill="auto"/>
          </w:tcPr>
          <w:p w14:paraId="3A7E2F93" w14:textId="03303C5A"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8" w:space="0" w:color="auto"/>
              <w:left w:val="single" w:sz="4" w:space="0" w:color="auto"/>
              <w:bottom w:val="nil"/>
            </w:tcBorders>
            <w:shd w:val="clear" w:color="auto" w:fill="auto"/>
          </w:tcPr>
          <w:p w14:paraId="15F3DD2B" w14:textId="1735BA14"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8" w:space="0" w:color="auto"/>
              <w:bottom w:val="nil"/>
            </w:tcBorders>
            <w:shd w:val="clear" w:color="auto" w:fill="auto"/>
          </w:tcPr>
          <w:p w14:paraId="47786807" w14:textId="3BF0929F"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20" w:type="dxa"/>
            <w:tcBorders>
              <w:top w:val="single" w:sz="18" w:space="0" w:color="auto"/>
              <w:bottom w:val="nil"/>
            </w:tcBorders>
            <w:shd w:val="clear" w:color="auto" w:fill="auto"/>
          </w:tcPr>
          <w:p w14:paraId="713BB13A" w14:textId="518023F7"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8" w:space="0" w:color="auto"/>
              <w:bottom w:val="nil"/>
            </w:tcBorders>
            <w:shd w:val="clear" w:color="auto" w:fill="auto"/>
          </w:tcPr>
          <w:p w14:paraId="1A0AF25D" w14:textId="6CE2BD2C"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77" w:type="dxa"/>
            <w:tcBorders>
              <w:top w:val="single" w:sz="18" w:space="0" w:color="auto"/>
              <w:bottom w:val="nil"/>
              <w:right w:val="single" w:sz="12" w:space="0" w:color="auto"/>
            </w:tcBorders>
            <w:shd w:val="clear" w:color="auto" w:fill="auto"/>
          </w:tcPr>
          <w:p w14:paraId="310089AA" w14:textId="6B56680D"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85924" w:rsidRPr="00985924" w14:paraId="322AD0F2"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extDirection w:val="btLr"/>
            <w:vAlign w:val="center"/>
          </w:tcPr>
          <w:p w14:paraId="3E5712BA" w14:textId="77777777" w:rsidR="00985924" w:rsidRPr="00985924" w:rsidRDefault="00985924" w:rsidP="00985924">
            <w:pPr>
              <w:spacing w:before="0" w:after="0"/>
              <w:ind w:left="113" w:right="113"/>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2D764C41" w14:textId="77777777" w:rsidR="00985924" w:rsidRPr="00985924" w:rsidRDefault="00985924" w:rsidP="00985924">
            <w:pPr>
              <w:spacing w:before="0" w:after="0"/>
              <w:ind w:left="170"/>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Members</w:t>
            </w:r>
          </w:p>
        </w:tc>
        <w:tc>
          <w:tcPr>
            <w:tcW w:w="1020" w:type="dxa"/>
            <w:tcBorders>
              <w:top w:val="nil"/>
              <w:left w:val="single" w:sz="4" w:space="0" w:color="auto"/>
              <w:bottom w:val="nil"/>
            </w:tcBorders>
            <w:shd w:val="clear" w:color="auto" w:fill="auto"/>
            <w:vAlign w:val="center"/>
          </w:tcPr>
          <w:p w14:paraId="2E58158F" w14:textId="118C4EA5"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1.816</w:t>
            </w:r>
          </w:p>
        </w:tc>
        <w:tc>
          <w:tcPr>
            <w:tcW w:w="850" w:type="dxa"/>
            <w:tcBorders>
              <w:top w:val="nil"/>
              <w:left w:val="single" w:sz="4" w:space="0" w:color="auto"/>
              <w:bottom w:val="nil"/>
            </w:tcBorders>
            <w:shd w:val="clear" w:color="auto" w:fill="auto"/>
            <w:vAlign w:val="center"/>
          </w:tcPr>
          <w:p w14:paraId="043FCE6B" w14:textId="4EB1D2B4"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2.767</w:t>
            </w:r>
          </w:p>
        </w:tc>
        <w:tc>
          <w:tcPr>
            <w:tcW w:w="850" w:type="dxa"/>
            <w:tcBorders>
              <w:top w:val="nil"/>
              <w:bottom w:val="nil"/>
            </w:tcBorders>
            <w:shd w:val="clear" w:color="auto" w:fill="auto"/>
            <w:vAlign w:val="center"/>
          </w:tcPr>
          <w:p w14:paraId="1EDE8C94" w14:textId="16ED172A"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2.014</w:t>
            </w:r>
          </w:p>
        </w:tc>
        <w:tc>
          <w:tcPr>
            <w:tcW w:w="1020" w:type="dxa"/>
            <w:tcBorders>
              <w:top w:val="nil"/>
              <w:bottom w:val="nil"/>
            </w:tcBorders>
            <w:shd w:val="clear" w:color="auto" w:fill="auto"/>
            <w:vAlign w:val="center"/>
          </w:tcPr>
          <w:p w14:paraId="5AC3DBF6" w14:textId="209E5C95"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2.902</w:t>
            </w:r>
          </w:p>
        </w:tc>
        <w:tc>
          <w:tcPr>
            <w:tcW w:w="850" w:type="dxa"/>
            <w:tcBorders>
              <w:top w:val="nil"/>
              <w:bottom w:val="nil"/>
            </w:tcBorders>
            <w:shd w:val="clear" w:color="auto" w:fill="auto"/>
            <w:vAlign w:val="center"/>
          </w:tcPr>
          <w:p w14:paraId="26DA502C" w14:textId="76528E0D"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1.665</w:t>
            </w:r>
          </w:p>
        </w:tc>
        <w:tc>
          <w:tcPr>
            <w:tcW w:w="1077" w:type="dxa"/>
            <w:tcBorders>
              <w:top w:val="nil"/>
              <w:bottom w:val="nil"/>
              <w:right w:val="single" w:sz="12" w:space="0" w:color="auto"/>
            </w:tcBorders>
            <w:shd w:val="clear" w:color="auto" w:fill="auto"/>
            <w:vAlign w:val="center"/>
          </w:tcPr>
          <w:p w14:paraId="20427FBA" w14:textId="58208554"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0.704</w:t>
            </w:r>
          </w:p>
        </w:tc>
      </w:tr>
      <w:tr w:rsidR="00985924" w:rsidRPr="00985924" w14:paraId="1A6CCB73"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extDirection w:val="btLr"/>
            <w:vAlign w:val="center"/>
          </w:tcPr>
          <w:p w14:paraId="2F9EAD9B" w14:textId="77777777" w:rsidR="00985924" w:rsidRPr="00985924" w:rsidRDefault="00985924" w:rsidP="00985924">
            <w:pPr>
              <w:spacing w:before="0" w:after="0"/>
              <w:ind w:left="113" w:right="113"/>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7576D70A" w14:textId="77777777" w:rsidR="00985924" w:rsidRPr="00985924" w:rsidRDefault="00985924" w:rsidP="00985924">
            <w:pPr>
              <w:spacing w:before="0" w:after="0"/>
              <w:ind w:left="17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Daily Customers</w:t>
            </w:r>
          </w:p>
        </w:tc>
        <w:tc>
          <w:tcPr>
            <w:tcW w:w="1020" w:type="dxa"/>
            <w:tcBorders>
              <w:top w:val="nil"/>
              <w:left w:val="single" w:sz="4" w:space="0" w:color="auto"/>
              <w:bottom w:val="nil"/>
            </w:tcBorders>
            <w:shd w:val="clear" w:color="auto" w:fill="auto"/>
            <w:vAlign w:val="center"/>
          </w:tcPr>
          <w:p w14:paraId="6B24A2A0" w14:textId="72A7C40D"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0.675</w:t>
            </w:r>
          </w:p>
        </w:tc>
        <w:tc>
          <w:tcPr>
            <w:tcW w:w="850" w:type="dxa"/>
            <w:tcBorders>
              <w:top w:val="nil"/>
              <w:left w:val="single" w:sz="4" w:space="0" w:color="auto"/>
              <w:bottom w:val="nil"/>
            </w:tcBorders>
            <w:shd w:val="clear" w:color="auto" w:fill="auto"/>
            <w:vAlign w:val="center"/>
          </w:tcPr>
          <w:p w14:paraId="777FC809" w14:textId="29190D14"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0.476</w:t>
            </w:r>
          </w:p>
        </w:tc>
        <w:tc>
          <w:tcPr>
            <w:tcW w:w="850" w:type="dxa"/>
            <w:tcBorders>
              <w:top w:val="nil"/>
              <w:bottom w:val="nil"/>
            </w:tcBorders>
            <w:shd w:val="clear" w:color="auto" w:fill="auto"/>
            <w:vAlign w:val="center"/>
          </w:tcPr>
          <w:p w14:paraId="7C2A0178" w14:textId="41177089"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0.920</w:t>
            </w:r>
          </w:p>
        </w:tc>
        <w:tc>
          <w:tcPr>
            <w:tcW w:w="1020" w:type="dxa"/>
            <w:tcBorders>
              <w:top w:val="nil"/>
              <w:bottom w:val="nil"/>
            </w:tcBorders>
            <w:shd w:val="clear" w:color="auto" w:fill="auto"/>
            <w:vAlign w:val="center"/>
          </w:tcPr>
          <w:p w14:paraId="728750B3" w14:textId="3B45216B"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1.010</w:t>
            </w:r>
          </w:p>
        </w:tc>
        <w:tc>
          <w:tcPr>
            <w:tcW w:w="850" w:type="dxa"/>
            <w:tcBorders>
              <w:top w:val="nil"/>
              <w:bottom w:val="nil"/>
            </w:tcBorders>
            <w:shd w:val="clear" w:color="auto" w:fill="auto"/>
            <w:vAlign w:val="center"/>
          </w:tcPr>
          <w:p w14:paraId="4C2FE9D3" w14:textId="661FE40E"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0.612</w:t>
            </w:r>
          </w:p>
        </w:tc>
        <w:tc>
          <w:tcPr>
            <w:tcW w:w="1077" w:type="dxa"/>
            <w:tcBorders>
              <w:top w:val="nil"/>
              <w:bottom w:val="nil"/>
              <w:right w:val="single" w:sz="12" w:space="0" w:color="auto"/>
            </w:tcBorders>
            <w:shd w:val="clear" w:color="auto" w:fill="auto"/>
            <w:vAlign w:val="center"/>
          </w:tcPr>
          <w:p w14:paraId="652A14CC" w14:textId="707CD349"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0.395</w:t>
            </w:r>
          </w:p>
        </w:tc>
      </w:tr>
      <w:tr w:rsidR="00985924" w:rsidRPr="00985924" w14:paraId="6ED9EBB5"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5AC5BF7C"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6F4FE78A" w14:textId="77777777" w:rsidR="00985924" w:rsidRPr="00985924" w:rsidRDefault="00985924" w:rsidP="00985924">
            <w:pPr>
              <w:spacing w:before="0" w:after="0"/>
              <w:cnfStyle w:val="000000000000" w:firstRow="0" w:lastRow="0" w:firstColumn="0" w:lastColumn="0" w:oddVBand="0" w:evenVBand="0" w:oddHBand="0" w:evenHBand="0" w:firstRowFirstColumn="0" w:firstRowLastColumn="0" w:lastRowFirstColumn="0" w:lastRowLastColumn="0"/>
              <w:rPr>
                <w:b/>
                <w:color w:val="000000" w:themeColor="text1"/>
              </w:rPr>
            </w:pPr>
            <w:r w:rsidRPr="00985924">
              <w:rPr>
                <w:color w:val="000000" w:themeColor="text1"/>
              </w:rPr>
              <w:t>Root Mean Square Error</w:t>
            </w:r>
          </w:p>
        </w:tc>
        <w:tc>
          <w:tcPr>
            <w:tcW w:w="1020" w:type="dxa"/>
            <w:tcBorders>
              <w:top w:val="nil"/>
              <w:left w:val="single" w:sz="4" w:space="0" w:color="auto"/>
              <w:bottom w:val="nil"/>
            </w:tcBorders>
            <w:shd w:val="clear" w:color="auto" w:fill="auto"/>
            <w:vAlign w:val="center"/>
          </w:tcPr>
          <w:p w14:paraId="67727DC2" w14:textId="6D8A3BBF"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left w:val="single" w:sz="4" w:space="0" w:color="auto"/>
              <w:bottom w:val="nil"/>
            </w:tcBorders>
            <w:shd w:val="clear" w:color="auto" w:fill="auto"/>
            <w:vAlign w:val="center"/>
          </w:tcPr>
          <w:p w14:paraId="2E4F7995" w14:textId="621CBCA0"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bottom w:val="nil"/>
            </w:tcBorders>
            <w:shd w:val="clear" w:color="auto" w:fill="auto"/>
            <w:vAlign w:val="center"/>
          </w:tcPr>
          <w:p w14:paraId="39F81781" w14:textId="0A391ECA"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20" w:type="dxa"/>
            <w:tcBorders>
              <w:top w:val="nil"/>
              <w:bottom w:val="nil"/>
            </w:tcBorders>
            <w:shd w:val="clear" w:color="auto" w:fill="auto"/>
            <w:vAlign w:val="center"/>
          </w:tcPr>
          <w:p w14:paraId="7DAA898D" w14:textId="3B0A039B"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bottom w:val="nil"/>
            </w:tcBorders>
            <w:shd w:val="clear" w:color="auto" w:fill="auto"/>
            <w:vAlign w:val="center"/>
          </w:tcPr>
          <w:p w14:paraId="126BD053" w14:textId="3A6E784D"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77" w:type="dxa"/>
            <w:tcBorders>
              <w:top w:val="nil"/>
              <w:bottom w:val="nil"/>
              <w:right w:val="single" w:sz="12" w:space="0" w:color="auto"/>
            </w:tcBorders>
            <w:shd w:val="clear" w:color="auto" w:fill="auto"/>
            <w:vAlign w:val="center"/>
          </w:tcPr>
          <w:p w14:paraId="4D23BB6C" w14:textId="037D28A9"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85924" w:rsidRPr="00985924" w14:paraId="5A4DA06F"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393477EA"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2CE91AE9" w14:textId="77777777" w:rsidR="00985924" w:rsidRPr="00985924" w:rsidRDefault="00985924" w:rsidP="00985924">
            <w:pPr>
              <w:spacing w:before="0" w:after="0"/>
              <w:ind w:left="17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Members</w:t>
            </w:r>
          </w:p>
        </w:tc>
        <w:tc>
          <w:tcPr>
            <w:tcW w:w="1020" w:type="dxa"/>
            <w:tcBorders>
              <w:top w:val="nil"/>
              <w:left w:val="single" w:sz="4" w:space="0" w:color="auto"/>
              <w:bottom w:val="nil"/>
            </w:tcBorders>
            <w:shd w:val="clear" w:color="auto" w:fill="auto"/>
            <w:vAlign w:val="center"/>
          </w:tcPr>
          <w:p w14:paraId="05BA1A64" w14:textId="358FD7A2"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3.085</w:t>
            </w:r>
          </w:p>
        </w:tc>
        <w:tc>
          <w:tcPr>
            <w:tcW w:w="850" w:type="dxa"/>
            <w:tcBorders>
              <w:top w:val="nil"/>
              <w:left w:val="single" w:sz="4" w:space="0" w:color="auto"/>
              <w:bottom w:val="nil"/>
            </w:tcBorders>
            <w:shd w:val="clear" w:color="auto" w:fill="auto"/>
            <w:vAlign w:val="center"/>
          </w:tcPr>
          <w:p w14:paraId="4F931537" w14:textId="6A502AD4"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4.667</w:t>
            </w:r>
          </w:p>
        </w:tc>
        <w:tc>
          <w:tcPr>
            <w:tcW w:w="850" w:type="dxa"/>
            <w:tcBorders>
              <w:top w:val="nil"/>
              <w:bottom w:val="nil"/>
            </w:tcBorders>
            <w:shd w:val="clear" w:color="auto" w:fill="auto"/>
            <w:vAlign w:val="center"/>
          </w:tcPr>
          <w:p w14:paraId="58A1C33C" w14:textId="20880413"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2.901</w:t>
            </w:r>
          </w:p>
        </w:tc>
        <w:tc>
          <w:tcPr>
            <w:tcW w:w="1020" w:type="dxa"/>
            <w:tcBorders>
              <w:top w:val="nil"/>
              <w:bottom w:val="nil"/>
            </w:tcBorders>
            <w:shd w:val="clear" w:color="auto" w:fill="auto"/>
            <w:vAlign w:val="center"/>
          </w:tcPr>
          <w:p w14:paraId="50CBAFFC" w14:textId="1D110673"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4.383</w:t>
            </w:r>
          </w:p>
        </w:tc>
        <w:tc>
          <w:tcPr>
            <w:tcW w:w="850" w:type="dxa"/>
            <w:tcBorders>
              <w:top w:val="nil"/>
              <w:bottom w:val="nil"/>
            </w:tcBorders>
            <w:shd w:val="clear" w:color="auto" w:fill="auto"/>
            <w:vAlign w:val="center"/>
          </w:tcPr>
          <w:p w14:paraId="312B328F" w14:textId="31313070"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2.465</w:t>
            </w:r>
          </w:p>
        </w:tc>
        <w:tc>
          <w:tcPr>
            <w:tcW w:w="1077" w:type="dxa"/>
            <w:tcBorders>
              <w:top w:val="nil"/>
              <w:bottom w:val="nil"/>
              <w:right w:val="single" w:sz="12" w:space="0" w:color="auto"/>
            </w:tcBorders>
            <w:shd w:val="clear" w:color="auto" w:fill="auto"/>
            <w:vAlign w:val="center"/>
          </w:tcPr>
          <w:p w14:paraId="613F73E2" w14:textId="471BF72D"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1.282</w:t>
            </w:r>
          </w:p>
        </w:tc>
      </w:tr>
      <w:tr w:rsidR="00985924" w:rsidRPr="00985924" w14:paraId="009FB3C5"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6F109B69"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single" w:sz="4" w:space="0" w:color="auto"/>
              <w:right w:val="single" w:sz="4" w:space="0" w:color="auto"/>
            </w:tcBorders>
            <w:shd w:val="clear" w:color="auto" w:fill="auto"/>
          </w:tcPr>
          <w:p w14:paraId="6B270A38" w14:textId="77777777" w:rsidR="00985924" w:rsidRPr="00985924" w:rsidRDefault="00985924" w:rsidP="00985924">
            <w:pPr>
              <w:spacing w:before="0" w:after="0"/>
              <w:ind w:left="170"/>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Daily Customers</w:t>
            </w:r>
          </w:p>
        </w:tc>
        <w:tc>
          <w:tcPr>
            <w:tcW w:w="1020" w:type="dxa"/>
            <w:tcBorders>
              <w:top w:val="nil"/>
              <w:left w:val="single" w:sz="4" w:space="0" w:color="auto"/>
              <w:bottom w:val="single" w:sz="4" w:space="0" w:color="auto"/>
            </w:tcBorders>
            <w:shd w:val="clear" w:color="auto" w:fill="auto"/>
            <w:vAlign w:val="center"/>
          </w:tcPr>
          <w:p w14:paraId="53C008F1" w14:textId="16E665EC"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1.071</w:t>
            </w:r>
          </w:p>
        </w:tc>
        <w:tc>
          <w:tcPr>
            <w:tcW w:w="850" w:type="dxa"/>
            <w:tcBorders>
              <w:top w:val="nil"/>
              <w:left w:val="single" w:sz="4" w:space="0" w:color="auto"/>
              <w:bottom w:val="single" w:sz="4" w:space="0" w:color="auto"/>
            </w:tcBorders>
            <w:shd w:val="clear" w:color="auto" w:fill="auto"/>
            <w:vAlign w:val="center"/>
          </w:tcPr>
          <w:p w14:paraId="0923F679" w14:textId="1FE0C9C8"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0.595</w:t>
            </w:r>
          </w:p>
        </w:tc>
        <w:tc>
          <w:tcPr>
            <w:tcW w:w="850" w:type="dxa"/>
            <w:tcBorders>
              <w:top w:val="nil"/>
              <w:bottom w:val="single" w:sz="4" w:space="0" w:color="auto"/>
            </w:tcBorders>
            <w:shd w:val="clear" w:color="auto" w:fill="auto"/>
            <w:vAlign w:val="center"/>
          </w:tcPr>
          <w:p w14:paraId="43B3292B" w14:textId="0DA9B63B"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1.439</w:t>
            </w:r>
          </w:p>
        </w:tc>
        <w:tc>
          <w:tcPr>
            <w:tcW w:w="1020" w:type="dxa"/>
            <w:tcBorders>
              <w:top w:val="nil"/>
              <w:bottom w:val="single" w:sz="4" w:space="0" w:color="auto"/>
            </w:tcBorders>
            <w:shd w:val="clear" w:color="auto" w:fill="auto"/>
            <w:vAlign w:val="center"/>
          </w:tcPr>
          <w:p w14:paraId="4B3F2CB7" w14:textId="42C0AE3B"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1.560</w:t>
            </w:r>
          </w:p>
        </w:tc>
        <w:tc>
          <w:tcPr>
            <w:tcW w:w="850" w:type="dxa"/>
            <w:tcBorders>
              <w:top w:val="nil"/>
              <w:bottom w:val="single" w:sz="4" w:space="0" w:color="auto"/>
            </w:tcBorders>
            <w:shd w:val="clear" w:color="auto" w:fill="auto"/>
            <w:vAlign w:val="center"/>
          </w:tcPr>
          <w:p w14:paraId="51A33701" w14:textId="74E8DB22"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0.820</w:t>
            </w:r>
          </w:p>
        </w:tc>
        <w:tc>
          <w:tcPr>
            <w:tcW w:w="1077" w:type="dxa"/>
            <w:tcBorders>
              <w:top w:val="nil"/>
              <w:bottom w:val="single" w:sz="4" w:space="0" w:color="auto"/>
              <w:right w:val="single" w:sz="12" w:space="0" w:color="auto"/>
            </w:tcBorders>
            <w:shd w:val="clear" w:color="auto" w:fill="auto"/>
            <w:vAlign w:val="center"/>
          </w:tcPr>
          <w:p w14:paraId="7D8208FC" w14:textId="242B8F0E"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0.480</w:t>
            </w:r>
          </w:p>
        </w:tc>
      </w:tr>
      <w:tr w:rsidR="00985924" w:rsidRPr="00985924" w14:paraId="328DFFA8"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09C048BD" w14:textId="77777777" w:rsidR="00985924" w:rsidRPr="00985924" w:rsidRDefault="00985924" w:rsidP="00985924">
            <w:pPr>
              <w:spacing w:before="0" w:after="0"/>
              <w:jc w:val="center"/>
              <w:rPr>
                <w:color w:val="000000" w:themeColor="text1"/>
              </w:rPr>
            </w:pPr>
          </w:p>
        </w:tc>
        <w:tc>
          <w:tcPr>
            <w:tcW w:w="3236" w:type="dxa"/>
            <w:tcBorders>
              <w:top w:val="single" w:sz="4" w:space="0" w:color="auto"/>
              <w:left w:val="single" w:sz="4" w:space="0" w:color="auto"/>
              <w:bottom w:val="nil"/>
              <w:right w:val="single" w:sz="4" w:space="0" w:color="auto"/>
            </w:tcBorders>
            <w:shd w:val="clear" w:color="auto" w:fill="auto"/>
          </w:tcPr>
          <w:p w14:paraId="30B328AB" w14:textId="77777777" w:rsidR="00985924" w:rsidRPr="00985924" w:rsidRDefault="00985924" w:rsidP="00985924">
            <w:pPr>
              <w:spacing w:before="0" w:after="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Percentage of Total Arrivals with Absolute Error less than</w:t>
            </w:r>
          </w:p>
        </w:tc>
        <w:tc>
          <w:tcPr>
            <w:tcW w:w="1020" w:type="dxa"/>
            <w:tcBorders>
              <w:top w:val="single" w:sz="4" w:space="0" w:color="auto"/>
              <w:left w:val="single" w:sz="4" w:space="0" w:color="auto"/>
              <w:bottom w:val="nil"/>
            </w:tcBorders>
            <w:shd w:val="clear" w:color="auto" w:fill="auto"/>
            <w:vAlign w:val="center"/>
          </w:tcPr>
          <w:p w14:paraId="642BFB54" w14:textId="77777777"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left w:val="single" w:sz="4" w:space="0" w:color="auto"/>
              <w:bottom w:val="nil"/>
            </w:tcBorders>
            <w:shd w:val="clear" w:color="auto" w:fill="auto"/>
            <w:vAlign w:val="center"/>
          </w:tcPr>
          <w:p w14:paraId="0655A77D" w14:textId="738D8966"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bottom w:val="nil"/>
            </w:tcBorders>
            <w:shd w:val="clear" w:color="auto" w:fill="auto"/>
            <w:vAlign w:val="center"/>
          </w:tcPr>
          <w:p w14:paraId="1F0719AA" w14:textId="77777777"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20" w:type="dxa"/>
            <w:tcBorders>
              <w:top w:val="single" w:sz="4" w:space="0" w:color="auto"/>
              <w:bottom w:val="nil"/>
            </w:tcBorders>
            <w:shd w:val="clear" w:color="auto" w:fill="auto"/>
            <w:vAlign w:val="center"/>
          </w:tcPr>
          <w:p w14:paraId="6E704B86" w14:textId="77777777"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bottom w:val="nil"/>
            </w:tcBorders>
            <w:shd w:val="clear" w:color="auto" w:fill="auto"/>
            <w:vAlign w:val="center"/>
          </w:tcPr>
          <w:p w14:paraId="650E396E" w14:textId="77777777"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77" w:type="dxa"/>
            <w:tcBorders>
              <w:top w:val="single" w:sz="4" w:space="0" w:color="auto"/>
              <w:bottom w:val="nil"/>
              <w:right w:val="single" w:sz="12" w:space="0" w:color="auto"/>
            </w:tcBorders>
            <w:shd w:val="clear" w:color="auto" w:fill="auto"/>
            <w:vAlign w:val="center"/>
          </w:tcPr>
          <w:p w14:paraId="6DBE2493" w14:textId="17DCFC21"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85924" w:rsidRPr="00985924" w14:paraId="1647B5A1"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0C95AB5F"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64DC1F18" w14:textId="77777777" w:rsidR="00985924" w:rsidRPr="00985924" w:rsidRDefault="00985924" w:rsidP="00985924">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5%</w:t>
            </w:r>
            <w:r w:rsidRPr="00985924">
              <w:rPr>
                <w:b/>
                <w:color w:val="000000" w:themeColor="text1"/>
              </w:rPr>
              <w:t xml:space="preserve"> </w:t>
            </w:r>
            <w:r w:rsidRPr="00985924">
              <w:rPr>
                <w:color w:val="000000" w:themeColor="text1"/>
              </w:rPr>
              <w:t>Station Capacity</w:t>
            </w:r>
          </w:p>
        </w:tc>
        <w:tc>
          <w:tcPr>
            <w:tcW w:w="1020" w:type="dxa"/>
            <w:tcBorders>
              <w:top w:val="nil"/>
              <w:left w:val="single" w:sz="4" w:space="0" w:color="auto"/>
              <w:bottom w:val="nil"/>
            </w:tcBorders>
            <w:shd w:val="clear" w:color="auto" w:fill="auto"/>
            <w:vAlign w:val="center"/>
          </w:tcPr>
          <w:p w14:paraId="6BA1D5C6" w14:textId="317DFF12"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67.73</w:t>
            </w:r>
          </w:p>
        </w:tc>
        <w:tc>
          <w:tcPr>
            <w:tcW w:w="850" w:type="dxa"/>
            <w:tcBorders>
              <w:top w:val="nil"/>
              <w:left w:val="single" w:sz="4" w:space="0" w:color="auto"/>
              <w:bottom w:val="nil"/>
            </w:tcBorders>
            <w:shd w:val="clear" w:color="auto" w:fill="auto"/>
            <w:vAlign w:val="center"/>
          </w:tcPr>
          <w:p w14:paraId="3A930903" w14:textId="49AF21F7"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62.50</w:t>
            </w:r>
          </w:p>
        </w:tc>
        <w:tc>
          <w:tcPr>
            <w:tcW w:w="850" w:type="dxa"/>
            <w:tcBorders>
              <w:top w:val="nil"/>
              <w:bottom w:val="nil"/>
            </w:tcBorders>
            <w:shd w:val="clear" w:color="auto" w:fill="auto"/>
            <w:vAlign w:val="center"/>
          </w:tcPr>
          <w:p w14:paraId="35CD8A23" w14:textId="5EB6E50F"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53.78</w:t>
            </w:r>
          </w:p>
        </w:tc>
        <w:tc>
          <w:tcPr>
            <w:tcW w:w="1020" w:type="dxa"/>
            <w:tcBorders>
              <w:top w:val="nil"/>
              <w:bottom w:val="nil"/>
            </w:tcBorders>
            <w:shd w:val="clear" w:color="auto" w:fill="auto"/>
            <w:vAlign w:val="center"/>
          </w:tcPr>
          <w:p w14:paraId="29393696" w14:textId="297E529B"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42.90</w:t>
            </w:r>
          </w:p>
        </w:tc>
        <w:tc>
          <w:tcPr>
            <w:tcW w:w="850" w:type="dxa"/>
            <w:tcBorders>
              <w:top w:val="nil"/>
              <w:bottom w:val="nil"/>
            </w:tcBorders>
            <w:shd w:val="clear" w:color="auto" w:fill="auto"/>
            <w:vAlign w:val="center"/>
          </w:tcPr>
          <w:p w14:paraId="12EFD21D" w14:textId="6E33DC32"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69.78</w:t>
            </w:r>
          </w:p>
        </w:tc>
        <w:tc>
          <w:tcPr>
            <w:tcW w:w="1077" w:type="dxa"/>
            <w:tcBorders>
              <w:top w:val="nil"/>
              <w:bottom w:val="nil"/>
              <w:right w:val="single" w:sz="12" w:space="0" w:color="auto"/>
            </w:tcBorders>
            <w:shd w:val="clear" w:color="auto" w:fill="auto"/>
            <w:vAlign w:val="center"/>
          </w:tcPr>
          <w:p w14:paraId="155C702A" w14:textId="56936CD7"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94.95</w:t>
            </w:r>
          </w:p>
        </w:tc>
      </w:tr>
      <w:tr w:rsidR="00985924" w:rsidRPr="00985924" w14:paraId="6CEFC235"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580FA812"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6BAF986C" w14:textId="77777777"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10% Station Capacity</w:t>
            </w:r>
          </w:p>
        </w:tc>
        <w:tc>
          <w:tcPr>
            <w:tcW w:w="1020" w:type="dxa"/>
            <w:tcBorders>
              <w:top w:val="nil"/>
              <w:left w:val="single" w:sz="4" w:space="0" w:color="auto"/>
              <w:bottom w:val="nil"/>
            </w:tcBorders>
            <w:shd w:val="clear" w:color="auto" w:fill="auto"/>
            <w:vAlign w:val="center"/>
          </w:tcPr>
          <w:p w14:paraId="4A7757ED" w14:textId="70C3458D"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88.19</w:t>
            </w:r>
          </w:p>
        </w:tc>
        <w:tc>
          <w:tcPr>
            <w:tcW w:w="850" w:type="dxa"/>
            <w:tcBorders>
              <w:top w:val="nil"/>
              <w:left w:val="single" w:sz="4" w:space="0" w:color="auto"/>
              <w:bottom w:val="nil"/>
            </w:tcBorders>
            <w:shd w:val="clear" w:color="auto" w:fill="auto"/>
            <w:vAlign w:val="center"/>
          </w:tcPr>
          <w:p w14:paraId="5F750021" w14:textId="0E501D13"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84.98</w:t>
            </w:r>
          </w:p>
        </w:tc>
        <w:tc>
          <w:tcPr>
            <w:tcW w:w="850" w:type="dxa"/>
            <w:tcBorders>
              <w:top w:val="nil"/>
              <w:bottom w:val="nil"/>
            </w:tcBorders>
            <w:shd w:val="clear" w:color="auto" w:fill="auto"/>
            <w:vAlign w:val="center"/>
          </w:tcPr>
          <w:p w14:paraId="2692D472" w14:textId="32781647"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83.87</w:t>
            </w:r>
          </w:p>
        </w:tc>
        <w:tc>
          <w:tcPr>
            <w:tcW w:w="1020" w:type="dxa"/>
            <w:tcBorders>
              <w:top w:val="nil"/>
              <w:bottom w:val="nil"/>
            </w:tcBorders>
            <w:shd w:val="clear" w:color="auto" w:fill="auto"/>
            <w:vAlign w:val="center"/>
          </w:tcPr>
          <w:p w14:paraId="69ECE6D0" w14:textId="43FB7A5C"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74.72</w:t>
            </w:r>
          </w:p>
        </w:tc>
        <w:tc>
          <w:tcPr>
            <w:tcW w:w="850" w:type="dxa"/>
            <w:tcBorders>
              <w:top w:val="nil"/>
              <w:bottom w:val="nil"/>
            </w:tcBorders>
            <w:shd w:val="clear" w:color="auto" w:fill="auto"/>
            <w:vAlign w:val="center"/>
          </w:tcPr>
          <w:p w14:paraId="405FABC1" w14:textId="2191E9B9"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91.82</w:t>
            </w:r>
          </w:p>
        </w:tc>
        <w:tc>
          <w:tcPr>
            <w:tcW w:w="1077" w:type="dxa"/>
            <w:tcBorders>
              <w:top w:val="nil"/>
              <w:bottom w:val="nil"/>
              <w:right w:val="single" w:sz="12" w:space="0" w:color="auto"/>
            </w:tcBorders>
            <w:shd w:val="clear" w:color="auto" w:fill="auto"/>
            <w:vAlign w:val="center"/>
          </w:tcPr>
          <w:p w14:paraId="314CDE0F" w14:textId="75C030ED"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98.91</w:t>
            </w:r>
          </w:p>
        </w:tc>
      </w:tr>
      <w:tr w:rsidR="00985924" w:rsidRPr="00985924" w14:paraId="2A951FC1"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44FA6683"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553B81C9" w14:textId="77777777" w:rsidR="00985924" w:rsidRPr="00985924" w:rsidRDefault="00985924" w:rsidP="00985924">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15% Station Capacity</w:t>
            </w:r>
          </w:p>
        </w:tc>
        <w:tc>
          <w:tcPr>
            <w:tcW w:w="1020" w:type="dxa"/>
            <w:tcBorders>
              <w:top w:val="nil"/>
              <w:left w:val="single" w:sz="4" w:space="0" w:color="auto"/>
              <w:bottom w:val="nil"/>
            </w:tcBorders>
            <w:shd w:val="clear" w:color="auto" w:fill="auto"/>
            <w:vAlign w:val="center"/>
          </w:tcPr>
          <w:p w14:paraId="66EEDFD2" w14:textId="6921E251"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94.77</w:t>
            </w:r>
          </w:p>
        </w:tc>
        <w:tc>
          <w:tcPr>
            <w:tcW w:w="850" w:type="dxa"/>
            <w:tcBorders>
              <w:top w:val="nil"/>
              <w:left w:val="single" w:sz="4" w:space="0" w:color="auto"/>
              <w:bottom w:val="nil"/>
            </w:tcBorders>
            <w:shd w:val="clear" w:color="auto" w:fill="auto"/>
            <w:vAlign w:val="center"/>
          </w:tcPr>
          <w:p w14:paraId="750D7964" w14:textId="53F41EC2"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92.58</w:t>
            </w:r>
          </w:p>
        </w:tc>
        <w:tc>
          <w:tcPr>
            <w:tcW w:w="850" w:type="dxa"/>
            <w:tcBorders>
              <w:top w:val="nil"/>
              <w:bottom w:val="nil"/>
            </w:tcBorders>
            <w:shd w:val="clear" w:color="auto" w:fill="auto"/>
            <w:vAlign w:val="center"/>
          </w:tcPr>
          <w:p w14:paraId="20F6E612" w14:textId="574CD071"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93.36</w:t>
            </w:r>
          </w:p>
        </w:tc>
        <w:tc>
          <w:tcPr>
            <w:tcW w:w="1020" w:type="dxa"/>
            <w:tcBorders>
              <w:top w:val="nil"/>
              <w:bottom w:val="nil"/>
            </w:tcBorders>
            <w:shd w:val="clear" w:color="auto" w:fill="auto"/>
            <w:vAlign w:val="center"/>
          </w:tcPr>
          <w:p w14:paraId="3AE4F404" w14:textId="38E56255"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87.79</w:t>
            </w:r>
          </w:p>
        </w:tc>
        <w:tc>
          <w:tcPr>
            <w:tcW w:w="850" w:type="dxa"/>
            <w:tcBorders>
              <w:top w:val="nil"/>
              <w:bottom w:val="nil"/>
            </w:tcBorders>
            <w:shd w:val="clear" w:color="auto" w:fill="auto"/>
            <w:vAlign w:val="center"/>
          </w:tcPr>
          <w:p w14:paraId="7C720F1F" w14:textId="52FA2434"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97.03</w:t>
            </w:r>
          </w:p>
        </w:tc>
        <w:tc>
          <w:tcPr>
            <w:tcW w:w="1077" w:type="dxa"/>
            <w:tcBorders>
              <w:top w:val="nil"/>
              <w:bottom w:val="nil"/>
              <w:right w:val="single" w:sz="12" w:space="0" w:color="auto"/>
            </w:tcBorders>
            <w:shd w:val="clear" w:color="auto" w:fill="auto"/>
            <w:vAlign w:val="center"/>
          </w:tcPr>
          <w:p w14:paraId="3EBB1804" w14:textId="614BCA1C"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99.62</w:t>
            </w:r>
          </w:p>
        </w:tc>
      </w:tr>
      <w:tr w:rsidR="00985924" w:rsidRPr="00985924" w14:paraId="44FAD2E3"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vAlign w:val="center"/>
          </w:tcPr>
          <w:p w14:paraId="35F001D6"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nil"/>
              <w:right w:val="single" w:sz="4" w:space="0" w:color="auto"/>
            </w:tcBorders>
            <w:shd w:val="clear" w:color="auto" w:fill="auto"/>
          </w:tcPr>
          <w:p w14:paraId="53833699" w14:textId="77777777" w:rsidR="00985924" w:rsidRPr="00985924" w:rsidRDefault="00985924" w:rsidP="00985924">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20% Station Capacity</w:t>
            </w:r>
          </w:p>
        </w:tc>
        <w:tc>
          <w:tcPr>
            <w:tcW w:w="1020" w:type="dxa"/>
            <w:tcBorders>
              <w:top w:val="nil"/>
              <w:left w:val="single" w:sz="4" w:space="0" w:color="auto"/>
              <w:bottom w:val="nil"/>
            </w:tcBorders>
            <w:shd w:val="clear" w:color="auto" w:fill="auto"/>
            <w:vAlign w:val="center"/>
          </w:tcPr>
          <w:p w14:paraId="6BD26CD6" w14:textId="3395919A"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97.25</w:t>
            </w:r>
          </w:p>
        </w:tc>
        <w:tc>
          <w:tcPr>
            <w:tcW w:w="850" w:type="dxa"/>
            <w:tcBorders>
              <w:top w:val="nil"/>
              <w:left w:val="single" w:sz="4" w:space="0" w:color="auto"/>
              <w:bottom w:val="nil"/>
            </w:tcBorders>
            <w:shd w:val="clear" w:color="auto" w:fill="auto"/>
            <w:vAlign w:val="center"/>
          </w:tcPr>
          <w:p w14:paraId="02A6451B" w14:textId="0BFF9D56"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95.92</w:t>
            </w:r>
          </w:p>
        </w:tc>
        <w:tc>
          <w:tcPr>
            <w:tcW w:w="850" w:type="dxa"/>
            <w:tcBorders>
              <w:top w:val="nil"/>
              <w:bottom w:val="nil"/>
            </w:tcBorders>
            <w:shd w:val="clear" w:color="auto" w:fill="auto"/>
            <w:vAlign w:val="center"/>
          </w:tcPr>
          <w:p w14:paraId="3FB5DDEC" w14:textId="68439E4B"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96.67</w:t>
            </w:r>
          </w:p>
        </w:tc>
        <w:tc>
          <w:tcPr>
            <w:tcW w:w="1020" w:type="dxa"/>
            <w:tcBorders>
              <w:top w:val="nil"/>
              <w:bottom w:val="nil"/>
            </w:tcBorders>
            <w:shd w:val="clear" w:color="auto" w:fill="auto"/>
            <w:vAlign w:val="center"/>
          </w:tcPr>
          <w:p w14:paraId="3F0F7AA8" w14:textId="051C89FA"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93.26</w:t>
            </w:r>
          </w:p>
        </w:tc>
        <w:tc>
          <w:tcPr>
            <w:tcW w:w="850" w:type="dxa"/>
            <w:tcBorders>
              <w:top w:val="nil"/>
              <w:bottom w:val="nil"/>
            </w:tcBorders>
            <w:shd w:val="clear" w:color="auto" w:fill="auto"/>
            <w:vAlign w:val="center"/>
          </w:tcPr>
          <w:p w14:paraId="4FE15A4B" w14:textId="32E5F06C"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98.73</w:t>
            </w:r>
          </w:p>
        </w:tc>
        <w:tc>
          <w:tcPr>
            <w:tcW w:w="1077" w:type="dxa"/>
            <w:tcBorders>
              <w:top w:val="nil"/>
              <w:bottom w:val="nil"/>
              <w:right w:val="single" w:sz="12" w:space="0" w:color="auto"/>
            </w:tcBorders>
            <w:shd w:val="clear" w:color="auto" w:fill="auto"/>
            <w:vAlign w:val="center"/>
          </w:tcPr>
          <w:p w14:paraId="1351D23B" w14:textId="3A452658" w:rsidR="00985924" w:rsidRPr="00985924" w:rsidRDefault="00985924"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99.75</w:t>
            </w:r>
          </w:p>
        </w:tc>
      </w:tr>
      <w:tr w:rsidR="00985924" w:rsidRPr="00985924" w14:paraId="01031443"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bottom w:val="single" w:sz="12" w:space="0" w:color="auto"/>
              <w:right w:val="single" w:sz="4" w:space="0" w:color="auto"/>
            </w:tcBorders>
            <w:shd w:val="clear" w:color="auto" w:fill="auto"/>
            <w:vAlign w:val="center"/>
          </w:tcPr>
          <w:p w14:paraId="657923CE" w14:textId="77777777" w:rsidR="00985924" w:rsidRPr="00985924" w:rsidRDefault="00985924" w:rsidP="00985924">
            <w:pPr>
              <w:spacing w:before="0" w:after="0"/>
              <w:jc w:val="center"/>
              <w:rPr>
                <w:color w:val="000000" w:themeColor="text1"/>
              </w:rPr>
            </w:pPr>
          </w:p>
        </w:tc>
        <w:tc>
          <w:tcPr>
            <w:tcW w:w="3236" w:type="dxa"/>
            <w:tcBorders>
              <w:top w:val="nil"/>
              <w:left w:val="single" w:sz="4" w:space="0" w:color="auto"/>
              <w:bottom w:val="single" w:sz="12" w:space="0" w:color="auto"/>
              <w:right w:val="single" w:sz="4" w:space="0" w:color="auto"/>
            </w:tcBorders>
            <w:shd w:val="clear" w:color="auto" w:fill="auto"/>
          </w:tcPr>
          <w:p w14:paraId="735F91C4" w14:textId="77777777" w:rsidR="00985924" w:rsidRPr="00985924" w:rsidRDefault="00985924" w:rsidP="00985924">
            <w:pPr>
              <w:spacing w:before="0" w:after="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25% Station Capacity</w:t>
            </w:r>
          </w:p>
        </w:tc>
        <w:tc>
          <w:tcPr>
            <w:tcW w:w="1020" w:type="dxa"/>
            <w:tcBorders>
              <w:top w:val="nil"/>
              <w:left w:val="single" w:sz="4" w:space="0" w:color="auto"/>
              <w:bottom w:val="single" w:sz="12" w:space="0" w:color="auto"/>
            </w:tcBorders>
            <w:shd w:val="clear" w:color="auto" w:fill="auto"/>
            <w:vAlign w:val="center"/>
          </w:tcPr>
          <w:p w14:paraId="3467F6AD" w14:textId="09DCBFE9"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98.37</w:t>
            </w:r>
          </w:p>
        </w:tc>
        <w:tc>
          <w:tcPr>
            <w:tcW w:w="850" w:type="dxa"/>
            <w:tcBorders>
              <w:top w:val="nil"/>
              <w:left w:val="single" w:sz="4" w:space="0" w:color="auto"/>
              <w:bottom w:val="single" w:sz="12" w:space="0" w:color="auto"/>
            </w:tcBorders>
            <w:shd w:val="clear" w:color="auto" w:fill="auto"/>
            <w:vAlign w:val="center"/>
          </w:tcPr>
          <w:p w14:paraId="136F2909" w14:textId="74BAFB20"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97.33</w:t>
            </w:r>
          </w:p>
        </w:tc>
        <w:tc>
          <w:tcPr>
            <w:tcW w:w="850" w:type="dxa"/>
            <w:tcBorders>
              <w:top w:val="nil"/>
              <w:bottom w:val="single" w:sz="12" w:space="0" w:color="auto"/>
            </w:tcBorders>
            <w:shd w:val="clear" w:color="auto" w:fill="auto"/>
            <w:vAlign w:val="center"/>
          </w:tcPr>
          <w:p w14:paraId="2A85FE1C" w14:textId="4440DE48"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98.09</w:t>
            </w:r>
          </w:p>
        </w:tc>
        <w:tc>
          <w:tcPr>
            <w:tcW w:w="1020" w:type="dxa"/>
            <w:tcBorders>
              <w:top w:val="nil"/>
              <w:bottom w:val="single" w:sz="12" w:space="0" w:color="auto"/>
            </w:tcBorders>
            <w:shd w:val="clear" w:color="auto" w:fill="auto"/>
            <w:vAlign w:val="center"/>
          </w:tcPr>
          <w:p w14:paraId="717248B8" w14:textId="079C3A1D"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96.00</w:t>
            </w:r>
          </w:p>
        </w:tc>
        <w:tc>
          <w:tcPr>
            <w:tcW w:w="850" w:type="dxa"/>
            <w:tcBorders>
              <w:top w:val="nil"/>
              <w:bottom w:val="single" w:sz="12" w:space="0" w:color="auto"/>
            </w:tcBorders>
            <w:shd w:val="clear" w:color="auto" w:fill="auto"/>
            <w:vAlign w:val="center"/>
          </w:tcPr>
          <w:p w14:paraId="485C9ECC" w14:textId="0F6E28BB"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99.37</w:t>
            </w:r>
          </w:p>
        </w:tc>
        <w:tc>
          <w:tcPr>
            <w:tcW w:w="1077" w:type="dxa"/>
            <w:tcBorders>
              <w:top w:val="nil"/>
              <w:bottom w:val="single" w:sz="12" w:space="0" w:color="auto"/>
              <w:right w:val="single" w:sz="12" w:space="0" w:color="auto"/>
            </w:tcBorders>
            <w:shd w:val="clear" w:color="auto" w:fill="auto"/>
            <w:vAlign w:val="center"/>
          </w:tcPr>
          <w:p w14:paraId="2444DDF0" w14:textId="101D3845" w:rsidR="00985924" w:rsidRPr="00985924" w:rsidRDefault="00985924"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99.83</w:t>
            </w:r>
          </w:p>
        </w:tc>
      </w:tr>
      <w:tr w:rsidR="000362DF" w:rsidRPr="00985924" w14:paraId="78024945"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val="restart"/>
            <w:tcBorders>
              <w:top w:val="single" w:sz="12" w:space="0" w:color="auto"/>
              <w:left w:val="single" w:sz="12" w:space="0" w:color="auto"/>
              <w:right w:val="single" w:sz="4" w:space="0" w:color="auto"/>
            </w:tcBorders>
            <w:shd w:val="clear" w:color="auto" w:fill="auto"/>
            <w:textDirection w:val="btLr"/>
            <w:vAlign w:val="center"/>
          </w:tcPr>
          <w:p w14:paraId="6E2CFA2C" w14:textId="77777777" w:rsidR="000362DF" w:rsidRPr="00985924" w:rsidRDefault="000362DF" w:rsidP="000362DF">
            <w:pPr>
              <w:spacing w:before="0" w:after="0"/>
              <w:ind w:left="113" w:right="113"/>
              <w:jc w:val="center"/>
              <w:rPr>
                <w:color w:val="000000" w:themeColor="text1"/>
              </w:rPr>
            </w:pPr>
            <w:r w:rsidRPr="00985924">
              <w:rPr>
                <w:color w:val="000000" w:themeColor="text1"/>
              </w:rPr>
              <w:t>Departure</w:t>
            </w:r>
          </w:p>
        </w:tc>
        <w:tc>
          <w:tcPr>
            <w:tcW w:w="3236" w:type="dxa"/>
            <w:tcBorders>
              <w:top w:val="single" w:sz="12" w:space="0" w:color="auto"/>
              <w:left w:val="single" w:sz="4" w:space="0" w:color="auto"/>
              <w:bottom w:val="nil"/>
              <w:right w:val="single" w:sz="4" w:space="0" w:color="auto"/>
            </w:tcBorders>
            <w:shd w:val="clear" w:color="auto" w:fill="auto"/>
          </w:tcPr>
          <w:p w14:paraId="4E864DCA" w14:textId="77777777" w:rsidR="000362DF" w:rsidRPr="00985924" w:rsidRDefault="000362DF" w:rsidP="000362DF">
            <w:pPr>
              <w:spacing w:before="0" w:after="0"/>
              <w:cnfStyle w:val="000000100000" w:firstRow="0" w:lastRow="0" w:firstColumn="0" w:lastColumn="0" w:oddVBand="0" w:evenVBand="0" w:oddHBand="1" w:evenHBand="0" w:firstRowFirstColumn="0" w:firstRowLastColumn="0" w:lastRowFirstColumn="0" w:lastRowLastColumn="0"/>
              <w:rPr>
                <w:b/>
                <w:color w:val="000000" w:themeColor="text1"/>
              </w:rPr>
            </w:pPr>
            <w:r w:rsidRPr="00985924">
              <w:rPr>
                <w:color w:val="000000" w:themeColor="text1"/>
              </w:rPr>
              <w:t>Mean Absolute Error</w:t>
            </w:r>
          </w:p>
        </w:tc>
        <w:tc>
          <w:tcPr>
            <w:tcW w:w="1020" w:type="dxa"/>
            <w:tcBorders>
              <w:top w:val="single" w:sz="12" w:space="0" w:color="auto"/>
              <w:left w:val="single" w:sz="4" w:space="0" w:color="auto"/>
              <w:bottom w:val="nil"/>
            </w:tcBorders>
            <w:shd w:val="clear" w:color="auto" w:fill="auto"/>
            <w:vAlign w:val="center"/>
          </w:tcPr>
          <w:p w14:paraId="116321AA" w14:textId="6F701756"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2" w:space="0" w:color="auto"/>
              <w:left w:val="single" w:sz="4" w:space="0" w:color="auto"/>
              <w:bottom w:val="nil"/>
            </w:tcBorders>
            <w:shd w:val="clear" w:color="auto" w:fill="auto"/>
            <w:vAlign w:val="center"/>
          </w:tcPr>
          <w:p w14:paraId="230F4416" w14:textId="1074E489"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2" w:space="0" w:color="auto"/>
              <w:bottom w:val="nil"/>
            </w:tcBorders>
            <w:shd w:val="clear" w:color="auto" w:fill="auto"/>
            <w:vAlign w:val="center"/>
          </w:tcPr>
          <w:p w14:paraId="1BB3C4DB" w14:textId="7E97611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20" w:type="dxa"/>
            <w:tcBorders>
              <w:top w:val="single" w:sz="12" w:space="0" w:color="auto"/>
              <w:bottom w:val="nil"/>
            </w:tcBorders>
            <w:shd w:val="clear" w:color="auto" w:fill="auto"/>
            <w:vAlign w:val="center"/>
          </w:tcPr>
          <w:p w14:paraId="5A93B643" w14:textId="632787F3"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12" w:space="0" w:color="auto"/>
              <w:bottom w:val="nil"/>
            </w:tcBorders>
            <w:shd w:val="clear" w:color="auto" w:fill="auto"/>
            <w:vAlign w:val="center"/>
          </w:tcPr>
          <w:p w14:paraId="6FC404B9" w14:textId="717651A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77" w:type="dxa"/>
            <w:tcBorders>
              <w:top w:val="single" w:sz="12" w:space="0" w:color="auto"/>
              <w:bottom w:val="nil"/>
              <w:right w:val="single" w:sz="12" w:space="0" w:color="auto"/>
            </w:tcBorders>
            <w:shd w:val="clear" w:color="auto" w:fill="auto"/>
            <w:vAlign w:val="center"/>
          </w:tcPr>
          <w:p w14:paraId="4DF62BFC" w14:textId="76A9F704"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362DF" w:rsidRPr="00985924" w14:paraId="24A4BEAD"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0AC1DD65"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4A5732F3" w14:textId="77777777" w:rsidR="000362DF" w:rsidRPr="00985924" w:rsidRDefault="000362DF" w:rsidP="000362DF">
            <w:pPr>
              <w:spacing w:before="0" w:after="0"/>
              <w:ind w:left="170"/>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Members</w:t>
            </w:r>
          </w:p>
        </w:tc>
        <w:tc>
          <w:tcPr>
            <w:tcW w:w="1020" w:type="dxa"/>
            <w:tcBorders>
              <w:top w:val="nil"/>
              <w:left w:val="single" w:sz="4" w:space="0" w:color="auto"/>
              <w:bottom w:val="nil"/>
            </w:tcBorders>
            <w:shd w:val="clear" w:color="auto" w:fill="auto"/>
            <w:vAlign w:val="center"/>
          </w:tcPr>
          <w:p w14:paraId="0E4A6427" w14:textId="33B04C31"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1.898</w:t>
            </w:r>
          </w:p>
        </w:tc>
        <w:tc>
          <w:tcPr>
            <w:tcW w:w="850" w:type="dxa"/>
            <w:tcBorders>
              <w:top w:val="nil"/>
              <w:left w:val="single" w:sz="4" w:space="0" w:color="auto"/>
              <w:bottom w:val="nil"/>
            </w:tcBorders>
            <w:shd w:val="clear" w:color="auto" w:fill="auto"/>
            <w:vAlign w:val="center"/>
          </w:tcPr>
          <w:p w14:paraId="56F0F7C5" w14:textId="0D67D164"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3.065</w:t>
            </w:r>
          </w:p>
        </w:tc>
        <w:tc>
          <w:tcPr>
            <w:tcW w:w="850" w:type="dxa"/>
            <w:tcBorders>
              <w:top w:val="nil"/>
              <w:bottom w:val="nil"/>
            </w:tcBorders>
            <w:shd w:val="clear" w:color="auto" w:fill="auto"/>
            <w:vAlign w:val="center"/>
          </w:tcPr>
          <w:p w14:paraId="755E24F8" w14:textId="62D897C8"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2.084</w:t>
            </w:r>
          </w:p>
        </w:tc>
        <w:tc>
          <w:tcPr>
            <w:tcW w:w="1020" w:type="dxa"/>
            <w:tcBorders>
              <w:top w:val="nil"/>
              <w:bottom w:val="nil"/>
            </w:tcBorders>
            <w:shd w:val="clear" w:color="auto" w:fill="auto"/>
            <w:vAlign w:val="center"/>
          </w:tcPr>
          <w:p w14:paraId="37BD2738" w14:textId="2A43C52D"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3.135</w:t>
            </w:r>
          </w:p>
        </w:tc>
        <w:tc>
          <w:tcPr>
            <w:tcW w:w="850" w:type="dxa"/>
            <w:tcBorders>
              <w:top w:val="nil"/>
              <w:bottom w:val="nil"/>
            </w:tcBorders>
            <w:shd w:val="clear" w:color="auto" w:fill="auto"/>
            <w:vAlign w:val="center"/>
          </w:tcPr>
          <w:p w14:paraId="6E966330" w14:textId="04F009F2"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1.579</w:t>
            </w:r>
          </w:p>
        </w:tc>
        <w:tc>
          <w:tcPr>
            <w:tcW w:w="1077" w:type="dxa"/>
            <w:tcBorders>
              <w:top w:val="nil"/>
              <w:bottom w:val="nil"/>
              <w:right w:val="single" w:sz="12" w:space="0" w:color="auto"/>
            </w:tcBorders>
            <w:shd w:val="clear" w:color="auto" w:fill="auto"/>
            <w:vAlign w:val="center"/>
          </w:tcPr>
          <w:p w14:paraId="1A680C18" w14:textId="07BA3E0B"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0.716</w:t>
            </w:r>
          </w:p>
        </w:tc>
      </w:tr>
      <w:tr w:rsidR="000362DF" w:rsidRPr="00985924" w14:paraId="5D9BC3B6"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5F33B109"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5D1B9D54" w14:textId="77777777" w:rsidR="000362DF" w:rsidRPr="00985924" w:rsidRDefault="000362DF" w:rsidP="000362DF">
            <w:pPr>
              <w:spacing w:before="0" w:after="0"/>
              <w:ind w:left="17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Daily Customers</w:t>
            </w:r>
          </w:p>
        </w:tc>
        <w:tc>
          <w:tcPr>
            <w:tcW w:w="1020" w:type="dxa"/>
            <w:tcBorders>
              <w:top w:val="nil"/>
              <w:left w:val="single" w:sz="4" w:space="0" w:color="auto"/>
              <w:bottom w:val="nil"/>
            </w:tcBorders>
            <w:shd w:val="clear" w:color="auto" w:fill="auto"/>
            <w:vAlign w:val="center"/>
          </w:tcPr>
          <w:p w14:paraId="076F9169" w14:textId="0EEAD72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0.686</w:t>
            </w:r>
          </w:p>
        </w:tc>
        <w:tc>
          <w:tcPr>
            <w:tcW w:w="850" w:type="dxa"/>
            <w:tcBorders>
              <w:top w:val="nil"/>
              <w:left w:val="single" w:sz="4" w:space="0" w:color="auto"/>
              <w:bottom w:val="nil"/>
            </w:tcBorders>
            <w:shd w:val="clear" w:color="auto" w:fill="auto"/>
            <w:vAlign w:val="center"/>
          </w:tcPr>
          <w:p w14:paraId="5E2A2037" w14:textId="624CE4FB"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0.523</w:t>
            </w:r>
          </w:p>
        </w:tc>
        <w:tc>
          <w:tcPr>
            <w:tcW w:w="850" w:type="dxa"/>
            <w:tcBorders>
              <w:top w:val="nil"/>
              <w:bottom w:val="nil"/>
            </w:tcBorders>
            <w:shd w:val="clear" w:color="auto" w:fill="auto"/>
            <w:vAlign w:val="center"/>
          </w:tcPr>
          <w:p w14:paraId="1122CB3B" w14:textId="3AF96E04"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0.963</w:t>
            </w:r>
          </w:p>
        </w:tc>
        <w:tc>
          <w:tcPr>
            <w:tcW w:w="1020" w:type="dxa"/>
            <w:tcBorders>
              <w:top w:val="nil"/>
              <w:bottom w:val="nil"/>
            </w:tcBorders>
            <w:shd w:val="clear" w:color="auto" w:fill="auto"/>
            <w:vAlign w:val="center"/>
          </w:tcPr>
          <w:p w14:paraId="7EDB4376" w14:textId="0DFE5A76"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0.984</w:t>
            </w:r>
          </w:p>
        </w:tc>
        <w:tc>
          <w:tcPr>
            <w:tcW w:w="850" w:type="dxa"/>
            <w:tcBorders>
              <w:top w:val="nil"/>
              <w:bottom w:val="nil"/>
            </w:tcBorders>
            <w:shd w:val="clear" w:color="auto" w:fill="auto"/>
            <w:vAlign w:val="center"/>
          </w:tcPr>
          <w:p w14:paraId="3CB80C70" w14:textId="71E10D86"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0.599</w:t>
            </w:r>
          </w:p>
        </w:tc>
        <w:tc>
          <w:tcPr>
            <w:tcW w:w="1077" w:type="dxa"/>
            <w:tcBorders>
              <w:top w:val="nil"/>
              <w:bottom w:val="nil"/>
              <w:right w:val="single" w:sz="12" w:space="0" w:color="auto"/>
            </w:tcBorders>
            <w:shd w:val="clear" w:color="auto" w:fill="auto"/>
            <w:vAlign w:val="center"/>
          </w:tcPr>
          <w:p w14:paraId="7BC20737" w14:textId="61D0B16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0.398</w:t>
            </w:r>
          </w:p>
        </w:tc>
      </w:tr>
      <w:tr w:rsidR="000362DF" w:rsidRPr="00985924" w14:paraId="520253AB"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3BB00B56"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6BAFC37F" w14:textId="77777777" w:rsidR="000362DF" w:rsidRPr="00985924" w:rsidRDefault="000362DF" w:rsidP="000362DF">
            <w:pPr>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Root Mean Square Error</w:t>
            </w:r>
          </w:p>
        </w:tc>
        <w:tc>
          <w:tcPr>
            <w:tcW w:w="1020" w:type="dxa"/>
            <w:tcBorders>
              <w:top w:val="nil"/>
              <w:left w:val="single" w:sz="4" w:space="0" w:color="auto"/>
              <w:bottom w:val="nil"/>
            </w:tcBorders>
            <w:shd w:val="clear" w:color="auto" w:fill="auto"/>
            <w:vAlign w:val="center"/>
          </w:tcPr>
          <w:p w14:paraId="50EBD67F" w14:textId="7249CD24"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left w:val="single" w:sz="4" w:space="0" w:color="auto"/>
              <w:bottom w:val="nil"/>
            </w:tcBorders>
            <w:shd w:val="clear" w:color="auto" w:fill="auto"/>
            <w:vAlign w:val="center"/>
          </w:tcPr>
          <w:p w14:paraId="0290AD9E" w14:textId="6B7B3FC1"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bottom w:val="nil"/>
            </w:tcBorders>
            <w:shd w:val="clear" w:color="auto" w:fill="auto"/>
            <w:vAlign w:val="center"/>
          </w:tcPr>
          <w:p w14:paraId="036133F5" w14:textId="0949B396"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20" w:type="dxa"/>
            <w:tcBorders>
              <w:top w:val="nil"/>
              <w:bottom w:val="nil"/>
            </w:tcBorders>
            <w:shd w:val="clear" w:color="auto" w:fill="auto"/>
            <w:vAlign w:val="center"/>
          </w:tcPr>
          <w:p w14:paraId="43130244" w14:textId="7C52A325"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50" w:type="dxa"/>
            <w:tcBorders>
              <w:top w:val="nil"/>
              <w:bottom w:val="nil"/>
            </w:tcBorders>
            <w:shd w:val="clear" w:color="auto" w:fill="auto"/>
            <w:vAlign w:val="center"/>
          </w:tcPr>
          <w:p w14:paraId="4B4AC761" w14:textId="3EEF45B9"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77" w:type="dxa"/>
            <w:tcBorders>
              <w:top w:val="nil"/>
              <w:bottom w:val="nil"/>
              <w:right w:val="single" w:sz="12" w:space="0" w:color="auto"/>
            </w:tcBorders>
            <w:shd w:val="clear" w:color="auto" w:fill="auto"/>
            <w:vAlign w:val="center"/>
          </w:tcPr>
          <w:p w14:paraId="0ECFB93F" w14:textId="7305C1F8"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0362DF" w:rsidRPr="00985924" w14:paraId="0AD17AF5"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3E50A049"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3621F034" w14:textId="77777777" w:rsidR="000362DF" w:rsidRPr="00985924" w:rsidRDefault="000362DF" w:rsidP="000362DF">
            <w:pPr>
              <w:spacing w:before="0" w:after="0"/>
              <w:ind w:left="17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Members</w:t>
            </w:r>
          </w:p>
        </w:tc>
        <w:tc>
          <w:tcPr>
            <w:tcW w:w="1020" w:type="dxa"/>
            <w:tcBorders>
              <w:top w:val="nil"/>
              <w:left w:val="single" w:sz="4" w:space="0" w:color="auto"/>
              <w:bottom w:val="nil"/>
            </w:tcBorders>
            <w:shd w:val="clear" w:color="auto" w:fill="auto"/>
            <w:vAlign w:val="center"/>
          </w:tcPr>
          <w:p w14:paraId="4F08D301" w14:textId="1E32D9FF"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3.362</w:t>
            </w:r>
          </w:p>
        </w:tc>
        <w:tc>
          <w:tcPr>
            <w:tcW w:w="850" w:type="dxa"/>
            <w:tcBorders>
              <w:top w:val="nil"/>
              <w:left w:val="single" w:sz="4" w:space="0" w:color="auto"/>
              <w:bottom w:val="nil"/>
            </w:tcBorders>
            <w:shd w:val="clear" w:color="auto" w:fill="auto"/>
            <w:vAlign w:val="center"/>
          </w:tcPr>
          <w:p w14:paraId="2093BE95" w14:textId="1FE1BEBD"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5.138</w:t>
            </w:r>
          </w:p>
        </w:tc>
        <w:tc>
          <w:tcPr>
            <w:tcW w:w="850" w:type="dxa"/>
            <w:tcBorders>
              <w:top w:val="nil"/>
              <w:bottom w:val="nil"/>
            </w:tcBorders>
            <w:shd w:val="clear" w:color="auto" w:fill="auto"/>
            <w:vAlign w:val="center"/>
          </w:tcPr>
          <w:p w14:paraId="5F031F36" w14:textId="325F2DDB"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3.008</w:t>
            </w:r>
          </w:p>
        </w:tc>
        <w:tc>
          <w:tcPr>
            <w:tcW w:w="1020" w:type="dxa"/>
            <w:tcBorders>
              <w:top w:val="nil"/>
              <w:bottom w:val="nil"/>
            </w:tcBorders>
            <w:shd w:val="clear" w:color="auto" w:fill="auto"/>
            <w:vAlign w:val="center"/>
          </w:tcPr>
          <w:p w14:paraId="15D14697" w14:textId="086EF232"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4.957</w:t>
            </w:r>
          </w:p>
        </w:tc>
        <w:tc>
          <w:tcPr>
            <w:tcW w:w="850" w:type="dxa"/>
            <w:tcBorders>
              <w:top w:val="nil"/>
              <w:bottom w:val="nil"/>
            </w:tcBorders>
            <w:shd w:val="clear" w:color="auto" w:fill="auto"/>
            <w:vAlign w:val="center"/>
          </w:tcPr>
          <w:p w14:paraId="188DDEE2" w14:textId="234E0E2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2.413</w:t>
            </w:r>
          </w:p>
        </w:tc>
        <w:tc>
          <w:tcPr>
            <w:tcW w:w="1077" w:type="dxa"/>
            <w:tcBorders>
              <w:top w:val="nil"/>
              <w:bottom w:val="nil"/>
              <w:right w:val="single" w:sz="12" w:space="0" w:color="auto"/>
            </w:tcBorders>
            <w:shd w:val="clear" w:color="auto" w:fill="auto"/>
            <w:vAlign w:val="center"/>
          </w:tcPr>
          <w:p w14:paraId="15AC3748" w14:textId="0481CB8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1.520</w:t>
            </w:r>
          </w:p>
        </w:tc>
      </w:tr>
      <w:tr w:rsidR="000362DF" w:rsidRPr="00985924" w14:paraId="3080716C"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2166CC84"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single" w:sz="4" w:space="0" w:color="auto"/>
              <w:right w:val="single" w:sz="4" w:space="0" w:color="auto"/>
            </w:tcBorders>
            <w:shd w:val="clear" w:color="auto" w:fill="auto"/>
          </w:tcPr>
          <w:p w14:paraId="7FC0B0AD" w14:textId="77777777" w:rsidR="000362DF" w:rsidRPr="00985924" w:rsidRDefault="000362DF" w:rsidP="000362DF">
            <w:pPr>
              <w:spacing w:before="0" w:after="0"/>
              <w:ind w:left="170"/>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Daily Customers</w:t>
            </w:r>
          </w:p>
        </w:tc>
        <w:tc>
          <w:tcPr>
            <w:tcW w:w="1020" w:type="dxa"/>
            <w:tcBorders>
              <w:top w:val="nil"/>
              <w:left w:val="single" w:sz="4" w:space="0" w:color="auto"/>
              <w:bottom w:val="single" w:sz="4" w:space="0" w:color="auto"/>
            </w:tcBorders>
            <w:shd w:val="clear" w:color="auto" w:fill="auto"/>
            <w:vAlign w:val="center"/>
          </w:tcPr>
          <w:p w14:paraId="1E46DD0D" w14:textId="0269E053"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1.092</w:t>
            </w:r>
          </w:p>
        </w:tc>
        <w:tc>
          <w:tcPr>
            <w:tcW w:w="850" w:type="dxa"/>
            <w:tcBorders>
              <w:top w:val="nil"/>
              <w:left w:val="single" w:sz="4" w:space="0" w:color="auto"/>
              <w:bottom w:val="single" w:sz="4" w:space="0" w:color="auto"/>
            </w:tcBorders>
            <w:shd w:val="clear" w:color="auto" w:fill="auto"/>
            <w:vAlign w:val="center"/>
          </w:tcPr>
          <w:p w14:paraId="1F9B0D79" w14:textId="32CF814E"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0.675</w:t>
            </w:r>
          </w:p>
        </w:tc>
        <w:tc>
          <w:tcPr>
            <w:tcW w:w="850" w:type="dxa"/>
            <w:tcBorders>
              <w:top w:val="nil"/>
              <w:bottom w:val="single" w:sz="4" w:space="0" w:color="auto"/>
            </w:tcBorders>
            <w:shd w:val="clear" w:color="auto" w:fill="auto"/>
            <w:vAlign w:val="center"/>
          </w:tcPr>
          <w:p w14:paraId="1A6094F4" w14:textId="5DA06D2C"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1.493</w:t>
            </w:r>
          </w:p>
        </w:tc>
        <w:tc>
          <w:tcPr>
            <w:tcW w:w="1020" w:type="dxa"/>
            <w:tcBorders>
              <w:top w:val="nil"/>
              <w:bottom w:val="single" w:sz="4" w:space="0" w:color="auto"/>
            </w:tcBorders>
            <w:shd w:val="clear" w:color="auto" w:fill="auto"/>
            <w:vAlign w:val="center"/>
          </w:tcPr>
          <w:p w14:paraId="063F1EC0" w14:textId="6E8907AD"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1.553</w:t>
            </w:r>
          </w:p>
        </w:tc>
        <w:tc>
          <w:tcPr>
            <w:tcW w:w="850" w:type="dxa"/>
            <w:tcBorders>
              <w:top w:val="nil"/>
              <w:bottom w:val="single" w:sz="4" w:space="0" w:color="auto"/>
            </w:tcBorders>
            <w:shd w:val="clear" w:color="auto" w:fill="auto"/>
            <w:vAlign w:val="center"/>
          </w:tcPr>
          <w:p w14:paraId="3E8B5184" w14:textId="19F857C2"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0.815</w:t>
            </w:r>
          </w:p>
        </w:tc>
        <w:tc>
          <w:tcPr>
            <w:tcW w:w="1077" w:type="dxa"/>
            <w:tcBorders>
              <w:top w:val="nil"/>
              <w:bottom w:val="single" w:sz="4" w:space="0" w:color="auto"/>
              <w:right w:val="single" w:sz="12" w:space="0" w:color="auto"/>
            </w:tcBorders>
            <w:shd w:val="clear" w:color="auto" w:fill="auto"/>
            <w:vAlign w:val="center"/>
          </w:tcPr>
          <w:p w14:paraId="01C2FD6A" w14:textId="674B7422"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0.474</w:t>
            </w:r>
          </w:p>
        </w:tc>
      </w:tr>
      <w:tr w:rsidR="000362DF" w:rsidRPr="00985924" w14:paraId="36DFE949"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4A8C12A1" w14:textId="77777777" w:rsidR="000362DF" w:rsidRPr="00985924" w:rsidRDefault="000362DF" w:rsidP="000362DF">
            <w:pPr>
              <w:spacing w:before="0" w:after="0"/>
              <w:rPr>
                <w:color w:val="000000" w:themeColor="text1"/>
              </w:rPr>
            </w:pPr>
          </w:p>
        </w:tc>
        <w:tc>
          <w:tcPr>
            <w:tcW w:w="3236" w:type="dxa"/>
            <w:tcBorders>
              <w:top w:val="single" w:sz="4" w:space="0" w:color="auto"/>
              <w:left w:val="single" w:sz="4" w:space="0" w:color="auto"/>
              <w:bottom w:val="nil"/>
              <w:right w:val="single" w:sz="4" w:space="0" w:color="auto"/>
            </w:tcBorders>
            <w:shd w:val="clear" w:color="auto" w:fill="auto"/>
          </w:tcPr>
          <w:p w14:paraId="7AB38586" w14:textId="77777777" w:rsidR="000362DF" w:rsidRPr="00985924" w:rsidRDefault="000362DF" w:rsidP="000362DF">
            <w:pPr>
              <w:spacing w:before="0" w:after="0"/>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Percentage of Total Departures with Absolute Error less than</w:t>
            </w:r>
          </w:p>
        </w:tc>
        <w:tc>
          <w:tcPr>
            <w:tcW w:w="1020" w:type="dxa"/>
            <w:tcBorders>
              <w:top w:val="single" w:sz="4" w:space="0" w:color="auto"/>
              <w:left w:val="single" w:sz="4" w:space="0" w:color="auto"/>
              <w:bottom w:val="nil"/>
            </w:tcBorders>
            <w:shd w:val="clear" w:color="auto" w:fill="auto"/>
            <w:vAlign w:val="center"/>
          </w:tcPr>
          <w:p w14:paraId="54165A1E" w14:textId="265F9C3B"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left w:val="single" w:sz="4" w:space="0" w:color="auto"/>
              <w:bottom w:val="nil"/>
            </w:tcBorders>
            <w:shd w:val="clear" w:color="auto" w:fill="auto"/>
            <w:vAlign w:val="center"/>
          </w:tcPr>
          <w:p w14:paraId="788C1539" w14:textId="709F3275"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bottom w:val="nil"/>
            </w:tcBorders>
            <w:shd w:val="clear" w:color="auto" w:fill="auto"/>
            <w:vAlign w:val="center"/>
          </w:tcPr>
          <w:p w14:paraId="3117343A" w14:textId="700450DD"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20" w:type="dxa"/>
            <w:tcBorders>
              <w:top w:val="single" w:sz="4" w:space="0" w:color="auto"/>
              <w:bottom w:val="nil"/>
            </w:tcBorders>
            <w:shd w:val="clear" w:color="auto" w:fill="auto"/>
            <w:vAlign w:val="center"/>
          </w:tcPr>
          <w:p w14:paraId="623B6D1C" w14:textId="15476BEE"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50" w:type="dxa"/>
            <w:tcBorders>
              <w:top w:val="single" w:sz="4" w:space="0" w:color="auto"/>
              <w:bottom w:val="nil"/>
            </w:tcBorders>
            <w:shd w:val="clear" w:color="auto" w:fill="auto"/>
            <w:vAlign w:val="center"/>
          </w:tcPr>
          <w:p w14:paraId="1CD5B56C" w14:textId="70C6CA2F"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77" w:type="dxa"/>
            <w:tcBorders>
              <w:top w:val="single" w:sz="4" w:space="0" w:color="auto"/>
              <w:bottom w:val="nil"/>
              <w:right w:val="single" w:sz="12" w:space="0" w:color="auto"/>
            </w:tcBorders>
            <w:shd w:val="clear" w:color="auto" w:fill="auto"/>
            <w:vAlign w:val="center"/>
          </w:tcPr>
          <w:p w14:paraId="4D9DB970" w14:textId="28917F20"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362DF" w:rsidRPr="00985924" w14:paraId="0E385679"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47056911"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359C78F5" w14:textId="77777777"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5% Station Capacity</w:t>
            </w:r>
          </w:p>
        </w:tc>
        <w:tc>
          <w:tcPr>
            <w:tcW w:w="1020" w:type="dxa"/>
            <w:tcBorders>
              <w:top w:val="nil"/>
              <w:left w:val="single" w:sz="4" w:space="0" w:color="auto"/>
              <w:bottom w:val="nil"/>
            </w:tcBorders>
            <w:shd w:val="clear" w:color="auto" w:fill="auto"/>
            <w:vAlign w:val="center"/>
          </w:tcPr>
          <w:p w14:paraId="4ED9294B" w14:textId="44A7ABC4"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53.17</w:t>
            </w:r>
          </w:p>
        </w:tc>
        <w:tc>
          <w:tcPr>
            <w:tcW w:w="850" w:type="dxa"/>
            <w:tcBorders>
              <w:top w:val="nil"/>
              <w:left w:val="single" w:sz="4" w:space="0" w:color="auto"/>
              <w:bottom w:val="nil"/>
            </w:tcBorders>
            <w:shd w:val="clear" w:color="auto" w:fill="auto"/>
            <w:vAlign w:val="center"/>
          </w:tcPr>
          <w:p w14:paraId="7C11F75C" w14:textId="6F75496E"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39.80</w:t>
            </w:r>
          </w:p>
        </w:tc>
        <w:tc>
          <w:tcPr>
            <w:tcW w:w="850" w:type="dxa"/>
            <w:tcBorders>
              <w:top w:val="nil"/>
              <w:bottom w:val="nil"/>
            </w:tcBorders>
            <w:shd w:val="clear" w:color="auto" w:fill="auto"/>
            <w:vAlign w:val="center"/>
          </w:tcPr>
          <w:p w14:paraId="584B91CF" w14:textId="018EF45B"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36.45</w:t>
            </w:r>
          </w:p>
        </w:tc>
        <w:tc>
          <w:tcPr>
            <w:tcW w:w="1020" w:type="dxa"/>
            <w:tcBorders>
              <w:top w:val="nil"/>
              <w:bottom w:val="nil"/>
            </w:tcBorders>
            <w:shd w:val="clear" w:color="auto" w:fill="auto"/>
            <w:vAlign w:val="center"/>
          </w:tcPr>
          <w:p w14:paraId="6625A91C" w14:textId="6440F00B"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27.62</w:t>
            </w:r>
          </w:p>
        </w:tc>
        <w:tc>
          <w:tcPr>
            <w:tcW w:w="850" w:type="dxa"/>
            <w:tcBorders>
              <w:top w:val="nil"/>
              <w:bottom w:val="nil"/>
            </w:tcBorders>
            <w:shd w:val="clear" w:color="auto" w:fill="auto"/>
            <w:vAlign w:val="center"/>
          </w:tcPr>
          <w:p w14:paraId="4DD57B20" w14:textId="2A45BD8D"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54.29</w:t>
            </w:r>
          </w:p>
        </w:tc>
        <w:tc>
          <w:tcPr>
            <w:tcW w:w="1077" w:type="dxa"/>
            <w:tcBorders>
              <w:top w:val="nil"/>
              <w:bottom w:val="nil"/>
              <w:right w:val="single" w:sz="12" w:space="0" w:color="auto"/>
            </w:tcBorders>
            <w:shd w:val="clear" w:color="auto" w:fill="auto"/>
            <w:vAlign w:val="center"/>
          </w:tcPr>
          <w:p w14:paraId="11E1604E" w14:textId="50858A36"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87.20</w:t>
            </w:r>
          </w:p>
        </w:tc>
      </w:tr>
      <w:tr w:rsidR="000362DF" w:rsidRPr="00985924" w14:paraId="4D9BEDE4"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225A1409"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74BF59F5" w14:textId="77777777"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10% Station Capacity</w:t>
            </w:r>
          </w:p>
        </w:tc>
        <w:tc>
          <w:tcPr>
            <w:tcW w:w="1020" w:type="dxa"/>
            <w:tcBorders>
              <w:top w:val="nil"/>
              <w:left w:val="single" w:sz="4" w:space="0" w:color="auto"/>
              <w:bottom w:val="nil"/>
            </w:tcBorders>
            <w:shd w:val="clear" w:color="auto" w:fill="auto"/>
            <w:vAlign w:val="center"/>
          </w:tcPr>
          <w:p w14:paraId="6BEB1126" w14:textId="2E14181A"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76.33</w:t>
            </w:r>
          </w:p>
        </w:tc>
        <w:tc>
          <w:tcPr>
            <w:tcW w:w="850" w:type="dxa"/>
            <w:tcBorders>
              <w:top w:val="nil"/>
              <w:left w:val="single" w:sz="4" w:space="0" w:color="auto"/>
              <w:bottom w:val="nil"/>
            </w:tcBorders>
            <w:shd w:val="clear" w:color="auto" w:fill="auto"/>
            <w:vAlign w:val="center"/>
          </w:tcPr>
          <w:p w14:paraId="33FDD677" w14:textId="53ED7928"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64.94</w:t>
            </w:r>
          </w:p>
        </w:tc>
        <w:tc>
          <w:tcPr>
            <w:tcW w:w="850" w:type="dxa"/>
            <w:tcBorders>
              <w:top w:val="nil"/>
              <w:bottom w:val="nil"/>
            </w:tcBorders>
            <w:shd w:val="clear" w:color="auto" w:fill="auto"/>
            <w:vAlign w:val="center"/>
          </w:tcPr>
          <w:p w14:paraId="2C197038" w14:textId="584DD9F5"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68.20</w:t>
            </w:r>
          </w:p>
        </w:tc>
        <w:tc>
          <w:tcPr>
            <w:tcW w:w="1020" w:type="dxa"/>
            <w:tcBorders>
              <w:top w:val="nil"/>
              <w:bottom w:val="nil"/>
            </w:tcBorders>
            <w:shd w:val="clear" w:color="auto" w:fill="auto"/>
            <w:vAlign w:val="center"/>
          </w:tcPr>
          <w:p w14:paraId="66F2D7C7" w14:textId="3DAF7175"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57.32</w:t>
            </w:r>
          </w:p>
        </w:tc>
        <w:tc>
          <w:tcPr>
            <w:tcW w:w="850" w:type="dxa"/>
            <w:tcBorders>
              <w:top w:val="nil"/>
              <w:bottom w:val="nil"/>
            </w:tcBorders>
            <w:shd w:val="clear" w:color="auto" w:fill="auto"/>
            <w:vAlign w:val="center"/>
          </w:tcPr>
          <w:p w14:paraId="0D4CD96B" w14:textId="0EA06D19"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81.61</w:t>
            </w:r>
          </w:p>
        </w:tc>
        <w:tc>
          <w:tcPr>
            <w:tcW w:w="1077" w:type="dxa"/>
            <w:tcBorders>
              <w:top w:val="nil"/>
              <w:bottom w:val="nil"/>
              <w:right w:val="single" w:sz="12" w:space="0" w:color="auto"/>
            </w:tcBorders>
            <w:shd w:val="clear" w:color="auto" w:fill="auto"/>
            <w:vAlign w:val="center"/>
          </w:tcPr>
          <w:p w14:paraId="583D9577" w14:textId="3B861885"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96.03</w:t>
            </w:r>
          </w:p>
        </w:tc>
      </w:tr>
      <w:tr w:rsidR="000362DF" w:rsidRPr="00985924" w14:paraId="51D042FB"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720220BD"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56AED57D" w14:textId="77777777"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15% Station Capacity</w:t>
            </w:r>
          </w:p>
        </w:tc>
        <w:tc>
          <w:tcPr>
            <w:tcW w:w="1020" w:type="dxa"/>
            <w:tcBorders>
              <w:top w:val="nil"/>
              <w:left w:val="single" w:sz="4" w:space="0" w:color="auto"/>
              <w:bottom w:val="nil"/>
            </w:tcBorders>
            <w:shd w:val="clear" w:color="auto" w:fill="auto"/>
            <w:vAlign w:val="center"/>
          </w:tcPr>
          <w:p w14:paraId="0C410CBB" w14:textId="22678840"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87.21</w:t>
            </w:r>
          </w:p>
        </w:tc>
        <w:tc>
          <w:tcPr>
            <w:tcW w:w="850" w:type="dxa"/>
            <w:tcBorders>
              <w:top w:val="nil"/>
              <w:left w:val="single" w:sz="4" w:space="0" w:color="auto"/>
              <w:bottom w:val="nil"/>
            </w:tcBorders>
            <w:shd w:val="clear" w:color="auto" w:fill="auto"/>
            <w:vAlign w:val="center"/>
          </w:tcPr>
          <w:p w14:paraId="36922020" w14:textId="78E2C23C"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78.53</w:t>
            </w:r>
          </w:p>
        </w:tc>
        <w:tc>
          <w:tcPr>
            <w:tcW w:w="850" w:type="dxa"/>
            <w:tcBorders>
              <w:top w:val="nil"/>
              <w:bottom w:val="nil"/>
            </w:tcBorders>
            <w:shd w:val="clear" w:color="auto" w:fill="auto"/>
            <w:vAlign w:val="center"/>
          </w:tcPr>
          <w:p w14:paraId="1EE73C53" w14:textId="2E426079"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83.81</w:t>
            </w:r>
          </w:p>
        </w:tc>
        <w:tc>
          <w:tcPr>
            <w:tcW w:w="1020" w:type="dxa"/>
            <w:tcBorders>
              <w:top w:val="nil"/>
              <w:bottom w:val="nil"/>
            </w:tcBorders>
            <w:shd w:val="clear" w:color="auto" w:fill="auto"/>
            <w:vAlign w:val="center"/>
          </w:tcPr>
          <w:p w14:paraId="280207AF" w14:textId="437BD25B"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74.76</w:t>
            </w:r>
          </w:p>
        </w:tc>
        <w:tc>
          <w:tcPr>
            <w:tcW w:w="850" w:type="dxa"/>
            <w:tcBorders>
              <w:top w:val="nil"/>
              <w:bottom w:val="nil"/>
            </w:tcBorders>
            <w:shd w:val="clear" w:color="auto" w:fill="auto"/>
            <w:vAlign w:val="center"/>
          </w:tcPr>
          <w:p w14:paraId="70ED7BA5" w14:textId="0041C315"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91.76</w:t>
            </w:r>
          </w:p>
        </w:tc>
        <w:tc>
          <w:tcPr>
            <w:tcW w:w="1077" w:type="dxa"/>
            <w:tcBorders>
              <w:top w:val="nil"/>
              <w:bottom w:val="nil"/>
              <w:right w:val="single" w:sz="12" w:space="0" w:color="auto"/>
            </w:tcBorders>
            <w:shd w:val="clear" w:color="auto" w:fill="auto"/>
            <w:vAlign w:val="center"/>
          </w:tcPr>
          <w:p w14:paraId="61AD562F" w14:textId="75E59DD2"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98.35</w:t>
            </w:r>
          </w:p>
        </w:tc>
      </w:tr>
      <w:tr w:rsidR="000362DF" w:rsidRPr="00985924" w14:paraId="11BAAAAB" w14:textId="77777777" w:rsidTr="00B74A2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3DA68554"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nil"/>
              <w:right w:val="single" w:sz="4" w:space="0" w:color="auto"/>
            </w:tcBorders>
            <w:shd w:val="clear" w:color="auto" w:fill="auto"/>
          </w:tcPr>
          <w:p w14:paraId="3855C1CE" w14:textId="77777777"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85924">
              <w:rPr>
                <w:color w:val="000000" w:themeColor="text1"/>
              </w:rPr>
              <w:t>20% Station Capacity</w:t>
            </w:r>
          </w:p>
        </w:tc>
        <w:tc>
          <w:tcPr>
            <w:tcW w:w="1020" w:type="dxa"/>
            <w:tcBorders>
              <w:top w:val="nil"/>
              <w:left w:val="single" w:sz="4" w:space="0" w:color="auto"/>
              <w:bottom w:val="nil"/>
            </w:tcBorders>
            <w:shd w:val="clear" w:color="auto" w:fill="auto"/>
            <w:vAlign w:val="center"/>
          </w:tcPr>
          <w:p w14:paraId="4CF8D0F4" w14:textId="04E46D0B"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92.44</w:t>
            </w:r>
          </w:p>
        </w:tc>
        <w:tc>
          <w:tcPr>
            <w:tcW w:w="850" w:type="dxa"/>
            <w:tcBorders>
              <w:top w:val="nil"/>
              <w:left w:val="single" w:sz="4" w:space="0" w:color="auto"/>
              <w:bottom w:val="nil"/>
            </w:tcBorders>
            <w:shd w:val="clear" w:color="auto" w:fill="auto"/>
            <w:vAlign w:val="center"/>
          </w:tcPr>
          <w:p w14:paraId="007507AC" w14:textId="4A37E223"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86.16</w:t>
            </w:r>
          </w:p>
        </w:tc>
        <w:tc>
          <w:tcPr>
            <w:tcW w:w="850" w:type="dxa"/>
            <w:tcBorders>
              <w:top w:val="nil"/>
              <w:bottom w:val="nil"/>
            </w:tcBorders>
            <w:shd w:val="clear" w:color="auto" w:fill="auto"/>
            <w:vAlign w:val="center"/>
          </w:tcPr>
          <w:p w14:paraId="24B3FB99" w14:textId="5CEB39D2"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91.12</w:t>
            </w:r>
          </w:p>
        </w:tc>
        <w:tc>
          <w:tcPr>
            <w:tcW w:w="1020" w:type="dxa"/>
            <w:tcBorders>
              <w:top w:val="nil"/>
              <w:bottom w:val="nil"/>
            </w:tcBorders>
            <w:shd w:val="clear" w:color="auto" w:fill="auto"/>
            <w:vAlign w:val="center"/>
          </w:tcPr>
          <w:p w14:paraId="27C7D335" w14:textId="471616B7"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83.83</w:t>
            </w:r>
          </w:p>
        </w:tc>
        <w:tc>
          <w:tcPr>
            <w:tcW w:w="850" w:type="dxa"/>
            <w:tcBorders>
              <w:top w:val="nil"/>
              <w:bottom w:val="nil"/>
            </w:tcBorders>
            <w:shd w:val="clear" w:color="auto" w:fill="auto"/>
            <w:vAlign w:val="center"/>
          </w:tcPr>
          <w:p w14:paraId="37FE6731" w14:textId="357233C3"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96.17</w:t>
            </w:r>
          </w:p>
        </w:tc>
        <w:tc>
          <w:tcPr>
            <w:tcW w:w="1077" w:type="dxa"/>
            <w:tcBorders>
              <w:top w:val="nil"/>
              <w:bottom w:val="nil"/>
              <w:right w:val="single" w:sz="12" w:space="0" w:color="auto"/>
            </w:tcBorders>
            <w:shd w:val="clear" w:color="auto" w:fill="auto"/>
            <w:vAlign w:val="center"/>
          </w:tcPr>
          <w:p w14:paraId="35C99735" w14:textId="79388C0A" w:rsidR="000362DF" w:rsidRPr="00985924" w:rsidRDefault="000362DF" w:rsidP="000362DF">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362DF">
              <w:rPr>
                <w:color w:val="000000" w:themeColor="text1"/>
              </w:rPr>
              <w:t>99.06</w:t>
            </w:r>
          </w:p>
        </w:tc>
      </w:tr>
      <w:tr w:rsidR="000362DF" w:rsidRPr="00985924" w14:paraId="41476765" w14:textId="77777777" w:rsidTr="00B74A20">
        <w:trPr>
          <w:trHeight w:val="345"/>
          <w:jc w:val="center"/>
        </w:trPr>
        <w:tc>
          <w:tcPr>
            <w:cnfStyle w:val="001000000000" w:firstRow="0" w:lastRow="0" w:firstColumn="1" w:lastColumn="0" w:oddVBand="0" w:evenVBand="0" w:oddHBand="0" w:evenHBand="0" w:firstRowFirstColumn="0" w:firstRowLastColumn="0" w:lastRowFirstColumn="0" w:lastRowLastColumn="0"/>
            <w:tcW w:w="431" w:type="dxa"/>
            <w:vMerge/>
            <w:tcBorders>
              <w:left w:val="single" w:sz="12" w:space="0" w:color="auto"/>
              <w:right w:val="single" w:sz="4" w:space="0" w:color="auto"/>
            </w:tcBorders>
            <w:shd w:val="clear" w:color="auto" w:fill="auto"/>
          </w:tcPr>
          <w:p w14:paraId="41321081" w14:textId="77777777" w:rsidR="000362DF" w:rsidRPr="00985924" w:rsidRDefault="000362DF" w:rsidP="000362DF">
            <w:pPr>
              <w:spacing w:before="0" w:after="0"/>
              <w:rPr>
                <w:color w:val="000000" w:themeColor="text1"/>
              </w:rPr>
            </w:pPr>
          </w:p>
        </w:tc>
        <w:tc>
          <w:tcPr>
            <w:tcW w:w="3236" w:type="dxa"/>
            <w:tcBorders>
              <w:top w:val="nil"/>
              <w:left w:val="single" w:sz="4" w:space="0" w:color="auto"/>
              <w:bottom w:val="single" w:sz="18" w:space="0" w:color="auto"/>
              <w:right w:val="single" w:sz="4" w:space="0" w:color="auto"/>
            </w:tcBorders>
            <w:shd w:val="clear" w:color="auto" w:fill="auto"/>
          </w:tcPr>
          <w:p w14:paraId="38AFE90C" w14:textId="77777777"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85924">
              <w:rPr>
                <w:color w:val="000000" w:themeColor="text1"/>
              </w:rPr>
              <w:t>25% Station Capacity</w:t>
            </w:r>
          </w:p>
        </w:tc>
        <w:tc>
          <w:tcPr>
            <w:tcW w:w="1020" w:type="dxa"/>
            <w:tcBorders>
              <w:top w:val="nil"/>
              <w:left w:val="single" w:sz="4" w:space="0" w:color="auto"/>
              <w:bottom w:val="single" w:sz="18" w:space="0" w:color="auto"/>
            </w:tcBorders>
            <w:shd w:val="clear" w:color="auto" w:fill="auto"/>
            <w:vAlign w:val="center"/>
          </w:tcPr>
          <w:p w14:paraId="4F8C5670" w14:textId="757D6463"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95.23</w:t>
            </w:r>
          </w:p>
        </w:tc>
        <w:tc>
          <w:tcPr>
            <w:tcW w:w="850" w:type="dxa"/>
            <w:tcBorders>
              <w:top w:val="nil"/>
              <w:left w:val="single" w:sz="4" w:space="0" w:color="auto"/>
              <w:bottom w:val="single" w:sz="18" w:space="0" w:color="auto"/>
            </w:tcBorders>
            <w:shd w:val="clear" w:color="auto" w:fill="auto"/>
            <w:vAlign w:val="center"/>
          </w:tcPr>
          <w:p w14:paraId="55DCE1CD" w14:textId="03C5AAC0"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90.40</w:t>
            </w:r>
          </w:p>
        </w:tc>
        <w:tc>
          <w:tcPr>
            <w:tcW w:w="850" w:type="dxa"/>
            <w:tcBorders>
              <w:top w:val="nil"/>
              <w:bottom w:val="single" w:sz="18" w:space="0" w:color="auto"/>
            </w:tcBorders>
            <w:shd w:val="clear" w:color="auto" w:fill="auto"/>
            <w:vAlign w:val="center"/>
          </w:tcPr>
          <w:p w14:paraId="15CF4A85" w14:textId="5A69A1E8"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94.93</w:t>
            </w:r>
          </w:p>
        </w:tc>
        <w:tc>
          <w:tcPr>
            <w:tcW w:w="1020" w:type="dxa"/>
            <w:tcBorders>
              <w:top w:val="nil"/>
              <w:bottom w:val="single" w:sz="18" w:space="0" w:color="auto"/>
            </w:tcBorders>
            <w:shd w:val="clear" w:color="auto" w:fill="auto"/>
            <w:vAlign w:val="center"/>
          </w:tcPr>
          <w:p w14:paraId="4C6A8A03" w14:textId="27028A64"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89.22</w:t>
            </w:r>
          </w:p>
        </w:tc>
        <w:tc>
          <w:tcPr>
            <w:tcW w:w="850" w:type="dxa"/>
            <w:tcBorders>
              <w:top w:val="nil"/>
              <w:bottom w:val="single" w:sz="18" w:space="0" w:color="auto"/>
            </w:tcBorders>
            <w:shd w:val="clear" w:color="auto" w:fill="auto"/>
            <w:vAlign w:val="center"/>
          </w:tcPr>
          <w:p w14:paraId="2E3D69AF" w14:textId="07B2B666"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97.97</w:t>
            </w:r>
          </w:p>
        </w:tc>
        <w:tc>
          <w:tcPr>
            <w:tcW w:w="1077" w:type="dxa"/>
            <w:tcBorders>
              <w:top w:val="nil"/>
              <w:bottom w:val="single" w:sz="18" w:space="0" w:color="auto"/>
              <w:right w:val="single" w:sz="12" w:space="0" w:color="auto"/>
            </w:tcBorders>
            <w:shd w:val="clear" w:color="auto" w:fill="auto"/>
            <w:vAlign w:val="center"/>
          </w:tcPr>
          <w:p w14:paraId="050C3B31" w14:textId="61D87FC6" w:rsidR="000362DF" w:rsidRPr="00985924" w:rsidRDefault="000362DF" w:rsidP="000362DF">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62DF">
              <w:rPr>
                <w:color w:val="000000" w:themeColor="text1"/>
              </w:rPr>
              <w:t>99.42</w:t>
            </w:r>
          </w:p>
        </w:tc>
      </w:tr>
    </w:tbl>
    <w:p w14:paraId="3F78A9A6" w14:textId="2C6432F7" w:rsidR="00EC0691" w:rsidRPr="008A07C9" w:rsidRDefault="00EC0691" w:rsidP="0043327D">
      <w:pPr>
        <w:autoSpaceDE w:val="0"/>
        <w:autoSpaceDN w:val="0"/>
        <w:adjustRightInd w:val="0"/>
        <w:jc w:val="left"/>
        <w:rPr>
          <w:rFonts w:cs="Times New Roman"/>
          <w:b/>
        </w:rPr>
      </w:pPr>
    </w:p>
    <w:sectPr w:rsidR="00EC0691" w:rsidRPr="008A07C9" w:rsidSect="009859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EE168" w14:textId="77777777" w:rsidR="004731D8" w:rsidRDefault="004731D8" w:rsidP="003C62D5">
      <w:pPr>
        <w:spacing w:before="0" w:after="0"/>
      </w:pPr>
      <w:r>
        <w:separator/>
      </w:r>
    </w:p>
  </w:endnote>
  <w:endnote w:type="continuationSeparator" w:id="0">
    <w:p w14:paraId="7B643169" w14:textId="77777777" w:rsidR="004731D8" w:rsidRDefault="004731D8" w:rsidP="003C62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52055"/>
      <w:docPartObj>
        <w:docPartGallery w:val="Page Numbers (Bottom of Page)"/>
        <w:docPartUnique/>
      </w:docPartObj>
    </w:sdtPr>
    <w:sdtEndPr>
      <w:rPr>
        <w:noProof/>
      </w:rPr>
    </w:sdtEndPr>
    <w:sdtContent>
      <w:p w14:paraId="0415123C" w14:textId="0BDD6BBC" w:rsidR="00E43EF8" w:rsidRDefault="00E43EF8">
        <w:pPr>
          <w:pStyle w:val="Footer"/>
          <w:jc w:val="center"/>
        </w:pPr>
        <w:r>
          <w:fldChar w:fldCharType="begin"/>
        </w:r>
        <w:r>
          <w:instrText xml:space="preserve"> PAGE   \* MERGEFORMAT </w:instrText>
        </w:r>
        <w:r>
          <w:fldChar w:fldCharType="separate"/>
        </w:r>
        <w:r w:rsidR="000C44DF">
          <w:rPr>
            <w:noProof/>
          </w:rPr>
          <w:t>20</w:t>
        </w:r>
        <w:r>
          <w:rPr>
            <w:noProof/>
          </w:rPr>
          <w:fldChar w:fldCharType="end"/>
        </w:r>
      </w:p>
    </w:sdtContent>
  </w:sdt>
  <w:p w14:paraId="1E196133" w14:textId="77777777" w:rsidR="00E43EF8" w:rsidRDefault="00E43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22525" w14:textId="77777777" w:rsidR="004731D8" w:rsidRDefault="004731D8" w:rsidP="003C62D5">
      <w:pPr>
        <w:spacing w:before="0" w:after="0"/>
      </w:pPr>
      <w:r>
        <w:separator/>
      </w:r>
    </w:p>
  </w:footnote>
  <w:footnote w:type="continuationSeparator" w:id="0">
    <w:p w14:paraId="681FF884" w14:textId="77777777" w:rsidR="004731D8" w:rsidRDefault="004731D8" w:rsidP="003C62D5">
      <w:pPr>
        <w:spacing w:before="0" w:after="0"/>
      </w:pPr>
      <w:r>
        <w:continuationSeparator/>
      </w:r>
    </w:p>
  </w:footnote>
  <w:footnote w:id="1">
    <w:p w14:paraId="63CFCD30" w14:textId="71642E9E" w:rsidR="00E43EF8" w:rsidRPr="007421A9" w:rsidRDefault="00E43EF8">
      <w:pPr>
        <w:pStyle w:val="FootnoteText"/>
        <w:rPr>
          <w:lang w:val="en-US"/>
        </w:rPr>
      </w:pPr>
      <w:r>
        <w:rPr>
          <w:rStyle w:val="FootnoteReference"/>
        </w:rPr>
        <w:footnoteRef/>
      </w:r>
      <w:r>
        <w:t xml:space="preserve"> </w:t>
      </w:r>
      <w:r w:rsidRPr="007421A9">
        <w:t>Considering all variables at the same spatial unit level would be ideal; however, due to data availability we considered variables in the 250-meter buffer, census tract and zip code level. To reduce potential bias due to various spatial units, we consider density representations of the variables for census tract and zip code level. For the 250-meter buffer, by maintaining a constant area, we are effectively considering a density representation.</w:t>
      </w:r>
    </w:p>
  </w:footnote>
  <w:footnote w:id="2">
    <w:p w14:paraId="17FA46B0" w14:textId="07E14F75" w:rsidR="00E43EF8" w:rsidRPr="007421A9" w:rsidRDefault="00E43EF8">
      <w:pPr>
        <w:pStyle w:val="FootnoteText"/>
        <w:rPr>
          <w:lang w:val="en-US"/>
        </w:rPr>
      </w:pPr>
      <w:r>
        <w:rPr>
          <w:rStyle w:val="FootnoteReference"/>
        </w:rPr>
        <w:footnoteRef/>
      </w:r>
      <w:r>
        <w:t xml:space="preserve"> The reader would note that we employed a 250-meter buffer around the CitiBike stations for variable generation. It might be more appropriate to adopt a 250-meter network distance based approach. However, it increases the complexity of the task substantially and is beyond the scope of our research effort. </w:t>
      </w:r>
    </w:p>
  </w:footnote>
  <w:footnote w:id="3">
    <w:p w14:paraId="098D8CF5" w14:textId="2799AC30" w:rsidR="00E43EF8" w:rsidRPr="007421A9" w:rsidRDefault="00E43EF8" w:rsidP="007421A9">
      <w:pPr>
        <w:pStyle w:val="FootnoteText"/>
        <w:rPr>
          <w:lang w:val="en-US"/>
        </w:rPr>
      </w:pPr>
      <w:r>
        <w:rPr>
          <w:rStyle w:val="FootnoteReference"/>
        </w:rPr>
        <w:footnoteRef/>
      </w:r>
      <w:r>
        <w:t xml:space="preserve"> </w:t>
      </w:r>
      <w:r w:rsidRPr="007421A9">
        <w:rPr>
          <w:rFonts w:cs="Times New Roman"/>
          <w:bCs/>
          <w:iCs/>
          <w:sz w:val="24"/>
          <w:szCs w:val="24"/>
        </w:rPr>
        <w:t>The reader would note that temporal lag variables are considered within</w:t>
      </w:r>
      <w:r>
        <w:rPr>
          <w:rFonts w:cs="Times New Roman"/>
          <w:bCs/>
          <w:iCs/>
          <w:sz w:val="24"/>
          <w:szCs w:val="24"/>
        </w:rPr>
        <w:t xml:space="preserve"> </w:t>
      </w:r>
      <m:oMath>
        <m:sSub>
          <m:sSubPr>
            <m:ctrlPr>
              <w:rPr>
                <w:rFonts w:ascii="Cambria Math" w:hAnsi="Cambria Math"/>
                <w:i/>
              </w:rPr>
            </m:ctrlPr>
          </m:sSubPr>
          <m:e>
            <m:r>
              <w:rPr>
                <w:rFonts w:ascii="Cambria Math" w:hAnsi="Cambria Math"/>
              </w:rPr>
              <m:t>x</m:t>
            </m:r>
          </m:e>
          <m:sub>
            <m:r>
              <w:rPr>
                <w:rFonts w:ascii="Cambria Math" w:hAnsi="Cambria Math"/>
              </w:rPr>
              <m:t>qt</m:t>
            </m:r>
          </m:sub>
        </m:sSub>
      </m:oMath>
      <w:r w:rsidRPr="007421A9">
        <w:rPr>
          <w:rFonts w:eastAsiaTheme="minorEastAsia"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236B"/>
    <w:multiLevelType w:val="hybridMultilevel"/>
    <w:tmpl w:val="0674E5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7D94C38"/>
    <w:multiLevelType w:val="hybridMultilevel"/>
    <w:tmpl w:val="688C2008"/>
    <w:lvl w:ilvl="0" w:tplc="F11ECB9A">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6D71478"/>
    <w:multiLevelType w:val="multilevel"/>
    <w:tmpl w:val="1E4A70D0"/>
    <w:lvl w:ilvl="0">
      <w:start w:val="1"/>
      <w:numFmt w:val="decimal"/>
      <w:pStyle w:val="Heading1"/>
      <w:lvlText w:val="%1."/>
      <w:lvlJc w:val="left"/>
      <w:pPr>
        <w:ind w:left="360" w:hanging="360"/>
      </w:pPr>
      <w:rPr>
        <w:rFonts w:hint="default"/>
        <w:i w:val="0"/>
      </w:rPr>
    </w:lvl>
    <w:lvl w:ilvl="1">
      <w:start w:val="1"/>
      <w:numFmt w:val="decimal"/>
      <w:isLgl/>
      <w:lvlText w:val="%1.%2."/>
      <w:lvlJc w:val="left"/>
      <w:pPr>
        <w:ind w:left="780" w:hanging="420"/>
      </w:pPr>
      <w:rPr>
        <w:rFonts w:hint="default"/>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673F0A"/>
    <w:multiLevelType w:val="hybridMultilevel"/>
    <w:tmpl w:val="684249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4DE3F4F"/>
    <w:multiLevelType w:val="hybridMultilevel"/>
    <w:tmpl w:val="8E3277EE"/>
    <w:lvl w:ilvl="0" w:tplc="CE8EC12E">
      <w:start w:val="1"/>
      <w:numFmt w:val="decimal"/>
      <w:lvlText w:val="%1."/>
      <w:lvlJc w:val="left"/>
      <w:pPr>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CF2849"/>
    <w:multiLevelType w:val="multilevel"/>
    <w:tmpl w:val="6EB0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862B1"/>
    <w:multiLevelType w:val="hybridMultilevel"/>
    <w:tmpl w:val="FA6ED2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361496D"/>
    <w:multiLevelType w:val="hybridMultilevel"/>
    <w:tmpl w:val="637016B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76487E94"/>
    <w:multiLevelType w:val="hybridMultilevel"/>
    <w:tmpl w:val="A4C0CC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78C56875"/>
    <w:multiLevelType w:val="hybridMultilevel"/>
    <w:tmpl w:val="351E07EE"/>
    <w:lvl w:ilvl="0" w:tplc="CE8EC12E">
      <w:start w:val="1"/>
      <w:numFmt w:val="decimal"/>
      <w:lvlText w:val="%1."/>
      <w:lvlJc w:val="left"/>
      <w:pPr>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4"/>
  </w:num>
  <w:num w:numId="7">
    <w:abstractNumId w:val="3"/>
  </w:num>
  <w:num w:numId="8">
    <w:abstractNumId w:val="3"/>
  </w:num>
  <w:num w:numId="9">
    <w:abstractNumId w:val="3"/>
  </w:num>
  <w:num w:numId="10">
    <w:abstractNumId w:val="1"/>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0"/>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9"/>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2C"/>
    <w:rsid w:val="000006A9"/>
    <w:rsid w:val="000016D0"/>
    <w:rsid w:val="00001C8A"/>
    <w:rsid w:val="00005317"/>
    <w:rsid w:val="0000546B"/>
    <w:rsid w:val="00006618"/>
    <w:rsid w:val="0001152C"/>
    <w:rsid w:val="00011D0D"/>
    <w:rsid w:val="00011E6D"/>
    <w:rsid w:val="00013F48"/>
    <w:rsid w:val="00014807"/>
    <w:rsid w:val="0001493C"/>
    <w:rsid w:val="000167E1"/>
    <w:rsid w:val="0002056F"/>
    <w:rsid w:val="00023F4F"/>
    <w:rsid w:val="0002534B"/>
    <w:rsid w:val="000262D4"/>
    <w:rsid w:val="0002749F"/>
    <w:rsid w:val="00027ACB"/>
    <w:rsid w:val="000362DF"/>
    <w:rsid w:val="00037327"/>
    <w:rsid w:val="00042FAD"/>
    <w:rsid w:val="00045B00"/>
    <w:rsid w:val="00046327"/>
    <w:rsid w:val="0005010A"/>
    <w:rsid w:val="00050A01"/>
    <w:rsid w:val="00053903"/>
    <w:rsid w:val="00055F44"/>
    <w:rsid w:val="00062063"/>
    <w:rsid w:val="0006218D"/>
    <w:rsid w:val="0006235B"/>
    <w:rsid w:val="00062AC4"/>
    <w:rsid w:val="00063788"/>
    <w:rsid w:val="000645BE"/>
    <w:rsid w:val="00067109"/>
    <w:rsid w:val="00071040"/>
    <w:rsid w:val="00073AE7"/>
    <w:rsid w:val="0007589E"/>
    <w:rsid w:val="00076BB9"/>
    <w:rsid w:val="000823FF"/>
    <w:rsid w:val="00084A90"/>
    <w:rsid w:val="00086745"/>
    <w:rsid w:val="00091869"/>
    <w:rsid w:val="0009194F"/>
    <w:rsid w:val="00092937"/>
    <w:rsid w:val="00093C55"/>
    <w:rsid w:val="000954A5"/>
    <w:rsid w:val="00095777"/>
    <w:rsid w:val="00095F1A"/>
    <w:rsid w:val="000963E8"/>
    <w:rsid w:val="00097AE6"/>
    <w:rsid w:val="000A0078"/>
    <w:rsid w:val="000A741C"/>
    <w:rsid w:val="000B0AB4"/>
    <w:rsid w:val="000B2B2E"/>
    <w:rsid w:val="000B33D5"/>
    <w:rsid w:val="000B40A5"/>
    <w:rsid w:val="000B4203"/>
    <w:rsid w:val="000C44DF"/>
    <w:rsid w:val="000C7AA6"/>
    <w:rsid w:val="000D17D8"/>
    <w:rsid w:val="000D1CB1"/>
    <w:rsid w:val="000D210C"/>
    <w:rsid w:val="000D48E3"/>
    <w:rsid w:val="000D6BA5"/>
    <w:rsid w:val="000E5624"/>
    <w:rsid w:val="000F0478"/>
    <w:rsid w:val="000F1238"/>
    <w:rsid w:val="0010781B"/>
    <w:rsid w:val="00112403"/>
    <w:rsid w:val="00114F09"/>
    <w:rsid w:val="00115740"/>
    <w:rsid w:val="001158BF"/>
    <w:rsid w:val="00115E10"/>
    <w:rsid w:val="00117A3A"/>
    <w:rsid w:val="001211E4"/>
    <w:rsid w:val="00121A24"/>
    <w:rsid w:val="00130AA9"/>
    <w:rsid w:val="00131C0C"/>
    <w:rsid w:val="00132D23"/>
    <w:rsid w:val="0013326C"/>
    <w:rsid w:val="0013542F"/>
    <w:rsid w:val="00135DB2"/>
    <w:rsid w:val="0013674A"/>
    <w:rsid w:val="00137573"/>
    <w:rsid w:val="001375CE"/>
    <w:rsid w:val="0014035F"/>
    <w:rsid w:val="001445D7"/>
    <w:rsid w:val="00144D3F"/>
    <w:rsid w:val="00146146"/>
    <w:rsid w:val="00146D6A"/>
    <w:rsid w:val="00147A99"/>
    <w:rsid w:val="00147DD2"/>
    <w:rsid w:val="001520FC"/>
    <w:rsid w:val="00152342"/>
    <w:rsid w:val="00157A20"/>
    <w:rsid w:val="00161806"/>
    <w:rsid w:val="00164CE5"/>
    <w:rsid w:val="001656E9"/>
    <w:rsid w:val="001657F3"/>
    <w:rsid w:val="00165F41"/>
    <w:rsid w:val="00166589"/>
    <w:rsid w:val="00166734"/>
    <w:rsid w:val="00166ABC"/>
    <w:rsid w:val="001712A0"/>
    <w:rsid w:val="001757E5"/>
    <w:rsid w:val="00176A1E"/>
    <w:rsid w:val="001774CD"/>
    <w:rsid w:val="001805A2"/>
    <w:rsid w:val="00181DA5"/>
    <w:rsid w:val="001822D6"/>
    <w:rsid w:val="001858C7"/>
    <w:rsid w:val="00185E0C"/>
    <w:rsid w:val="0019404F"/>
    <w:rsid w:val="00194339"/>
    <w:rsid w:val="00194673"/>
    <w:rsid w:val="00195856"/>
    <w:rsid w:val="001A012D"/>
    <w:rsid w:val="001A0668"/>
    <w:rsid w:val="001A1E13"/>
    <w:rsid w:val="001A2581"/>
    <w:rsid w:val="001A2E4E"/>
    <w:rsid w:val="001A5DAC"/>
    <w:rsid w:val="001A6868"/>
    <w:rsid w:val="001A79C9"/>
    <w:rsid w:val="001B1F17"/>
    <w:rsid w:val="001B2568"/>
    <w:rsid w:val="001B4081"/>
    <w:rsid w:val="001B4229"/>
    <w:rsid w:val="001B5522"/>
    <w:rsid w:val="001B585E"/>
    <w:rsid w:val="001B6B6B"/>
    <w:rsid w:val="001B7510"/>
    <w:rsid w:val="001C085E"/>
    <w:rsid w:val="001C0CE6"/>
    <w:rsid w:val="001C412A"/>
    <w:rsid w:val="001C6816"/>
    <w:rsid w:val="001C6B19"/>
    <w:rsid w:val="001C7C7A"/>
    <w:rsid w:val="001D1190"/>
    <w:rsid w:val="001D21F3"/>
    <w:rsid w:val="001D51FC"/>
    <w:rsid w:val="001D5469"/>
    <w:rsid w:val="001D7797"/>
    <w:rsid w:val="001E2644"/>
    <w:rsid w:val="001E293C"/>
    <w:rsid w:val="001E2B62"/>
    <w:rsid w:val="001E3C4D"/>
    <w:rsid w:val="001E48C7"/>
    <w:rsid w:val="001E48DB"/>
    <w:rsid w:val="001E67AD"/>
    <w:rsid w:val="001E68AA"/>
    <w:rsid w:val="001E6A1A"/>
    <w:rsid w:val="001E6B0B"/>
    <w:rsid w:val="001E6F77"/>
    <w:rsid w:val="001E777B"/>
    <w:rsid w:val="001F4303"/>
    <w:rsid w:val="001F6C3E"/>
    <w:rsid w:val="00202538"/>
    <w:rsid w:val="00203771"/>
    <w:rsid w:val="00207C50"/>
    <w:rsid w:val="00207ECB"/>
    <w:rsid w:val="00212FB8"/>
    <w:rsid w:val="00215234"/>
    <w:rsid w:val="00215F9C"/>
    <w:rsid w:val="0021637B"/>
    <w:rsid w:val="00221496"/>
    <w:rsid w:val="002217EF"/>
    <w:rsid w:val="00221838"/>
    <w:rsid w:val="00221AE3"/>
    <w:rsid w:val="00221C8A"/>
    <w:rsid w:val="0023091D"/>
    <w:rsid w:val="00230C56"/>
    <w:rsid w:val="0023211B"/>
    <w:rsid w:val="0023505D"/>
    <w:rsid w:val="00235450"/>
    <w:rsid w:val="002354C3"/>
    <w:rsid w:val="00236294"/>
    <w:rsid w:val="00236F37"/>
    <w:rsid w:val="00237651"/>
    <w:rsid w:val="00241DA5"/>
    <w:rsid w:val="0024315C"/>
    <w:rsid w:val="00243333"/>
    <w:rsid w:val="00247B34"/>
    <w:rsid w:val="002517F4"/>
    <w:rsid w:val="0025267D"/>
    <w:rsid w:val="002536C6"/>
    <w:rsid w:val="002536E8"/>
    <w:rsid w:val="0025476E"/>
    <w:rsid w:val="00260329"/>
    <w:rsid w:val="002616B7"/>
    <w:rsid w:val="0026195C"/>
    <w:rsid w:val="00262653"/>
    <w:rsid w:val="002660CA"/>
    <w:rsid w:val="0027000F"/>
    <w:rsid w:val="00270312"/>
    <w:rsid w:val="00272066"/>
    <w:rsid w:val="002723DD"/>
    <w:rsid w:val="00280032"/>
    <w:rsid w:val="002808E7"/>
    <w:rsid w:val="0028129B"/>
    <w:rsid w:val="00281F6D"/>
    <w:rsid w:val="00284442"/>
    <w:rsid w:val="00284FA1"/>
    <w:rsid w:val="002851EB"/>
    <w:rsid w:val="00285F2A"/>
    <w:rsid w:val="002909EA"/>
    <w:rsid w:val="002933A1"/>
    <w:rsid w:val="00293655"/>
    <w:rsid w:val="002943EC"/>
    <w:rsid w:val="00294FCD"/>
    <w:rsid w:val="00296B50"/>
    <w:rsid w:val="002972A5"/>
    <w:rsid w:val="002A009D"/>
    <w:rsid w:val="002A1C97"/>
    <w:rsid w:val="002A2B1B"/>
    <w:rsid w:val="002A37CA"/>
    <w:rsid w:val="002A484B"/>
    <w:rsid w:val="002A6FEB"/>
    <w:rsid w:val="002A74C3"/>
    <w:rsid w:val="002B01A1"/>
    <w:rsid w:val="002B0227"/>
    <w:rsid w:val="002B13CB"/>
    <w:rsid w:val="002B3804"/>
    <w:rsid w:val="002B3EF6"/>
    <w:rsid w:val="002B4181"/>
    <w:rsid w:val="002B5775"/>
    <w:rsid w:val="002B58D2"/>
    <w:rsid w:val="002B6216"/>
    <w:rsid w:val="002B6FAC"/>
    <w:rsid w:val="002B76CE"/>
    <w:rsid w:val="002C0219"/>
    <w:rsid w:val="002C04B8"/>
    <w:rsid w:val="002C235A"/>
    <w:rsid w:val="002C2996"/>
    <w:rsid w:val="002C2DAF"/>
    <w:rsid w:val="002C479A"/>
    <w:rsid w:val="002C485C"/>
    <w:rsid w:val="002C5749"/>
    <w:rsid w:val="002C7891"/>
    <w:rsid w:val="002D222C"/>
    <w:rsid w:val="002D666F"/>
    <w:rsid w:val="002D6B3F"/>
    <w:rsid w:val="002D6D5F"/>
    <w:rsid w:val="002D7E4C"/>
    <w:rsid w:val="002E16E8"/>
    <w:rsid w:val="002E3C8D"/>
    <w:rsid w:val="002E6FD7"/>
    <w:rsid w:val="002F05ED"/>
    <w:rsid w:val="002F175A"/>
    <w:rsid w:val="002F1D12"/>
    <w:rsid w:val="002F4151"/>
    <w:rsid w:val="002F5BB1"/>
    <w:rsid w:val="002F63ED"/>
    <w:rsid w:val="003008BE"/>
    <w:rsid w:val="003013EB"/>
    <w:rsid w:val="0030235D"/>
    <w:rsid w:val="0030251C"/>
    <w:rsid w:val="00303187"/>
    <w:rsid w:val="00303E57"/>
    <w:rsid w:val="003068C3"/>
    <w:rsid w:val="00306912"/>
    <w:rsid w:val="003071E1"/>
    <w:rsid w:val="00321509"/>
    <w:rsid w:val="00321A6C"/>
    <w:rsid w:val="00322543"/>
    <w:rsid w:val="00322FF5"/>
    <w:rsid w:val="00327999"/>
    <w:rsid w:val="00331344"/>
    <w:rsid w:val="00332D86"/>
    <w:rsid w:val="003359A4"/>
    <w:rsid w:val="00336B12"/>
    <w:rsid w:val="00341551"/>
    <w:rsid w:val="00345E9F"/>
    <w:rsid w:val="00346B1A"/>
    <w:rsid w:val="00350143"/>
    <w:rsid w:val="00350B18"/>
    <w:rsid w:val="00350D4D"/>
    <w:rsid w:val="00351008"/>
    <w:rsid w:val="0035161F"/>
    <w:rsid w:val="0035172C"/>
    <w:rsid w:val="003529AC"/>
    <w:rsid w:val="00353965"/>
    <w:rsid w:val="003564DE"/>
    <w:rsid w:val="00357AF6"/>
    <w:rsid w:val="00357DCB"/>
    <w:rsid w:val="00357E76"/>
    <w:rsid w:val="00360149"/>
    <w:rsid w:val="00360296"/>
    <w:rsid w:val="00360D88"/>
    <w:rsid w:val="00362BDC"/>
    <w:rsid w:val="00363A91"/>
    <w:rsid w:val="00364220"/>
    <w:rsid w:val="00370C73"/>
    <w:rsid w:val="00370F8F"/>
    <w:rsid w:val="003711B3"/>
    <w:rsid w:val="00372B84"/>
    <w:rsid w:val="00372F46"/>
    <w:rsid w:val="003737F1"/>
    <w:rsid w:val="003758F4"/>
    <w:rsid w:val="00376D4E"/>
    <w:rsid w:val="003803D7"/>
    <w:rsid w:val="00380944"/>
    <w:rsid w:val="00380CAA"/>
    <w:rsid w:val="00383112"/>
    <w:rsid w:val="00383AC3"/>
    <w:rsid w:val="003841BD"/>
    <w:rsid w:val="00386432"/>
    <w:rsid w:val="00390A31"/>
    <w:rsid w:val="0039231C"/>
    <w:rsid w:val="00396F25"/>
    <w:rsid w:val="0039754B"/>
    <w:rsid w:val="0039763A"/>
    <w:rsid w:val="003A5F68"/>
    <w:rsid w:val="003A65EA"/>
    <w:rsid w:val="003A7BAC"/>
    <w:rsid w:val="003B0B57"/>
    <w:rsid w:val="003B25C0"/>
    <w:rsid w:val="003B500F"/>
    <w:rsid w:val="003B7C4B"/>
    <w:rsid w:val="003C10EB"/>
    <w:rsid w:val="003C29E8"/>
    <w:rsid w:val="003C30D4"/>
    <w:rsid w:val="003C6118"/>
    <w:rsid w:val="003C62AC"/>
    <w:rsid w:val="003C62D5"/>
    <w:rsid w:val="003C62E2"/>
    <w:rsid w:val="003D005B"/>
    <w:rsid w:val="003D19B3"/>
    <w:rsid w:val="003D43A4"/>
    <w:rsid w:val="003D472F"/>
    <w:rsid w:val="003D5976"/>
    <w:rsid w:val="003E0E3E"/>
    <w:rsid w:val="003E2B53"/>
    <w:rsid w:val="003E34FB"/>
    <w:rsid w:val="003E3EBF"/>
    <w:rsid w:val="003E5B34"/>
    <w:rsid w:val="003F09F9"/>
    <w:rsid w:val="003F1070"/>
    <w:rsid w:val="003F1816"/>
    <w:rsid w:val="003F3126"/>
    <w:rsid w:val="003F3AFB"/>
    <w:rsid w:val="003F432F"/>
    <w:rsid w:val="003F4A26"/>
    <w:rsid w:val="003F7B91"/>
    <w:rsid w:val="004001CD"/>
    <w:rsid w:val="00400472"/>
    <w:rsid w:val="00400504"/>
    <w:rsid w:val="00402250"/>
    <w:rsid w:val="0040278D"/>
    <w:rsid w:val="004032AD"/>
    <w:rsid w:val="00403CD5"/>
    <w:rsid w:val="0040503F"/>
    <w:rsid w:val="00407135"/>
    <w:rsid w:val="004072BC"/>
    <w:rsid w:val="0040790E"/>
    <w:rsid w:val="0041023B"/>
    <w:rsid w:val="00410A64"/>
    <w:rsid w:val="0041271E"/>
    <w:rsid w:val="004164A6"/>
    <w:rsid w:val="004175DD"/>
    <w:rsid w:val="00426F1E"/>
    <w:rsid w:val="0043327D"/>
    <w:rsid w:val="00437930"/>
    <w:rsid w:val="0044134E"/>
    <w:rsid w:val="004423C3"/>
    <w:rsid w:val="0044437B"/>
    <w:rsid w:val="004449C7"/>
    <w:rsid w:val="004458F8"/>
    <w:rsid w:val="00450527"/>
    <w:rsid w:val="00451022"/>
    <w:rsid w:val="0045269D"/>
    <w:rsid w:val="00455A0F"/>
    <w:rsid w:val="00455B2B"/>
    <w:rsid w:val="004563DD"/>
    <w:rsid w:val="0045690F"/>
    <w:rsid w:val="004570F3"/>
    <w:rsid w:val="00457CB0"/>
    <w:rsid w:val="00457EDB"/>
    <w:rsid w:val="00460D43"/>
    <w:rsid w:val="00461962"/>
    <w:rsid w:val="00461E02"/>
    <w:rsid w:val="00461F35"/>
    <w:rsid w:val="00463C02"/>
    <w:rsid w:val="00467CE0"/>
    <w:rsid w:val="004709EA"/>
    <w:rsid w:val="00471DF0"/>
    <w:rsid w:val="004731D8"/>
    <w:rsid w:val="004734A7"/>
    <w:rsid w:val="004738D5"/>
    <w:rsid w:val="004756AC"/>
    <w:rsid w:val="00475AF6"/>
    <w:rsid w:val="00484D4B"/>
    <w:rsid w:val="004855BA"/>
    <w:rsid w:val="00487277"/>
    <w:rsid w:val="004878DC"/>
    <w:rsid w:val="00487CBA"/>
    <w:rsid w:val="00491434"/>
    <w:rsid w:val="004925E3"/>
    <w:rsid w:val="004931BE"/>
    <w:rsid w:val="00494A74"/>
    <w:rsid w:val="00497B42"/>
    <w:rsid w:val="00497D9C"/>
    <w:rsid w:val="004A2CF3"/>
    <w:rsid w:val="004A3D38"/>
    <w:rsid w:val="004A46AC"/>
    <w:rsid w:val="004A68FB"/>
    <w:rsid w:val="004A79E0"/>
    <w:rsid w:val="004B0253"/>
    <w:rsid w:val="004B43CD"/>
    <w:rsid w:val="004B4545"/>
    <w:rsid w:val="004B6B71"/>
    <w:rsid w:val="004B7075"/>
    <w:rsid w:val="004C2025"/>
    <w:rsid w:val="004C5C55"/>
    <w:rsid w:val="004C5D5D"/>
    <w:rsid w:val="004C6C60"/>
    <w:rsid w:val="004D0447"/>
    <w:rsid w:val="004D0732"/>
    <w:rsid w:val="004D0FA5"/>
    <w:rsid w:val="004D1382"/>
    <w:rsid w:val="004D1563"/>
    <w:rsid w:val="004D2AC2"/>
    <w:rsid w:val="004D2B4C"/>
    <w:rsid w:val="004D4993"/>
    <w:rsid w:val="004D53C6"/>
    <w:rsid w:val="004D5B8E"/>
    <w:rsid w:val="004D6ABC"/>
    <w:rsid w:val="004D74E8"/>
    <w:rsid w:val="004E2E2C"/>
    <w:rsid w:val="004E4163"/>
    <w:rsid w:val="004E4277"/>
    <w:rsid w:val="004E4F4B"/>
    <w:rsid w:val="004F36F3"/>
    <w:rsid w:val="004F5EA7"/>
    <w:rsid w:val="004F721B"/>
    <w:rsid w:val="004F7E4B"/>
    <w:rsid w:val="00502CF3"/>
    <w:rsid w:val="00504DC8"/>
    <w:rsid w:val="00505BE3"/>
    <w:rsid w:val="00510EC1"/>
    <w:rsid w:val="00511E1E"/>
    <w:rsid w:val="00512FFC"/>
    <w:rsid w:val="0051376C"/>
    <w:rsid w:val="005144CB"/>
    <w:rsid w:val="00515A64"/>
    <w:rsid w:val="00516081"/>
    <w:rsid w:val="00521DC1"/>
    <w:rsid w:val="005234AE"/>
    <w:rsid w:val="0052581B"/>
    <w:rsid w:val="00525C40"/>
    <w:rsid w:val="0052739B"/>
    <w:rsid w:val="005307F6"/>
    <w:rsid w:val="0053110A"/>
    <w:rsid w:val="0053252A"/>
    <w:rsid w:val="00532E60"/>
    <w:rsid w:val="0053344A"/>
    <w:rsid w:val="005355D0"/>
    <w:rsid w:val="00535BE6"/>
    <w:rsid w:val="00537042"/>
    <w:rsid w:val="00537F54"/>
    <w:rsid w:val="005419DD"/>
    <w:rsid w:val="00542AEB"/>
    <w:rsid w:val="00542C0A"/>
    <w:rsid w:val="00544A23"/>
    <w:rsid w:val="00544AA8"/>
    <w:rsid w:val="00546A5E"/>
    <w:rsid w:val="00547388"/>
    <w:rsid w:val="005509A3"/>
    <w:rsid w:val="00550E12"/>
    <w:rsid w:val="005512B5"/>
    <w:rsid w:val="005513AD"/>
    <w:rsid w:val="005514BF"/>
    <w:rsid w:val="0055157C"/>
    <w:rsid w:val="00551EE7"/>
    <w:rsid w:val="00552A5B"/>
    <w:rsid w:val="0055565F"/>
    <w:rsid w:val="00555761"/>
    <w:rsid w:val="00557C76"/>
    <w:rsid w:val="00562423"/>
    <w:rsid w:val="00564AA2"/>
    <w:rsid w:val="005667D9"/>
    <w:rsid w:val="00566E16"/>
    <w:rsid w:val="00567AD2"/>
    <w:rsid w:val="00570EE3"/>
    <w:rsid w:val="00571B7B"/>
    <w:rsid w:val="00573B3C"/>
    <w:rsid w:val="0057456D"/>
    <w:rsid w:val="00575E49"/>
    <w:rsid w:val="00575F81"/>
    <w:rsid w:val="005832DB"/>
    <w:rsid w:val="00583894"/>
    <w:rsid w:val="005865A7"/>
    <w:rsid w:val="005869A2"/>
    <w:rsid w:val="00593935"/>
    <w:rsid w:val="00594AA0"/>
    <w:rsid w:val="005956E5"/>
    <w:rsid w:val="00596B31"/>
    <w:rsid w:val="005A06B8"/>
    <w:rsid w:val="005A1BF9"/>
    <w:rsid w:val="005A1E8C"/>
    <w:rsid w:val="005A211B"/>
    <w:rsid w:val="005A2ABC"/>
    <w:rsid w:val="005A2C01"/>
    <w:rsid w:val="005A391B"/>
    <w:rsid w:val="005A7E08"/>
    <w:rsid w:val="005B0369"/>
    <w:rsid w:val="005B17F5"/>
    <w:rsid w:val="005B2E11"/>
    <w:rsid w:val="005B426C"/>
    <w:rsid w:val="005B4A2D"/>
    <w:rsid w:val="005B51CB"/>
    <w:rsid w:val="005B7BDA"/>
    <w:rsid w:val="005C1B32"/>
    <w:rsid w:val="005C3945"/>
    <w:rsid w:val="005C4FA1"/>
    <w:rsid w:val="005C6A01"/>
    <w:rsid w:val="005D110B"/>
    <w:rsid w:val="005D772F"/>
    <w:rsid w:val="005E0612"/>
    <w:rsid w:val="005E17D9"/>
    <w:rsid w:val="005E2572"/>
    <w:rsid w:val="005E4049"/>
    <w:rsid w:val="005E5061"/>
    <w:rsid w:val="005E50C6"/>
    <w:rsid w:val="005E519C"/>
    <w:rsid w:val="005E5A7E"/>
    <w:rsid w:val="005E6A90"/>
    <w:rsid w:val="005E7AD1"/>
    <w:rsid w:val="005F0912"/>
    <w:rsid w:val="005F0C69"/>
    <w:rsid w:val="005F1F88"/>
    <w:rsid w:val="005F24A4"/>
    <w:rsid w:val="005F2ABD"/>
    <w:rsid w:val="005F664B"/>
    <w:rsid w:val="005F6E35"/>
    <w:rsid w:val="005F7C37"/>
    <w:rsid w:val="00605EF6"/>
    <w:rsid w:val="006063C2"/>
    <w:rsid w:val="00606D61"/>
    <w:rsid w:val="00611284"/>
    <w:rsid w:val="00611452"/>
    <w:rsid w:val="0061574F"/>
    <w:rsid w:val="0061728E"/>
    <w:rsid w:val="0062259C"/>
    <w:rsid w:val="00622B4E"/>
    <w:rsid w:val="00623CA5"/>
    <w:rsid w:val="00623E88"/>
    <w:rsid w:val="006244BF"/>
    <w:rsid w:val="00626B80"/>
    <w:rsid w:val="00630468"/>
    <w:rsid w:val="006316BD"/>
    <w:rsid w:val="00631B84"/>
    <w:rsid w:val="00632182"/>
    <w:rsid w:val="00633B0D"/>
    <w:rsid w:val="00633E23"/>
    <w:rsid w:val="00636FA5"/>
    <w:rsid w:val="00637389"/>
    <w:rsid w:val="00637AD0"/>
    <w:rsid w:val="0064058A"/>
    <w:rsid w:val="0064657F"/>
    <w:rsid w:val="0065202C"/>
    <w:rsid w:val="006525E3"/>
    <w:rsid w:val="00652A77"/>
    <w:rsid w:val="00653C35"/>
    <w:rsid w:val="00654DD1"/>
    <w:rsid w:val="00655729"/>
    <w:rsid w:val="00656F1A"/>
    <w:rsid w:val="00661119"/>
    <w:rsid w:val="0066204C"/>
    <w:rsid w:val="00662726"/>
    <w:rsid w:val="0066425D"/>
    <w:rsid w:val="00664754"/>
    <w:rsid w:val="0066479B"/>
    <w:rsid w:val="00665ABF"/>
    <w:rsid w:val="00666131"/>
    <w:rsid w:val="00666EF1"/>
    <w:rsid w:val="006671B1"/>
    <w:rsid w:val="00667394"/>
    <w:rsid w:val="006700CB"/>
    <w:rsid w:val="00670CD0"/>
    <w:rsid w:val="006717A8"/>
    <w:rsid w:val="00672622"/>
    <w:rsid w:val="006729AF"/>
    <w:rsid w:val="00675102"/>
    <w:rsid w:val="006753E6"/>
    <w:rsid w:val="006763E6"/>
    <w:rsid w:val="0068122D"/>
    <w:rsid w:val="00682BE9"/>
    <w:rsid w:val="00690A56"/>
    <w:rsid w:val="00691F55"/>
    <w:rsid w:val="00692BCD"/>
    <w:rsid w:val="00693620"/>
    <w:rsid w:val="00694A92"/>
    <w:rsid w:val="00695CC2"/>
    <w:rsid w:val="006A22ED"/>
    <w:rsid w:val="006A379A"/>
    <w:rsid w:val="006A489F"/>
    <w:rsid w:val="006A580B"/>
    <w:rsid w:val="006B03AF"/>
    <w:rsid w:val="006B0C27"/>
    <w:rsid w:val="006B230E"/>
    <w:rsid w:val="006B275C"/>
    <w:rsid w:val="006B27E0"/>
    <w:rsid w:val="006B7DB7"/>
    <w:rsid w:val="006C16AE"/>
    <w:rsid w:val="006C1A3F"/>
    <w:rsid w:val="006C594C"/>
    <w:rsid w:val="006C7B0E"/>
    <w:rsid w:val="006C7B8C"/>
    <w:rsid w:val="006D0EEC"/>
    <w:rsid w:val="006D122B"/>
    <w:rsid w:val="006D1A8D"/>
    <w:rsid w:val="006D2212"/>
    <w:rsid w:val="006D6BAF"/>
    <w:rsid w:val="006D78E1"/>
    <w:rsid w:val="006E2072"/>
    <w:rsid w:val="006E2772"/>
    <w:rsid w:val="006E331F"/>
    <w:rsid w:val="006E4D87"/>
    <w:rsid w:val="006E4E2A"/>
    <w:rsid w:val="006E6961"/>
    <w:rsid w:val="006E737B"/>
    <w:rsid w:val="006E7F32"/>
    <w:rsid w:val="006F35AA"/>
    <w:rsid w:val="006F4DF4"/>
    <w:rsid w:val="006F4E49"/>
    <w:rsid w:val="00700D63"/>
    <w:rsid w:val="00701157"/>
    <w:rsid w:val="00705285"/>
    <w:rsid w:val="00710C7B"/>
    <w:rsid w:val="00711074"/>
    <w:rsid w:val="0071254D"/>
    <w:rsid w:val="00713BA4"/>
    <w:rsid w:val="00714235"/>
    <w:rsid w:val="00714D35"/>
    <w:rsid w:val="00715187"/>
    <w:rsid w:val="00715D3C"/>
    <w:rsid w:val="007203C0"/>
    <w:rsid w:val="00721031"/>
    <w:rsid w:val="00722DA0"/>
    <w:rsid w:val="00723A5D"/>
    <w:rsid w:val="00727C7F"/>
    <w:rsid w:val="007304D4"/>
    <w:rsid w:val="007308F8"/>
    <w:rsid w:val="0073181C"/>
    <w:rsid w:val="0073378E"/>
    <w:rsid w:val="007346BB"/>
    <w:rsid w:val="0073563C"/>
    <w:rsid w:val="00735655"/>
    <w:rsid w:val="00740ABE"/>
    <w:rsid w:val="007421A9"/>
    <w:rsid w:val="00742C28"/>
    <w:rsid w:val="007461A1"/>
    <w:rsid w:val="00747A1C"/>
    <w:rsid w:val="0075053F"/>
    <w:rsid w:val="00752C39"/>
    <w:rsid w:val="00753F3C"/>
    <w:rsid w:val="007565FB"/>
    <w:rsid w:val="00756B40"/>
    <w:rsid w:val="00756C05"/>
    <w:rsid w:val="00762DD2"/>
    <w:rsid w:val="00772ED5"/>
    <w:rsid w:val="00775DE1"/>
    <w:rsid w:val="00775DF6"/>
    <w:rsid w:val="00776131"/>
    <w:rsid w:val="00776620"/>
    <w:rsid w:val="0078082D"/>
    <w:rsid w:val="00781907"/>
    <w:rsid w:val="0078246F"/>
    <w:rsid w:val="007827EE"/>
    <w:rsid w:val="00784A54"/>
    <w:rsid w:val="007A1E5A"/>
    <w:rsid w:val="007A2594"/>
    <w:rsid w:val="007A28D3"/>
    <w:rsid w:val="007A3A8D"/>
    <w:rsid w:val="007A3E90"/>
    <w:rsid w:val="007A6B89"/>
    <w:rsid w:val="007A7B9B"/>
    <w:rsid w:val="007A7F75"/>
    <w:rsid w:val="007B01E1"/>
    <w:rsid w:val="007B0407"/>
    <w:rsid w:val="007B08DF"/>
    <w:rsid w:val="007B21A5"/>
    <w:rsid w:val="007B3606"/>
    <w:rsid w:val="007B3E5A"/>
    <w:rsid w:val="007B3F03"/>
    <w:rsid w:val="007B413D"/>
    <w:rsid w:val="007B47B3"/>
    <w:rsid w:val="007B6920"/>
    <w:rsid w:val="007B7440"/>
    <w:rsid w:val="007C01AE"/>
    <w:rsid w:val="007C2777"/>
    <w:rsid w:val="007C53D2"/>
    <w:rsid w:val="007C6CA7"/>
    <w:rsid w:val="007C77B5"/>
    <w:rsid w:val="007D00DA"/>
    <w:rsid w:val="007D0829"/>
    <w:rsid w:val="007D1347"/>
    <w:rsid w:val="007D2B5C"/>
    <w:rsid w:val="007D48C0"/>
    <w:rsid w:val="007D696E"/>
    <w:rsid w:val="007E029E"/>
    <w:rsid w:val="007E062A"/>
    <w:rsid w:val="007E1A53"/>
    <w:rsid w:val="007E32FF"/>
    <w:rsid w:val="007E3D5A"/>
    <w:rsid w:val="007F1AC6"/>
    <w:rsid w:val="007F1BD2"/>
    <w:rsid w:val="007F20AA"/>
    <w:rsid w:val="007F2579"/>
    <w:rsid w:val="007F5177"/>
    <w:rsid w:val="007F5783"/>
    <w:rsid w:val="007F797C"/>
    <w:rsid w:val="007F7A17"/>
    <w:rsid w:val="00803170"/>
    <w:rsid w:val="008039B5"/>
    <w:rsid w:val="008071B2"/>
    <w:rsid w:val="00807F99"/>
    <w:rsid w:val="00813253"/>
    <w:rsid w:val="00814E0F"/>
    <w:rsid w:val="008155FE"/>
    <w:rsid w:val="00815959"/>
    <w:rsid w:val="00820469"/>
    <w:rsid w:val="0082397B"/>
    <w:rsid w:val="00825094"/>
    <w:rsid w:val="0082539C"/>
    <w:rsid w:val="00825A91"/>
    <w:rsid w:val="00826AF7"/>
    <w:rsid w:val="00830EB0"/>
    <w:rsid w:val="008310D7"/>
    <w:rsid w:val="00832878"/>
    <w:rsid w:val="00832A2F"/>
    <w:rsid w:val="00836A19"/>
    <w:rsid w:val="0084178D"/>
    <w:rsid w:val="00843FE2"/>
    <w:rsid w:val="008534B5"/>
    <w:rsid w:val="008554C4"/>
    <w:rsid w:val="00856597"/>
    <w:rsid w:val="0085703F"/>
    <w:rsid w:val="00860132"/>
    <w:rsid w:val="00860592"/>
    <w:rsid w:val="00861338"/>
    <w:rsid w:val="008613D1"/>
    <w:rsid w:val="00861459"/>
    <w:rsid w:val="0086169E"/>
    <w:rsid w:val="00861E76"/>
    <w:rsid w:val="00862E2D"/>
    <w:rsid w:val="00863018"/>
    <w:rsid w:val="00865335"/>
    <w:rsid w:val="00865742"/>
    <w:rsid w:val="00866387"/>
    <w:rsid w:val="00866ADF"/>
    <w:rsid w:val="00866BB7"/>
    <w:rsid w:val="00867054"/>
    <w:rsid w:val="00872BAC"/>
    <w:rsid w:val="00872C2E"/>
    <w:rsid w:val="0087796E"/>
    <w:rsid w:val="00877BAB"/>
    <w:rsid w:val="0088044D"/>
    <w:rsid w:val="00880D96"/>
    <w:rsid w:val="00886C01"/>
    <w:rsid w:val="0089009F"/>
    <w:rsid w:val="00891218"/>
    <w:rsid w:val="00892442"/>
    <w:rsid w:val="00892591"/>
    <w:rsid w:val="00893141"/>
    <w:rsid w:val="0089386E"/>
    <w:rsid w:val="00894A09"/>
    <w:rsid w:val="0089541B"/>
    <w:rsid w:val="00895FF2"/>
    <w:rsid w:val="008A07C9"/>
    <w:rsid w:val="008A0FC4"/>
    <w:rsid w:val="008A10E5"/>
    <w:rsid w:val="008A14EF"/>
    <w:rsid w:val="008A1A6B"/>
    <w:rsid w:val="008A3508"/>
    <w:rsid w:val="008A4C85"/>
    <w:rsid w:val="008A510F"/>
    <w:rsid w:val="008B01ED"/>
    <w:rsid w:val="008B4F15"/>
    <w:rsid w:val="008B547D"/>
    <w:rsid w:val="008C159A"/>
    <w:rsid w:val="008C25C2"/>
    <w:rsid w:val="008C3EFF"/>
    <w:rsid w:val="008C7F28"/>
    <w:rsid w:val="008D114B"/>
    <w:rsid w:val="008D176A"/>
    <w:rsid w:val="008D1946"/>
    <w:rsid w:val="008D3FA3"/>
    <w:rsid w:val="008D57E7"/>
    <w:rsid w:val="008D7066"/>
    <w:rsid w:val="008E0FB8"/>
    <w:rsid w:val="008E569B"/>
    <w:rsid w:val="008E72F3"/>
    <w:rsid w:val="008F2BFC"/>
    <w:rsid w:val="008F3B40"/>
    <w:rsid w:val="008F3F12"/>
    <w:rsid w:val="008F684F"/>
    <w:rsid w:val="008F6CDD"/>
    <w:rsid w:val="008F7153"/>
    <w:rsid w:val="008F7F5B"/>
    <w:rsid w:val="00900B46"/>
    <w:rsid w:val="0090228D"/>
    <w:rsid w:val="009036B2"/>
    <w:rsid w:val="00903B18"/>
    <w:rsid w:val="00904345"/>
    <w:rsid w:val="009063CB"/>
    <w:rsid w:val="00907247"/>
    <w:rsid w:val="00907A90"/>
    <w:rsid w:val="0091011D"/>
    <w:rsid w:val="00910374"/>
    <w:rsid w:val="009116B4"/>
    <w:rsid w:val="00912BBE"/>
    <w:rsid w:val="0091305F"/>
    <w:rsid w:val="00913C19"/>
    <w:rsid w:val="00914685"/>
    <w:rsid w:val="00914A68"/>
    <w:rsid w:val="00916623"/>
    <w:rsid w:val="00916B8D"/>
    <w:rsid w:val="00916E1D"/>
    <w:rsid w:val="00916FAF"/>
    <w:rsid w:val="0091789F"/>
    <w:rsid w:val="00921E32"/>
    <w:rsid w:val="00922C4F"/>
    <w:rsid w:val="00924C5A"/>
    <w:rsid w:val="00926942"/>
    <w:rsid w:val="00926F12"/>
    <w:rsid w:val="00927752"/>
    <w:rsid w:val="0092791B"/>
    <w:rsid w:val="00932A4D"/>
    <w:rsid w:val="0093313A"/>
    <w:rsid w:val="00933924"/>
    <w:rsid w:val="009432A5"/>
    <w:rsid w:val="00943CBB"/>
    <w:rsid w:val="0094561D"/>
    <w:rsid w:val="0094595B"/>
    <w:rsid w:val="00946803"/>
    <w:rsid w:val="00947F15"/>
    <w:rsid w:val="00947FF2"/>
    <w:rsid w:val="00950C5B"/>
    <w:rsid w:val="00961004"/>
    <w:rsid w:val="00961A51"/>
    <w:rsid w:val="00961D56"/>
    <w:rsid w:val="00961E5F"/>
    <w:rsid w:val="009620E1"/>
    <w:rsid w:val="009641A0"/>
    <w:rsid w:val="009655D1"/>
    <w:rsid w:val="00965DFE"/>
    <w:rsid w:val="00967DB2"/>
    <w:rsid w:val="00970E91"/>
    <w:rsid w:val="009746B8"/>
    <w:rsid w:val="00975212"/>
    <w:rsid w:val="009753F9"/>
    <w:rsid w:val="00975BCE"/>
    <w:rsid w:val="009802FF"/>
    <w:rsid w:val="00981DE9"/>
    <w:rsid w:val="00981F68"/>
    <w:rsid w:val="0098298E"/>
    <w:rsid w:val="0098515B"/>
    <w:rsid w:val="00985924"/>
    <w:rsid w:val="00991D92"/>
    <w:rsid w:val="00994202"/>
    <w:rsid w:val="009A1234"/>
    <w:rsid w:val="009A26BA"/>
    <w:rsid w:val="009A3CC2"/>
    <w:rsid w:val="009B035B"/>
    <w:rsid w:val="009B097C"/>
    <w:rsid w:val="009B34CA"/>
    <w:rsid w:val="009B5B8B"/>
    <w:rsid w:val="009B5FA7"/>
    <w:rsid w:val="009B60DC"/>
    <w:rsid w:val="009B672A"/>
    <w:rsid w:val="009B773F"/>
    <w:rsid w:val="009B7997"/>
    <w:rsid w:val="009B7D75"/>
    <w:rsid w:val="009C0426"/>
    <w:rsid w:val="009C0700"/>
    <w:rsid w:val="009C074F"/>
    <w:rsid w:val="009C1ED5"/>
    <w:rsid w:val="009C27F9"/>
    <w:rsid w:val="009C2923"/>
    <w:rsid w:val="009C35A2"/>
    <w:rsid w:val="009C3BA1"/>
    <w:rsid w:val="009D1A03"/>
    <w:rsid w:val="009D29C7"/>
    <w:rsid w:val="009D6461"/>
    <w:rsid w:val="009E2522"/>
    <w:rsid w:val="009E3EF3"/>
    <w:rsid w:val="009E61D3"/>
    <w:rsid w:val="009E696B"/>
    <w:rsid w:val="009F191A"/>
    <w:rsid w:val="009F1D02"/>
    <w:rsid w:val="009F43FD"/>
    <w:rsid w:val="009F5925"/>
    <w:rsid w:val="009F6591"/>
    <w:rsid w:val="009F7BA6"/>
    <w:rsid w:val="00A00863"/>
    <w:rsid w:val="00A00B93"/>
    <w:rsid w:val="00A02899"/>
    <w:rsid w:val="00A07CFC"/>
    <w:rsid w:val="00A12F2E"/>
    <w:rsid w:val="00A1487A"/>
    <w:rsid w:val="00A14B7D"/>
    <w:rsid w:val="00A15F7D"/>
    <w:rsid w:val="00A16B64"/>
    <w:rsid w:val="00A1743C"/>
    <w:rsid w:val="00A20694"/>
    <w:rsid w:val="00A2371E"/>
    <w:rsid w:val="00A2442F"/>
    <w:rsid w:val="00A24D8E"/>
    <w:rsid w:val="00A27F8C"/>
    <w:rsid w:val="00A30B85"/>
    <w:rsid w:val="00A31475"/>
    <w:rsid w:val="00A31730"/>
    <w:rsid w:val="00A35994"/>
    <w:rsid w:val="00A3608F"/>
    <w:rsid w:val="00A36ABA"/>
    <w:rsid w:val="00A374B1"/>
    <w:rsid w:val="00A37FB0"/>
    <w:rsid w:val="00A40875"/>
    <w:rsid w:val="00A432A8"/>
    <w:rsid w:val="00A44A9D"/>
    <w:rsid w:val="00A478EC"/>
    <w:rsid w:val="00A54862"/>
    <w:rsid w:val="00A57EE9"/>
    <w:rsid w:val="00A6062F"/>
    <w:rsid w:val="00A60D05"/>
    <w:rsid w:val="00A63665"/>
    <w:rsid w:val="00A64E27"/>
    <w:rsid w:val="00A678A6"/>
    <w:rsid w:val="00A74CF0"/>
    <w:rsid w:val="00A75446"/>
    <w:rsid w:val="00A7759A"/>
    <w:rsid w:val="00A77682"/>
    <w:rsid w:val="00A82F89"/>
    <w:rsid w:val="00A83D4C"/>
    <w:rsid w:val="00A83F94"/>
    <w:rsid w:val="00A84EBB"/>
    <w:rsid w:val="00A85607"/>
    <w:rsid w:val="00A86EB5"/>
    <w:rsid w:val="00A90080"/>
    <w:rsid w:val="00A900E2"/>
    <w:rsid w:val="00A9168E"/>
    <w:rsid w:val="00A91D34"/>
    <w:rsid w:val="00A929F8"/>
    <w:rsid w:val="00A97D80"/>
    <w:rsid w:val="00AA27C4"/>
    <w:rsid w:val="00AA52FA"/>
    <w:rsid w:val="00AA589C"/>
    <w:rsid w:val="00AA593B"/>
    <w:rsid w:val="00AA652A"/>
    <w:rsid w:val="00AA7A1B"/>
    <w:rsid w:val="00AB07A3"/>
    <w:rsid w:val="00AB2AB5"/>
    <w:rsid w:val="00AB3D56"/>
    <w:rsid w:val="00AB4C10"/>
    <w:rsid w:val="00AB71AB"/>
    <w:rsid w:val="00AB7630"/>
    <w:rsid w:val="00AC153E"/>
    <w:rsid w:val="00AC48F5"/>
    <w:rsid w:val="00AC680D"/>
    <w:rsid w:val="00AD0424"/>
    <w:rsid w:val="00AD356D"/>
    <w:rsid w:val="00AD45E5"/>
    <w:rsid w:val="00AD6EED"/>
    <w:rsid w:val="00AE1FC7"/>
    <w:rsid w:val="00AE3180"/>
    <w:rsid w:val="00AE5917"/>
    <w:rsid w:val="00AE5A2E"/>
    <w:rsid w:val="00AF00D4"/>
    <w:rsid w:val="00AF1A00"/>
    <w:rsid w:val="00AF235F"/>
    <w:rsid w:val="00AF2E93"/>
    <w:rsid w:val="00AF319B"/>
    <w:rsid w:val="00AF43D8"/>
    <w:rsid w:val="00AF49E3"/>
    <w:rsid w:val="00AF4A67"/>
    <w:rsid w:val="00AF692F"/>
    <w:rsid w:val="00B0330A"/>
    <w:rsid w:val="00B04A50"/>
    <w:rsid w:val="00B053A5"/>
    <w:rsid w:val="00B057B9"/>
    <w:rsid w:val="00B07261"/>
    <w:rsid w:val="00B10F31"/>
    <w:rsid w:val="00B110BE"/>
    <w:rsid w:val="00B1132B"/>
    <w:rsid w:val="00B12948"/>
    <w:rsid w:val="00B12D72"/>
    <w:rsid w:val="00B13514"/>
    <w:rsid w:val="00B137A8"/>
    <w:rsid w:val="00B14728"/>
    <w:rsid w:val="00B15011"/>
    <w:rsid w:val="00B15DC3"/>
    <w:rsid w:val="00B167B9"/>
    <w:rsid w:val="00B179A7"/>
    <w:rsid w:val="00B17D85"/>
    <w:rsid w:val="00B223F0"/>
    <w:rsid w:val="00B231A3"/>
    <w:rsid w:val="00B25D34"/>
    <w:rsid w:val="00B269DA"/>
    <w:rsid w:val="00B26AA0"/>
    <w:rsid w:val="00B30B19"/>
    <w:rsid w:val="00B35B92"/>
    <w:rsid w:val="00B375FB"/>
    <w:rsid w:val="00B40C70"/>
    <w:rsid w:val="00B4107D"/>
    <w:rsid w:val="00B421DB"/>
    <w:rsid w:val="00B42F11"/>
    <w:rsid w:val="00B44273"/>
    <w:rsid w:val="00B467F9"/>
    <w:rsid w:val="00B5052D"/>
    <w:rsid w:val="00B52378"/>
    <w:rsid w:val="00B525AA"/>
    <w:rsid w:val="00B5288D"/>
    <w:rsid w:val="00B5455E"/>
    <w:rsid w:val="00B56E95"/>
    <w:rsid w:val="00B61B7D"/>
    <w:rsid w:val="00B63C3F"/>
    <w:rsid w:val="00B670C6"/>
    <w:rsid w:val="00B670F3"/>
    <w:rsid w:val="00B671D6"/>
    <w:rsid w:val="00B70691"/>
    <w:rsid w:val="00B7094B"/>
    <w:rsid w:val="00B7123C"/>
    <w:rsid w:val="00B7171E"/>
    <w:rsid w:val="00B724F9"/>
    <w:rsid w:val="00B72F6A"/>
    <w:rsid w:val="00B7321C"/>
    <w:rsid w:val="00B739B3"/>
    <w:rsid w:val="00B74A20"/>
    <w:rsid w:val="00B75447"/>
    <w:rsid w:val="00B81150"/>
    <w:rsid w:val="00B8199D"/>
    <w:rsid w:val="00B81ECF"/>
    <w:rsid w:val="00B840ED"/>
    <w:rsid w:val="00B84405"/>
    <w:rsid w:val="00B90720"/>
    <w:rsid w:val="00B91DBE"/>
    <w:rsid w:val="00B96DA2"/>
    <w:rsid w:val="00BA241A"/>
    <w:rsid w:val="00BA43FF"/>
    <w:rsid w:val="00BA6A90"/>
    <w:rsid w:val="00BA6DF9"/>
    <w:rsid w:val="00BA753E"/>
    <w:rsid w:val="00BB1DC9"/>
    <w:rsid w:val="00BB231A"/>
    <w:rsid w:val="00BB42E1"/>
    <w:rsid w:val="00BB5128"/>
    <w:rsid w:val="00BB700A"/>
    <w:rsid w:val="00BB70D6"/>
    <w:rsid w:val="00BC49A9"/>
    <w:rsid w:val="00BD18B4"/>
    <w:rsid w:val="00BD341C"/>
    <w:rsid w:val="00BD60C7"/>
    <w:rsid w:val="00BE02C8"/>
    <w:rsid w:val="00BE1A8E"/>
    <w:rsid w:val="00BE31DF"/>
    <w:rsid w:val="00BE3E25"/>
    <w:rsid w:val="00BE46C9"/>
    <w:rsid w:val="00BE73D0"/>
    <w:rsid w:val="00BE7EBD"/>
    <w:rsid w:val="00BF098C"/>
    <w:rsid w:val="00BF38AD"/>
    <w:rsid w:val="00BF3EA0"/>
    <w:rsid w:val="00BF41BA"/>
    <w:rsid w:val="00BF633C"/>
    <w:rsid w:val="00C00262"/>
    <w:rsid w:val="00C0120D"/>
    <w:rsid w:val="00C017FF"/>
    <w:rsid w:val="00C01F0A"/>
    <w:rsid w:val="00C02A8E"/>
    <w:rsid w:val="00C062B4"/>
    <w:rsid w:val="00C06C51"/>
    <w:rsid w:val="00C0747E"/>
    <w:rsid w:val="00C1100F"/>
    <w:rsid w:val="00C12F1A"/>
    <w:rsid w:val="00C14D80"/>
    <w:rsid w:val="00C163D5"/>
    <w:rsid w:val="00C17856"/>
    <w:rsid w:val="00C21034"/>
    <w:rsid w:val="00C24D49"/>
    <w:rsid w:val="00C24E2D"/>
    <w:rsid w:val="00C25DA7"/>
    <w:rsid w:val="00C31AD8"/>
    <w:rsid w:val="00C357F1"/>
    <w:rsid w:val="00C36C8A"/>
    <w:rsid w:val="00C40378"/>
    <w:rsid w:val="00C43CA3"/>
    <w:rsid w:val="00C44EE6"/>
    <w:rsid w:val="00C4759B"/>
    <w:rsid w:val="00C47CAC"/>
    <w:rsid w:val="00C52F43"/>
    <w:rsid w:val="00C54549"/>
    <w:rsid w:val="00C55238"/>
    <w:rsid w:val="00C56EBE"/>
    <w:rsid w:val="00C60696"/>
    <w:rsid w:val="00C61956"/>
    <w:rsid w:val="00C62ACF"/>
    <w:rsid w:val="00C64268"/>
    <w:rsid w:val="00C642A8"/>
    <w:rsid w:val="00C64533"/>
    <w:rsid w:val="00C64795"/>
    <w:rsid w:val="00C6568E"/>
    <w:rsid w:val="00C67E92"/>
    <w:rsid w:val="00C70D5B"/>
    <w:rsid w:val="00C70F7D"/>
    <w:rsid w:val="00C71D48"/>
    <w:rsid w:val="00C8121A"/>
    <w:rsid w:val="00C8392C"/>
    <w:rsid w:val="00C84F00"/>
    <w:rsid w:val="00C851AC"/>
    <w:rsid w:val="00C92F11"/>
    <w:rsid w:val="00C93657"/>
    <w:rsid w:val="00C95319"/>
    <w:rsid w:val="00C955CE"/>
    <w:rsid w:val="00CA1445"/>
    <w:rsid w:val="00CA5897"/>
    <w:rsid w:val="00CA67F9"/>
    <w:rsid w:val="00CA7199"/>
    <w:rsid w:val="00CA74F3"/>
    <w:rsid w:val="00CB2158"/>
    <w:rsid w:val="00CB4289"/>
    <w:rsid w:val="00CB4F32"/>
    <w:rsid w:val="00CB7837"/>
    <w:rsid w:val="00CC1438"/>
    <w:rsid w:val="00CC1DB3"/>
    <w:rsid w:val="00CC661F"/>
    <w:rsid w:val="00CC70C3"/>
    <w:rsid w:val="00CD18B4"/>
    <w:rsid w:val="00CD2613"/>
    <w:rsid w:val="00CD2F01"/>
    <w:rsid w:val="00CD2F38"/>
    <w:rsid w:val="00CD3120"/>
    <w:rsid w:val="00CD5653"/>
    <w:rsid w:val="00CD6200"/>
    <w:rsid w:val="00CE1CE5"/>
    <w:rsid w:val="00CE35AC"/>
    <w:rsid w:val="00CE7BB4"/>
    <w:rsid w:val="00CF157E"/>
    <w:rsid w:val="00CF1CA9"/>
    <w:rsid w:val="00CF23CB"/>
    <w:rsid w:val="00CF5760"/>
    <w:rsid w:val="00CF73F4"/>
    <w:rsid w:val="00D007EF"/>
    <w:rsid w:val="00D01ADB"/>
    <w:rsid w:val="00D032FE"/>
    <w:rsid w:val="00D03420"/>
    <w:rsid w:val="00D05973"/>
    <w:rsid w:val="00D1309C"/>
    <w:rsid w:val="00D147A7"/>
    <w:rsid w:val="00D170C9"/>
    <w:rsid w:val="00D177D9"/>
    <w:rsid w:val="00D2313F"/>
    <w:rsid w:val="00D2326F"/>
    <w:rsid w:val="00D250A4"/>
    <w:rsid w:val="00D265B4"/>
    <w:rsid w:val="00D2679B"/>
    <w:rsid w:val="00D30F05"/>
    <w:rsid w:val="00D31D84"/>
    <w:rsid w:val="00D31FEE"/>
    <w:rsid w:val="00D32310"/>
    <w:rsid w:val="00D32B68"/>
    <w:rsid w:val="00D3322B"/>
    <w:rsid w:val="00D34C33"/>
    <w:rsid w:val="00D370F0"/>
    <w:rsid w:val="00D401A9"/>
    <w:rsid w:val="00D40954"/>
    <w:rsid w:val="00D40BB1"/>
    <w:rsid w:val="00D4301A"/>
    <w:rsid w:val="00D456BA"/>
    <w:rsid w:val="00D45967"/>
    <w:rsid w:val="00D475B9"/>
    <w:rsid w:val="00D52AF3"/>
    <w:rsid w:val="00D62070"/>
    <w:rsid w:val="00D63224"/>
    <w:rsid w:val="00D65DA8"/>
    <w:rsid w:val="00D66FA9"/>
    <w:rsid w:val="00D671C0"/>
    <w:rsid w:val="00D67A68"/>
    <w:rsid w:val="00D71021"/>
    <w:rsid w:val="00D729AA"/>
    <w:rsid w:val="00D732F0"/>
    <w:rsid w:val="00D823A1"/>
    <w:rsid w:val="00D8284C"/>
    <w:rsid w:val="00D8366D"/>
    <w:rsid w:val="00D85931"/>
    <w:rsid w:val="00D85D8C"/>
    <w:rsid w:val="00D93077"/>
    <w:rsid w:val="00D93330"/>
    <w:rsid w:val="00D934FA"/>
    <w:rsid w:val="00D94003"/>
    <w:rsid w:val="00D94EE0"/>
    <w:rsid w:val="00D95E08"/>
    <w:rsid w:val="00DA1214"/>
    <w:rsid w:val="00DA3881"/>
    <w:rsid w:val="00DA75A5"/>
    <w:rsid w:val="00DB1207"/>
    <w:rsid w:val="00DB3075"/>
    <w:rsid w:val="00DB3B3D"/>
    <w:rsid w:val="00DB4363"/>
    <w:rsid w:val="00DB4880"/>
    <w:rsid w:val="00DB5532"/>
    <w:rsid w:val="00DC138B"/>
    <w:rsid w:val="00DC2A1B"/>
    <w:rsid w:val="00DC4BA2"/>
    <w:rsid w:val="00DC64C3"/>
    <w:rsid w:val="00DC7E9B"/>
    <w:rsid w:val="00DD01B9"/>
    <w:rsid w:val="00DD0E68"/>
    <w:rsid w:val="00DD0FAD"/>
    <w:rsid w:val="00DD3065"/>
    <w:rsid w:val="00DD555A"/>
    <w:rsid w:val="00DD5EFF"/>
    <w:rsid w:val="00DE2288"/>
    <w:rsid w:val="00DE3EE8"/>
    <w:rsid w:val="00DE5EBB"/>
    <w:rsid w:val="00DE6910"/>
    <w:rsid w:val="00DE76B3"/>
    <w:rsid w:val="00DE7A4E"/>
    <w:rsid w:val="00DF13D5"/>
    <w:rsid w:val="00DF3BEE"/>
    <w:rsid w:val="00DF6A09"/>
    <w:rsid w:val="00DF77B0"/>
    <w:rsid w:val="00DF7E69"/>
    <w:rsid w:val="00E017B8"/>
    <w:rsid w:val="00E059E8"/>
    <w:rsid w:val="00E06AA2"/>
    <w:rsid w:val="00E1103B"/>
    <w:rsid w:val="00E156D6"/>
    <w:rsid w:val="00E159F3"/>
    <w:rsid w:val="00E16EBA"/>
    <w:rsid w:val="00E21029"/>
    <w:rsid w:val="00E2111C"/>
    <w:rsid w:val="00E22724"/>
    <w:rsid w:val="00E238F1"/>
    <w:rsid w:val="00E264FE"/>
    <w:rsid w:val="00E31DB1"/>
    <w:rsid w:val="00E3403D"/>
    <w:rsid w:val="00E36D94"/>
    <w:rsid w:val="00E42629"/>
    <w:rsid w:val="00E429C8"/>
    <w:rsid w:val="00E431F7"/>
    <w:rsid w:val="00E43EF8"/>
    <w:rsid w:val="00E4475A"/>
    <w:rsid w:val="00E4506A"/>
    <w:rsid w:val="00E46F67"/>
    <w:rsid w:val="00E47D97"/>
    <w:rsid w:val="00E50571"/>
    <w:rsid w:val="00E50708"/>
    <w:rsid w:val="00E510B7"/>
    <w:rsid w:val="00E532DE"/>
    <w:rsid w:val="00E5344B"/>
    <w:rsid w:val="00E538E2"/>
    <w:rsid w:val="00E548C6"/>
    <w:rsid w:val="00E57B05"/>
    <w:rsid w:val="00E604A6"/>
    <w:rsid w:val="00E63797"/>
    <w:rsid w:val="00E63F27"/>
    <w:rsid w:val="00E641EC"/>
    <w:rsid w:val="00E64C8D"/>
    <w:rsid w:val="00E64F5E"/>
    <w:rsid w:val="00E71D4A"/>
    <w:rsid w:val="00E7501F"/>
    <w:rsid w:val="00E772A1"/>
    <w:rsid w:val="00E7791B"/>
    <w:rsid w:val="00E853AC"/>
    <w:rsid w:val="00E85D11"/>
    <w:rsid w:val="00E87AE6"/>
    <w:rsid w:val="00E91245"/>
    <w:rsid w:val="00E9159E"/>
    <w:rsid w:val="00E91776"/>
    <w:rsid w:val="00E92150"/>
    <w:rsid w:val="00E93BD2"/>
    <w:rsid w:val="00E93F8E"/>
    <w:rsid w:val="00E9488E"/>
    <w:rsid w:val="00E95261"/>
    <w:rsid w:val="00E96DF5"/>
    <w:rsid w:val="00EA09EE"/>
    <w:rsid w:val="00EA242D"/>
    <w:rsid w:val="00EA538B"/>
    <w:rsid w:val="00EA6535"/>
    <w:rsid w:val="00EA6ECB"/>
    <w:rsid w:val="00EB1DA8"/>
    <w:rsid w:val="00EB1E1B"/>
    <w:rsid w:val="00EB2C51"/>
    <w:rsid w:val="00EB3072"/>
    <w:rsid w:val="00EB44F6"/>
    <w:rsid w:val="00EB67EE"/>
    <w:rsid w:val="00EC0691"/>
    <w:rsid w:val="00EC34D9"/>
    <w:rsid w:val="00EC3D3B"/>
    <w:rsid w:val="00EC533A"/>
    <w:rsid w:val="00EC5DD5"/>
    <w:rsid w:val="00EC7626"/>
    <w:rsid w:val="00EC7691"/>
    <w:rsid w:val="00EC7DF4"/>
    <w:rsid w:val="00ED0427"/>
    <w:rsid w:val="00ED0748"/>
    <w:rsid w:val="00ED20B0"/>
    <w:rsid w:val="00ED2947"/>
    <w:rsid w:val="00ED2DD0"/>
    <w:rsid w:val="00ED4E5B"/>
    <w:rsid w:val="00ED53D4"/>
    <w:rsid w:val="00ED6A94"/>
    <w:rsid w:val="00ED6B6D"/>
    <w:rsid w:val="00ED704D"/>
    <w:rsid w:val="00EE0BAC"/>
    <w:rsid w:val="00EE1138"/>
    <w:rsid w:val="00EE2047"/>
    <w:rsid w:val="00EE4468"/>
    <w:rsid w:val="00EF0382"/>
    <w:rsid w:val="00EF14F4"/>
    <w:rsid w:val="00EF2519"/>
    <w:rsid w:val="00EF2E8B"/>
    <w:rsid w:val="00EF3BE8"/>
    <w:rsid w:val="00EF42FA"/>
    <w:rsid w:val="00EF5768"/>
    <w:rsid w:val="00EF596D"/>
    <w:rsid w:val="00EF6919"/>
    <w:rsid w:val="00EF6DFD"/>
    <w:rsid w:val="00EF7E44"/>
    <w:rsid w:val="00F00453"/>
    <w:rsid w:val="00F02746"/>
    <w:rsid w:val="00F03492"/>
    <w:rsid w:val="00F04A39"/>
    <w:rsid w:val="00F04C2E"/>
    <w:rsid w:val="00F058D5"/>
    <w:rsid w:val="00F107FE"/>
    <w:rsid w:val="00F13602"/>
    <w:rsid w:val="00F1442A"/>
    <w:rsid w:val="00F14B0A"/>
    <w:rsid w:val="00F20257"/>
    <w:rsid w:val="00F24468"/>
    <w:rsid w:val="00F24799"/>
    <w:rsid w:val="00F26992"/>
    <w:rsid w:val="00F26D20"/>
    <w:rsid w:val="00F325F4"/>
    <w:rsid w:val="00F35D11"/>
    <w:rsid w:val="00F372C1"/>
    <w:rsid w:val="00F379E2"/>
    <w:rsid w:val="00F4546A"/>
    <w:rsid w:val="00F463C0"/>
    <w:rsid w:val="00F50B09"/>
    <w:rsid w:val="00F54A49"/>
    <w:rsid w:val="00F55930"/>
    <w:rsid w:val="00F57C68"/>
    <w:rsid w:val="00F57E01"/>
    <w:rsid w:val="00F61821"/>
    <w:rsid w:val="00F622E0"/>
    <w:rsid w:val="00F6235B"/>
    <w:rsid w:val="00F62360"/>
    <w:rsid w:val="00F62462"/>
    <w:rsid w:val="00F62E75"/>
    <w:rsid w:val="00F633EA"/>
    <w:rsid w:val="00F65718"/>
    <w:rsid w:val="00F65D47"/>
    <w:rsid w:val="00F65FD6"/>
    <w:rsid w:val="00F669CC"/>
    <w:rsid w:val="00F70B23"/>
    <w:rsid w:val="00F72002"/>
    <w:rsid w:val="00F74208"/>
    <w:rsid w:val="00F76551"/>
    <w:rsid w:val="00F862FB"/>
    <w:rsid w:val="00F90B1F"/>
    <w:rsid w:val="00F916AC"/>
    <w:rsid w:val="00F92B99"/>
    <w:rsid w:val="00F95FD0"/>
    <w:rsid w:val="00F96078"/>
    <w:rsid w:val="00F964C4"/>
    <w:rsid w:val="00F9678A"/>
    <w:rsid w:val="00F9788B"/>
    <w:rsid w:val="00F97C1D"/>
    <w:rsid w:val="00FA32BB"/>
    <w:rsid w:val="00FA5D70"/>
    <w:rsid w:val="00FA7C1C"/>
    <w:rsid w:val="00FB0AC0"/>
    <w:rsid w:val="00FB11F0"/>
    <w:rsid w:val="00FB6448"/>
    <w:rsid w:val="00FB6599"/>
    <w:rsid w:val="00FC3163"/>
    <w:rsid w:val="00FC327A"/>
    <w:rsid w:val="00FC34CF"/>
    <w:rsid w:val="00FC35BD"/>
    <w:rsid w:val="00FC384D"/>
    <w:rsid w:val="00FC4BEE"/>
    <w:rsid w:val="00FC70BE"/>
    <w:rsid w:val="00FD0100"/>
    <w:rsid w:val="00FD2333"/>
    <w:rsid w:val="00FD2FA3"/>
    <w:rsid w:val="00FD4C60"/>
    <w:rsid w:val="00FD5C88"/>
    <w:rsid w:val="00FD6616"/>
    <w:rsid w:val="00FD6FAD"/>
    <w:rsid w:val="00FE0DCB"/>
    <w:rsid w:val="00FE5632"/>
    <w:rsid w:val="00FF206E"/>
    <w:rsid w:val="00FF3F6E"/>
    <w:rsid w:val="00FF475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65446"/>
  <w15:docId w15:val="{B474F68F-0399-4491-9DB5-8646918E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2D5"/>
    <w:pPr>
      <w:spacing w:before="120" w:after="120"/>
    </w:pPr>
    <w:rPr>
      <w:rFonts w:cstheme="minorBidi"/>
      <w:szCs w:val="22"/>
    </w:rPr>
  </w:style>
  <w:style w:type="paragraph" w:styleId="Heading1">
    <w:name w:val="heading 1"/>
    <w:basedOn w:val="Normal"/>
    <w:next w:val="Normal"/>
    <w:link w:val="Heading1Char"/>
    <w:uiPriority w:val="9"/>
    <w:qFormat/>
    <w:rsid w:val="003C62D5"/>
    <w:pPr>
      <w:numPr>
        <w:numId w:val="2"/>
      </w:numPr>
      <w:outlineLvl w:val="0"/>
    </w:pPr>
    <w:rPr>
      <w:b/>
    </w:rPr>
  </w:style>
  <w:style w:type="paragraph" w:styleId="Heading3">
    <w:name w:val="heading 3"/>
    <w:basedOn w:val="Normal"/>
    <w:next w:val="Normal"/>
    <w:link w:val="Heading3Char"/>
    <w:uiPriority w:val="9"/>
    <w:unhideWhenUsed/>
    <w:qFormat/>
    <w:rsid w:val="005E7AD1"/>
    <w:pPr>
      <w:keepNext/>
      <w:ind w:left="720" w:hanging="720"/>
      <w:outlineLvl w:val="2"/>
    </w:pPr>
    <w:rPr>
      <w:rFonts w:eastAsia="Times New Roman"/>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bCs/>
      <w:szCs w:val="26"/>
      <w:u w:val="single"/>
    </w:rPr>
  </w:style>
  <w:style w:type="character" w:customStyle="1" w:styleId="Heading1Char">
    <w:name w:val="Heading 1 Char"/>
    <w:basedOn w:val="DefaultParagraphFont"/>
    <w:link w:val="Heading1"/>
    <w:uiPriority w:val="9"/>
    <w:rsid w:val="003C62D5"/>
    <w:rPr>
      <w:rFonts w:cstheme="minorBidi"/>
      <w:b/>
      <w:szCs w:val="22"/>
    </w:rPr>
  </w:style>
  <w:style w:type="character" w:styleId="Hyperlink">
    <w:name w:val="Hyperlink"/>
    <w:basedOn w:val="DefaultParagraphFont"/>
    <w:uiPriority w:val="99"/>
    <w:unhideWhenUsed/>
    <w:rsid w:val="003C62D5"/>
    <w:rPr>
      <w:color w:val="0000FF" w:themeColor="hyperlink"/>
      <w:u w:val="single"/>
    </w:rPr>
  </w:style>
  <w:style w:type="character" w:styleId="CommentReference">
    <w:name w:val="annotation reference"/>
    <w:basedOn w:val="DefaultParagraphFont"/>
    <w:uiPriority w:val="99"/>
    <w:semiHidden/>
    <w:unhideWhenUsed/>
    <w:rsid w:val="003C62D5"/>
    <w:rPr>
      <w:sz w:val="16"/>
      <w:szCs w:val="16"/>
    </w:rPr>
  </w:style>
  <w:style w:type="paragraph" w:styleId="CommentText">
    <w:name w:val="annotation text"/>
    <w:basedOn w:val="Normal"/>
    <w:link w:val="CommentTextChar"/>
    <w:uiPriority w:val="99"/>
    <w:semiHidden/>
    <w:unhideWhenUsed/>
    <w:rsid w:val="003C62D5"/>
    <w:rPr>
      <w:sz w:val="20"/>
      <w:szCs w:val="20"/>
    </w:rPr>
  </w:style>
  <w:style w:type="character" w:customStyle="1" w:styleId="CommentTextChar">
    <w:name w:val="Comment Text Char"/>
    <w:basedOn w:val="DefaultParagraphFont"/>
    <w:link w:val="CommentText"/>
    <w:uiPriority w:val="99"/>
    <w:semiHidden/>
    <w:rsid w:val="003C62D5"/>
    <w:rPr>
      <w:rFonts w:cstheme="minorBidi"/>
      <w:sz w:val="20"/>
      <w:szCs w:val="20"/>
    </w:rPr>
  </w:style>
  <w:style w:type="paragraph" w:styleId="Caption">
    <w:name w:val="caption"/>
    <w:basedOn w:val="Normal"/>
    <w:next w:val="Normal"/>
    <w:uiPriority w:val="35"/>
    <w:unhideWhenUsed/>
    <w:qFormat/>
    <w:rsid w:val="003C62D5"/>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C62D5"/>
    <w:rPr>
      <w:sz w:val="20"/>
      <w:szCs w:val="20"/>
    </w:rPr>
  </w:style>
  <w:style w:type="character" w:customStyle="1" w:styleId="FootnoteTextChar">
    <w:name w:val="Footnote Text Char"/>
    <w:basedOn w:val="DefaultParagraphFont"/>
    <w:link w:val="FootnoteText"/>
    <w:uiPriority w:val="99"/>
    <w:semiHidden/>
    <w:rsid w:val="003C62D5"/>
    <w:rPr>
      <w:rFonts w:cstheme="minorBidi"/>
      <w:sz w:val="20"/>
      <w:szCs w:val="20"/>
    </w:rPr>
  </w:style>
  <w:style w:type="character" w:styleId="FootnoteReference">
    <w:name w:val="footnote reference"/>
    <w:basedOn w:val="DefaultParagraphFont"/>
    <w:uiPriority w:val="99"/>
    <w:semiHidden/>
    <w:unhideWhenUsed/>
    <w:rsid w:val="003C62D5"/>
    <w:rPr>
      <w:vertAlign w:val="superscript"/>
    </w:rPr>
  </w:style>
  <w:style w:type="paragraph" w:styleId="BalloonText">
    <w:name w:val="Balloon Text"/>
    <w:basedOn w:val="Normal"/>
    <w:link w:val="BalloonTextChar"/>
    <w:uiPriority w:val="99"/>
    <w:semiHidden/>
    <w:unhideWhenUsed/>
    <w:rsid w:val="003C62D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D5"/>
    <w:rPr>
      <w:rFonts w:ascii="Tahoma" w:hAnsi="Tahoma" w:cs="Tahoma"/>
      <w:sz w:val="16"/>
      <w:szCs w:val="16"/>
    </w:rPr>
  </w:style>
  <w:style w:type="character" w:styleId="PlaceholderText">
    <w:name w:val="Placeholder Text"/>
    <w:basedOn w:val="DefaultParagraphFont"/>
    <w:uiPriority w:val="99"/>
    <w:semiHidden/>
    <w:rsid w:val="00372B84"/>
    <w:rPr>
      <w:color w:val="808080"/>
    </w:rPr>
  </w:style>
  <w:style w:type="table" w:styleId="TableGrid">
    <w:name w:val="Table Grid"/>
    <w:basedOn w:val="TableNormal"/>
    <w:uiPriority w:val="59"/>
    <w:rsid w:val="00624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F36F3"/>
    <w:pPr>
      <w:jc w:val="left"/>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C8392C"/>
    <w:pPr>
      <w:contextualSpacing/>
    </w:pPr>
  </w:style>
  <w:style w:type="paragraph" w:styleId="CommentSubject">
    <w:name w:val="annotation subject"/>
    <w:basedOn w:val="CommentText"/>
    <w:next w:val="CommentText"/>
    <w:link w:val="CommentSubjectChar"/>
    <w:uiPriority w:val="99"/>
    <w:semiHidden/>
    <w:unhideWhenUsed/>
    <w:rsid w:val="00672622"/>
    <w:rPr>
      <w:b/>
      <w:bCs/>
    </w:rPr>
  </w:style>
  <w:style w:type="character" w:customStyle="1" w:styleId="CommentSubjectChar">
    <w:name w:val="Comment Subject Char"/>
    <w:basedOn w:val="CommentTextChar"/>
    <w:link w:val="CommentSubject"/>
    <w:uiPriority w:val="99"/>
    <w:semiHidden/>
    <w:rsid w:val="00672622"/>
    <w:rPr>
      <w:rFonts w:cstheme="minorBidi"/>
      <w:b/>
      <w:bCs/>
      <w:sz w:val="20"/>
      <w:szCs w:val="20"/>
    </w:rPr>
  </w:style>
  <w:style w:type="paragraph" w:styleId="Revision">
    <w:name w:val="Revision"/>
    <w:hidden/>
    <w:uiPriority w:val="99"/>
    <w:semiHidden/>
    <w:rsid w:val="00C36C8A"/>
    <w:pPr>
      <w:jc w:val="left"/>
    </w:pPr>
    <w:rPr>
      <w:rFonts w:cstheme="minorBidi"/>
      <w:szCs w:val="22"/>
    </w:rPr>
  </w:style>
  <w:style w:type="character" w:customStyle="1" w:styleId="apple-converted-space">
    <w:name w:val="apple-converted-space"/>
    <w:basedOn w:val="DefaultParagraphFont"/>
    <w:rsid w:val="005509A3"/>
  </w:style>
  <w:style w:type="table" w:customStyle="1" w:styleId="LightShading1">
    <w:name w:val="Light Shading1"/>
    <w:basedOn w:val="TableNormal"/>
    <w:next w:val="LightShading"/>
    <w:uiPriority w:val="60"/>
    <w:rsid w:val="002C5749"/>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uiPriority w:val="9"/>
    <w:rsid w:val="00DA1214"/>
    <w:rPr>
      <w:rFonts w:ascii="Arial" w:hAnsi="Arial" w:cstheme="minorBidi" w:hint="default"/>
      <w:b/>
      <w:bCs w:val="0"/>
      <w:i/>
      <w:iCs w:val="0"/>
      <w:szCs w:val="22"/>
    </w:rPr>
  </w:style>
  <w:style w:type="table" w:customStyle="1" w:styleId="LightShading2">
    <w:name w:val="Light Shading2"/>
    <w:basedOn w:val="TableNormal"/>
    <w:next w:val="LightShading"/>
    <w:uiPriority w:val="60"/>
    <w:rsid w:val="00353965"/>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07CFC"/>
    <w:pPr>
      <w:autoSpaceDE w:val="0"/>
      <w:autoSpaceDN w:val="0"/>
      <w:adjustRightInd w:val="0"/>
      <w:jc w:val="left"/>
    </w:pPr>
    <w:rPr>
      <w:color w:val="000000"/>
    </w:rPr>
  </w:style>
  <w:style w:type="paragraph" w:styleId="HTMLPreformatted">
    <w:name w:val="HTML Preformatted"/>
    <w:basedOn w:val="Normal"/>
    <w:link w:val="HTMLPreformattedChar"/>
    <w:uiPriority w:val="99"/>
    <w:semiHidden/>
    <w:unhideWhenUsed/>
    <w:rsid w:val="00855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554C4"/>
    <w:rPr>
      <w:rFonts w:ascii="Courier New" w:eastAsia="Times New Roman" w:hAnsi="Courier New" w:cs="Courier New"/>
      <w:sz w:val="20"/>
      <w:szCs w:val="20"/>
      <w:lang w:eastAsia="en-CA"/>
    </w:rPr>
  </w:style>
  <w:style w:type="character" w:styleId="FollowedHyperlink">
    <w:name w:val="FollowedHyperlink"/>
    <w:basedOn w:val="DefaultParagraphFont"/>
    <w:uiPriority w:val="99"/>
    <w:semiHidden/>
    <w:unhideWhenUsed/>
    <w:rsid w:val="00907247"/>
    <w:rPr>
      <w:color w:val="800080" w:themeColor="followedHyperlink"/>
      <w:u w:val="single"/>
    </w:rPr>
  </w:style>
  <w:style w:type="table" w:styleId="MediumShading2-Accent2">
    <w:name w:val="Medium Shading 2 Accent 2"/>
    <w:basedOn w:val="TableNormal"/>
    <w:uiPriority w:val="64"/>
    <w:rsid w:val="009859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7F5783"/>
    <w:pPr>
      <w:tabs>
        <w:tab w:val="center" w:pos="4680"/>
        <w:tab w:val="right" w:pos="9360"/>
      </w:tabs>
      <w:spacing w:before="0" w:after="0"/>
    </w:pPr>
  </w:style>
  <w:style w:type="character" w:customStyle="1" w:styleId="HeaderChar">
    <w:name w:val="Header Char"/>
    <w:basedOn w:val="DefaultParagraphFont"/>
    <w:link w:val="Header"/>
    <w:uiPriority w:val="99"/>
    <w:rsid w:val="007F5783"/>
    <w:rPr>
      <w:rFonts w:cstheme="minorBidi"/>
      <w:szCs w:val="22"/>
    </w:rPr>
  </w:style>
  <w:style w:type="paragraph" w:styleId="Footer">
    <w:name w:val="footer"/>
    <w:basedOn w:val="Normal"/>
    <w:link w:val="FooterChar"/>
    <w:uiPriority w:val="99"/>
    <w:unhideWhenUsed/>
    <w:rsid w:val="007F5783"/>
    <w:pPr>
      <w:tabs>
        <w:tab w:val="center" w:pos="4680"/>
        <w:tab w:val="right" w:pos="9360"/>
      </w:tabs>
      <w:spacing w:before="0" w:after="0"/>
    </w:pPr>
  </w:style>
  <w:style w:type="character" w:customStyle="1" w:styleId="FooterChar">
    <w:name w:val="Footer Char"/>
    <w:basedOn w:val="DefaultParagraphFont"/>
    <w:link w:val="Footer"/>
    <w:uiPriority w:val="99"/>
    <w:rsid w:val="007F5783"/>
    <w:rPr>
      <w:rFonts w:cstheme="minorBidi"/>
      <w:szCs w:val="22"/>
    </w:rPr>
  </w:style>
  <w:style w:type="paragraph" w:styleId="PlainText">
    <w:name w:val="Plain Text"/>
    <w:basedOn w:val="Normal"/>
    <w:link w:val="PlainTextChar"/>
    <w:uiPriority w:val="99"/>
    <w:unhideWhenUsed/>
    <w:rsid w:val="002354C3"/>
    <w:pPr>
      <w:spacing w:before="0" w:after="0"/>
      <w:jc w:val="left"/>
    </w:pPr>
    <w:rPr>
      <w:rFonts w:ascii="Book Antiqua" w:hAnsi="Book Antiqua"/>
      <w:sz w:val="22"/>
      <w:szCs w:val="21"/>
    </w:rPr>
  </w:style>
  <w:style w:type="character" w:customStyle="1" w:styleId="PlainTextChar">
    <w:name w:val="Plain Text Char"/>
    <w:basedOn w:val="DefaultParagraphFont"/>
    <w:link w:val="PlainText"/>
    <w:uiPriority w:val="99"/>
    <w:rsid w:val="002354C3"/>
    <w:rPr>
      <w:rFonts w:ascii="Book Antiqua" w:hAnsi="Book Antiqua"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1545">
      <w:bodyDiv w:val="1"/>
      <w:marLeft w:val="0"/>
      <w:marRight w:val="0"/>
      <w:marTop w:val="0"/>
      <w:marBottom w:val="0"/>
      <w:divBdr>
        <w:top w:val="none" w:sz="0" w:space="0" w:color="auto"/>
        <w:left w:val="none" w:sz="0" w:space="0" w:color="auto"/>
        <w:bottom w:val="none" w:sz="0" w:space="0" w:color="auto"/>
        <w:right w:val="none" w:sz="0" w:space="0" w:color="auto"/>
      </w:divBdr>
    </w:div>
    <w:div w:id="32659958">
      <w:bodyDiv w:val="1"/>
      <w:marLeft w:val="0"/>
      <w:marRight w:val="0"/>
      <w:marTop w:val="0"/>
      <w:marBottom w:val="0"/>
      <w:divBdr>
        <w:top w:val="none" w:sz="0" w:space="0" w:color="auto"/>
        <w:left w:val="none" w:sz="0" w:space="0" w:color="auto"/>
        <w:bottom w:val="none" w:sz="0" w:space="0" w:color="auto"/>
        <w:right w:val="none" w:sz="0" w:space="0" w:color="auto"/>
      </w:divBdr>
    </w:div>
    <w:div w:id="66735951">
      <w:bodyDiv w:val="1"/>
      <w:marLeft w:val="0"/>
      <w:marRight w:val="0"/>
      <w:marTop w:val="0"/>
      <w:marBottom w:val="0"/>
      <w:divBdr>
        <w:top w:val="none" w:sz="0" w:space="0" w:color="auto"/>
        <w:left w:val="none" w:sz="0" w:space="0" w:color="auto"/>
        <w:bottom w:val="none" w:sz="0" w:space="0" w:color="auto"/>
        <w:right w:val="none" w:sz="0" w:space="0" w:color="auto"/>
      </w:divBdr>
    </w:div>
    <w:div w:id="79068182">
      <w:bodyDiv w:val="1"/>
      <w:marLeft w:val="0"/>
      <w:marRight w:val="0"/>
      <w:marTop w:val="0"/>
      <w:marBottom w:val="0"/>
      <w:divBdr>
        <w:top w:val="none" w:sz="0" w:space="0" w:color="auto"/>
        <w:left w:val="none" w:sz="0" w:space="0" w:color="auto"/>
        <w:bottom w:val="none" w:sz="0" w:space="0" w:color="auto"/>
        <w:right w:val="none" w:sz="0" w:space="0" w:color="auto"/>
      </w:divBdr>
    </w:div>
    <w:div w:id="111634084">
      <w:bodyDiv w:val="1"/>
      <w:marLeft w:val="0"/>
      <w:marRight w:val="0"/>
      <w:marTop w:val="0"/>
      <w:marBottom w:val="0"/>
      <w:divBdr>
        <w:top w:val="none" w:sz="0" w:space="0" w:color="auto"/>
        <w:left w:val="none" w:sz="0" w:space="0" w:color="auto"/>
        <w:bottom w:val="none" w:sz="0" w:space="0" w:color="auto"/>
        <w:right w:val="none" w:sz="0" w:space="0" w:color="auto"/>
      </w:divBdr>
    </w:div>
    <w:div w:id="218135709">
      <w:bodyDiv w:val="1"/>
      <w:marLeft w:val="0"/>
      <w:marRight w:val="0"/>
      <w:marTop w:val="0"/>
      <w:marBottom w:val="0"/>
      <w:divBdr>
        <w:top w:val="none" w:sz="0" w:space="0" w:color="auto"/>
        <w:left w:val="none" w:sz="0" w:space="0" w:color="auto"/>
        <w:bottom w:val="none" w:sz="0" w:space="0" w:color="auto"/>
        <w:right w:val="none" w:sz="0" w:space="0" w:color="auto"/>
      </w:divBdr>
    </w:div>
    <w:div w:id="224754533">
      <w:bodyDiv w:val="1"/>
      <w:marLeft w:val="0"/>
      <w:marRight w:val="0"/>
      <w:marTop w:val="0"/>
      <w:marBottom w:val="0"/>
      <w:divBdr>
        <w:top w:val="none" w:sz="0" w:space="0" w:color="auto"/>
        <w:left w:val="none" w:sz="0" w:space="0" w:color="auto"/>
        <w:bottom w:val="none" w:sz="0" w:space="0" w:color="auto"/>
        <w:right w:val="none" w:sz="0" w:space="0" w:color="auto"/>
      </w:divBdr>
    </w:div>
    <w:div w:id="233593819">
      <w:bodyDiv w:val="1"/>
      <w:marLeft w:val="0"/>
      <w:marRight w:val="0"/>
      <w:marTop w:val="0"/>
      <w:marBottom w:val="0"/>
      <w:divBdr>
        <w:top w:val="none" w:sz="0" w:space="0" w:color="auto"/>
        <w:left w:val="none" w:sz="0" w:space="0" w:color="auto"/>
        <w:bottom w:val="none" w:sz="0" w:space="0" w:color="auto"/>
        <w:right w:val="none" w:sz="0" w:space="0" w:color="auto"/>
      </w:divBdr>
    </w:div>
    <w:div w:id="253319390">
      <w:bodyDiv w:val="1"/>
      <w:marLeft w:val="0"/>
      <w:marRight w:val="0"/>
      <w:marTop w:val="0"/>
      <w:marBottom w:val="0"/>
      <w:divBdr>
        <w:top w:val="none" w:sz="0" w:space="0" w:color="auto"/>
        <w:left w:val="none" w:sz="0" w:space="0" w:color="auto"/>
        <w:bottom w:val="none" w:sz="0" w:space="0" w:color="auto"/>
        <w:right w:val="none" w:sz="0" w:space="0" w:color="auto"/>
      </w:divBdr>
    </w:div>
    <w:div w:id="331496461">
      <w:bodyDiv w:val="1"/>
      <w:marLeft w:val="0"/>
      <w:marRight w:val="0"/>
      <w:marTop w:val="0"/>
      <w:marBottom w:val="0"/>
      <w:divBdr>
        <w:top w:val="none" w:sz="0" w:space="0" w:color="auto"/>
        <w:left w:val="none" w:sz="0" w:space="0" w:color="auto"/>
        <w:bottom w:val="none" w:sz="0" w:space="0" w:color="auto"/>
        <w:right w:val="none" w:sz="0" w:space="0" w:color="auto"/>
      </w:divBdr>
    </w:div>
    <w:div w:id="365757420">
      <w:bodyDiv w:val="1"/>
      <w:marLeft w:val="0"/>
      <w:marRight w:val="0"/>
      <w:marTop w:val="0"/>
      <w:marBottom w:val="0"/>
      <w:divBdr>
        <w:top w:val="none" w:sz="0" w:space="0" w:color="auto"/>
        <w:left w:val="none" w:sz="0" w:space="0" w:color="auto"/>
        <w:bottom w:val="none" w:sz="0" w:space="0" w:color="auto"/>
        <w:right w:val="none" w:sz="0" w:space="0" w:color="auto"/>
      </w:divBdr>
    </w:div>
    <w:div w:id="424502823">
      <w:bodyDiv w:val="1"/>
      <w:marLeft w:val="0"/>
      <w:marRight w:val="0"/>
      <w:marTop w:val="0"/>
      <w:marBottom w:val="0"/>
      <w:divBdr>
        <w:top w:val="none" w:sz="0" w:space="0" w:color="auto"/>
        <w:left w:val="none" w:sz="0" w:space="0" w:color="auto"/>
        <w:bottom w:val="none" w:sz="0" w:space="0" w:color="auto"/>
        <w:right w:val="none" w:sz="0" w:space="0" w:color="auto"/>
      </w:divBdr>
    </w:div>
    <w:div w:id="484248968">
      <w:bodyDiv w:val="1"/>
      <w:marLeft w:val="0"/>
      <w:marRight w:val="0"/>
      <w:marTop w:val="0"/>
      <w:marBottom w:val="0"/>
      <w:divBdr>
        <w:top w:val="none" w:sz="0" w:space="0" w:color="auto"/>
        <w:left w:val="none" w:sz="0" w:space="0" w:color="auto"/>
        <w:bottom w:val="none" w:sz="0" w:space="0" w:color="auto"/>
        <w:right w:val="none" w:sz="0" w:space="0" w:color="auto"/>
      </w:divBdr>
      <w:divsChild>
        <w:div w:id="414742008">
          <w:marLeft w:val="0"/>
          <w:marRight w:val="0"/>
          <w:marTop w:val="0"/>
          <w:marBottom w:val="0"/>
          <w:divBdr>
            <w:top w:val="none" w:sz="0" w:space="0" w:color="auto"/>
            <w:left w:val="none" w:sz="0" w:space="0" w:color="auto"/>
            <w:bottom w:val="none" w:sz="0" w:space="0" w:color="auto"/>
            <w:right w:val="none" w:sz="0" w:space="0" w:color="auto"/>
          </w:divBdr>
        </w:div>
      </w:divsChild>
    </w:div>
    <w:div w:id="492986643">
      <w:bodyDiv w:val="1"/>
      <w:marLeft w:val="0"/>
      <w:marRight w:val="0"/>
      <w:marTop w:val="0"/>
      <w:marBottom w:val="0"/>
      <w:divBdr>
        <w:top w:val="none" w:sz="0" w:space="0" w:color="auto"/>
        <w:left w:val="none" w:sz="0" w:space="0" w:color="auto"/>
        <w:bottom w:val="none" w:sz="0" w:space="0" w:color="auto"/>
        <w:right w:val="none" w:sz="0" w:space="0" w:color="auto"/>
      </w:divBdr>
    </w:div>
    <w:div w:id="519464898">
      <w:bodyDiv w:val="1"/>
      <w:marLeft w:val="0"/>
      <w:marRight w:val="0"/>
      <w:marTop w:val="0"/>
      <w:marBottom w:val="0"/>
      <w:divBdr>
        <w:top w:val="none" w:sz="0" w:space="0" w:color="auto"/>
        <w:left w:val="none" w:sz="0" w:space="0" w:color="auto"/>
        <w:bottom w:val="none" w:sz="0" w:space="0" w:color="auto"/>
        <w:right w:val="none" w:sz="0" w:space="0" w:color="auto"/>
      </w:divBdr>
    </w:div>
    <w:div w:id="602107294">
      <w:bodyDiv w:val="1"/>
      <w:marLeft w:val="0"/>
      <w:marRight w:val="0"/>
      <w:marTop w:val="0"/>
      <w:marBottom w:val="0"/>
      <w:divBdr>
        <w:top w:val="none" w:sz="0" w:space="0" w:color="auto"/>
        <w:left w:val="none" w:sz="0" w:space="0" w:color="auto"/>
        <w:bottom w:val="none" w:sz="0" w:space="0" w:color="auto"/>
        <w:right w:val="none" w:sz="0" w:space="0" w:color="auto"/>
      </w:divBdr>
    </w:div>
    <w:div w:id="620108899">
      <w:bodyDiv w:val="1"/>
      <w:marLeft w:val="0"/>
      <w:marRight w:val="0"/>
      <w:marTop w:val="0"/>
      <w:marBottom w:val="0"/>
      <w:divBdr>
        <w:top w:val="none" w:sz="0" w:space="0" w:color="auto"/>
        <w:left w:val="none" w:sz="0" w:space="0" w:color="auto"/>
        <w:bottom w:val="none" w:sz="0" w:space="0" w:color="auto"/>
        <w:right w:val="none" w:sz="0" w:space="0" w:color="auto"/>
      </w:divBdr>
    </w:div>
    <w:div w:id="648871954">
      <w:bodyDiv w:val="1"/>
      <w:marLeft w:val="0"/>
      <w:marRight w:val="0"/>
      <w:marTop w:val="0"/>
      <w:marBottom w:val="0"/>
      <w:divBdr>
        <w:top w:val="none" w:sz="0" w:space="0" w:color="auto"/>
        <w:left w:val="none" w:sz="0" w:space="0" w:color="auto"/>
        <w:bottom w:val="none" w:sz="0" w:space="0" w:color="auto"/>
        <w:right w:val="none" w:sz="0" w:space="0" w:color="auto"/>
      </w:divBdr>
    </w:div>
    <w:div w:id="660157733">
      <w:bodyDiv w:val="1"/>
      <w:marLeft w:val="0"/>
      <w:marRight w:val="0"/>
      <w:marTop w:val="0"/>
      <w:marBottom w:val="0"/>
      <w:divBdr>
        <w:top w:val="none" w:sz="0" w:space="0" w:color="auto"/>
        <w:left w:val="none" w:sz="0" w:space="0" w:color="auto"/>
        <w:bottom w:val="none" w:sz="0" w:space="0" w:color="auto"/>
        <w:right w:val="none" w:sz="0" w:space="0" w:color="auto"/>
      </w:divBdr>
    </w:div>
    <w:div w:id="676663314">
      <w:bodyDiv w:val="1"/>
      <w:marLeft w:val="0"/>
      <w:marRight w:val="0"/>
      <w:marTop w:val="0"/>
      <w:marBottom w:val="0"/>
      <w:divBdr>
        <w:top w:val="none" w:sz="0" w:space="0" w:color="auto"/>
        <w:left w:val="none" w:sz="0" w:space="0" w:color="auto"/>
        <w:bottom w:val="none" w:sz="0" w:space="0" w:color="auto"/>
        <w:right w:val="none" w:sz="0" w:space="0" w:color="auto"/>
      </w:divBdr>
    </w:div>
    <w:div w:id="678775166">
      <w:bodyDiv w:val="1"/>
      <w:marLeft w:val="0"/>
      <w:marRight w:val="0"/>
      <w:marTop w:val="0"/>
      <w:marBottom w:val="0"/>
      <w:divBdr>
        <w:top w:val="none" w:sz="0" w:space="0" w:color="auto"/>
        <w:left w:val="none" w:sz="0" w:space="0" w:color="auto"/>
        <w:bottom w:val="none" w:sz="0" w:space="0" w:color="auto"/>
        <w:right w:val="none" w:sz="0" w:space="0" w:color="auto"/>
      </w:divBdr>
    </w:div>
    <w:div w:id="694305055">
      <w:bodyDiv w:val="1"/>
      <w:marLeft w:val="0"/>
      <w:marRight w:val="0"/>
      <w:marTop w:val="0"/>
      <w:marBottom w:val="0"/>
      <w:divBdr>
        <w:top w:val="none" w:sz="0" w:space="0" w:color="auto"/>
        <w:left w:val="none" w:sz="0" w:space="0" w:color="auto"/>
        <w:bottom w:val="none" w:sz="0" w:space="0" w:color="auto"/>
        <w:right w:val="none" w:sz="0" w:space="0" w:color="auto"/>
      </w:divBdr>
    </w:div>
    <w:div w:id="695158823">
      <w:bodyDiv w:val="1"/>
      <w:marLeft w:val="0"/>
      <w:marRight w:val="0"/>
      <w:marTop w:val="0"/>
      <w:marBottom w:val="0"/>
      <w:divBdr>
        <w:top w:val="none" w:sz="0" w:space="0" w:color="auto"/>
        <w:left w:val="none" w:sz="0" w:space="0" w:color="auto"/>
        <w:bottom w:val="none" w:sz="0" w:space="0" w:color="auto"/>
        <w:right w:val="none" w:sz="0" w:space="0" w:color="auto"/>
      </w:divBdr>
    </w:div>
    <w:div w:id="714813087">
      <w:bodyDiv w:val="1"/>
      <w:marLeft w:val="0"/>
      <w:marRight w:val="0"/>
      <w:marTop w:val="0"/>
      <w:marBottom w:val="0"/>
      <w:divBdr>
        <w:top w:val="none" w:sz="0" w:space="0" w:color="auto"/>
        <w:left w:val="none" w:sz="0" w:space="0" w:color="auto"/>
        <w:bottom w:val="none" w:sz="0" w:space="0" w:color="auto"/>
        <w:right w:val="none" w:sz="0" w:space="0" w:color="auto"/>
      </w:divBdr>
    </w:div>
    <w:div w:id="732659455">
      <w:bodyDiv w:val="1"/>
      <w:marLeft w:val="0"/>
      <w:marRight w:val="0"/>
      <w:marTop w:val="0"/>
      <w:marBottom w:val="0"/>
      <w:divBdr>
        <w:top w:val="none" w:sz="0" w:space="0" w:color="auto"/>
        <w:left w:val="none" w:sz="0" w:space="0" w:color="auto"/>
        <w:bottom w:val="none" w:sz="0" w:space="0" w:color="auto"/>
        <w:right w:val="none" w:sz="0" w:space="0" w:color="auto"/>
      </w:divBdr>
    </w:div>
    <w:div w:id="745110203">
      <w:bodyDiv w:val="1"/>
      <w:marLeft w:val="0"/>
      <w:marRight w:val="0"/>
      <w:marTop w:val="0"/>
      <w:marBottom w:val="0"/>
      <w:divBdr>
        <w:top w:val="none" w:sz="0" w:space="0" w:color="auto"/>
        <w:left w:val="none" w:sz="0" w:space="0" w:color="auto"/>
        <w:bottom w:val="none" w:sz="0" w:space="0" w:color="auto"/>
        <w:right w:val="none" w:sz="0" w:space="0" w:color="auto"/>
      </w:divBdr>
    </w:div>
    <w:div w:id="757291423">
      <w:bodyDiv w:val="1"/>
      <w:marLeft w:val="0"/>
      <w:marRight w:val="0"/>
      <w:marTop w:val="0"/>
      <w:marBottom w:val="0"/>
      <w:divBdr>
        <w:top w:val="none" w:sz="0" w:space="0" w:color="auto"/>
        <w:left w:val="none" w:sz="0" w:space="0" w:color="auto"/>
        <w:bottom w:val="none" w:sz="0" w:space="0" w:color="auto"/>
        <w:right w:val="none" w:sz="0" w:space="0" w:color="auto"/>
      </w:divBdr>
    </w:div>
    <w:div w:id="860238391">
      <w:bodyDiv w:val="1"/>
      <w:marLeft w:val="0"/>
      <w:marRight w:val="0"/>
      <w:marTop w:val="0"/>
      <w:marBottom w:val="0"/>
      <w:divBdr>
        <w:top w:val="none" w:sz="0" w:space="0" w:color="auto"/>
        <w:left w:val="none" w:sz="0" w:space="0" w:color="auto"/>
        <w:bottom w:val="none" w:sz="0" w:space="0" w:color="auto"/>
        <w:right w:val="none" w:sz="0" w:space="0" w:color="auto"/>
      </w:divBdr>
    </w:div>
    <w:div w:id="878132569">
      <w:bodyDiv w:val="1"/>
      <w:marLeft w:val="0"/>
      <w:marRight w:val="0"/>
      <w:marTop w:val="0"/>
      <w:marBottom w:val="0"/>
      <w:divBdr>
        <w:top w:val="none" w:sz="0" w:space="0" w:color="auto"/>
        <w:left w:val="none" w:sz="0" w:space="0" w:color="auto"/>
        <w:bottom w:val="none" w:sz="0" w:space="0" w:color="auto"/>
        <w:right w:val="none" w:sz="0" w:space="0" w:color="auto"/>
      </w:divBdr>
    </w:div>
    <w:div w:id="901909425">
      <w:bodyDiv w:val="1"/>
      <w:marLeft w:val="0"/>
      <w:marRight w:val="0"/>
      <w:marTop w:val="0"/>
      <w:marBottom w:val="0"/>
      <w:divBdr>
        <w:top w:val="none" w:sz="0" w:space="0" w:color="auto"/>
        <w:left w:val="none" w:sz="0" w:space="0" w:color="auto"/>
        <w:bottom w:val="none" w:sz="0" w:space="0" w:color="auto"/>
        <w:right w:val="none" w:sz="0" w:space="0" w:color="auto"/>
      </w:divBdr>
    </w:div>
    <w:div w:id="909314252">
      <w:bodyDiv w:val="1"/>
      <w:marLeft w:val="0"/>
      <w:marRight w:val="0"/>
      <w:marTop w:val="0"/>
      <w:marBottom w:val="0"/>
      <w:divBdr>
        <w:top w:val="none" w:sz="0" w:space="0" w:color="auto"/>
        <w:left w:val="none" w:sz="0" w:space="0" w:color="auto"/>
        <w:bottom w:val="none" w:sz="0" w:space="0" w:color="auto"/>
        <w:right w:val="none" w:sz="0" w:space="0" w:color="auto"/>
      </w:divBdr>
    </w:div>
    <w:div w:id="937710158">
      <w:bodyDiv w:val="1"/>
      <w:marLeft w:val="0"/>
      <w:marRight w:val="0"/>
      <w:marTop w:val="0"/>
      <w:marBottom w:val="0"/>
      <w:divBdr>
        <w:top w:val="none" w:sz="0" w:space="0" w:color="auto"/>
        <w:left w:val="none" w:sz="0" w:space="0" w:color="auto"/>
        <w:bottom w:val="none" w:sz="0" w:space="0" w:color="auto"/>
        <w:right w:val="none" w:sz="0" w:space="0" w:color="auto"/>
      </w:divBdr>
    </w:div>
    <w:div w:id="1054504971">
      <w:bodyDiv w:val="1"/>
      <w:marLeft w:val="0"/>
      <w:marRight w:val="0"/>
      <w:marTop w:val="0"/>
      <w:marBottom w:val="0"/>
      <w:divBdr>
        <w:top w:val="none" w:sz="0" w:space="0" w:color="auto"/>
        <w:left w:val="none" w:sz="0" w:space="0" w:color="auto"/>
        <w:bottom w:val="none" w:sz="0" w:space="0" w:color="auto"/>
        <w:right w:val="none" w:sz="0" w:space="0" w:color="auto"/>
      </w:divBdr>
    </w:div>
    <w:div w:id="1069495641">
      <w:bodyDiv w:val="1"/>
      <w:marLeft w:val="0"/>
      <w:marRight w:val="0"/>
      <w:marTop w:val="0"/>
      <w:marBottom w:val="0"/>
      <w:divBdr>
        <w:top w:val="none" w:sz="0" w:space="0" w:color="auto"/>
        <w:left w:val="none" w:sz="0" w:space="0" w:color="auto"/>
        <w:bottom w:val="none" w:sz="0" w:space="0" w:color="auto"/>
        <w:right w:val="none" w:sz="0" w:space="0" w:color="auto"/>
      </w:divBdr>
      <w:divsChild>
        <w:div w:id="111020454">
          <w:marLeft w:val="504"/>
          <w:marRight w:val="0"/>
          <w:marTop w:val="0"/>
          <w:marBottom w:val="0"/>
          <w:divBdr>
            <w:top w:val="none" w:sz="0" w:space="0" w:color="auto"/>
            <w:left w:val="none" w:sz="0" w:space="0" w:color="auto"/>
            <w:bottom w:val="none" w:sz="0" w:space="0" w:color="auto"/>
            <w:right w:val="none" w:sz="0" w:space="0" w:color="auto"/>
          </w:divBdr>
        </w:div>
      </w:divsChild>
    </w:div>
    <w:div w:id="1088959723">
      <w:bodyDiv w:val="1"/>
      <w:marLeft w:val="0"/>
      <w:marRight w:val="0"/>
      <w:marTop w:val="0"/>
      <w:marBottom w:val="0"/>
      <w:divBdr>
        <w:top w:val="none" w:sz="0" w:space="0" w:color="auto"/>
        <w:left w:val="none" w:sz="0" w:space="0" w:color="auto"/>
        <w:bottom w:val="none" w:sz="0" w:space="0" w:color="auto"/>
        <w:right w:val="none" w:sz="0" w:space="0" w:color="auto"/>
      </w:divBdr>
    </w:div>
    <w:div w:id="1117528780">
      <w:bodyDiv w:val="1"/>
      <w:marLeft w:val="0"/>
      <w:marRight w:val="0"/>
      <w:marTop w:val="0"/>
      <w:marBottom w:val="0"/>
      <w:divBdr>
        <w:top w:val="none" w:sz="0" w:space="0" w:color="auto"/>
        <w:left w:val="none" w:sz="0" w:space="0" w:color="auto"/>
        <w:bottom w:val="none" w:sz="0" w:space="0" w:color="auto"/>
        <w:right w:val="none" w:sz="0" w:space="0" w:color="auto"/>
      </w:divBdr>
    </w:div>
    <w:div w:id="1151827230">
      <w:bodyDiv w:val="1"/>
      <w:marLeft w:val="0"/>
      <w:marRight w:val="0"/>
      <w:marTop w:val="0"/>
      <w:marBottom w:val="0"/>
      <w:divBdr>
        <w:top w:val="none" w:sz="0" w:space="0" w:color="auto"/>
        <w:left w:val="none" w:sz="0" w:space="0" w:color="auto"/>
        <w:bottom w:val="none" w:sz="0" w:space="0" w:color="auto"/>
        <w:right w:val="none" w:sz="0" w:space="0" w:color="auto"/>
      </w:divBdr>
    </w:div>
    <w:div w:id="1204101316">
      <w:bodyDiv w:val="1"/>
      <w:marLeft w:val="0"/>
      <w:marRight w:val="0"/>
      <w:marTop w:val="0"/>
      <w:marBottom w:val="0"/>
      <w:divBdr>
        <w:top w:val="none" w:sz="0" w:space="0" w:color="auto"/>
        <w:left w:val="none" w:sz="0" w:space="0" w:color="auto"/>
        <w:bottom w:val="none" w:sz="0" w:space="0" w:color="auto"/>
        <w:right w:val="none" w:sz="0" w:space="0" w:color="auto"/>
      </w:divBdr>
    </w:div>
    <w:div w:id="1218932645">
      <w:bodyDiv w:val="1"/>
      <w:marLeft w:val="0"/>
      <w:marRight w:val="0"/>
      <w:marTop w:val="0"/>
      <w:marBottom w:val="0"/>
      <w:divBdr>
        <w:top w:val="none" w:sz="0" w:space="0" w:color="auto"/>
        <w:left w:val="none" w:sz="0" w:space="0" w:color="auto"/>
        <w:bottom w:val="none" w:sz="0" w:space="0" w:color="auto"/>
        <w:right w:val="none" w:sz="0" w:space="0" w:color="auto"/>
      </w:divBdr>
    </w:div>
    <w:div w:id="1285231238">
      <w:bodyDiv w:val="1"/>
      <w:marLeft w:val="0"/>
      <w:marRight w:val="0"/>
      <w:marTop w:val="0"/>
      <w:marBottom w:val="0"/>
      <w:divBdr>
        <w:top w:val="none" w:sz="0" w:space="0" w:color="auto"/>
        <w:left w:val="none" w:sz="0" w:space="0" w:color="auto"/>
        <w:bottom w:val="none" w:sz="0" w:space="0" w:color="auto"/>
        <w:right w:val="none" w:sz="0" w:space="0" w:color="auto"/>
      </w:divBdr>
    </w:div>
    <w:div w:id="1321159647">
      <w:bodyDiv w:val="1"/>
      <w:marLeft w:val="0"/>
      <w:marRight w:val="0"/>
      <w:marTop w:val="0"/>
      <w:marBottom w:val="0"/>
      <w:divBdr>
        <w:top w:val="none" w:sz="0" w:space="0" w:color="auto"/>
        <w:left w:val="none" w:sz="0" w:space="0" w:color="auto"/>
        <w:bottom w:val="none" w:sz="0" w:space="0" w:color="auto"/>
        <w:right w:val="none" w:sz="0" w:space="0" w:color="auto"/>
      </w:divBdr>
    </w:div>
    <w:div w:id="1333677752">
      <w:bodyDiv w:val="1"/>
      <w:marLeft w:val="0"/>
      <w:marRight w:val="0"/>
      <w:marTop w:val="0"/>
      <w:marBottom w:val="0"/>
      <w:divBdr>
        <w:top w:val="none" w:sz="0" w:space="0" w:color="auto"/>
        <w:left w:val="none" w:sz="0" w:space="0" w:color="auto"/>
        <w:bottom w:val="none" w:sz="0" w:space="0" w:color="auto"/>
        <w:right w:val="none" w:sz="0" w:space="0" w:color="auto"/>
      </w:divBdr>
    </w:div>
    <w:div w:id="1351222372">
      <w:bodyDiv w:val="1"/>
      <w:marLeft w:val="0"/>
      <w:marRight w:val="0"/>
      <w:marTop w:val="0"/>
      <w:marBottom w:val="0"/>
      <w:divBdr>
        <w:top w:val="none" w:sz="0" w:space="0" w:color="auto"/>
        <w:left w:val="none" w:sz="0" w:space="0" w:color="auto"/>
        <w:bottom w:val="none" w:sz="0" w:space="0" w:color="auto"/>
        <w:right w:val="none" w:sz="0" w:space="0" w:color="auto"/>
      </w:divBdr>
    </w:div>
    <w:div w:id="1355695170">
      <w:bodyDiv w:val="1"/>
      <w:marLeft w:val="0"/>
      <w:marRight w:val="0"/>
      <w:marTop w:val="0"/>
      <w:marBottom w:val="0"/>
      <w:divBdr>
        <w:top w:val="none" w:sz="0" w:space="0" w:color="auto"/>
        <w:left w:val="none" w:sz="0" w:space="0" w:color="auto"/>
        <w:bottom w:val="none" w:sz="0" w:space="0" w:color="auto"/>
        <w:right w:val="none" w:sz="0" w:space="0" w:color="auto"/>
      </w:divBdr>
    </w:div>
    <w:div w:id="1365206076">
      <w:bodyDiv w:val="1"/>
      <w:marLeft w:val="0"/>
      <w:marRight w:val="0"/>
      <w:marTop w:val="0"/>
      <w:marBottom w:val="0"/>
      <w:divBdr>
        <w:top w:val="none" w:sz="0" w:space="0" w:color="auto"/>
        <w:left w:val="none" w:sz="0" w:space="0" w:color="auto"/>
        <w:bottom w:val="none" w:sz="0" w:space="0" w:color="auto"/>
        <w:right w:val="none" w:sz="0" w:space="0" w:color="auto"/>
      </w:divBdr>
    </w:div>
    <w:div w:id="1377000144">
      <w:bodyDiv w:val="1"/>
      <w:marLeft w:val="0"/>
      <w:marRight w:val="0"/>
      <w:marTop w:val="0"/>
      <w:marBottom w:val="0"/>
      <w:divBdr>
        <w:top w:val="none" w:sz="0" w:space="0" w:color="auto"/>
        <w:left w:val="none" w:sz="0" w:space="0" w:color="auto"/>
        <w:bottom w:val="none" w:sz="0" w:space="0" w:color="auto"/>
        <w:right w:val="none" w:sz="0" w:space="0" w:color="auto"/>
      </w:divBdr>
    </w:div>
    <w:div w:id="1440568486">
      <w:bodyDiv w:val="1"/>
      <w:marLeft w:val="0"/>
      <w:marRight w:val="0"/>
      <w:marTop w:val="0"/>
      <w:marBottom w:val="0"/>
      <w:divBdr>
        <w:top w:val="none" w:sz="0" w:space="0" w:color="auto"/>
        <w:left w:val="none" w:sz="0" w:space="0" w:color="auto"/>
        <w:bottom w:val="none" w:sz="0" w:space="0" w:color="auto"/>
        <w:right w:val="none" w:sz="0" w:space="0" w:color="auto"/>
      </w:divBdr>
    </w:div>
    <w:div w:id="1492912955">
      <w:bodyDiv w:val="1"/>
      <w:marLeft w:val="0"/>
      <w:marRight w:val="0"/>
      <w:marTop w:val="0"/>
      <w:marBottom w:val="0"/>
      <w:divBdr>
        <w:top w:val="none" w:sz="0" w:space="0" w:color="auto"/>
        <w:left w:val="none" w:sz="0" w:space="0" w:color="auto"/>
        <w:bottom w:val="none" w:sz="0" w:space="0" w:color="auto"/>
        <w:right w:val="none" w:sz="0" w:space="0" w:color="auto"/>
      </w:divBdr>
    </w:div>
    <w:div w:id="1519198361">
      <w:bodyDiv w:val="1"/>
      <w:marLeft w:val="0"/>
      <w:marRight w:val="0"/>
      <w:marTop w:val="0"/>
      <w:marBottom w:val="0"/>
      <w:divBdr>
        <w:top w:val="none" w:sz="0" w:space="0" w:color="auto"/>
        <w:left w:val="none" w:sz="0" w:space="0" w:color="auto"/>
        <w:bottom w:val="none" w:sz="0" w:space="0" w:color="auto"/>
        <w:right w:val="none" w:sz="0" w:space="0" w:color="auto"/>
      </w:divBdr>
    </w:div>
    <w:div w:id="1543442145">
      <w:bodyDiv w:val="1"/>
      <w:marLeft w:val="0"/>
      <w:marRight w:val="0"/>
      <w:marTop w:val="0"/>
      <w:marBottom w:val="0"/>
      <w:divBdr>
        <w:top w:val="none" w:sz="0" w:space="0" w:color="auto"/>
        <w:left w:val="none" w:sz="0" w:space="0" w:color="auto"/>
        <w:bottom w:val="none" w:sz="0" w:space="0" w:color="auto"/>
        <w:right w:val="none" w:sz="0" w:space="0" w:color="auto"/>
      </w:divBdr>
    </w:div>
    <w:div w:id="1635024234">
      <w:bodyDiv w:val="1"/>
      <w:marLeft w:val="0"/>
      <w:marRight w:val="0"/>
      <w:marTop w:val="0"/>
      <w:marBottom w:val="0"/>
      <w:divBdr>
        <w:top w:val="none" w:sz="0" w:space="0" w:color="auto"/>
        <w:left w:val="none" w:sz="0" w:space="0" w:color="auto"/>
        <w:bottom w:val="none" w:sz="0" w:space="0" w:color="auto"/>
        <w:right w:val="none" w:sz="0" w:space="0" w:color="auto"/>
      </w:divBdr>
    </w:div>
    <w:div w:id="1704284670">
      <w:bodyDiv w:val="1"/>
      <w:marLeft w:val="0"/>
      <w:marRight w:val="0"/>
      <w:marTop w:val="0"/>
      <w:marBottom w:val="0"/>
      <w:divBdr>
        <w:top w:val="none" w:sz="0" w:space="0" w:color="auto"/>
        <w:left w:val="none" w:sz="0" w:space="0" w:color="auto"/>
        <w:bottom w:val="none" w:sz="0" w:space="0" w:color="auto"/>
        <w:right w:val="none" w:sz="0" w:space="0" w:color="auto"/>
      </w:divBdr>
    </w:div>
    <w:div w:id="1775203498">
      <w:bodyDiv w:val="1"/>
      <w:marLeft w:val="0"/>
      <w:marRight w:val="0"/>
      <w:marTop w:val="0"/>
      <w:marBottom w:val="0"/>
      <w:divBdr>
        <w:top w:val="none" w:sz="0" w:space="0" w:color="auto"/>
        <w:left w:val="none" w:sz="0" w:space="0" w:color="auto"/>
        <w:bottom w:val="none" w:sz="0" w:space="0" w:color="auto"/>
        <w:right w:val="none" w:sz="0" w:space="0" w:color="auto"/>
      </w:divBdr>
    </w:div>
    <w:div w:id="1792624388">
      <w:bodyDiv w:val="1"/>
      <w:marLeft w:val="0"/>
      <w:marRight w:val="0"/>
      <w:marTop w:val="0"/>
      <w:marBottom w:val="0"/>
      <w:divBdr>
        <w:top w:val="none" w:sz="0" w:space="0" w:color="auto"/>
        <w:left w:val="none" w:sz="0" w:space="0" w:color="auto"/>
        <w:bottom w:val="none" w:sz="0" w:space="0" w:color="auto"/>
        <w:right w:val="none" w:sz="0" w:space="0" w:color="auto"/>
      </w:divBdr>
    </w:div>
    <w:div w:id="1850486013">
      <w:bodyDiv w:val="1"/>
      <w:marLeft w:val="0"/>
      <w:marRight w:val="0"/>
      <w:marTop w:val="0"/>
      <w:marBottom w:val="0"/>
      <w:divBdr>
        <w:top w:val="none" w:sz="0" w:space="0" w:color="auto"/>
        <w:left w:val="none" w:sz="0" w:space="0" w:color="auto"/>
        <w:bottom w:val="none" w:sz="0" w:space="0" w:color="auto"/>
        <w:right w:val="none" w:sz="0" w:space="0" w:color="auto"/>
      </w:divBdr>
    </w:div>
    <w:div w:id="1877503459">
      <w:bodyDiv w:val="1"/>
      <w:marLeft w:val="0"/>
      <w:marRight w:val="0"/>
      <w:marTop w:val="0"/>
      <w:marBottom w:val="0"/>
      <w:divBdr>
        <w:top w:val="none" w:sz="0" w:space="0" w:color="auto"/>
        <w:left w:val="none" w:sz="0" w:space="0" w:color="auto"/>
        <w:bottom w:val="none" w:sz="0" w:space="0" w:color="auto"/>
        <w:right w:val="none" w:sz="0" w:space="0" w:color="auto"/>
      </w:divBdr>
    </w:div>
    <w:div w:id="1899314772">
      <w:bodyDiv w:val="1"/>
      <w:marLeft w:val="0"/>
      <w:marRight w:val="0"/>
      <w:marTop w:val="0"/>
      <w:marBottom w:val="0"/>
      <w:divBdr>
        <w:top w:val="none" w:sz="0" w:space="0" w:color="auto"/>
        <w:left w:val="none" w:sz="0" w:space="0" w:color="auto"/>
        <w:bottom w:val="none" w:sz="0" w:space="0" w:color="auto"/>
        <w:right w:val="none" w:sz="0" w:space="0" w:color="auto"/>
      </w:divBdr>
    </w:div>
    <w:div w:id="1900558000">
      <w:bodyDiv w:val="1"/>
      <w:marLeft w:val="0"/>
      <w:marRight w:val="0"/>
      <w:marTop w:val="0"/>
      <w:marBottom w:val="0"/>
      <w:divBdr>
        <w:top w:val="none" w:sz="0" w:space="0" w:color="auto"/>
        <w:left w:val="none" w:sz="0" w:space="0" w:color="auto"/>
        <w:bottom w:val="none" w:sz="0" w:space="0" w:color="auto"/>
        <w:right w:val="none" w:sz="0" w:space="0" w:color="auto"/>
      </w:divBdr>
    </w:div>
    <w:div w:id="1926642275">
      <w:bodyDiv w:val="1"/>
      <w:marLeft w:val="0"/>
      <w:marRight w:val="0"/>
      <w:marTop w:val="0"/>
      <w:marBottom w:val="0"/>
      <w:divBdr>
        <w:top w:val="none" w:sz="0" w:space="0" w:color="auto"/>
        <w:left w:val="none" w:sz="0" w:space="0" w:color="auto"/>
        <w:bottom w:val="none" w:sz="0" w:space="0" w:color="auto"/>
        <w:right w:val="none" w:sz="0" w:space="0" w:color="auto"/>
      </w:divBdr>
    </w:div>
    <w:div w:id="1990085598">
      <w:bodyDiv w:val="1"/>
      <w:marLeft w:val="0"/>
      <w:marRight w:val="0"/>
      <w:marTop w:val="0"/>
      <w:marBottom w:val="0"/>
      <w:divBdr>
        <w:top w:val="none" w:sz="0" w:space="0" w:color="auto"/>
        <w:left w:val="none" w:sz="0" w:space="0" w:color="auto"/>
        <w:bottom w:val="none" w:sz="0" w:space="0" w:color="auto"/>
        <w:right w:val="none" w:sz="0" w:space="0" w:color="auto"/>
      </w:divBdr>
    </w:div>
    <w:div w:id="1995404110">
      <w:bodyDiv w:val="1"/>
      <w:marLeft w:val="0"/>
      <w:marRight w:val="0"/>
      <w:marTop w:val="0"/>
      <w:marBottom w:val="0"/>
      <w:divBdr>
        <w:top w:val="none" w:sz="0" w:space="0" w:color="auto"/>
        <w:left w:val="none" w:sz="0" w:space="0" w:color="auto"/>
        <w:bottom w:val="none" w:sz="0" w:space="0" w:color="auto"/>
        <w:right w:val="none" w:sz="0" w:space="0" w:color="auto"/>
      </w:divBdr>
    </w:div>
    <w:div w:id="2078702272">
      <w:bodyDiv w:val="1"/>
      <w:marLeft w:val="0"/>
      <w:marRight w:val="0"/>
      <w:marTop w:val="0"/>
      <w:marBottom w:val="0"/>
      <w:divBdr>
        <w:top w:val="none" w:sz="0" w:space="0" w:color="auto"/>
        <w:left w:val="none" w:sz="0" w:space="0" w:color="auto"/>
        <w:bottom w:val="none" w:sz="0" w:space="0" w:color="auto"/>
        <w:right w:val="none" w:sz="0" w:space="0" w:color="auto"/>
      </w:divBdr>
    </w:div>
    <w:div w:id="2105222675">
      <w:bodyDiv w:val="1"/>
      <w:marLeft w:val="0"/>
      <w:marRight w:val="0"/>
      <w:marTop w:val="0"/>
      <w:marBottom w:val="0"/>
      <w:divBdr>
        <w:top w:val="none" w:sz="0" w:space="0" w:color="auto"/>
        <w:left w:val="none" w:sz="0" w:space="0" w:color="auto"/>
        <w:bottom w:val="none" w:sz="0" w:space="0" w:color="auto"/>
        <w:right w:val="none" w:sz="0" w:space="0" w:color="auto"/>
      </w:divBdr>
    </w:div>
    <w:div w:id="2107993614">
      <w:bodyDiv w:val="1"/>
      <w:marLeft w:val="0"/>
      <w:marRight w:val="0"/>
      <w:marTop w:val="0"/>
      <w:marBottom w:val="0"/>
      <w:divBdr>
        <w:top w:val="none" w:sz="0" w:space="0" w:color="auto"/>
        <w:left w:val="none" w:sz="0" w:space="0" w:color="auto"/>
        <w:bottom w:val="none" w:sz="0" w:space="0" w:color="auto"/>
        <w:right w:val="none" w:sz="0" w:space="0" w:color="auto"/>
      </w:divBdr>
    </w:div>
    <w:div w:id="21256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yed.faghihimani@mail.mcgill.ca"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kesharingwor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6E078-FC78-4B6E-AB7F-B61EEFBC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2041</TotalTime>
  <Pages>24</Pages>
  <Words>9135</Words>
  <Characters>52074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61087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 Prof</dc:creator>
  <cp:lastModifiedBy>Naveen Eluru</cp:lastModifiedBy>
  <cp:revision>21</cp:revision>
  <cp:lastPrinted>2016-06-08T14:04:00Z</cp:lastPrinted>
  <dcterms:created xsi:type="dcterms:W3CDTF">2015-11-17T23:28:00Z</dcterms:created>
  <dcterms:modified xsi:type="dcterms:W3CDTF">2016-06-08T14:04:00Z</dcterms:modified>
</cp:coreProperties>
</file>