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21FD6" w14:textId="45B4E691" w:rsidR="003C62D5" w:rsidRPr="008A07C9" w:rsidRDefault="00DE5B58" w:rsidP="00DE5B58">
      <w:pPr>
        <w:jc w:val="center"/>
        <w:rPr>
          <w:rFonts w:cs="Times New Roman"/>
        </w:rPr>
      </w:pPr>
      <w:r w:rsidRPr="00DE5B58">
        <w:rPr>
          <w:rFonts w:cs="Times New Roman"/>
          <w:b/>
          <w:szCs w:val="24"/>
        </w:rPr>
        <w:t>Determining the Role of Bicycle Sharing System Infrastructure Installation Decision on Usage: Case Study of Montreal BIXI System</w:t>
      </w:r>
    </w:p>
    <w:p w14:paraId="569C474E" w14:textId="77777777" w:rsidR="003C62D5" w:rsidRPr="008A07C9" w:rsidRDefault="003C62D5" w:rsidP="003C62D5">
      <w:pPr>
        <w:rPr>
          <w:rFonts w:cs="Times New Roman"/>
        </w:rPr>
      </w:pPr>
    </w:p>
    <w:p w14:paraId="44687120" w14:textId="77777777" w:rsidR="003C62D5" w:rsidRPr="008A07C9" w:rsidRDefault="003C62D5" w:rsidP="003C62D5">
      <w:pPr>
        <w:rPr>
          <w:rFonts w:cs="Times New Roman"/>
        </w:rPr>
      </w:pPr>
    </w:p>
    <w:p w14:paraId="75C8A0C7" w14:textId="77777777" w:rsidR="00E93F8E" w:rsidRPr="008A07C9" w:rsidRDefault="00045B00" w:rsidP="00E93F8E">
      <w:pPr>
        <w:spacing w:before="0" w:after="0"/>
        <w:jc w:val="center"/>
        <w:rPr>
          <w:rFonts w:cs="Times New Roman"/>
          <w:bCs/>
        </w:rPr>
      </w:pPr>
      <w:r>
        <w:rPr>
          <w:rFonts w:cs="Times New Roman"/>
          <w:bCs/>
        </w:rPr>
        <w:t>Ahmadreza Faghih-</w:t>
      </w:r>
      <w:r w:rsidR="00E93F8E" w:rsidRPr="008A07C9">
        <w:rPr>
          <w:rFonts w:cs="Times New Roman"/>
          <w:bCs/>
        </w:rPr>
        <w:t>Imani</w:t>
      </w:r>
    </w:p>
    <w:p w14:paraId="2CCCEF6D" w14:textId="77777777" w:rsidR="00E93F8E" w:rsidRPr="008A07C9" w:rsidRDefault="00E93F8E" w:rsidP="00E93F8E">
      <w:pPr>
        <w:spacing w:before="0" w:after="0"/>
        <w:jc w:val="center"/>
        <w:rPr>
          <w:rFonts w:cs="Times New Roman"/>
          <w:bCs/>
        </w:rPr>
      </w:pPr>
      <w:r w:rsidRPr="008A07C9">
        <w:rPr>
          <w:rFonts w:cs="Times New Roman"/>
          <w:bCs/>
        </w:rPr>
        <w:t>PhD Student</w:t>
      </w:r>
    </w:p>
    <w:p w14:paraId="4D09E943" w14:textId="77777777" w:rsidR="00E93F8E" w:rsidRPr="008A07C9" w:rsidRDefault="00E93F8E" w:rsidP="00E93F8E">
      <w:pPr>
        <w:spacing w:before="0" w:after="0"/>
        <w:jc w:val="center"/>
        <w:rPr>
          <w:rFonts w:cs="Times New Roman"/>
          <w:bCs/>
        </w:rPr>
      </w:pPr>
      <w:r w:rsidRPr="008A07C9">
        <w:rPr>
          <w:rFonts w:cs="Times New Roman"/>
          <w:bCs/>
        </w:rPr>
        <w:t>Department of Civil Engineering and Applied Mechanics</w:t>
      </w:r>
    </w:p>
    <w:p w14:paraId="10467FD1" w14:textId="77777777" w:rsidR="00E93F8E" w:rsidRPr="008A07C9" w:rsidRDefault="00E93F8E" w:rsidP="00E93F8E">
      <w:pPr>
        <w:spacing w:before="0" w:after="0"/>
        <w:jc w:val="center"/>
        <w:rPr>
          <w:rFonts w:cs="Times New Roman"/>
          <w:bCs/>
        </w:rPr>
      </w:pPr>
      <w:r w:rsidRPr="008A07C9">
        <w:rPr>
          <w:rFonts w:cs="Times New Roman"/>
          <w:bCs/>
        </w:rPr>
        <w:t>McGill University</w:t>
      </w:r>
    </w:p>
    <w:p w14:paraId="7BA22B8C" w14:textId="77777777" w:rsidR="00E93F8E" w:rsidRPr="008A07C9" w:rsidRDefault="00E93F8E" w:rsidP="00E93F8E">
      <w:pPr>
        <w:spacing w:before="0" w:after="0"/>
        <w:jc w:val="center"/>
        <w:rPr>
          <w:rFonts w:cs="Times New Roman"/>
          <w:bCs/>
          <w:lang w:val="en-US"/>
        </w:rPr>
      </w:pPr>
      <w:r w:rsidRPr="008A07C9">
        <w:rPr>
          <w:rFonts w:cs="Times New Roman"/>
          <w:bCs/>
          <w:lang w:val="en-US"/>
        </w:rPr>
        <w:t>Ph: 514-398-</w:t>
      </w:r>
      <w:r w:rsidRPr="008A07C9">
        <w:rPr>
          <w:rFonts w:cs="Times New Roman"/>
          <w:bCs/>
        </w:rPr>
        <w:t>6823</w:t>
      </w:r>
      <w:r w:rsidRPr="008A07C9">
        <w:rPr>
          <w:rFonts w:cs="Times New Roman"/>
          <w:bCs/>
          <w:lang w:val="en-US"/>
        </w:rPr>
        <w:t>, Fax: 514-398-7361</w:t>
      </w:r>
    </w:p>
    <w:p w14:paraId="176D83A9" w14:textId="77777777" w:rsidR="00E93F8E" w:rsidRPr="008A07C9" w:rsidRDefault="00E93F8E" w:rsidP="00E93F8E">
      <w:pPr>
        <w:spacing w:before="0" w:after="0"/>
        <w:jc w:val="center"/>
        <w:rPr>
          <w:rFonts w:cs="Times New Roman"/>
          <w:bCs/>
          <w:lang w:val="en-US"/>
        </w:rPr>
      </w:pPr>
      <w:r w:rsidRPr="008A07C9">
        <w:rPr>
          <w:rFonts w:cs="Times New Roman"/>
          <w:bCs/>
          <w:lang w:val="en-US"/>
        </w:rPr>
        <w:t>E-mail</w:t>
      </w:r>
      <w:r w:rsidRPr="008A07C9">
        <w:rPr>
          <w:rFonts w:cs="Times New Roman"/>
          <w:bCs/>
        </w:rPr>
        <w:t xml:space="preserve">: </w:t>
      </w:r>
      <w:hyperlink r:id="rId8" w:history="1">
        <w:r w:rsidRPr="008A07C9">
          <w:rPr>
            <w:rStyle w:val="Hyperlink"/>
            <w:rFonts w:cs="Times New Roman"/>
            <w:bCs/>
            <w:color w:val="auto"/>
          </w:rPr>
          <w:t>seyed.faghihimani@mail.mcgill.ca</w:t>
        </w:r>
      </w:hyperlink>
      <w:r w:rsidRPr="008A07C9">
        <w:rPr>
          <w:rFonts w:cs="Times New Roman"/>
          <w:bCs/>
        </w:rPr>
        <w:t xml:space="preserve"> </w:t>
      </w:r>
    </w:p>
    <w:p w14:paraId="5F60B027" w14:textId="77777777" w:rsidR="00E93F8E" w:rsidRPr="008A07C9" w:rsidRDefault="00E93F8E" w:rsidP="00E93F8E">
      <w:pPr>
        <w:spacing w:before="0" w:after="0"/>
        <w:rPr>
          <w:rFonts w:cs="Times New Roman"/>
        </w:rPr>
      </w:pPr>
    </w:p>
    <w:p w14:paraId="1B52A621" w14:textId="77777777" w:rsidR="00E93F8E" w:rsidRPr="008A07C9" w:rsidRDefault="00E93F8E" w:rsidP="00E93F8E">
      <w:pPr>
        <w:spacing w:before="0" w:after="0"/>
        <w:rPr>
          <w:rFonts w:cs="Times New Roman"/>
        </w:rPr>
      </w:pPr>
    </w:p>
    <w:p w14:paraId="4CBC1149" w14:textId="77777777" w:rsidR="003C62D5" w:rsidRPr="008A07C9" w:rsidRDefault="003C62D5" w:rsidP="003C62D5">
      <w:pPr>
        <w:rPr>
          <w:rFonts w:cs="Times New Roman"/>
        </w:rPr>
      </w:pPr>
    </w:p>
    <w:p w14:paraId="65EFFA6E" w14:textId="77777777" w:rsidR="003C62D5" w:rsidRPr="008A07C9" w:rsidRDefault="003C62D5" w:rsidP="003C62D5">
      <w:pPr>
        <w:spacing w:before="0" w:after="0"/>
        <w:jc w:val="center"/>
        <w:rPr>
          <w:rFonts w:cs="Times New Roman"/>
          <w:bCs/>
        </w:rPr>
      </w:pPr>
      <w:r w:rsidRPr="008A07C9">
        <w:rPr>
          <w:rFonts w:cs="Times New Roman"/>
          <w:bCs/>
        </w:rPr>
        <w:t>Naveen Eluru*</w:t>
      </w:r>
    </w:p>
    <w:p w14:paraId="426730CB" w14:textId="77777777" w:rsidR="007E0731" w:rsidRDefault="007E0731" w:rsidP="007E0731">
      <w:pPr>
        <w:spacing w:before="0" w:after="0"/>
        <w:jc w:val="center"/>
        <w:rPr>
          <w:rFonts w:cs="Times New Roman"/>
          <w:bCs/>
        </w:rPr>
      </w:pPr>
      <w:r>
        <w:rPr>
          <w:rFonts w:cs="Times New Roman"/>
          <w:bCs/>
        </w:rPr>
        <w:t>Associate Professor</w:t>
      </w:r>
    </w:p>
    <w:p w14:paraId="0BC7A5A1" w14:textId="77777777" w:rsidR="007E0731" w:rsidRPr="00D2679B" w:rsidRDefault="007E0731" w:rsidP="007E0731">
      <w:pPr>
        <w:spacing w:before="0" w:after="0"/>
        <w:jc w:val="center"/>
        <w:rPr>
          <w:rFonts w:cs="Times New Roman"/>
          <w:bCs/>
        </w:rPr>
      </w:pPr>
      <w:r w:rsidRPr="00D2679B">
        <w:rPr>
          <w:rFonts w:cs="Times New Roman"/>
          <w:bCs/>
        </w:rPr>
        <w:t>Department of Civil, Environmental and Construction Engineering</w:t>
      </w:r>
    </w:p>
    <w:p w14:paraId="0529C8B7" w14:textId="77777777" w:rsidR="007E0731" w:rsidRPr="007F5783" w:rsidRDefault="007E0731" w:rsidP="007E0731">
      <w:pPr>
        <w:spacing w:before="0" w:after="0"/>
        <w:jc w:val="center"/>
        <w:rPr>
          <w:rFonts w:cs="Times New Roman"/>
          <w:bCs/>
        </w:rPr>
      </w:pPr>
      <w:r w:rsidRPr="007F5783">
        <w:rPr>
          <w:rFonts w:cs="Times New Roman"/>
          <w:bCs/>
        </w:rPr>
        <w:t>University of Central Florida</w:t>
      </w:r>
    </w:p>
    <w:p w14:paraId="2F05C2F0" w14:textId="77777777" w:rsidR="007E0731" w:rsidRPr="007F5783" w:rsidRDefault="007E0731" w:rsidP="007E0731">
      <w:pPr>
        <w:spacing w:before="0" w:after="0"/>
        <w:jc w:val="center"/>
        <w:rPr>
          <w:rFonts w:cs="Times New Roman"/>
        </w:rPr>
      </w:pPr>
      <w:r w:rsidRPr="007F5783">
        <w:rPr>
          <w:rFonts w:cs="Times New Roman"/>
          <w:bCs/>
        </w:rPr>
        <w:t>Ph: 407-823-4815; Fax: 407-823-3315</w:t>
      </w:r>
    </w:p>
    <w:p w14:paraId="0B143C58" w14:textId="77777777" w:rsidR="007E0731" w:rsidRPr="007F5783" w:rsidRDefault="007E0731" w:rsidP="007E0731">
      <w:pPr>
        <w:spacing w:before="0" w:after="0"/>
        <w:jc w:val="center"/>
        <w:rPr>
          <w:rFonts w:cs="Times New Roman"/>
          <w:bCs/>
        </w:rPr>
      </w:pPr>
      <w:r w:rsidRPr="007F5783">
        <w:rPr>
          <w:rFonts w:cs="Times New Roman"/>
          <w:bCs/>
        </w:rPr>
        <w:t xml:space="preserve">E-mail: </w:t>
      </w:r>
      <w:hyperlink r:id="rId9" w:history="1">
        <w:r w:rsidRPr="007F5783">
          <w:rPr>
            <w:rStyle w:val="Hyperlink"/>
            <w:rFonts w:cs="Times New Roman"/>
            <w:bCs/>
            <w:color w:val="auto"/>
          </w:rPr>
          <w:t>naveen.eluru@ucf.edu</w:t>
        </w:r>
      </w:hyperlink>
    </w:p>
    <w:p w14:paraId="225BB691" w14:textId="77777777" w:rsidR="003C62D5" w:rsidRPr="008A07C9" w:rsidRDefault="003C62D5" w:rsidP="003C62D5">
      <w:pPr>
        <w:rPr>
          <w:rFonts w:cs="Times New Roman"/>
        </w:rPr>
      </w:pPr>
    </w:p>
    <w:p w14:paraId="33778DCD" w14:textId="77777777" w:rsidR="003C62D5" w:rsidRPr="008A07C9" w:rsidRDefault="003C62D5" w:rsidP="003C62D5">
      <w:pPr>
        <w:rPr>
          <w:rFonts w:cs="Times New Roman"/>
        </w:rPr>
      </w:pPr>
    </w:p>
    <w:p w14:paraId="0C87C300" w14:textId="77777777" w:rsidR="003C62D5" w:rsidRPr="008A07C9" w:rsidRDefault="003C62D5" w:rsidP="003C62D5">
      <w:pPr>
        <w:rPr>
          <w:rFonts w:cs="Times New Roman"/>
        </w:rPr>
      </w:pPr>
    </w:p>
    <w:p w14:paraId="4F507C17" w14:textId="77777777" w:rsidR="003C62D5" w:rsidRPr="008A07C9" w:rsidRDefault="003C62D5" w:rsidP="003C62D5">
      <w:pPr>
        <w:rPr>
          <w:rFonts w:cs="Times New Roman"/>
        </w:rPr>
      </w:pPr>
    </w:p>
    <w:p w14:paraId="5DB554D2" w14:textId="77777777" w:rsidR="003C62D5" w:rsidRPr="008A07C9" w:rsidRDefault="003C62D5" w:rsidP="003C62D5">
      <w:pPr>
        <w:rPr>
          <w:rFonts w:cs="Times New Roman"/>
        </w:rPr>
      </w:pPr>
    </w:p>
    <w:p w14:paraId="1083EDA9" w14:textId="77777777" w:rsidR="003C62D5" w:rsidRPr="008A07C9" w:rsidRDefault="003C62D5" w:rsidP="003C62D5">
      <w:pPr>
        <w:rPr>
          <w:rFonts w:cs="Times New Roman"/>
        </w:rPr>
      </w:pPr>
    </w:p>
    <w:p w14:paraId="3041190E" w14:textId="77777777" w:rsidR="003C62D5" w:rsidRPr="008A07C9" w:rsidRDefault="003C62D5" w:rsidP="003C62D5">
      <w:pPr>
        <w:rPr>
          <w:rFonts w:cs="Times New Roman"/>
        </w:rPr>
      </w:pPr>
    </w:p>
    <w:p w14:paraId="4C6AEB74" w14:textId="77777777" w:rsidR="003C62D5" w:rsidRPr="008A07C9" w:rsidRDefault="003C62D5" w:rsidP="003C62D5">
      <w:pPr>
        <w:rPr>
          <w:rFonts w:cs="Times New Roman"/>
        </w:rPr>
      </w:pPr>
    </w:p>
    <w:p w14:paraId="3CD791EA" w14:textId="77777777" w:rsidR="003C62D5" w:rsidRPr="008A07C9" w:rsidRDefault="003C62D5" w:rsidP="003C62D5">
      <w:pPr>
        <w:rPr>
          <w:rFonts w:cs="Times New Roman"/>
        </w:rPr>
      </w:pPr>
    </w:p>
    <w:p w14:paraId="35059081" w14:textId="77777777" w:rsidR="003C62D5" w:rsidRPr="008A07C9" w:rsidRDefault="003C62D5" w:rsidP="003C62D5">
      <w:pPr>
        <w:rPr>
          <w:rFonts w:cs="Times New Roman"/>
        </w:rPr>
      </w:pPr>
    </w:p>
    <w:p w14:paraId="31857E2E" w14:textId="77777777" w:rsidR="003C62D5" w:rsidRPr="008A07C9" w:rsidRDefault="003C62D5" w:rsidP="003C62D5">
      <w:pPr>
        <w:pBdr>
          <w:top w:val="single" w:sz="4" w:space="1" w:color="auto"/>
        </w:pBdr>
        <w:rPr>
          <w:rFonts w:cs="Times New Roman"/>
          <w:b/>
          <w:u w:val="single"/>
        </w:rPr>
      </w:pPr>
      <w:r w:rsidRPr="008A07C9">
        <w:rPr>
          <w:rFonts w:cs="Times New Roman"/>
        </w:rPr>
        <w:t>*Corresponding author</w:t>
      </w:r>
    </w:p>
    <w:p w14:paraId="694671F7" w14:textId="77777777" w:rsidR="00F325F4" w:rsidRDefault="00F325F4">
      <w:pPr>
        <w:spacing w:before="0" w:after="0"/>
        <w:rPr>
          <w:rFonts w:cs="Times New Roman"/>
          <w:u w:val="single"/>
        </w:rPr>
      </w:pPr>
      <w:r>
        <w:rPr>
          <w:rFonts w:cs="Times New Roman"/>
          <w:b/>
          <w:u w:val="single"/>
        </w:rPr>
        <w:br w:type="page"/>
      </w:r>
    </w:p>
    <w:p w14:paraId="4E8F06F7" w14:textId="77777777" w:rsidR="00F325F4" w:rsidRPr="00DE6EB3" w:rsidRDefault="00F325F4" w:rsidP="00F325F4">
      <w:pPr>
        <w:spacing w:before="0" w:after="0"/>
        <w:rPr>
          <w:rFonts w:cs="Times New Roman"/>
        </w:rPr>
      </w:pPr>
      <w:r w:rsidRPr="00DE6EB3">
        <w:rPr>
          <w:rFonts w:cs="Times New Roman"/>
          <w:b/>
        </w:rPr>
        <w:lastRenderedPageBreak/>
        <w:t>Abstract</w:t>
      </w:r>
    </w:p>
    <w:p w14:paraId="600B23B2" w14:textId="77777777" w:rsidR="00F325F4" w:rsidRDefault="00F325F4" w:rsidP="002175CE">
      <w:r w:rsidRPr="00884942">
        <w:t xml:space="preserve">The traditional </w:t>
      </w:r>
      <w:r>
        <w:t xml:space="preserve">quantitative </w:t>
      </w:r>
      <w:r w:rsidRPr="00884942">
        <w:t xml:space="preserve">approach to </w:t>
      </w:r>
      <w:r>
        <w:t>studying</w:t>
      </w:r>
      <w:r w:rsidRPr="00884942">
        <w:t xml:space="preserve"> Bicycle Sharing System (BSS) usage involves examining the influence of BSS infrastructure (such as number of BSS stations and capacity), transportation network infrastructure, land use and urban form, meteorological data, and temporal characteristics. These studies, as expected, conclude that BSS infrastructure (number of stations and capacity) have substantial influence on BSS usage. The</w:t>
      </w:r>
      <w:r w:rsidR="00EA6AED">
        <w:t xml:space="preserve"> earlier </w:t>
      </w:r>
      <w:r w:rsidRPr="00884942">
        <w:t xml:space="preserve">studies consider usage as a dependent variable and employ BSS infrastructure as an independent variable. Thus, in the models developed, the </w:t>
      </w:r>
      <w:r>
        <w:t xml:space="preserve">unobserved factors influencing the </w:t>
      </w:r>
      <w:r w:rsidRPr="00884942">
        <w:t xml:space="preserve">measured dependent variable (BSS usage) </w:t>
      </w:r>
      <w:r>
        <w:t xml:space="preserve">also strongly influence </w:t>
      </w:r>
      <w:r w:rsidRPr="00884942">
        <w:t xml:space="preserve">one of the independent variables (BSS infrastructure). This is a classic violation of the most basic assumption in econometric modeling i.e. the </w:t>
      </w:r>
      <w:r>
        <w:t>error component in the model</w:t>
      </w:r>
      <w:r w:rsidRPr="00884942">
        <w:t xml:space="preserve"> is not correlated with any of the exogenous variables. The model estimates obtained with this erroneous assumption are likely to over-estimate the impact of BSS infrastructure. Our research effort proposes an econometric framework that remedies this drawback. We propose a measurement equation to account for the installation process and relate it to the usage equations thus correcting for the bias introduced in earlier research efforts</w:t>
      </w:r>
      <w:r w:rsidR="002175CE">
        <w:t xml:space="preserve"> by </w:t>
      </w:r>
      <w:r w:rsidR="002175CE" w:rsidRPr="008A07C9">
        <w:rPr>
          <w:rFonts w:cs="Times New Roman"/>
          <w:szCs w:val="24"/>
        </w:rPr>
        <w:t>formulat</w:t>
      </w:r>
      <w:r w:rsidR="002175CE">
        <w:rPr>
          <w:rFonts w:cs="Times New Roman"/>
          <w:szCs w:val="24"/>
        </w:rPr>
        <w:t>ing</w:t>
      </w:r>
      <w:r w:rsidR="002175CE" w:rsidRPr="008A07C9">
        <w:rPr>
          <w:rFonts w:cs="Times New Roman"/>
          <w:szCs w:val="24"/>
        </w:rPr>
        <w:t xml:space="preserve"> a </w:t>
      </w:r>
      <w:r w:rsidR="002175CE">
        <w:rPr>
          <w:rFonts w:cs="Times New Roman"/>
          <w:szCs w:val="24"/>
        </w:rPr>
        <w:t>multi-level</w:t>
      </w:r>
      <w:r w:rsidR="002175CE" w:rsidRPr="008A07C9">
        <w:rPr>
          <w:rFonts w:cs="Times New Roman"/>
          <w:szCs w:val="24"/>
        </w:rPr>
        <w:t xml:space="preserve"> </w:t>
      </w:r>
      <w:r w:rsidR="002175CE">
        <w:rPr>
          <w:rFonts w:cs="Times New Roman"/>
          <w:szCs w:val="24"/>
        </w:rPr>
        <w:t xml:space="preserve">joint </w:t>
      </w:r>
      <w:r w:rsidR="002175CE" w:rsidRPr="008A07C9">
        <w:rPr>
          <w:rFonts w:cs="Times New Roman"/>
          <w:szCs w:val="24"/>
        </w:rPr>
        <w:t>econometric framework</w:t>
      </w:r>
      <w:r w:rsidRPr="00884942">
        <w:t xml:space="preserve">. The econometric models developed have been estimated using data compiled from April 2012 to August 2012 for the </w:t>
      </w:r>
      <w:r>
        <w:t xml:space="preserve">BIXI system in </w:t>
      </w:r>
      <w:r w:rsidRPr="00884942">
        <w:t xml:space="preserve">Montreal. The model estimates support our hypothesis and clearly show over-estimation of BSS infrastructure impacts in models that neglect the installation process. </w:t>
      </w:r>
      <w:r>
        <w:t>An elasticity analysis to highlight the advantage</w:t>
      </w:r>
      <w:r w:rsidR="00B509E6">
        <w:t>s</w:t>
      </w:r>
      <w:r>
        <w:t xml:space="preserve"> of the proposed econometric model is also conducted.</w:t>
      </w:r>
    </w:p>
    <w:p w14:paraId="26654812" w14:textId="77777777" w:rsidR="00F325F4" w:rsidRDefault="00F325F4" w:rsidP="00F325F4"/>
    <w:p w14:paraId="168A9D4E" w14:textId="77777777" w:rsidR="00F325F4" w:rsidRDefault="00F325F4" w:rsidP="00912E7D">
      <w:r>
        <w:t xml:space="preserve">Keywords: Bicycle Sharing Systems, </w:t>
      </w:r>
      <w:r w:rsidR="003B500F">
        <w:t xml:space="preserve">Bicycle </w:t>
      </w:r>
      <w:r w:rsidR="002175CE">
        <w:t>Sharing System Installation</w:t>
      </w:r>
      <w:r w:rsidR="003B500F">
        <w:t xml:space="preserve">, </w:t>
      </w:r>
      <w:r w:rsidR="002175CE">
        <w:t xml:space="preserve">Arrivals </w:t>
      </w:r>
      <w:r w:rsidR="00C64268">
        <w:t xml:space="preserve">and </w:t>
      </w:r>
      <w:r w:rsidR="002175CE">
        <w:t>Departures</w:t>
      </w:r>
      <w:r w:rsidR="00865335">
        <w:t xml:space="preserve">, </w:t>
      </w:r>
      <w:r w:rsidR="00023F4F">
        <w:t xml:space="preserve">and </w:t>
      </w:r>
      <w:r w:rsidR="002175CE">
        <w:t>Endogeneity</w:t>
      </w:r>
    </w:p>
    <w:p w14:paraId="5EC166BE" w14:textId="77777777" w:rsidR="00BB1DC9" w:rsidRPr="00023F4F" w:rsidRDefault="00BB1DC9" w:rsidP="00023F4F">
      <w:pPr>
        <w:sectPr w:rsidR="00BB1DC9" w:rsidRPr="00023F4F" w:rsidSect="005A1BF9">
          <w:footerReference w:type="default" r:id="rId10"/>
          <w:pgSz w:w="12240" w:h="15840"/>
          <w:pgMar w:top="1440" w:right="1440" w:bottom="1440" w:left="1440" w:header="708" w:footer="708" w:gutter="0"/>
          <w:cols w:space="708"/>
          <w:docGrid w:linePitch="360"/>
        </w:sectPr>
      </w:pPr>
    </w:p>
    <w:p w14:paraId="3C8F63B6" w14:textId="77777777" w:rsidR="003C62D5" w:rsidRPr="008A07C9" w:rsidRDefault="003C62D5" w:rsidP="003C62D5">
      <w:pPr>
        <w:pStyle w:val="Heading1"/>
        <w:autoSpaceDE w:val="0"/>
        <w:autoSpaceDN w:val="0"/>
        <w:adjustRightInd w:val="0"/>
        <w:jc w:val="left"/>
        <w:rPr>
          <w:rFonts w:cs="Times New Roman"/>
        </w:rPr>
      </w:pPr>
      <w:r w:rsidRPr="008A07C9">
        <w:rPr>
          <w:rFonts w:cs="Times New Roman"/>
        </w:rPr>
        <w:lastRenderedPageBreak/>
        <w:t>Introduction</w:t>
      </w:r>
    </w:p>
    <w:p w14:paraId="22F6E9AA" w14:textId="26835110" w:rsidR="00D3607A" w:rsidRDefault="0055157C" w:rsidP="00D3607A">
      <w:pPr>
        <w:rPr>
          <w:rFonts w:cs="Times New Roman"/>
        </w:rPr>
      </w:pPr>
      <w:r w:rsidRPr="008A07C9">
        <w:rPr>
          <w:rFonts w:cs="Times New Roman"/>
        </w:rPr>
        <w:t>T</w:t>
      </w:r>
      <w:r w:rsidR="003C62D5" w:rsidRPr="008A07C9">
        <w:rPr>
          <w:rFonts w:cs="Times New Roman"/>
        </w:rPr>
        <w:t xml:space="preserve">here has been growing </w:t>
      </w:r>
      <w:r w:rsidRPr="008A07C9">
        <w:rPr>
          <w:rFonts w:cs="Times New Roman"/>
        </w:rPr>
        <w:t xml:space="preserve">interest </w:t>
      </w:r>
      <w:r w:rsidR="004C2025" w:rsidRPr="008A07C9">
        <w:rPr>
          <w:rFonts w:cs="Times New Roman"/>
        </w:rPr>
        <w:t xml:space="preserve">in </w:t>
      </w:r>
      <w:r w:rsidR="003C62D5" w:rsidRPr="008A07C9">
        <w:rPr>
          <w:rFonts w:cs="Times New Roman"/>
        </w:rPr>
        <w:t>bicycle</w:t>
      </w:r>
      <w:r w:rsidR="00D370F0">
        <w:rPr>
          <w:rFonts w:cs="Times New Roman"/>
        </w:rPr>
        <w:t xml:space="preserve"> </w:t>
      </w:r>
      <w:r w:rsidR="003C62D5" w:rsidRPr="008A07C9">
        <w:rPr>
          <w:rFonts w:cs="Times New Roman"/>
        </w:rPr>
        <w:t>sharing systems (BSS) as an alternative and complementary mode of transportation (Faghih-Imani et al. 201</w:t>
      </w:r>
      <w:r w:rsidR="003F1816" w:rsidRPr="008A07C9">
        <w:rPr>
          <w:rFonts w:cs="Times New Roman"/>
        </w:rPr>
        <w:t>4</w:t>
      </w:r>
      <w:r w:rsidR="003C62D5" w:rsidRPr="008A07C9">
        <w:rPr>
          <w:rFonts w:cs="Times New Roman"/>
        </w:rPr>
        <w:t xml:space="preserve">). </w:t>
      </w:r>
      <w:r w:rsidR="00672622" w:rsidRPr="008A07C9">
        <w:rPr>
          <w:rFonts w:cs="Times New Roman"/>
        </w:rPr>
        <w:t xml:space="preserve">BSS </w:t>
      </w:r>
      <w:r w:rsidR="003C62D5" w:rsidRPr="008A07C9">
        <w:rPr>
          <w:rFonts w:cs="Times New Roman"/>
        </w:rPr>
        <w:t xml:space="preserve">systems are recognized to </w:t>
      </w:r>
      <w:r w:rsidR="00B15DC3" w:rsidRPr="008A07C9">
        <w:rPr>
          <w:rFonts w:cs="Times New Roman"/>
        </w:rPr>
        <w:t xml:space="preserve">offer </w:t>
      </w:r>
      <w:r w:rsidR="003C62D5" w:rsidRPr="008A07C9">
        <w:rPr>
          <w:rFonts w:cs="Times New Roman"/>
        </w:rPr>
        <w:t>benefits such as flexible mobility, physical activity benefits, and support for multimodal transp</w:t>
      </w:r>
      <w:r w:rsidR="007B6920">
        <w:rPr>
          <w:rFonts w:cs="Times New Roman"/>
        </w:rPr>
        <w:t>ort connections (Shaheen et al.</w:t>
      </w:r>
      <w:r w:rsidR="003C62D5" w:rsidRPr="008A07C9">
        <w:rPr>
          <w:rFonts w:cs="Times New Roman"/>
        </w:rPr>
        <w:t xml:space="preserve"> 2010). With the growing installation of BSS </w:t>
      </w:r>
      <w:r w:rsidR="00672622" w:rsidRPr="008A07C9">
        <w:rPr>
          <w:rFonts w:cs="Times New Roman"/>
        </w:rPr>
        <w:t xml:space="preserve">infrastructure </w:t>
      </w:r>
      <w:r w:rsidR="003C62D5" w:rsidRPr="008A07C9">
        <w:rPr>
          <w:rFonts w:cs="Times New Roman"/>
        </w:rPr>
        <w:t>across the world</w:t>
      </w:r>
      <w:r w:rsidR="00A03247">
        <w:rPr>
          <w:rFonts w:cs="Times New Roman"/>
        </w:rPr>
        <w:t>,</w:t>
      </w:r>
      <w:r w:rsidR="003C62D5" w:rsidRPr="008A07C9">
        <w:rPr>
          <w:rFonts w:cs="Times New Roman"/>
        </w:rPr>
        <w:t xml:space="preserve"> there is </w:t>
      </w:r>
      <w:r w:rsidR="00695CC2" w:rsidRPr="008A07C9">
        <w:rPr>
          <w:rFonts w:cs="Times New Roman"/>
        </w:rPr>
        <w:t xml:space="preserve">a </w:t>
      </w:r>
      <w:r w:rsidR="003C62D5" w:rsidRPr="008A07C9">
        <w:rPr>
          <w:rFonts w:cs="Times New Roman"/>
        </w:rPr>
        <w:t xml:space="preserve">substantial interest </w:t>
      </w:r>
      <w:r w:rsidR="00695CC2" w:rsidRPr="008A07C9">
        <w:rPr>
          <w:rFonts w:cs="Times New Roman"/>
        </w:rPr>
        <w:t>i</w:t>
      </w:r>
      <w:r w:rsidR="003C62D5" w:rsidRPr="008A07C9">
        <w:rPr>
          <w:rFonts w:cs="Times New Roman"/>
        </w:rPr>
        <w:t xml:space="preserve">n understanding how these systems </w:t>
      </w:r>
      <w:r w:rsidR="00672622" w:rsidRPr="008A07C9">
        <w:rPr>
          <w:rFonts w:cs="Times New Roman"/>
        </w:rPr>
        <w:t>impact</w:t>
      </w:r>
      <w:r w:rsidR="003C62D5" w:rsidRPr="008A07C9">
        <w:rPr>
          <w:rFonts w:cs="Times New Roman"/>
        </w:rPr>
        <w:t xml:space="preserve"> the urban transportation system. The </w:t>
      </w:r>
      <w:r w:rsidR="00463C02" w:rsidRPr="008A07C9">
        <w:rPr>
          <w:rFonts w:cs="Times New Roman"/>
        </w:rPr>
        <w:t>typical</w:t>
      </w:r>
      <w:r w:rsidR="003C62D5" w:rsidRPr="008A07C9">
        <w:rPr>
          <w:rFonts w:cs="Times New Roman"/>
        </w:rPr>
        <w:t xml:space="preserve"> approach </w:t>
      </w:r>
      <w:r w:rsidR="005E5061" w:rsidRPr="008A07C9">
        <w:rPr>
          <w:rFonts w:cs="Times New Roman"/>
        </w:rPr>
        <w:t>for</w:t>
      </w:r>
      <w:r w:rsidR="003C62D5" w:rsidRPr="008A07C9">
        <w:rPr>
          <w:rFonts w:cs="Times New Roman"/>
        </w:rPr>
        <w:t xml:space="preserve"> </w:t>
      </w:r>
      <w:r w:rsidR="00463C02" w:rsidRPr="008A07C9">
        <w:rPr>
          <w:rFonts w:cs="Times New Roman"/>
        </w:rPr>
        <w:t>analyzing</w:t>
      </w:r>
      <w:r w:rsidR="003C62D5" w:rsidRPr="008A07C9">
        <w:rPr>
          <w:rFonts w:cs="Times New Roman"/>
        </w:rPr>
        <w:t xml:space="preserve"> BSS usage</w:t>
      </w:r>
      <w:r w:rsidR="005509A3">
        <w:rPr>
          <w:rFonts w:cs="Times New Roman"/>
        </w:rPr>
        <w:t xml:space="preserve"> </w:t>
      </w:r>
      <w:r w:rsidR="003C62D5" w:rsidRPr="008A07C9">
        <w:rPr>
          <w:rFonts w:cs="Times New Roman"/>
        </w:rPr>
        <w:t>involves examining the influence of BSS infrastructure (</w:t>
      </w:r>
      <w:r w:rsidR="00497B42" w:rsidRPr="008A07C9">
        <w:rPr>
          <w:rFonts w:cs="Times New Roman"/>
        </w:rPr>
        <w:t>e.g.</w:t>
      </w:r>
      <w:r w:rsidR="003C62D5" w:rsidRPr="008A07C9">
        <w:rPr>
          <w:rFonts w:cs="Times New Roman"/>
        </w:rPr>
        <w:t xml:space="preserve"> number of </w:t>
      </w:r>
      <w:r w:rsidR="00B15DC3" w:rsidRPr="008A07C9">
        <w:rPr>
          <w:rFonts w:cs="Times New Roman"/>
        </w:rPr>
        <w:t xml:space="preserve">BSS </w:t>
      </w:r>
      <w:r w:rsidR="003C62D5" w:rsidRPr="008A07C9">
        <w:rPr>
          <w:rFonts w:cs="Times New Roman"/>
        </w:rPr>
        <w:t xml:space="preserve">stations and </w:t>
      </w:r>
      <w:r w:rsidR="00463C02" w:rsidRPr="008A07C9">
        <w:rPr>
          <w:rFonts w:cs="Times New Roman"/>
        </w:rPr>
        <w:t xml:space="preserve">stations’ </w:t>
      </w:r>
      <w:r w:rsidR="003C62D5" w:rsidRPr="008A07C9">
        <w:rPr>
          <w:rFonts w:cs="Times New Roman"/>
        </w:rPr>
        <w:t>capacity), transportation network infrastructure (</w:t>
      </w:r>
      <w:r w:rsidR="00497B42" w:rsidRPr="008A07C9">
        <w:rPr>
          <w:rFonts w:cs="Times New Roman"/>
        </w:rPr>
        <w:t xml:space="preserve">e.g. </w:t>
      </w:r>
      <w:r w:rsidR="003C62D5" w:rsidRPr="008A07C9">
        <w:rPr>
          <w:rFonts w:cs="Times New Roman"/>
        </w:rPr>
        <w:t>length of bicycle facilities</w:t>
      </w:r>
      <w:r w:rsidR="00B15DC3" w:rsidRPr="008A07C9">
        <w:rPr>
          <w:rFonts w:cs="Times New Roman"/>
        </w:rPr>
        <w:t xml:space="preserve">, </w:t>
      </w:r>
      <w:r w:rsidR="003C62D5" w:rsidRPr="008A07C9">
        <w:rPr>
          <w:rFonts w:cs="Times New Roman"/>
        </w:rPr>
        <w:t xml:space="preserve">streets and major roads), land use and </w:t>
      </w:r>
      <w:r w:rsidR="00294D9D">
        <w:rPr>
          <w:rFonts w:cs="Times New Roman"/>
        </w:rPr>
        <w:t>built environment</w:t>
      </w:r>
      <w:r w:rsidR="003C62D5" w:rsidRPr="008A07C9">
        <w:rPr>
          <w:rFonts w:cs="Times New Roman"/>
        </w:rPr>
        <w:t xml:space="preserve"> (</w:t>
      </w:r>
      <w:r w:rsidR="00497B42" w:rsidRPr="008A07C9">
        <w:rPr>
          <w:rFonts w:cs="Times New Roman"/>
        </w:rPr>
        <w:t xml:space="preserve">e.g. </w:t>
      </w:r>
      <w:r w:rsidR="00294D9D">
        <w:rPr>
          <w:rFonts w:cs="Times New Roman"/>
        </w:rPr>
        <w:t xml:space="preserve">population density, </w:t>
      </w:r>
      <w:r w:rsidR="003C62D5" w:rsidRPr="008A07C9">
        <w:rPr>
          <w:rFonts w:cs="Times New Roman"/>
        </w:rPr>
        <w:t>presence of metro and bus stations, restaurants, businesses and universities), meteorological data (</w:t>
      </w:r>
      <w:r w:rsidR="00497B42" w:rsidRPr="008A07C9">
        <w:rPr>
          <w:rFonts w:cs="Times New Roman"/>
        </w:rPr>
        <w:t>e.g.</w:t>
      </w:r>
      <w:r w:rsidR="003C62D5" w:rsidRPr="008A07C9">
        <w:rPr>
          <w:rFonts w:cs="Times New Roman"/>
        </w:rPr>
        <w:t xml:space="preserve"> temperature and humidity), and temporal characteristics (</w:t>
      </w:r>
      <w:r w:rsidR="00497B42" w:rsidRPr="008A07C9">
        <w:rPr>
          <w:rFonts w:cs="Times New Roman"/>
        </w:rPr>
        <w:t>e.g.</w:t>
      </w:r>
      <w:r w:rsidR="003C62D5" w:rsidRPr="008A07C9">
        <w:rPr>
          <w:rFonts w:cs="Times New Roman"/>
        </w:rPr>
        <w:t xml:space="preserve"> time of day, day of the week and month). </w:t>
      </w:r>
    </w:p>
    <w:p w14:paraId="7F5B4624" w14:textId="342FB9AC" w:rsidR="00D370F0" w:rsidRDefault="00F964C4" w:rsidP="00C944D0">
      <w:pPr>
        <w:ind w:firstLine="720"/>
        <w:rPr>
          <w:rFonts w:cs="Times New Roman"/>
        </w:rPr>
      </w:pPr>
      <w:r>
        <w:rPr>
          <w:rFonts w:cs="Times New Roman"/>
        </w:rPr>
        <w:t>Several studies demonstrate that</w:t>
      </w:r>
      <w:r w:rsidRPr="002943EC">
        <w:rPr>
          <w:rFonts w:cs="Times New Roman"/>
        </w:rPr>
        <w:t xml:space="preserve"> </w:t>
      </w:r>
      <w:r w:rsidR="00B90720">
        <w:rPr>
          <w:rFonts w:cs="Times New Roman"/>
        </w:rPr>
        <w:t>increasing</w:t>
      </w:r>
      <w:r w:rsidRPr="002943EC">
        <w:rPr>
          <w:rFonts w:cs="Times New Roman"/>
        </w:rPr>
        <w:t xml:space="preserve"> </w:t>
      </w:r>
      <w:r>
        <w:rPr>
          <w:rFonts w:cs="Times New Roman"/>
        </w:rPr>
        <w:t xml:space="preserve">BSS </w:t>
      </w:r>
      <w:r w:rsidR="00B90720">
        <w:rPr>
          <w:rFonts w:cs="Times New Roman"/>
        </w:rPr>
        <w:t xml:space="preserve">infrastructure (number of </w:t>
      </w:r>
      <w:r w:rsidRPr="002943EC">
        <w:rPr>
          <w:rFonts w:cs="Times New Roman"/>
        </w:rPr>
        <w:t>stations</w:t>
      </w:r>
      <w:r w:rsidR="00B90720">
        <w:rPr>
          <w:rFonts w:cs="Times New Roman"/>
        </w:rPr>
        <w:t xml:space="preserve"> and capacity) increases</w:t>
      </w:r>
      <w:r>
        <w:rPr>
          <w:rFonts w:cs="Times New Roman"/>
        </w:rPr>
        <w:t xml:space="preserve"> BSS usage</w:t>
      </w:r>
      <w:r w:rsidR="00B90720">
        <w:rPr>
          <w:rFonts w:cs="Times New Roman"/>
        </w:rPr>
        <w:t xml:space="preserve"> (</w:t>
      </w:r>
      <w:r w:rsidR="00B90720" w:rsidRPr="008A07C9">
        <w:rPr>
          <w:rFonts w:cs="Times New Roman"/>
        </w:rPr>
        <w:t>Faghih-Imani et al. 2014</w:t>
      </w:r>
      <w:r w:rsidR="00986537">
        <w:rPr>
          <w:rFonts w:cs="Times New Roman"/>
        </w:rPr>
        <w:t>;</w:t>
      </w:r>
      <w:r w:rsidR="00986537" w:rsidRPr="00986537">
        <w:rPr>
          <w:rFonts w:cs="Times New Roman"/>
        </w:rPr>
        <w:t xml:space="preserve"> </w:t>
      </w:r>
      <w:r w:rsidR="00986537">
        <w:rPr>
          <w:rFonts w:cs="Times New Roman"/>
        </w:rPr>
        <w:t>Wang et al. 2015</w:t>
      </w:r>
      <w:r w:rsidR="00B90720">
        <w:rPr>
          <w:rFonts w:cs="Times New Roman"/>
        </w:rPr>
        <w:t xml:space="preserve">). </w:t>
      </w:r>
      <w:r>
        <w:rPr>
          <w:rFonts w:cs="Times New Roman"/>
        </w:rPr>
        <w:t xml:space="preserve"> </w:t>
      </w:r>
      <w:r w:rsidR="00B90720">
        <w:rPr>
          <w:rFonts w:cs="Times New Roman"/>
        </w:rPr>
        <w:t>Land use and urban</w:t>
      </w:r>
      <w:r w:rsidR="00294D9D">
        <w:rPr>
          <w:rFonts w:cs="Times New Roman"/>
        </w:rPr>
        <w:t xml:space="preserve"> form</w:t>
      </w:r>
      <w:r w:rsidR="00B90720">
        <w:rPr>
          <w:rFonts w:cs="Times New Roman"/>
        </w:rPr>
        <w:t xml:space="preserve"> variables such as </w:t>
      </w:r>
      <w:r>
        <w:rPr>
          <w:rFonts w:cs="Times New Roman"/>
        </w:rPr>
        <w:t>higher job or population density</w:t>
      </w:r>
      <w:r w:rsidR="00B90720">
        <w:rPr>
          <w:rFonts w:cs="Times New Roman"/>
        </w:rPr>
        <w:t xml:space="preserve"> also contribute to BSS usage</w:t>
      </w:r>
      <w:r>
        <w:rPr>
          <w:rFonts w:cs="Times New Roman"/>
        </w:rPr>
        <w:t xml:space="preserve"> (</w:t>
      </w:r>
      <w:r w:rsidRPr="008A07C9">
        <w:rPr>
          <w:rFonts w:cs="Times New Roman"/>
          <w:bCs/>
          <w:szCs w:val="24"/>
        </w:rPr>
        <w:t>Rixey 2013</w:t>
      </w:r>
      <w:r w:rsidR="007B6920">
        <w:rPr>
          <w:rFonts w:cs="Times New Roman"/>
          <w:bCs/>
          <w:szCs w:val="24"/>
        </w:rPr>
        <w:t>;</w:t>
      </w:r>
      <w:r>
        <w:rPr>
          <w:rFonts w:cs="Times New Roman"/>
          <w:bCs/>
          <w:szCs w:val="24"/>
        </w:rPr>
        <w:t xml:space="preserve"> </w:t>
      </w:r>
      <w:r w:rsidRPr="008A07C9">
        <w:rPr>
          <w:rFonts w:cs="Times New Roman"/>
        </w:rPr>
        <w:t>Faghih-Imani et al. 2014</w:t>
      </w:r>
      <w:r>
        <w:rPr>
          <w:rFonts w:cs="Times New Roman"/>
          <w:bCs/>
          <w:szCs w:val="24"/>
        </w:rPr>
        <w:t>).</w:t>
      </w:r>
      <w:r>
        <w:rPr>
          <w:rFonts w:cs="Times New Roman"/>
        </w:rPr>
        <w:t xml:space="preserve"> </w:t>
      </w:r>
      <w:r w:rsidR="00B90720">
        <w:rPr>
          <w:rFonts w:cs="Times New Roman"/>
        </w:rPr>
        <w:t xml:space="preserve">Studies that examined usage at a fine time resolution (within a day) indicated that </w:t>
      </w:r>
      <w:r>
        <w:rPr>
          <w:rFonts w:cs="Times New Roman"/>
        </w:rPr>
        <w:t xml:space="preserve">temporal characteristics </w:t>
      </w:r>
      <w:r w:rsidR="00D370F0">
        <w:rPr>
          <w:rFonts w:cs="Times New Roman"/>
        </w:rPr>
        <w:t xml:space="preserve">affect </w:t>
      </w:r>
      <w:r>
        <w:rPr>
          <w:rFonts w:cs="Times New Roman"/>
        </w:rPr>
        <w:t xml:space="preserve">BSS </w:t>
      </w:r>
      <w:r w:rsidR="00D370F0">
        <w:rPr>
          <w:rFonts w:cs="Times New Roman"/>
        </w:rPr>
        <w:t xml:space="preserve">usage </w:t>
      </w:r>
      <w:r w:rsidR="00B90720">
        <w:rPr>
          <w:rFonts w:cs="Times New Roman"/>
        </w:rPr>
        <w:t>– with peak usage observed during the evening peak hours (</w:t>
      </w:r>
      <w:r w:rsidR="00B90720" w:rsidRPr="008A07C9">
        <w:rPr>
          <w:rFonts w:cs="Times New Roman"/>
        </w:rPr>
        <w:t>Faghih-Imani et al. 2014</w:t>
      </w:r>
      <w:r w:rsidR="006E5A5C">
        <w:t>; Faghih-Imani and Eluru, 2016</w:t>
      </w:r>
      <w:r w:rsidR="00B90720">
        <w:rPr>
          <w:rFonts w:cs="Times New Roman"/>
        </w:rPr>
        <w:t xml:space="preserve">). These studies have also found that BSS usage is higher </w:t>
      </w:r>
      <w:r w:rsidR="00A03247">
        <w:rPr>
          <w:rFonts w:cs="Times New Roman"/>
        </w:rPr>
        <w:t xml:space="preserve">on </w:t>
      </w:r>
      <w:r w:rsidR="00B90720">
        <w:rPr>
          <w:rFonts w:cs="Times New Roman"/>
        </w:rPr>
        <w:t>weekdays compared to weekend</w:t>
      </w:r>
      <w:r w:rsidR="00294D9D">
        <w:rPr>
          <w:rFonts w:cs="Times New Roman"/>
        </w:rPr>
        <w:t>s</w:t>
      </w:r>
      <w:r w:rsidR="00B90720">
        <w:rPr>
          <w:rFonts w:cs="Times New Roman"/>
        </w:rPr>
        <w:t>. While examining the impact of point of interests such as restaurants, retail stores, and universities near BSS stations</w:t>
      </w:r>
      <w:r w:rsidR="00294D9D">
        <w:rPr>
          <w:rFonts w:cs="Times New Roman"/>
        </w:rPr>
        <w:t>,</w:t>
      </w:r>
      <w:r w:rsidR="00B90720">
        <w:rPr>
          <w:rFonts w:cs="Times New Roman"/>
        </w:rPr>
        <w:t xml:space="preserve"> </w:t>
      </w:r>
      <w:r w:rsidR="00294D9D">
        <w:rPr>
          <w:rFonts w:cs="Times New Roman"/>
        </w:rPr>
        <w:t xml:space="preserve">studies </w:t>
      </w:r>
      <w:r w:rsidR="00B90720">
        <w:rPr>
          <w:rFonts w:cs="Times New Roman"/>
        </w:rPr>
        <w:t xml:space="preserve">found evidence </w:t>
      </w:r>
      <w:r w:rsidR="00D370F0">
        <w:rPr>
          <w:rFonts w:cs="Times New Roman"/>
        </w:rPr>
        <w:t>that</w:t>
      </w:r>
      <w:r w:rsidR="00B90720">
        <w:rPr>
          <w:rFonts w:cs="Times New Roman"/>
        </w:rPr>
        <w:t xml:space="preserve"> BSS </w:t>
      </w:r>
      <w:r w:rsidR="00D370F0">
        <w:rPr>
          <w:rFonts w:cs="Times New Roman"/>
        </w:rPr>
        <w:t>usage was higher</w:t>
      </w:r>
      <w:r w:rsidR="00B90720">
        <w:rPr>
          <w:rFonts w:cs="Times New Roman"/>
        </w:rPr>
        <w:t xml:space="preserve"> for stations with</w:t>
      </w:r>
      <w:r w:rsidR="00A03247">
        <w:rPr>
          <w:rFonts w:cs="Times New Roman"/>
        </w:rPr>
        <w:t xml:space="preserve"> the</w:t>
      </w:r>
      <w:r w:rsidR="00B90720">
        <w:rPr>
          <w:rFonts w:cs="Times New Roman"/>
        </w:rPr>
        <w:t xml:space="preserve"> higher number of poi</w:t>
      </w:r>
      <w:r w:rsidR="002C04B8">
        <w:rPr>
          <w:rFonts w:cs="Times New Roman"/>
        </w:rPr>
        <w:t>nt of interests in the vicinity</w:t>
      </w:r>
      <w:r w:rsidR="00B90720">
        <w:rPr>
          <w:rFonts w:cs="Times New Roman"/>
        </w:rPr>
        <w:t xml:space="preserve"> (</w:t>
      </w:r>
      <w:r w:rsidR="00B90720" w:rsidRPr="008A07C9">
        <w:rPr>
          <w:rFonts w:cs="Times New Roman"/>
          <w:bCs/>
          <w:szCs w:val="24"/>
        </w:rPr>
        <w:t>Rixey 2013</w:t>
      </w:r>
      <w:r w:rsidR="007B6920">
        <w:rPr>
          <w:rFonts w:cs="Times New Roman"/>
          <w:bCs/>
          <w:szCs w:val="24"/>
        </w:rPr>
        <w:t>;</w:t>
      </w:r>
      <w:r w:rsidR="00B90720">
        <w:rPr>
          <w:rFonts w:cs="Times New Roman"/>
          <w:bCs/>
          <w:szCs w:val="24"/>
        </w:rPr>
        <w:t xml:space="preserve"> </w:t>
      </w:r>
      <w:r w:rsidR="00B90720" w:rsidRPr="008A07C9">
        <w:rPr>
          <w:rFonts w:cs="Times New Roman"/>
        </w:rPr>
        <w:t>Faghih-Imani et al. 2014</w:t>
      </w:r>
      <w:r w:rsidR="00B90720">
        <w:rPr>
          <w:rFonts w:cs="Times New Roman"/>
          <w:bCs/>
          <w:szCs w:val="24"/>
        </w:rPr>
        <w:t>).</w:t>
      </w:r>
      <w:r w:rsidR="00B90720">
        <w:rPr>
          <w:rFonts w:cs="Times New Roman"/>
        </w:rPr>
        <w:t xml:space="preserve"> More studies have explored the effect of </w:t>
      </w:r>
      <w:r>
        <w:rPr>
          <w:rFonts w:cs="Times New Roman"/>
        </w:rPr>
        <w:t xml:space="preserve">temperature and weather </w:t>
      </w:r>
      <w:r w:rsidR="00B90720">
        <w:rPr>
          <w:rFonts w:cs="Times New Roman"/>
        </w:rPr>
        <w:t>on usages</w:t>
      </w:r>
      <w:r>
        <w:rPr>
          <w:rFonts w:cs="Times New Roman"/>
        </w:rPr>
        <w:t xml:space="preserve"> (</w:t>
      </w:r>
      <w:r w:rsidRPr="008A07C9">
        <w:rPr>
          <w:rFonts w:cs="Times New Roman"/>
          <w:bCs/>
          <w:szCs w:val="24"/>
        </w:rPr>
        <w:t>Gebhart and Noland</w:t>
      </w:r>
      <w:r w:rsidRPr="008A07C9">
        <w:rPr>
          <w:rFonts w:cs="Times New Roman"/>
        </w:rPr>
        <w:t xml:space="preserve"> </w:t>
      </w:r>
      <w:r w:rsidR="00986537" w:rsidRPr="008A07C9">
        <w:rPr>
          <w:rFonts w:cs="Times New Roman"/>
        </w:rPr>
        <w:t>201</w:t>
      </w:r>
      <w:r w:rsidR="00986537">
        <w:rPr>
          <w:rFonts w:cs="Times New Roman"/>
        </w:rPr>
        <w:t>4</w:t>
      </w:r>
      <w:r w:rsidR="002C04B8">
        <w:rPr>
          <w:rFonts w:cs="Times New Roman"/>
        </w:rPr>
        <w:t>;</w:t>
      </w:r>
      <w:r>
        <w:rPr>
          <w:rFonts w:cs="Times New Roman"/>
        </w:rPr>
        <w:t xml:space="preserve"> </w:t>
      </w:r>
      <w:r w:rsidRPr="008A07C9">
        <w:rPr>
          <w:rFonts w:cs="Times New Roman"/>
        </w:rPr>
        <w:t>Faghih-Imani et al. 2014</w:t>
      </w:r>
      <w:r>
        <w:rPr>
          <w:rFonts w:cs="Times New Roman"/>
        </w:rPr>
        <w:t>). These studies</w:t>
      </w:r>
      <w:r w:rsidR="00B90720">
        <w:rPr>
          <w:rFonts w:cs="Times New Roman"/>
        </w:rPr>
        <w:t>, as expected,</w:t>
      </w:r>
      <w:r>
        <w:rPr>
          <w:rFonts w:cs="Times New Roman"/>
        </w:rPr>
        <w:t xml:space="preserve"> conclude that BSS </w:t>
      </w:r>
      <w:r w:rsidR="00B90720">
        <w:rPr>
          <w:rFonts w:cs="Times New Roman"/>
        </w:rPr>
        <w:t xml:space="preserve">usage is lower under adverse weather conditions (presence of rain, lower temperature). </w:t>
      </w:r>
      <w:r w:rsidR="00FB6CF4">
        <w:rPr>
          <w:rFonts w:cs="Times New Roman"/>
        </w:rPr>
        <w:t xml:space="preserve">Furthermore, the relationship between BSS and other public transportation systems such as subway or bus transit system are also examined by several research efforts (Nair et al. 2013; Faghih-Imani et al., 2014; </w:t>
      </w:r>
      <w:r w:rsidR="00FB6CF4">
        <w:t>Faghih-Imani and Eluru, 2015</w:t>
      </w:r>
      <w:r w:rsidR="0063294E">
        <w:t>; Faghih-Imani and Eluru, 2016</w:t>
      </w:r>
      <w:r w:rsidR="00FB6CF4">
        <w:t>)</w:t>
      </w:r>
      <w:r w:rsidR="00FB6CF4">
        <w:rPr>
          <w:rFonts w:cs="Times New Roman"/>
        </w:rPr>
        <w:t>.</w:t>
      </w:r>
    </w:p>
    <w:p w14:paraId="086AFDB1" w14:textId="77777777" w:rsidR="00C93B77" w:rsidRDefault="00C93B77">
      <w:pPr>
        <w:autoSpaceDE w:val="0"/>
        <w:autoSpaceDN w:val="0"/>
        <w:adjustRightInd w:val="0"/>
        <w:ind w:firstLine="720"/>
        <w:rPr>
          <w:rFonts w:cs="Times New Roman"/>
        </w:rPr>
      </w:pPr>
    </w:p>
    <w:p w14:paraId="0B93239B" w14:textId="77777777" w:rsidR="005509A3" w:rsidRPr="006B7DB7" w:rsidRDefault="005509A3" w:rsidP="001158BF">
      <w:pPr>
        <w:pStyle w:val="Heading1"/>
        <w:ind w:left="357" w:hanging="357"/>
        <w:rPr>
          <w:rFonts w:cs="Times New Roman"/>
        </w:rPr>
      </w:pPr>
      <w:r w:rsidRPr="006B7DB7">
        <w:rPr>
          <w:rFonts w:cs="Times New Roman"/>
        </w:rPr>
        <w:t>Current Study</w:t>
      </w:r>
    </w:p>
    <w:p w14:paraId="26C99C8B" w14:textId="77777777" w:rsidR="007768D6" w:rsidRPr="00B509E6" w:rsidRDefault="007768D6" w:rsidP="00B509E6">
      <w:pPr>
        <w:pStyle w:val="Heading2"/>
      </w:pPr>
      <w:r w:rsidRPr="00B509E6">
        <w:t>Earlier Research</w:t>
      </w:r>
    </w:p>
    <w:p w14:paraId="1F8752EB" w14:textId="082F48E4" w:rsidR="00372F46" w:rsidRPr="008A07C9" w:rsidRDefault="00B670F3" w:rsidP="007A0B3B">
      <w:pPr>
        <w:rPr>
          <w:rFonts w:cs="Times New Roman"/>
        </w:rPr>
      </w:pPr>
      <w:r>
        <w:rPr>
          <w:rFonts w:cs="Times New Roman"/>
        </w:rPr>
        <w:t>Earlier</w:t>
      </w:r>
      <w:r w:rsidR="005C3945" w:rsidRPr="008A07C9">
        <w:rPr>
          <w:rFonts w:cs="Times New Roman"/>
        </w:rPr>
        <w:t xml:space="preserve"> </w:t>
      </w:r>
      <w:r w:rsidR="001E6A1A" w:rsidRPr="008A07C9">
        <w:rPr>
          <w:rFonts w:cs="Times New Roman"/>
        </w:rPr>
        <w:t>research efforts</w:t>
      </w:r>
      <w:r w:rsidR="005C3945">
        <w:rPr>
          <w:rFonts w:cs="Times New Roman"/>
        </w:rPr>
        <w:t>, w</w:t>
      </w:r>
      <w:r w:rsidR="005C3945" w:rsidRPr="008A07C9">
        <w:rPr>
          <w:rFonts w:cs="Times New Roman"/>
        </w:rPr>
        <w:t xml:space="preserve">hile providing useful insights on the system level usage </w:t>
      </w:r>
      <w:r w:rsidRPr="008A07C9">
        <w:rPr>
          <w:rFonts w:cs="Times New Roman"/>
        </w:rPr>
        <w:t>patterns</w:t>
      </w:r>
      <w:r w:rsidR="00372F46">
        <w:rPr>
          <w:rFonts w:cs="Times New Roman"/>
        </w:rPr>
        <w:t>,</w:t>
      </w:r>
      <w:r w:rsidR="003C62D5" w:rsidRPr="008A07C9">
        <w:rPr>
          <w:rFonts w:cs="Times New Roman"/>
        </w:rPr>
        <w:t xml:space="preserve"> ignore the BSS infrastructure installation decision process i.e. BSS operators installed the infrastructure based on an expectation of system usage. The aforementioned research studies ignore this when they consider usage as a dependent variable and employ BSS infrastructure as an independent variable. </w:t>
      </w:r>
      <w:r w:rsidR="00D475B9" w:rsidRPr="00884942">
        <w:t xml:space="preserve">Thus, in the models developed, the </w:t>
      </w:r>
      <w:r w:rsidR="00D475B9">
        <w:t xml:space="preserve">unobserved factors influencing the </w:t>
      </w:r>
      <w:r w:rsidR="00D475B9" w:rsidRPr="00884942">
        <w:t xml:space="preserve">measured dependent variable (BSS usage) </w:t>
      </w:r>
      <w:r w:rsidR="00D475B9">
        <w:t xml:space="preserve">also strongly influence </w:t>
      </w:r>
      <w:r w:rsidR="00D475B9" w:rsidRPr="00884942">
        <w:t xml:space="preserve">one of the independent variables (BSS infrastructure). This is a classic violation of the most basic assumption in econometric modeling i.e. the </w:t>
      </w:r>
      <w:r w:rsidR="00D475B9">
        <w:t>error component in the model</w:t>
      </w:r>
      <w:r w:rsidR="00D475B9" w:rsidRPr="00884942">
        <w:t xml:space="preserve"> is not correlated with any of the exogenous variables</w:t>
      </w:r>
      <w:r w:rsidR="002C04B8">
        <w:rPr>
          <w:rFonts w:cs="Times New Roman"/>
        </w:rPr>
        <w:t xml:space="preserve"> (Greene</w:t>
      </w:r>
      <w:r w:rsidR="003C62D5" w:rsidRPr="008A07C9">
        <w:rPr>
          <w:rFonts w:cs="Times New Roman"/>
        </w:rPr>
        <w:t xml:space="preserve"> 20</w:t>
      </w:r>
      <w:r w:rsidR="007A0B3B">
        <w:rPr>
          <w:rFonts w:cs="Times New Roman"/>
        </w:rPr>
        <w:t>12</w:t>
      </w:r>
      <w:r w:rsidR="003C62D5" w:rsidRPr="008A07C9">
        <w:rPr>
          <w:rFonts w:cs="Times New Roman"/>
        </w:rPr>
        <w:t xml:space="preserve"> pp</w:t>
      </w:r>
      <w:r w:rsidR="002C04B8">
        <w:rPr>
          <w:rFonts w:cs="Times New Roman"/>
        </w:rPr>
        <w:t>.</w:t>
      </w:r>
      <w:r w:rsidR="003C62D5" w:rsidRPr="008A07C9">
        <w:rPr>
          <w:rFonts w:cs="Times New Roman"/>
        </w:rPr>
        <w:t xml:space="preserve"> </w:t>
      </w:r>
      <w:r w:rsidR="007A0B3B">
        <w:rPr>
          <w:rFonts w:cs="Times New Roman"/>
        </w:rPr>
        <w:t>63</w:t>
      </w:r>
      <w:r w:rsidR="003C62D5" w:rsidRPr="008A07C9">
        <w:rPr>
          <w:rFonts w:cs="Times New Roman"/>
        </w:rPr>
        <w:t xml:space="preserve">). </w:t>
      </w:r>
      <w:r w:rsidR="00D85D8C" w:rsidRPr="008A07C9">
        <w:rPr>
          <w:rFonts w:cs="Times New Roman"/>
        </w:rPr>
        <w:t xml:space="preserve">The model estimates obtained with this erroneous assumption are </w:t>
      </w:r>
      <w:r w:rsidR="001E6A1A" w:rsidRPr="008A07C9">
        <w:rPr>
          <w:rFonts w:cs="Times New Roman"/>
        </w:rPr>
        <w:t xml:space="preserve">very </w:t>
      </w:r>
      <w:r w:rsidR="00D85D8C" w:rsidRPr="008A07C9">
        <w:rPr>
          <w:rFonts w:cs="Times New Roman"/>
        </w:rPr>
        <w:t xml:space="preserve">likely to over-estimate the impact of </w:t>
      </w:r>
      <w:r w:rsidR="00F35D11" w:rsidRPr="008A07C9">
        <w:rPr>
          <w:rFonts w:cs="Times New Roman"/>
        </w:rPr>
        <w:t>BSS infrastructure</w:t>
      </w:r>
      <w:r w:rsidR="003732C3">
        <w:rPr>
          <w:rFonts w:cs="Times New Roman"/>
        </w:rPr>
        <w:t xml:space="preserve"> </w:t>
      </w:r>
      <w:r w:rsidR="00F40C04">
        <w:rPr>
          <w:rFonts w:cs="Times New Roman"/>
        </w:rPr>
        <w:t xml:space="preserve">- </w:t>
      </w:r>
      <w:r w:rsidR="003732C3">
        <w:rPr>
          <w:rFonts w:cs="Times New Roman"/>
        </w:rPr>
        <w:t>since the estimates related to BSS infrastructure include two impacts: the actual impact of BSS infrastructure on usage and part of the unobserved factors influencing usage</w:t>
      </w:r>
      <w:r w:rsidR="00F35D11" w:rsidRPr="008A07C9">
        <w:rPr>
          <w:rFonts w:cs="Times New Roman"/>
        </w:rPr>
        <w:t>.</w:t>
      </w:r>
      <w:r w:rsidR="00D85D8C" w:rsidRPr="008A07C9">
        <w:rPr>
          <w:rFonts w:cs="Times New Roman"/>
        </w:rPr>
        <w:t xml:space="preserve"> </w:t>
      </w:r>
      <w:r w:rsidR="003C62D5" w:rsidRPr="008A07C9">
        <w:rPr>
          <w:rFonts w:cs="Times New Roman"/>
        </w:rPr>
        <w:t>The current research effort proposes a</w:t>
      </w:r>
      <w:r w:rsidR="005509A3">
        <w:rPr>
          <w:rFonts w:cs="Times New Roman"/>
        </w:rPr>
        <w:t xml:space="preserve"> joint</w:t>
      </w:r>
      <w:r w:rsidR="003C62D5" w:rsidRPr="008A07C9">
        <w:rPr>
          <w:rFonts w:cs="Times New Roman"/>
        </w:rPr>
        <w:t xml:space="preserve"> econometric framework that remedies this drawback.</w:t>
      </w:r>
      <w:r w:rsidR="008155FE">
        <w:rPr>
          <w:rFonts w:cs="Times New Roman"/>
        </w:rPr>
        <w:t xml:space="preserve"> </w:t>
      </w:r>
    </w:p>
    <w:p w14:paraId="5626FB97" w14:textId="4AB4524C" w:rsidR="00A03247" w:rsidRDefault="003C62D5" w:rsidP="00A03247">
      <w:pPr>
        <w:ind w:firstLine="720"/>
        <w:rPr>
          <w:rFonts w:cs="Times New Roman"/>
        </w:rPr>
      </w:pPr>
      <w:r w:rsidRPr="008A07C9">
        <w:rPr>
          <w:rFonts w:cs="Times New Roman"/>
        </w:rPr>
        <w:lastRenderedPageBreak/>
        <w:t xml:space="preserve">To obtain the “true” impact of BSS infrastructure </w:t>
      </w:r>
      <w:r w:rsidR="001E6A1A" w:rsidRPr="008A07C9">
        <w:rPr>
          <w:rFonts w:cs="Times New Roman"/>
        </w:rPr>
        <w:t xml:space="preserve">on BSS usage, </w:t>
      </w:r>
      <w:r w:rsidRPr="008A07C9">
        <w:rPr>
          <w:rFonts w:cs="Times New Roman"/>
        </w:rPr>
        <w:t xml:space="preserve">it is critical to consider infrastructure installation and usage decisions as </w:t>
      </w:r>
      <w:r w:rsidR="001E6A1A" w:rsidRPr="008A07C9">
        <w:rPr>
          <w:rFonts w:cs="Times New Roman"/>
        </w:rPr>
        <w:t xml:space="preserve">an </w:t>
      </w:r>
      <w:r w:rsidRPr="008A07C9">
        <w:rPr>
          <w:rFonts w:cs="Times New Roman"/>
        </w:rPr>
        <w:t>interconnected</w:t>
      </w:r>
      <w:r w:rsidR="001E6A1A" w:rsidRPr="008A07C9">
        <w:rPr>
          <w:rFonts w:cs="Times New Roman"/>
        </w:rPr>
        <w:t xml:space="preserve"> </w:t>
      </w:r>
      <w:r w:rsidR="00D370F0">
        <w:rPr>
          <w:rFonts w:cs="Times New Roman"/>
        </w:rPr>
        <w:t>process</w:t>
      </w:r>
      <w:r w:rsidRPr="008A07C9">
        <w:rPr>
          <w:rFonts w:cs="Times New Roman"/>
        </w:rPr>
        <w:t>. To correctly characterize the decision processes at hand, it is necessary to consider the bicycle</w:t>
      </w:r>
      <w:r w:rsidR="0085703F" w:rsidRPr="008A07C9">
        <w:rPr>
          <w:rFonts w:cs="Times New Roman"/>
        </w:rPr>
        <w:t>-sharing</w:t>
      </w:r>
      <w:r w:rsidRPr="008A07C9">
        <w:rPr>
          <w:rFonts w:cs="Times New Roman"/>
        </w:rPr>
        <w:t xml:space="preserve"> infrastructure installation itself as a dependent variable - simultaneously along with usage patterns. </w:t>
      </w:r>
      <w:r w:rsidR="00512AAE">
        <w:rPr>
          <w:rFonts w:cs="Times New Roman"/>
        </w:rPr>
        <w:t xml:space="preserve">To be sure, endogeneity has been widely investigated in transportation fields including travel behavior, transportation safety, and health. </w:t>
      </w:r>
      <w:r w:rsidR="00D32510">
        <w:rPr>
          <w:rFonts w:cs="Times New Roman"/>
        </w:rPr>
        <w:t xml:space="preserve">A comprehensive review is beyond the scope of the paper. We restrict ourselves to a brief </w:t>
      </w:r>
      <w:r w:rsidR="0063294E">
        <w:rPr>
          <w:rFonts w:cs="Times New Roman"/>
        </w:rPr>
        <w:t>reference to</w:t>
      </w:r>
      <w:r w:rsidR="00D32510">
        <w:rPr>
          <w:rFonts w:cs="Times New Roman"/>
        </w:rPr>
        <w:t xml:space="preserve"> endogeneity related research efforts </w:t>
      </w:r>
      <w:r w:rsidR="0063294E">
        <w:rPr>
          <w:rFonts w:cs="Times New Roman"/>
        </w:rPr>
        <w:t xml:space="preserve">in various </w:t>
      </w:r>
      <w:r w:rsidR="00D32510">
        <w:rPr>
          <w:rFonts w:cs="Times New Roman"/>
        </w:rPr>
        <w:t xml:space="preserve">transportation fields. </w:t>
      </w:r>
      <w:r w:rsidR="00512AAE" w:rsidRPr="00D32510">
        <w:rPr>
          <w:rFonts w:cs="Times New Roman"/>
        </w:rPr>
        <w:t>In</w:t>
      </w:r>
      <w:r w:rsidR="00512AAE" w:rsidRPr="00907476">
        <w:rPr>
          <w:rFonts w:cs="Times New Roman"/>
          <w:i/>
        </w:rPr>
        <w:t xml:space="preserve"> travel behavior </w:t>
      </w:r>
      <w:r w:rsidR="00512AAE" w:rsidRPr="00D32510">
        <w:rPr>
          <w:rFonts w:cs="Times New Roman"/>
        </w:rPr>
        <w:t>literature</w:t>
      </w:r>
      <w:r w:rsidR="00512AAE">
        <w:rPr>
          <w:rFonts w:cs="Times New Roman"/>
        </w:rPr>
        <w:t xml:space="preserve">, the residential self-selection issue tied with travel behavior outcomes is well documented (see Bhat and Guo, 2007; Cao et al., 2009). </w:t>
      </w:r>
      <w:r w:rsidR="00471DF0">
        <w:rPr>
          <w:rFonts w:cs="Times New Roman"/>
        </w:rPr>
        <w:t xml:space="preserve">Earlier research methods addressed potential self-selection between </w:t>
      </w:r>
      <w:r w:rsidR="005509A3">
        <w:rPr>
          <w:rFonts w:cs="Times New Roman"/>
        </w:rPr>
        <w:t xml:space="preserve">residential location and </w:t>
      </w:r>
      <w:r w:rsidR="008E4073">
        <w:rPr>
          <w:rFonts w:cs="Times New Roman"/>
        </w:rPr>
        <w:t xml:space="preserve">several travel behaviour </w:t>
      </w:r>
      <w:r w:rsidR="00FF0141">
        <w:rPr>
          <w:rFonts w:cs="Times New Roman"/>
        </w:rPr>
        <w:t>dimensions</w:t>
      </w:r>
      <w:r w:rsidR="008E4073">
        <w:rPr>
          <w:rFonts w:cs="Times New Roman"/>
        </w:rPr>
        <w:t xml:space="preserve"> such as </w:t>
      </w:r>
      <w:r w:rsidR="005509A3">
        <w:rPr>
          <w:rFonts w:cs="Times New Roman"/>
        </w:rPr>
        <w:t>vehicle ownership (B</w:t>
      </w:r>
      <w:r w:rsidR="002C04B8">
        <w:rPr>
          <w:rFonts w:cs="Times New Roman"/>
        </w:rPr>
        <w:t>hat and Guo 2007; Eluru et al.</w:t>
      </w:r>
      <w:r w:rsidR="005509A3">
        <w:rPr>
          <w:rFonts w:cs="Times New Roman"/>
        </w:rPr>
        <w:t xml:space="preserve"> 2010),</w:t>
      </w:r>
      <w:r w:rsidR="008E4073">
        <w:rPr>
          <w:rFonts w:cs="Times New Roman"/>
        </w:rPr>
        <w:t xml:space="preserve"> </w:t>
      </w:r>
      <w:r w:rsidR="00881499">
        <w:rPr>
          <w:rFonts w:cs="Times New Roman"/>
        </w:rPr>
        <w:t>travel</w:t>
      </w:r>
      <w:r w:rsidR="00FF0141">
        <w:rPr>
          <w:rFonts w:cs="Times New Roman"/>
        </w:rPr>
        <w:t xml:space="preserve"> frequency </w:t>
      </w:r>
      <w:r w:rsidR="00881499">
        <w:rPr>
          <w:rFonts w:cs="Times New Roman"/>
        </w:rPr>
        <w:t xml:space="preserve">and mileage </w:t>
      </w:r>
      <w:r w:rsidR="00FF0141">
        <w:rPr>
          <w:rFonts w:cs="Times New Roman"/>
        </w:rPr>
        <w:t>(</w:t>
      </w:r>
      <w:r w:rsidR="00810218" w:rsidRPr="004D0F86">
        <w:rPr>
          <w:rFonts w:cs="Times New Roman"/>
          <w:bCs/>
          <w:szCs w:val="24"/>
        </w:rPr>
        <w:t>Greenwald</w:t>
      </w:r>
      <w:r w:rsidR="00810218">
        <w:rPr>
          <w:rFonts w:cs="Times New Roman"/>
          <w:bCs/>
          <w:szCs w:val="24"/>
        </w:rPr>
        <w:t xml:space="preserve"> and</w:t>
      </w:r>
      <w:r w:rsidR="00810218" w:rsidRPr="004D0F86">
        <w:rPr>
          <w:rFonts w:cs="Times New Roman"/>
          <w:bCs/>
          <w:szCs w:val="24"/>
        </w:rPr>
        <w:t xml:space="preserve"> Boarnet 2001</w:t>
      </w:r>
      <w:r w:rsidR="00810218">
        <w:rPr>
          <w:rFonts w:cs="Times New Roman"/>
          <w:bCs/>
          <w:szCs w:val="24"/>
        </w:rPr>
        <w:t xml:space="preserve">; </w:t>
      </w:r>
      <w:r w:rsidR="00C116EB">
        <w:rPr>
          <w:rFonts w:cs="Times New Roman"/>
          <w:bCs/>
          <w:szCs w:val="24"/>
        </w:rPr>
        <w:t>Bhat and Eluru 2009;</w:t>
      </w:r>
      <w:r w:rsidR="00EA46B4">
        <w:rPr>
          <w:rFonts w:cs="Times New Roman"/>
          <w:bCs/>
          <w:szCs w:val="24"/>
        </w:rPr>
        <w:t xml:space="preserve"> </w:t>
      </w:r>
      <w:r w:rsidR="00F87A3D">
        <w:rPr>
          <w:rFonts w:cs="Times New Roman"/>
          <w:bCs/>
          <w:szCs w:val="24"/>
        </w:rPr>
        <w:t>E</w:t>
      </w:r>
      <w:r w:rsidR="00AD25DB">
        <w:rPr>
          <w:rFonts w:cs="Times New Roman"/>
          <w:bCs/>
          <w:szCs w:val="24"/>
        </w:rPr>
        <w:t>wing et al. 2015</w:t>
      </w:r>
      <w:r w:rsidR="00FF0141">
        <w:rPr>
          <w:rFonts w:cs="Times New Roman"/>
        </w:rPr>
        <w:t xml:space="preserve">), </w:t>
      </w:r>
      <w:r w:rsidR="001745A2">
        <w:rPr>
          <w:rFonts w:cs="Times New Roman"/>
        </w:rPr>
        <w:t xml:space="preserve">bicycle ownership (Pinjari et at. 2008) </w:t>
      </w:r>
      <w:r w:rsidR="00294D9D">
        <w:rPr>
          <w:rFonts w:cs="Times New Roman"/>
        </w:rPr>
        <w:t xml:space="preserve">and </w:t>
      </w:r>
      <w:r w:rsidR="00FF0141">
        <w:rPr>
          <w:rFonts w:cs="Times New Roman"/>
        </w:rPr>
        <w:t>mode choice (</w:t>
      </w:r>
      <w:r w:rsidR="002C1524" w:rsidRPr="002C1524">
        <w:rPr>
          <w:rFonts w:cs="Times New Roman"/>
          <w:bCs/>
          <w:szCs w:val="24"/>
        </w:rPr>
        <w:t>Schwanen</w:t>
      </w:r>
      <w:r w:rsidR="002C1524">
        <w:rPr>
          <w:rFonts w:cs="Times New Roman"/>
          <w:bCs/>
          <w:szCs w:val="24"/>
        </w:rPr>
        <w:t xml:space="preserve"> and</w:t>
      </w:r>
      <w:r w:rsidR="002C1524" w:rsidRPr="002C1524">
        <w:rPr>
          <w:rFonts w:cs="Times New Roman"/>
          <w:bCs/>
          <w:szCs w:val="24"/>
        </w:rPr>
        <w:t xml:space="preserve"> Mokhtarian 2005</w:t>
      </w:r>
      <w:r w:rsidR="00FF0141">
        <w:rPr>
          <w:rFonts w:cs="Times New Roman"/>
        </w:rPr>
        <w:t>)</w:t>
      </w:r>
      <w:r w:rsidR="000F0DAF">
        <w:rPr>
          <w:rFonts w:cs="Times New Roman"/>
        </w:rPr>
        <w:t xml:space="preserve">. </w:t>
      </w:r>
      <w:r w:rsidR="00446806">
        <w:rPr>
          <w:rFonts w:cs="Times New Roman"/>
        </w:rPr>
        <w:t>Other travel behavior themed endog</w:t>
      </w:r>
      <w:r w:rsidR="00D32510">
        <w:rPr>
          <w:rFonts w:cs="Times New Roman"/>
        </w:rPr>
        <w:t xml:space="preserve">eneity research efforts include transit influence on automobile ownership and mode choice (Hu, 2016), </w:t>
      </w:r>
      <w:r w:rsidR="0028585E">
        <w:rPr>
          <w:rFonts w:cs="Times New Roman"/>
        </w:rPr>
        <w:t xml:space="preserve">highway capacity on increased </w:t>
      </w:r>
      <w:r w:rsidR="0028585E" w:rsidRPr="00D26F53">
        <w:rPr>
          <w:rFonts w:cs="Times New Roman"/>
          <w:bCs/>
          <w:iCs/>
          <w:szCs w:val="24"/>
        </w:rPr>
        <w:t>vehicle miles of travel</w:t>
      </w:r>
      <w:r w:rsidR="0028585E">
        <w:rPr>
          <w:rFonts w:cs="Times New Roman"/>
        </w:rPr>
        <w:t xml:space="preserve"> (</w:t>
      </w:r>
      <w:r w:rsidR="0028585E">
        <w:rPr>
          <w:rFonts w:cs="Times New Roman"/>
          <w:bCs/>
          <w:iCs/>
          <w:szCs w:val="24"/>
        </w:rPr>
        <w:t xml:space="preserve">Noland </w:t>
      </w:r>
      <w:r w:rsidR="0028585E" w:rsidRPr="00D26F53">
        <w:rPr>
          <w:rFonts w:cs="Times New Roman"/>
          <w:bCs/>
          <w:iCs/>
          <w:szCs w:val="24"/>
        </w:rPr>
        <w:t>and Cowart</w:t>
      </w:r>
      <w:r w:rsidR="0028585E">
        <w:rPr>
          <w:rFonts w:cs="Times New Roman"/>
          <w:bCs/>
          <w:iCs/>
          <w:szCs w:val="24"/>
        </w:rPr>
        <w:t>, 2000),</w:t>
      </w:r>
      <w:r w:rsidR="0028585E">
        <w:rPr>
          <w:rFonts w:cs="Times New Roman"/>
        </w:rPr>
        <w:t xml:space="preserve"> </w:t>
      </w:r>
      <w:r w:rsidR="00D32510">
        <w:rPr>
          <w:rFonts w:cs="Times New Roman"/>
        </w:rPr>
        <w:t xml:space="preserve">and social influence </w:t>
      </w:r>
      <w:r w:rsidR="009646F9">
        <w:rPr>
          <w:rFonts w:cs="Times New Roman"/>
        </w:rPr>
        <w:t xml:space="preserve">and taste preference </w:t>
      </w:r>
      <w:r w:rsidR="00D32510">
        <w:rPr>
          <w:rFonts w:cs="Times New Roman"/>
        </w:rPr>
        <w:t>variables on mode choice (Walker et al., 2011</w:t>
      </w:r>
      <w:r w:rsidR="009646F9">
        <w:rPr>
          <w:rFonts w:cs="Times New Roman"/>
        </w:rPr>
        <w:t>; Vij and Walker, 2014</w:t>
      </w:r>
      <w:r w:rsidR="00D32510">
        <w:rPr>
          <w:rFonts w:cs="Times New Roman"/>
        </w:rPr>
        <w:t xml:space="preserve">). </w:t>
      </w:r>
      <w:r w:rsidR="00512AAE">
        <w:rPr>
          <w:rFonts w:cs="Times New Roman"/>
        </w:rPr>
        <w:t xml:space="preserve">In the </w:t>
      </w:r>
      <w:r w:rsidR="00512AAE" w:rsidRPr="006F3E92">
        <w:rPr>
          <w:rFonts w:cs="Times New Roman"/>
          <w:i/>
        </w:rPr>
        <w:t>transportation safety</w:t>
      </w:r>
      <w:r w:rsidR="00512AAE">
        <w:rPr>
          <w:rFonts w:cs="Times New Roman"/>
        </w:rPr>
        <w:t xml:space="preserve"> field, documented endogeneity research efforts include</w:t>
      </w:r>
      <w:r w:rsidR="000F0DAF">
        <w:rPr>
          <w:rFonts w:cs="Times New Roman"/>
        </w:rPr>
        <w:t>seat belt use and</w:t>
      </w:r>
      <w:r w:rsidR="000F3AB8">
        <w:rPr>
          <w:rFonts w:cs="Times New Roman"/>
        </w:rPr>
        <w:t xml:space="preserve"> subsequent </w:t>
      </w:r>
      <w:r w:rsidR="000F0DAF">
        <w:rPr>
          <w:rFonts w:cs="Times New Roman"/>
        </w:rPr>
        <w:t>injury severity</w:t>
      </w:r>
      <w:r w:rsidR="000F3AB8">
        <w:rPr>
          <w:rFonts w:cs="Times New Roman"/>
        </w:rPr>
        <w:t xml:space="preserve"> </w:t>
      </w:r>
      <w:r w:rsidR="000F0DAF">
        <w:rPr>
          <w:rFonts w:cs="Times New Roman"/>
        </w:rPr>
        <w:t>(Eluru and Bhat 2007; Abay et al. 201</w:t>
      </w:r>
      <w:r w:rsidR="00F40C04">
        <w:rPr>
          <w:rFonts w:cs="Times New Roman"/>
        </w:rPr>
        <w:t>3</w:t>
      </w:r>
      <w:r w:rsidR="000F0DAF">
        <w:rPr>
          <w:rFonts w:cs="Times New Roman"/>
        </w:rPr>
        <w:t>)</w:t>
      </w:r>
      <w:r w:rsidR="00512AAE">
        <w:rPr>
          <w:rFonts w:cs="Times New Roman"/>
        </w:rPr>
        <w:t xml:space="preserve">, speed limits in crash count modeling (Cheng et al., 2013), </w:t>
      </w:r>
      <w:r w:rsidR="00D32510">
        <w:rPr>
          <w:rFonts w:cs="Times New Roman"/>
        </w:rPr>
        <w:t xml:space="preserve">crash type and injury severity (Rana et al., 2010; Yasmin et al., 2014) </w:t>
      </w:r>
      <w:r w:rsidR="00512AAE">
        <w:rPr>
          <w:rFonts w:cs="Times New Roman"/>
        </w:rPr>
        <w:t xml:space="preserve">and </w:t>
      </w:r>
      <w:r w:rsidR="00512AAE">
        <w:t xml:space="preserve">Emergency Medical Service response time and the time to fatality (Yasmin et al., </w:t>
      </w:r>
      <w:r w:rsidR="00CA51C2">
        <w:t>2015</w:t>
      </w:r>
      <w:r w:rsidR="00512AAE">
        <w:t xml:space="preserve">). </w:t>
      </w:r>
      <w:r w:rsidR="00D32510">
        <w:t xml:space="preserve">Finally, in recent years, </w:t>
      </w:r>
      <w:r w:rsidR="00D32510" w:rsidRPr="006F3E92">
        <w:rPr>
          <w:i/>
        </w:rPr>
        <w:t>health</w:t>
      </w:r>
      <w:r w:rsidR="00D32510">
        <w:t xml:space="preserve"> research efforts have </w:t>
      </w:r>
      <w:r w:rsidR="00200E54">
        <w:t>considered</w:t>
      </w:r>
      <w:r w:rsidR="00D32510">
        <w:t xml:space="preserve"> endogeneity </w:t>
      </w:r>
      <w:r w:rsidR="00200E54">
        <w:t xml:space="preserve">in examining the relation between active transportation and health outcomes (Schauder and Foley, 2015). </w:t>
      </w:r>
    </w:p>
    <w:p w14:paraId="68C42B34" w14:textId="77777777" w:rsidR="007768D6" w:rsidRDefault="007768D6" w:rsidP="00B509E6">
      <w:pPr>
        <w:pStyle w:val="Heading2"/>
      </w:pPr>
      <w:r>
        <w:t>Contributions of the Current Study</w:t>
      </w:r>
    </w:p>
    <w:p w14:paraId="48BA5F74" w14:textId="77777777" w:rsidR="000F3AB8" w:rsidRDefault="000F3AB8" w:rsidP="007768D6">
      <w:pPr>
        <w:rPr>
          <w:rFonts w:cs="Times New Roman"/>
        </w:rPr>
      </w:pPr>
      <w:r>
        <w:rPr>
          <w:rFonts w:cs="Times New Roman"/>
        </w:rPr>
        <w:t>O</w:t>
      </w:r>
      <w:r w:rsidR="00F93836">
        <w:rPr>
          <w:rFonts w:cs="Times New Roman"/>
        </w:rPr>
        <w:t xml:space="preserve">ur research effort is different from earlier studies </w:t>
      </w:r>
      <w:r>
        <w:rPr>
          <w:rFonts w:cs="Times New Roman"/>
        </w:rPr>
        <w:t xml:space="preserve">because </w:t>
      </w:r>
      <w:r w:rsidR="00CF487C">
        <w:rPr>
          <w:rFonts w:cs="Times New Roman"/>
        </w:rPr>
        <w:t xml:space="preserve">the model system required in the context of BSS systems is </w:t>
      </w:r>
      <w:r w:rsidR="007768D6">
        <w:rPr>
          <w:rFonts w:cs="Times New Roman"/>
        </w:rPr>
        <w:t>challenging</w:t>
      </w:r>
      <w:r w:rsidR="00CF487C">
        <w:rPr>
          <w:rFonts w:cs="Times New Roman"/>
        </w:rPr>
        <w:t xml:space="preserve"> for multiple reasons. </w:t>
      </w:r>
      <w:r w:rsidRPr="00CF3EDF">
        <w:rPr>
          <w:rFonts w:cs="Times New Roman"/>
          <w:u w:val="single"/>
        </w:rPr>
        <w:t>First</w:t>
      </w:r>
      <w:r>
        <w:rPr>
          <w:rFonts w:cs="Times New Roman"/>
        </w:rPr>
        <w:t>, in all the earlier studies, self-selection was considered in a choice framework based on a cross-sectional dataset where one measurement equation was coupled with one choice equation to disentangle the influence of endogeneity. However, in the BSS context, the infrastructure installation process has only one occurrence, while the infrastructure usage process has multiple repeated observations. Hence, the econometric model developed should account for self-selection while accounting for</w:t>
      </w:r>
      <w:r w:rsidR="007768D6">
        <w:rPr>
          <w:rFonts w:cs="Times New Roman"/>
        </w:rPr>
        <w:t xml:space="preserve"> the availability of</w:t>
      </w:r>
      <w:r>
        <w:rPr>
          <w:rFonts w:cs="Times New Roman"/>
        </w:rPr>
        <w:t xml:space="preserve"> repeated </w:t>
      </w:r>
      <w:r w:rsidR="007768D6">
        <w:rPr>
          <w:rFonts w:cs="Times New Roman"/>
        </w:rPr>
        <w:t>observations</w:t>
      </w:r>
      <w:r>
        <w:rPr>
          <w:rFonts w:cs="Times New Roman"/>
        </w:rPr>
        <w:t xml:space="preserve"> of the choice process. To elaborate, the repeated observations </w:t>
      </w:r>
      <w:r w:rsidR="00C93B77">
        <w:rPr>
          <w:rFonts w:cs="Times New Roman"/>
        </w:rPr>
        <w:t xml:space="preserve">of BSS usage </w:t>
      </w:r>
      <w:r>
        <w:rPr>
          <w:rFonts w:cs="Times New Roman"/>
        </w:rPr>
        <w:t xml:space="preserve">from the same spatial aggregation are plausibly influenced by </w:t>
      </w:r>
      <w:r w:rsidR="007768D6">
        <w:rPr>
          <w:rFonts w:cs="Times New Roman"/>
        </w:rPr>
        <w:t>unobserved factors that influence choice processes</w:t>
      </w:r>
      <w:r>
        <w:rPr>
          <w:rFonts w:cs="Times New Roman"/>
        </w:rPr>
        <w:t xml:space="preserve">. </w:t>
      </w:r>
      <w:r w:rsidR="007768D6">
        <w:rPr>
          <w:rFonts w:cs="Times New Roman"/>
        </w:rPr>
        <w:t xml:space="preserve">The impact of unobserved factors, given the availability of reasonable number of repeated observations, can also be accommodated at multiple levels. </w:t>
      </w:r>
      <w:r>
        <w:rPr>
          <w:rFonts w:cs="Times New Roman"/>
        </w:rPr>
        <w:t xml:space="preserve">Hence, to correctly identify the </w:t>
      </w:r>
      <w:r w:rsidR="007768D6">
        <w:rPr>
          <w:rFonts w:cs="Times New Roman"/>
        </w:rPr>
        <w:t xml:space="preserve">presence of endogeneity in the choices process, </w:t>
      </w:r>
      <w:r>
        <w:rPr>
          <w:rFonts w:cs="Times New Roman"/>
        </w:rPr>
        <w:t>the econometric framework needs to consider</w:t>
      </w:r>
      <w:r w:rsidR="007768D6">
        <w:rPr>
          <w:rFonts w:cs="Times New Roman"/>
        </w:rPr>
        <w:t xml:space="preserve"> the potential presence of</w:t>
      </w:r>
      <w:r w:rsidR="00C93B77">
        <w:rPr>
          <w:rFonts w:cs="Times New Roman"/>
        </w:rPr>
        <w:t xml:space="preserve"> multiple levels of </w:t>
      </w:r>
      <w:r w:rsidR="00106FFA">
        <w:rPr>
          <w:rFonts w:cs="Times New Roman"/>
        </w:rPr>
        <w:t xml:space="preserve">unobserved heterogeneity </w:t>
      </w:r>
      <w:r w:rsidR="00C93B77">
        <w:rPr>
          <w:rFonts w:cs="Times New Roman"/>
        </w:rPr>
        <w:t>affecting BSS usage. For example, in our data, repeated observation</w:t>
      </w:r>
      <w:r w:rsidR="00106FFA">
        <w:rPr>
          <w:rFonts w:cs="Times New Roman"/>
        </w:rPr>
        <w:t>s</w:t>
      </w:r>
      <w:r w:rsidR="00C93B77">
        <w:rPr>
          <w:rFonts w:cs="Times New Roman"/>
        </w:rPr>
        <w:t xml:space="preserve"> can be considered to be at </w:t>
      </w:r>
      <w:r w:rsidR="007768D6">
        <w:rPr>
          <w:rFonts w:cs="Times New Roman"/>
        </w:rPr>
        <w:t>three levels</w:t>
      </w:r>
      <w:r w:rsidR="00C93B77">
        <w:rPr>
          <w:rFonts w:cs="Times New Roman"/>
        </w:rPr>
        <w:t xml:space="preserve">– (1) </w:t>
      </w:r>
      <w:r w:rsidR="00106FFA">
        <w:rPr>
          <w:rFonts w:cs="Times New Roman"/>
        </w:rPr>
        <w:t xml:space="preserve">unobserved heterogeneity </w:t>
      </w:r>
      <w:r w:rsidR="00C93B77">
        <w:rPr>
          <w:rFonts w:cs="Times New Roman"/>
        </w:rPr>
        <w:t xml:space="preserve">across </w:t>
      </w:r>
      <w:r>
        <w:rPr>
          <w:rFonts w:cs="Times New Roman"/>
        </w:rPr>
        <w:t xml:space="preserve">the spatial unit, </w:t>
      </w:r>
      <w:r w:rsidR="00C93B77">
        <w:rPr>
          <w:rFonts w:cs="Times New Roman"/>
        </w:rPr>
        <w:t xml:space="preserve">(2) </w:t>
      </w:r>
      <w:r w:rsidR="00106FFA">
        <w:rPr>
          <w:rFonts w:cs="Times New Roman"/>
        </w:rPr>
        <w:t xml:space="preserve">unobserved heterogeneity </w:t>
      </w:r>
      <w:r>
        <w:rPr>
          <w:rFonts w:cs="Times New Roman"/>
        </w:rPr>
        <w:t xml:space="preserve">for the spatial unit in a day and </w:t>
      </w:r>
      <w:r w:rsidR="00C93B77">
        <w:rPr>
          <w:rFonts w:cs="Times New Roman"/>
        </w:rPr>
        <w:t xml:space="preserve">(3) </w:t>
      </w:r>
      <w:r w:rsidR="00106FFA">
        <w:rPr>
          <w:rFonts w:cs="Times New Roman"/>
        </w:rPr>
        <w:t xml:space="preserve">unobserved heterogeneity </w:t>
      </w:r>
      <w:r w:rsidR="00C93B77">
        <w:rPr>
          <w:rFonts w:cs="Times New Roman"/>
        </w:rPr>
        <w:t xml:space="preserve">at a per </w:t>
      </w:r>
      <w:r>
        <w:rPr>
          <w:rFonts w:cs="Times New Roman"/>
        </w:rPr>
        <w:t>observation</w:t>
      </w:r>
      <w:r w:rsidR="00C93B77">
        <w:rPr>
          <w:rFonts w:cs="Times New Roman"/>
        </w:rPr>
        <w:t xml:space="preserve"> level</w:t>
      </w:r>
      <w:r>
        <w:rPr>
          <w:rFonts w:cs="Times New Roman"/>
        </w:rPr>
        <w:t xml:space="preserve">. </w:t>
      </w:r>
      <w:r w:rsidR="007768D6">
        <w:rPr>
          <w:rFonts w:cs="Times New Roman"/>
        </w:rPr>
        <w:t xml:space="preserve">The unobserved heterogeneity at multiple levels can be incorporated as random parameters moderating the influence of exogenous variables or error correlation between the BSS usage dimensions. </w:t>
      </w:r>
      <w:r w:rsidR="00C93B77">
        <w:rPr>
          <w:rFonts w:cs="Times New Roman"/>
        </w:rPr>
        <w:t xml:space="preserve">Employing a cross-sectional model or employing a single level of </w:t>
      </w:r>
      <w:r w:rsidR="00106FFA">
        <w:rPr>
          <w:rFonts w:cs="Times New Roman"/>
        </w:rPr>
        <w:t xml:space="preserve">unobserved heterogeneity </w:t>
      </w:r>
      <w:r w:rsidR="00AD209A">
        <w:rPr>
          <w:rFonts w:cs="Times New Roman"/>
        </w:rPr>
        <w:t>for repeated BSS usage terms in the analysis</w:t>
      </w:r>
      <w:r w:rsidR="00C93B77">
        <w:rPr>
          <w:rFonts w:cs="Times New Roman"/>
        </w:rPr>
        <w:t xml:space="preserve"> might result in confounding the presence of endogeneity with unobserved heterogeneity. </w:t>
      </w:r>
    </w:p>
    <w:p w14:paraId="5BDC7B09" w14:textId="25A237A4" w:rsidR="00A03247" w:rsidRDefault="00F40C04" w:rsidP="00A03247">
      <w:pPr>
        <w:ind w:firstLine="720"/>
        <w:rPr>
          <w:rFonts w:cs="Times New Roman"/>
        </w:rPr>
      </w:pPr>
      <w:r>
        <w:rPr>
          <w:rFonts w:cs="Times New Roman"/>
          <w:u w:val="single"/>
        </w:rPr>
        <w:lastRenderedPageBreak/>
        <w:t>Second,</w:t>
      </w:r>
      <w:r w:rsidR="001C7A84">
        <w:rPr>
          <w:rFonts w:cs="Times New Roman"/>
        </w:rPr>
        <w:t xml:space="preserve"> we need to recognize the presence of multiple BSS infrastructure variables (number of stations and capacity in a </w:t>
      </w:r>
      <w:r w:rsidR="009150F6">
        <w:rPr>
          <w:rFonts w:cs="Times New Roman"/>
        </w:rPr>
        <w:t>spatial unit</w:t>
      </w:r>
      <w:r w:rsidR="001C7A84">
        <w:rPr>
          <w:rFonts w:cs="Times New Roman"/>
        </w:rPr>
        <w:t>) and presence of time varying multiple dependent variables (usage defined as arrivals and departures for many time</w:t>
      </w:r>
      <w:r w:rsidR="001E10B3">
        <w:rPr>
          <w:rFonts w:cs="Times New Roman"/>
        </w:rPr>
        <w:t>-</w:t>
      </w:r>
      <w:r w:rsidR="001C7A84">
        <w:rPr>
          <w:rFonts w:cs="Times New Roman"/>
        </w:rPr>
        <w:t xml:space="preserve">varying records). </w:t>
      </w:r>
      <w:r w:rsidR="000F3AB8">
        <w:rPr>
          <w:rFonts w:cs="Times New Roman"/>
        </w:rPr>
        <w:t xml:space="preserve">Retaining </w:t>
      </w:r>
      <w:r w:rsidR="000F3AB8" w:rsidRPr="00AD209A">
        <w:rPr>
          <w:rFonts w:cs="Times New Roman"/>
        </w:rPr>
        <w:t>all BSS infrastructure variables and usage</w:t>
      </w:r>
      <w:r w:rsidR="000F3AB8" w:rsidRPr="00FC05CF">
        <w:rPr>
          <w:rFonts w:cs="Times New Roman"/>
        </w:rPr>
        <w:t xml:space="preserve"> </w:t>
      </w:r>
      <w:r w:rsidR="000F3AB8">
        <w:rPr>
          <w:rFonts w:cs="Times New Roman"/>
        </w:rPr>
        <w:t xml:space="preserve">in their original form would result in a large number of choice equations (one per variable). Moreover, introducing joint unobserved effects at multiple levels across the large equation system will result in a computationally intensive probability function that will require higher dimensions of integration to evaluate the simulated log-likelihood function. Hence, to simplify the econometric model development we propose a single measure of BSS infrastructure that simultaneously encapsulates number of stations and total capacity in a </w:t>
      </w:r>
      <w:r>
        <w:rPr>
          <w:rFonts w:cs="Times New Roman"/>
        </w:rPr>
        <w:t>traffic analysis zone (</w:t>
      </w:r>
      <w:r w:rsidR="000F3AB8">
        <w:rPr>
          <w:rFonts w:cs="Times New Roman"/>
        </w:rPr>
        <w:t>TAZ</w:t>
      </w:r>
      <w:r>
        <w:rPr>
          <w:rFonts w:cs="Times New Roman"/>
        </w:rPr>
        <w:t>)</w:t>
      </w:r>
      <w:r w:rsidR="000F3AB8">
        <w:rPr>
          <w:rFonts w:cs="Times New Roman"/>
        </w:rPr>
        <w:t xml:space="preserve"> (more detailed discussion in Section 3). Having a single equation for BSS infrastructure usage allows us to efficiently accommodate for the potential presence of endogeneity in the proposed model system</w:t>
      </w:r>
      <w:r>
        <w:rPr>
          <w:rStyle w:val="FootnoteReference"/>
          <w:rFonts w:cs="Times New Roman"/>
        </w:rPr>
        <w:footnoteReference w:id="1"/>
      </w:r>
      <w:r w:rsidR="000F3AB8">
        <w:rPr>
          <w:rFonts w:cs="Times New Roman"/>
        </w:rPr>
        <w:t xml:space="preserve">. </w:t>
      </w:r>
    </w:p>
    <w:p w14:paraId="62FD1DE4" w14:textId="77777777" w:rsidR="007768D6" w:rsidRDefault="007768D6" w:rsidP="00B509E6">
      <w:pPr>
        <w:pStyle w:val="Heading2"/>
      </w:pPr>
      <w:r>
        <w:t>Research Approach</w:t>
      </w:r>
    </w:p>
    <w:p w14:paraId="2370B083" w14:textId="2C5EF851" w:rsidR="00B670F3" w:rsidRDefault="00FD4C60" w:rsidP="00E67EDB">
      <w:pPr>
        <w:rPr>
          <w:rFonts w:cs="Times New Roman"/>
        </w:rPr>
      </w:pPr>
      <w:r>
        <w:rPr>
          <w:rFonts w:cs="Times New Roman"/>
        </w:rPr>
        <w:t xml:space="preserve">The </w:t>
      </w:r>
      <w:r w:rsidR="00D370F0">
        <w:rPr>
          <w:rFonts w:cs="Times New Roman"/>
        </w:rPr>
        <w:t>generated</w:t>
      </w:r>
      <w:r>
        <w:rPr>
          <w:rFonts w:cs="Times New Roman"/>
        </w:rPr>
        <w:t xml:space="preserve"> BSS infrastructure index is categorized subsequently as an ordinal variable.</w:t>
      </w:r>
      <w:r w:rsidR="0039763A">
        <w:rPr>
          <w:rFonts w:cs="Times New Roman"/>
        </w:rPr>
        <w:t xml:space="preserve"> </w:t>
      </w:r>
      <w:r w:rsidR="009150F6">
        <w:rPr>
          <w:rFonts w:cs="Times New Roman"/>
        </w:rPr>
        <w:t>Other</w:t>
      </w:r>
      <w:r w:rsidR="00DA75A5">
        <w:rPr>
          <w:rFonts w:cs="Times New Roman"/>
        </w:rPr>
        <w:t xml:space="preserve"> dependent variables </w:t>
      </w:r>
      <w:r w:rsidR="002A37CA">
        <w:rPr>
          <w:rFonts w:cs="Times New Roman"/>
        </w:rPr>
        <w:t>in our study are the</w:t>
      </w:r>
      <w:r w:rsidR="00DA75A5">
        <w:rPr>
          <w:rFonts w:cs="Times New Roman"/>
        </w:rPr>
        <w:t xml:space="preserve"> BSS usage</w:t>
      </w:r>
      <w:r w:rsidR="002A37CA">
        <w:rPr>
          <w:rFonts w:cs="Times New Roman"/>
        </w:rPr>
        <w:t xml:space="preserve"> variables</w:t>
      </w:r>
      <w:r w:rsidR="00DA75A5">
        <w:rPr>
          <w:rFonts w:cs="Times New Roman"/>
        </w:rPr>
        <w:t xml:space="preserve"> defined as arrivals and departures. Rather than </w:t>
      </w:r>
      <w:r w:rsidR="0014184A">
        <w:rPr>
          <w:rFonts w:cs="Times New Roman"/>
        </w:rPr>
        <w:t xml:space="preserve">employ </w:t>
      </w:r>
      <w:r w:rsidR="00DA75A5">
        <w:rPr>
          <w:rFonts w:cs="Times New Roman"/>
        </w:rPr>
        <w:t xml:space="preserve">these variables as continuous values – we adopt an ordinal categorization in our analysis. </w:t>
      </w:r>
      <w:r w:rsidR="00D370F0">
        <w:rPr>
          <w:rFonts w:cs="Times New Roman"/>
        </w:rPr>
        <w:t>The rationale behind this characterization is that imposing a strictly linear response structure for usage is restrictive.</w:t>
      </w:r>
      <w:r w:rsidR="000D1CB1">
        <w:rPr>
          <w:rFonts w:cs="Times New Roman"/>
        </w:rPr>
        <w:t xml:space="preserve"> While one could consider non-linear variable forms (such as square and cube terms)</w:t>
      </w:r>
      <w:r w:rsidR="009A26BA">
        <w:rPr>
          <w:rFonts w:cs="Times New Roman"/>
        </w:rPr>
        <w:t xml:space="preserve"> within a linear system</w:t>
      </w:r>
      <w:r w:rsidR="000D1CB1">
        <w:rPr>
          <w:rFonts w:cs="Times New Roman"/>
        </w:rPr>
        <w:t xml:space="preserve"> – the mapping of the impact of exogenous variables on usage is </w:t>
      </w:r>
      <w:r w:rsidR="009A26BA">
        <w:rPr>
          <w:rFonts w:cs="Times New Roman"/>
        </w:rPr>
        <w:t xml:space="preserve">still </w:t>
      </w:r>
      <w:r w:rsidR="000D1CB1">
        <w:rPr>
          <w:rFonts w:cs="Times New Roman"/>
        </w:rPr>
        <w:t>strictly linear.</w:t>
      </w:r>
      <w:r w:rsidR="00D370F0">
        <w:rPr>
          <w:rFonts w:cs="Times New Roman"/>
        </w:rPr>
        <w:t xml:space="preserve"> Particularly, </w:t>
      </w:r>
      <w:r w:rsidR="000D1CB1">
        <w:rPr>
          <w:rFonts w:cs="Times New Roman"/>
        </w:rPr>
        <w:t>given</w:t>
      </w:r>
      <w:r w:rsidR="00DA75A5">
        <w:rPr>
          <w:rFonts w:cs="Times New Roman"/>
        </w:rPr>
        <w:t xml:space="preserve"> the significant variation in the usage patterns </w:t>
      </w:r>
      <w:r w:rsidR="000D1CB1">
        <w:rPr>
          <w:rFonts w:cs="Times New Roman"/>
        </w:rPr>
        <w:t>spatially and temporally</w:t>
      </w:r>
      <w:r w:rsidR="00DA75A5">
        <w:rPr>
          <w:rFonts w:cs="Times New Roman"/>
        </w:rPr>
        <w:t xml:space="preserve"> imposing a strictly linear structure (as imposed by linear regression) </w:t>
      </w:r>
      <w:r w:rsidR="00D370F0">
        <w:rPr>
          <w:rFonts w:cs="Times New Roman"/>
        </w:rPr>
        <w:t xml:space="preserve">might </w:t>
      </w:r>
      <w:r w:rsidR="000D1CB1">
        <w:rPr>
          <w:rFonts w:cs="Times New Roman"/>
        </w:rPr>
        <w:t>result in biased estimation of the</w:t>
      </w:r>
      <w:r w:rsidR="00D370F0">
        <w:rPr>
          <w:rFonts w:cs="Times New Roman"/>
        </w:rPr>
        <w:t xml:space="preserve"> “true” influence of exogenous variables</w:t>
      </w:r>
      <w:r w:rsidR="00DA75A5">
        <w:rPr>
          <w:rFonts w:cs="Times New Roman"/>
        </w:rPr>
        <w:t xml:space="preserve">. On the other hand, </w:t>
      </w:r>
      <w:r w:rsidR="000D1CB1">
        <w:rPr>
          <w:rFonts w:cs="Times New Roman"/>
        </w:rPr>
        <w:t>in a</w:t>
      </w:r>
      <w:r w:rsidR="005A7E08">
        <w:rPr>
          <w:rFonts w:cs="Times New Roman"/>
        </w:rPr>
        <w:t>n</w:t>
      </w:r>
      <w:r w:rsidR="000D1CB1">
        <w:rPr>
          <w:rFonts w:cs="Times New Roman"/>
        </w:rPr>
        <w:t xml:space="preserve"> </w:t>
      </w:r>
      <w:r w:rsidR="00DA75A5">
        <w:rPr>
          <w:rFonts w:cs="Times New Roman"/>
        </w:rPr>
        <w:t>ordinal structure</w:t>
      </w:r>
      <w:r w:rsidR="00A03247">
        <w:rPr>
          <w:rFonts w:cs="Times New Roman"/>
        </w:rPr>
        <w:t>,</w:t>
      </w:r>
      <w:r w:rsidR="00DA75A5">
        <w:rPr>
          <w:rFonts w:cs="Times New Roman"/>
        </w:rPr>
        <w:t xml:space="preserve"> </w:t>
      </w:r>
      <w:r w:rsidR="000D1CB1">
        <w:rPr>
          <w:rFonts w:cs="Times New Roman"/>
        </w:rPr>
        <w:t>the probability</w:t>
      </w:r>
      <w:r w:rsidR="009A26BA">
        <w:rPr>
          <w:rFonts w:cs="Times New Roman"/>
        </w:rPr>
        <w:t xml:space="preserve"> of a category</w:t>
      </w:r>
      <w:r w:rsidR="000D1CB1">
        <w:rPr>
          <w:rFonts w:cs="Times New Roman"/>
        </w:rPr>
        <w:t xml:space="preserve"> is mapped with </w:t>
      </w:r>
      <w:r w:rsidR="009A26BA">
        <w:rPr>
          <w:rFonts w:cs="Times New Roman"/>
        </w:rPr>
        <w:t xml:space="preserve">the </w:t>
      </w:r>
      <w:r w:rsidR="000D1CB1">
        <w:rPr>
          <w:rFonts w:cs="Times New Roman"/>
        </w:rPr>
        <w:t xml:space="preserve">observed response through a much more flexible </w:t>
      </w:r>
      <w:r w:rsidR="00DA75A5">
        <w:rPr>
          <w:rFonts w:cs="Times New Roman"/>
        </w:rPr>
        <w:t>non-linear response profile</w:t>
      </w:r>
      <w:r w:rsidR="000D1CB1">
        <w:rPr>
          <w:rFonts w:cs="Times New Roman"/>
        </w:rPr>
        <w:t xml:space="preserve">. The </w:t>
      </w:r>
      <w:r w:rsidR="009A26BA">
        <w:rPr>
          <w:rFonts w:cs="Times New Roman"/>
        </w:rPr>
        <w:t>number</w:t>
      </w:r>
      <w:r w:rsidR="000D1CB1">
        <w:rPr>
          <w:rFonts w:cs="Times New Roman"/>
        </w:rPr>
        <w:t xml:space="preserve"> of ordered categories can be </w:t>
      </w:r>
      <w:r w:rsidR="00DA75A5">
        <w:rPr>
          <w:rFonts w:cs="Times New Roman"/>
        </w:rPr>
        <w:t>increase</w:t>
      </w:r>
      <w:r w:rsidR="000D1CB1">
        <w:rPr>
          <w:rFonts w:cs="Times New Roman"/>
        </w:rPr>
        <w:t>d</w:t>
      </w:r>
      <w:r w:rsidR="00DA75A5">
        <w:rPr>
          <w:rFonts w:cs="Times New Roman"/>
        </w:rPr>
        <w:t xml:space="preserve"> in a simple and intuitive fashion</w:t>
      </w:r>
      <w:r w:rsidR="009A26BA">
        <w:rPr>
          <w:rFonts w:cs="Times New Roman"/>
        </w:rPr>
        <w:t xml:space="preserve"> if </w:t>
      </w:r>
      <w:r w:rsidR="00A03247">
        <w:rPr>
          <w:rFonts w:cs="Times New Roman"/>
        </w:rPr>
        <w:t xml:space="preserve">a </w:t>
      </w:r>
      <w:r w:rsidR="009A26BA">
        <w:rPr>
          <w:rFonts w:cs="Times New Roman"/>
        </w:rPr>
        <w:t>fine resolution is deemed necessary</w:t>
      </w:r>
      <w:r w:rsidR="00F57E01">
        <w:rPr>
          <w:rStyle w:val="FootnoteReference"/>
          <w:rFonts w:cs="Times New Roman"/>
        </w:rPr>
        <w:footnoteReference w:id="2"/>
      </w:r>
      <w:r w:rsidR="00D370F0">
        <w:rPr>
          <w:rFonts w:cs="Times New Roman"/>
        </w:rPr>
        <w:t>.</w:t>
      </w:r>
      <w:r w:rsidR="002B04FF">
        <w:rPr>
          <w:rFonts w:cs="Times New Roman"/>
        </w:rPr>
        <w:t xml:space="preserve"> The reader would note that the discretization would also preclude the need for exclusion restrictions (see Section 3,2 of Abay et al., 2013 for more details). </w:t>
      </w:r>
    </w:p>
    <w:p w14:paraId="35304EA8" w14:textId="4771C86B" w:rsidR="003C62D5" w:rsidRPr="008A07C9" w:rsidRDefault="006D7656" w:rsidP="003732C3">
      <w:pPr>
        <w:ind w:firstLine="720"/>
        <w:rPr>
          <w:rFonts w:cs="Times New Roman"/>
        </w:rPr>
      </w:pPr>
      <w:r w:rsidRPr="008A07C9">
        <w:rPr>
          <w:rFonts w:cs="Times New Roman"/>
        </w:rPr>
        <w:t>In summary</w:t>
      </w:r>
      <w:r>
        <w:rPr>
          <w:rFonts w:cs="Times New Roman"/>
        </w:rPr>
        <w:t>, t</w:t>
      </w:r>
      <w:r w:rsidR="003C62D5" w:rsidRPr="008A07C9">
        <w:rPr>
          <w:rFonts w:cs="Times New Roman"/>
        </w:rPr>
        <w:t>h</w:t>
      </w:r>
      <w:r w:rsidR="000F3AB8">
        <w:rPr>
          <w:rFonts w:cs="Times New Roman"/>
        </w:rPr>
        <w:t xml:space="preserve">e proposed </w:t>
      </w:r>
      <w:r w:rsidR="003C62D5" w:rsidRPr="008A07C9">
        <w:rPr>
          <w:rFonts w:cs="Times New Roman"/>
        </w:rPr>
        <w:t>joint modeling process</w:t>
      </w:r>
      <w:r w:rsidR="00CD18B4" w:rsidRPr="008A07C9">
        <w:rPr>
          <w:rFonts w:cs="Times New Roman"/>
        </w:rPr>
        <w:t xml:space="preserve"> </w:t>
      </w:r>
      <w:r w:rsidR="00C14D80">
        <w:rPr>
          <w:rFonts w:cs="Times New Roman"/>
        </w:rPr>
        <w:t xml:space="preserve">thus </w:t>
      </w:r>
      <w:r w:rsidR="003C62D5" w:rsidRPr="008A07C9">
        <w:rPr>
          <w:rFonts w:cs="Times New Roman"/>
        </w:rPr>
        <w:t>estimate</w:t>
      </w:r>
      <w:r w:rsidR="00C14D80">
        <w:rPr>
          <w:rFonts w:cs="Times New Roman"/>
        </w:rPr>
        <w:t>s</w:t>
      </w:r>
      <w:r w:rsidR="003C62D5" w:rsidRPr="008A07C9">
        <w:rPr>
          <w:rFonts w:cs="Times New Roman"/>
        </w:rPr>
        <w:t xml:space="preserve"> a more </w:t>
      </w:r>
      <w:r w:rsidR="00F40C04">
        <w:rPr>
          <w:rFonts w:cs="Times New Roman"/>
        </w:rPr>
        <w:t>accurate</w:t>
      </w:r>
      <w:r w:rsidR="00065F88" w:rsidRPr="008A07C9">
        <w:rPr>
          <w:rFonts w:cs="Times New Roman"/>
        </w:rPr>
        <w:t xml:space="preserve"> </w:t>
      </w:r>
      <w:r w:rsidR="003C62D5" w:rsidRPr="008A07C9">
        <w:rPr>
          <w:rFonts w:cs="Times New Roman"/>
        </w:rPr>
        <w:t xml:space="preserve">impact of BSS infrastructure on usage. </w:t>
      </w:r>
      <w:r w:rsidR="005C3945">
        <w:rPr>
          <w:rFonts w:cs="Times New Roman"/>
        </w:rPr>
        <w:t xml:space="preserve">More importantly, the consideration of the installation process </w:t>
      </w:r>
      <w:r w:rsidR="00C14D80">
        <w:rPr>
          <w:rFonts w:cs="Times New Roman"/>
        </w:rPr>
        <w:t xml:space="preserve">and </w:t>
      </w:r>
      <w:r w:rsidR="00106FFA">
        <w:rPr>
          <w:rFonts w:cs="Times New Roman"/>
        </w:rPr>
        <w:t xml:space="preserve">unobserved heterogeneity </w:t>
      </w:r>
      <w:r w:rsidR="00AD209A">
        <w:rPr>
          <w:rFonts w:cs="Times New Roman"/>
        </w:rPr>
        <w:t>at multiple levels</w:t>
      </w:r>
      <w:r w:rsidR="00C14D80">
        <w:rPr>
          <w:rFonts w:cs="Times New Roman"/>
        </w:rPr>
        <w:t xml:space="preserve"> </w:t>
      </w:r>
      <w:r w:rsidR="005C3945">
        <w:rPr>
          <w:rFonts w:cs="Times New Roman"/>
        </w:rPr>
        <w:t>allow</w:t>
      </w:r>
      <w:r w:rsidR="00C14D80">
        <w:rPr>
          <w:rFonts w:cs="Times New Roman"/>
        </w:rPr>
        <w:t>s</w:t>
      </w:r>
      <w:r w:rsidR="005C3945">
        <w:rPr>
          <w:rFonts w:cs="Times New Roman"/>
        </w:rPr>
        <w:t xml:space="preserve"> us to generate </w:t>
      </w:r>
      <w:r w:rsidR="00F64118">
        <w:rPr>
          <w:rFonts w:cs="Times New Roman"/>
        </w:rPr>
        <w:t xml:space="preserve">consistent </w:t>
      </w:r>
      <w:r w:rsidR="005C3945">
        <w:rPr>
          <w:rFonts w:cs="Times New Roman"/>
        </w:rPr>
        <w:t>estimates of the impact of other exogenous variables</w:t>
      </w:r>
      <w:r w:rsidR="006671B1">
        <w:rPr>
          <w:rFonts w:cs="Times New Roman"/>
        </w:rPr>
        <w:t xml:space="preserve"> (such as land use and urban form)</w:t>
      </w:r>
      <w:r w:rsidR="005C3945">
        <w:rPr>
          <w:rFonts w:cs="Times New Roman"/>
        </w:rPr>
        <w:t>.</w:t>
      </w:r>
      <w:r w:rsidR="00E76B1B">
        <w:rPr>
          <w:rFonts w:cs="Times New Roman"/>
        </w:rPr>
        <w:t xml:space="preserve"> </w:t>
      </w:r>
      <w:r>
        <w:rPr>
          <w:rFonts w:cs="Times New Roman"/>
        </w:rPr>
        <w:t>W</w:t>
      </w:r>
      <w:r w:rsidR="0041271E" w:rsidRPr="008A07C9">
        <w:rPr>
          <w:rFonts w:cs="Times New Roman"/>
          <w:szCs w:val="24"/>
        </w:rPr>
        <w:t xml:space="preserve">e formulate a </w:t>
      </w:r>
      <w:r>
        <w:rPr>
          <w:rFonts w:cs="Times New Roman"/>
          <w:szCs w:val="24"/>
        </w:rPr>
        <w:t>multi</w:t>
      </w:r>
      <w:r w:rsidR="0041271E" w:rsidRPr="008A07C9">
        <w:rPr>
          <w:rFonts w:cs="Times New Roman"/>
          <w:szCs w:val="24"/>
        </w:rPr>
        <w:t>-level</w:t>
      </w:r>
      <w:r w:rsidR="003C62D5" w:rsidRPr="008A07C9">
        <w:rPr>
          <w:rFonts w:cs="Times New Roman"/>
          <w:szCs w:val="24"/>
        </w:rPr>
        <w:t xml:space="preserve"> </w:t>
      </w:r>
      <w:r w:rsidR="006671B1">
        <w:rPr>
          <w:rFonts w:cs="Times New Roman"/>
          <w:szCs w:val="24"/>
        </w:rPr>
        <w:t xml:space="preserve">joint </w:t>
      </w:r>
      <w:r w:rsidR="003C62D5" w:rsidRPr="008A07C9">
        <w:rPr>
          <w:rFonts w:cs="Times New Roman"/>
          <w:szCs w:val="24"/>
        </w:rPr>
        <w:t xml:space="preserve">econometric framework. The </w:t>
      </w:r>
      <w:r>
        <w:rPr>
          <w:rFonts w:cs="Times New Roman"/>
          <w:szCs w:val="24"/>
        </w:rPr>
        <w:t xml:space="preserve">framework </w:t>
      </w:r>
      <w:r w:rsidR="003C62D5" w:rsidRPr="008A07C9">
        <w:rPr>
          <w:rFonts w:cs="Times New Roman"/>
          <w:szCs w:val="24"/>
        </w:rPr>
        <w:t>considers the bicycle</w:t>
      </w:r>
      <w:r w:rsidR="0085703F" w:rsidRPr="008A07C9">
        <w:rPr>
          <w:rFonts w:cs="Times New Roman"/>
          <w:szCs w:val="24"/>
        </w:rPr>
        <w:t>-sharing</w:t>
      </w:r>
      <w:r w:rsidR="003C62D5" w:rsidRPr="008A07C9">
        <w:rPr>
          <w:rFonts w:cs="Times New Roman"/>
          <w:szCs w:val="24"/>
        </w:rPr>
        <w:t xml:space="preserve"> infrastructure installation process</w:t>
      </w:r>
      <w:r w:rsidR="006B7DB7">
        <w:rPr>
          <w:rFonts w:cs="Times New Roman"/>
          <w:szCs w:val="24"/>
        </w:rPr>
        <w:t xml:space="preserve"> (a </w:t>
      </w:r>
      <w:r w:rsidR="005A7E08">
        <w:rPr>
          <w:rFonts w:cs="Times New Roman"/>
          <w:szCs w:val="24"/>
        </w:rPr>
        <w:t>one-time</w:t>
      </w:r>
      <w:r w:rsidR="006B7DB7">
        <w:rPr>
          <w:rFonts w:cs="Times New Roman"/>
          <w:szCs w:val="24"/>
        </w:rPr>
        <w:t xml:space="preserve"> process)</w:t>
      </w:r>
      <w:r w:rsidR="003C62D5" w:rsidRPr="008A07C9">
        <w:rPr>
          <w:rFonts w:cs="Times New Roman"/>
          <w:szCs w:val="24"/>
        </w:rPr>
        <w:t xml:space="preserve"> whi</w:t>
      </w:r>
      <w:r w:rsidR="0041271E" w:rsidRPr="008A07C9">
        <w:rPr>
          <w:rFonts w:cs="Times New Roman"/>
          <w:szCs w:val="24"/>
        </w:rPr>
        <w:t xml:space="preserve">le </w:t>
      </w:r>
      <w:r>
        <w:rPr>
          <w:rFonts w:cs="Times New Roman"/>
          <w:szCs w:val="24"/>
        </w:rPr>
        <w:t xml:space="preserve">allowing for a multi-level analysis of </w:t>
      </w:r>
      <w:r w:rsidR="003C62D5" w:rsidRPr="008A07C9">
        <w:rPr>
          <w:rFonts w:cs="Times New Roman"/>
          <w:szCs w:val="24"/>
        </w:rPr>
        <w:t xml:space="preserve">arrivals and departures. </w:t>
      </w:r>
      <w:r w:rsidR="006B7DB7" w:rsidRPr="008A07C9">
        <w:rPr>
          <w:rFonts w:cs="Times New Roman"/>
          <w:szCs w:val="24"/>
        </w:rPr>
        <w:t xml:space="preserve">We consider an ordered representation for all the </w:t>
      </w:r>
      <w:r w:rsidR="0036775C">
        <w:rPr>
          <w:rFonts w:cs="Times New Roman"/>
          <w:szCs w:val="24"/>
        </w:rPr>
        <w:t xml:space="preserve">dependent </w:t>
      </w:r>
      <w:r w:rsidR="006B7DB7" w:rsidRPr="008A07C9">
        <w:rPr>
          <w:rFonts w:cs="Times New Roman"/>
          <w:szCs w:val="24"/>
        </w:rPr>
        <w:t xml:space="preserve">variables yielding a three </w:t>
      </w:r>
      <w:r w:rsidR="006B7DB7" w:rsidRPr="008A07C9">
        <w:rPr>
          <w:rFonts w:cs="Times New Roman"/>
          <w:szCs w:val="24"/>
        </w:rPr>
        <w:lastRenderedPageBreak/>
        <w:t>dimensional panel ordered formulation.</w:t>
      </w:r>
      <w:r w:rsidR="00E76B1B">
        <w:rPr>
          <w:rFonts w:cs="Times New Roman"/>
          <w:szCs w:val="24"/>
        </w:rPr>
        <w:t xml:space="preserve"> </w:t>
      </w:r>
      <w:r w:rsidR="00AD209A">
        <w:rPr>
          <w:rFonts w:cs="Times New Roman"/>
          <w:szCs w:val="24"/>
        </w:rPr>
        <w:t>Specifically, w</w:t>
      </w:r>
      <w:r w:rsidR="003C62D5" w:rsidRPr="008A07C9">
        <w:rPr>
          <w:rFonts w:cs="Times New Roman"/>
          <w:szCs w:val="24"/>
        </w:rPr>
        <w:t xml:space="preserve">e adopt a repeated observation based panel </w:t>
      </w:r>
      <w:r w:rsidR="00D61F67">
        <w:rPr>
          <w:rFonts w:cs="Times New Roman"/>
          <w:szCs w:val="24"/>
        </w:rPr>
        <w:t xml:space="preserve">multi-level </w:t>
      </w:r>
      <w:r w:rsidR="00097AE6" w:rsidRPr="008A07C9">
        <w:rPr>
          <w:rFonts w:cs="Times New Roman"/>
          <w:szCs w:val="24"/>
        </w:rPr>
        <w:t>mixed</w:t>
      </w:r>
      <w:r w:rsidR="00106FFA">
        <w:rPr>
          <w:rFonts w:cs="Times New Roman"/>
          <w:szCs w:val="24"/>
        </w:rPr>
        <w:t xml:space="preserve"> (or random parameters)</w:t>
      </w:r>
      <w:r w:rsidR="00097AE6" w:rsidRPr="008A07C9">
        <w:rPr>
          <w:rFonts w:cs="Times New Roman"/>
          <w:szCs w:val="24"/>
        </w:rPr>
        <w:t xml:space="preserve"> </w:t>
      </w:r>
      <w:r w:rsidR="009B7997" w:rsidRPr="008A07C9">
        <w:rPr>
          <w:rFonts w:cs="Times New Roman"/>
          <w:szCs w:val="24"/>
        </w:rPr>
        <w:t>o</w:t>
      </w:r>
      <w:r w:rsidR="003C62D5" w:rsidRPr="008A07C9">
        <w:rPr>
          <w:rFonts w:cs="Times New Roman"/>
          <w:szCs w:val="24"/>
        </w:rPr>
        <w:t xml:space="preserve">rdered </w:t>
      </w:r>
      <w:r w:rsidR="009B7997" w:rsidRPr="008A07C9">
        <w:rPr>
          <w:rFonts w:cs="Times New Roman"/>
          <w:szCs w:val="24"/>
        </w:rPr>
        <w:t>l</w:t>
      </w:r>
      <w:r w:rsidR="003C62D5" w:rsidRPr="008A07C9">
        <w:rPr>
          <w:rFonts w:cs="Times New Roman"/>
          <w:szCs w:val="24"/>
        </w:rPr>
        <w:t xml:space="preserve">ogit model. The proposed model is estimated using data compiled from the Montreal </w:t>
      </w:r>
      <w:r w:rsidR="00F4546A" w:rsidRPr="008A07C9">
        <w:rPr>
          <w:rFonts w:cs="Times New Roman"/>
          <w:szCs w:val="24"/>
        </w:rPr>
        <w:t xml:space="preserve">bicycle-sharing system, </w:t>
      </w:r>
      <w:r w:rsidR="003C62D5" w:rsidRPr="008A07C9">
        <w:rPr>
          <w:rFonts w:cs="Times New Roman"/>
          <w:szCs w:val="24"/>
        </w:rPr>
        <w:t>BIXI</w:t>
      </w:r>
      <w:r w:rsidR="00F4546A" w:rsidRPr="008A07C9">
        <w:rPr>
          <w:rFonts w:cs="Times New Roman"/>
          <w:szCs w:val="24"/>
        </w:rPr>
        <w:t xml:space="preserve">, </w:t>
      </w:r>
      <w:r w:rsidR="003C62D5" w:rsidRPr="008A07C9">
        <w:rPr>
          <w:rFonts w:cs="Times New Roman"/>
          <w:szCs w:val="24"/>
        </w:rPr>
        <w:t>from April to August 2012.</w:t>
      </w:r>
      <w:r w:rsidR="003C62D5" w:rsidRPr="008A07C9">
        <w:rPr>
          <w:rFonts w:cs="Times New Roman"/>
        </w:rPr>
        <w:t xml:space="preserve"> </w:t>
      </w:r>
    </w:p>
    <w:p w14:paraId="19465E4C" w14:textId="3B8541E5" w:rsidR="003C62D5" w:rsidRDefault="00CD18B4" w:rsidP="00525C40">
      <w:pPr>
        <w:ind w:firstLine="720"/>
        <w:rPr>
          <w:rFonts w:cs="Times New Roman"/>
        </w:rPr>
      </w:pPr>
      <w:r w:rsidRPr="008A07C9">
        <w:rPr>
          <w:rFonts w:cs="Times New Roman"/>
        </w:rPr>
        <w:t xml:space="preserve">The remainder of the paper is organized in the following order. </w:t>
      </w:r>
      <w:r w:rsidR="00B0400C" w:rsidRPr="008A07C9">
        <w:rPr>
          <w:rFonts w:cs="Times New Roman"/>
        </w:rPr>
        <w:t xml:space="preserve">Section </w:t>
      </w:r>
      <w:r w:rsidR="00B0400C">
        <w:rPr>
          <w:rFonts w:cs="Times New Roman"/>
        </w:rPr>
        <w:t>3</w:t>
      </w:r>
      <w:r w:rsidR="00B0400C" w:rsidRPr="008A07C9">
        <w:rPr>
          <w:rFonts w:cs="Times New Roman"/>
        </w:rPr>
        <w:t xml:space="preserve"> </w:t>
      </w:r>
      <w:r w:rsidR="00B0400C">
        <w:rPr>
          <w:rFonts w:cs="Times New Roman"/>
        </w:rPr>
        <w:t>provide a</w:t>
      </w:r>
      <w:r w:rsidR="00B0400C" w:rsidRPr="008A07C9">
        <w:rPr>
          <w:rFonts w:cs="Times New Roman"/>
        </w:rPr>
        <w:t xml:space="preserve"> discussion on the </w:t>
      </w:r>
      <w:r w:rsidR="00B0400C">
        <w:rPr>
          <w:rFonts w:cs="Times New Roman"/>
        </w:rPr>
        <w:t xml:space="preserve">proposed </w:t>
      </w:r>
      <w:r w:rsidR="00B0400C" w:rsidRPr="008A07C9">
        <w:rPr>
          <w:rFonts w:cs="Times New Roman"/>
        </w:rPr>
        <w:t xml:space="preserve">BSS infrastructure measure. In Section </w:t>
      </w:r>
      <w:r w:rsidR="00B0400C">
        <w:rPr>
          <w:rFonts w:cs="Times New Roman"/>
        </w:rPr>
        <w:t>4</w:t>
      </w:r>
      <w:r w:rsidR="00B0400C" w:rsidRPr="008A07C9">
        <w:rPr>
          <w:rFonts w:cs="Times New Roman"/>
        </w:rPr>
        <w:t xml:space="preserve">, </w:t>
      </w:r>
      <w:r w:rsidR="00B0400C">
        <w:rPr>
          <w:rFonts w:cs="Times New Roman"/>
        </w:rPr>
        <w:t xml:space="preserve">econometric </w:t>
      </w:r>
      <w:r w:rsidR="00B0400C" w:rsidRPr="008A07C9">
        <w:rPr>
          <w:rFonts w:cs="Times New Roman"/>
        </w:rPr>
        <w:t xml:space="preserve">model structure and estimation procedure </w:t>
      </w:r>
      <w:r w:rsidR="00A03247">
        <w:rPr>
          <w:rFonts w:cs="Times New Roman"/>
        </w:rPr>
        <w:t>are</w:t>
      </w:r>
      <w:r w:rsidR="00A03247" w:rsidRPr="008A07C9">
        <w:rPr>
          <w:rFonts w:cs="Times New Roman"/>
        </w:rPr>
        <w:t xml:space="preserve"> </w:t>
      </w:r>
      <w:r w:rsidR="00B0400C" w:rsidRPr="008A07C9">
        <w:rPr>
          <w:rFonts w:cs="Times New Roman"/>
        </w:rPr>
        <w:t xml:space="preserve">described. </w:t>
      </w:r>
      <w:r w:rsidR="00E548C6" w:rsidRPr="008A07C9">
        <w:rPr>
          <w:rFonts w:cs="Times New Roman"/>
        </w:rPr>
        <w:t xml:space="preserve">Section </w:t>
      </w:r>
      <w:r w:rsidR="00B0400C">
        <w:rPr>
          <w:rFonts w:cs="Times New Roman"/>
        </w:rPr>
        <w:t>5</w:t>
      </w:r>
      <w:r w:rsidR="00B0400C" w:rsidRPr="008A07C9">
        <w:rPr>
          <w:rFonts w:cs="Times New Roman"/>
        </w:rPr>
        <w:t xml:space="preserve"> </w:t>
      </w:r>
      <w:r w:rsidR="00E548C6" w:rsidRPr="008A07C9">
        <w:rPr>
          <w:rFonts w:cs="Times New Roman"/>
        </w:rPr>
        <w:t>describes the data and the sample formation procedure.</w:t>
      </w:r>
      <w:r w:rsidR="007F20AA">
        <w:rPr>
          <w:rFonts w:cs="Times New Roman"/>
        </w:rPr>
        <w:t xml:space="preserve"> </w:t>
      </w:r>
      <w:r w:rsidRPr="008A07C9">
        <w:rPr>
          <w:rFonts w:cs="Times New Roman"/>
        </w:rPr>
        <w:t xml:space="preserve">Empirical results and policy analysis are presented and discussed in Section </w:t>
      </w:r>
      <w:r w:rsidR="006B7DB7">
        <w:rPr>
          <w:rFonts w:cs="Times New Roman"/>
        </w:rPr>
        <w:t>6</w:t>
      </w:r>
      <w:r w:rsidRPr="008A07C9">
        <w:rPr>
          <w:rFonts w:cs="Times New Roman"/>
        </w:rPr>
        <w:t xml:space="preserve">. Finally, Section </w:t>
      </w:r>
      <w:r w:rsidR="006B7DB7">
        <w:rPr>
          <w:rFonts w:cs="Times New Roman"/>
        </w:rPr>
        <w:t>7</w:t>
      </w:r>
      <w:r w:rsidR="006B7DB7" w:rsidRPr="008A07C9">
        <w:rPr>
          <w:rFonts w:cs="Times New Roman"/>
        </w:rPr>
        <w:t xml:space="preserve"> </w:t>
      </w:r>
      <w:r w:rsidRPr="008A07C9">
        <w:rPr>
          <w:rFonts w:cs="Times New Roman"/>
        </w:rPr>
        <w:t>summarizes and concludes the paper.</w:t>
      </w:r>
    </w:p>
    <w:p w14:paraId="3B9C463A" w14:textId="77777777" w:rsidR="005E5A7E" w:rsidRPr="008A07C9" w:rsidRDefault="005E5A7E" w:rsidP="00525C40">
      <w:pPr>
        <w:ind w:firstLine="720"/>
        <w:rPr>
          <w:rFonts w:cs="Times New Roman"/>
        </w:rPr>
      </w:pPr>
    </w:p>
    <w:p w14:paraId="753EF6E2" w14:textId="77777777" w:rsidR="003C389D" w:rsidRDefault="003C62D5" w:rsidP="00340B7A">
      <w:pPr>
        <w:pStyle w:val="Heading1"/>
        <w:rPr>
          <w:rFonts w:cs="Times New Roman"/>
        </w:rPr>
      </w:pPr>
      <w:r w:rsidRPr="008A07C9">
        <w:rPr>
          <w:rFonts w:cs="Times New Roman"/>
        </w:rPr>
        <w:t>BSS Infrastructure Measure</w:t>
      </w:r>
      <w:r w:rsidR="003C389D">
        <w:rPr>
          <w:rFonts w:cs="Times New Roman"/>
        </w:rPr>
        <w:t xml:space="preserve"> </w:t>
      </w:r>
    </w:p>
    <w:p w14:paraId="0B9237D0" w14:textId="276F6BB1" w:rsidR="003C62D5" w:rsidRPr="008A07C9" w:rsidRDefault="00E532DE">
      <w:pPr>
        <w:rPr>
          <w:rFonts w:cs="Times New Roman"/>
        </w:rPr>
      </w:pPr>
      <w:r w:rsidRPr="008A07C9">
        <w:rPr>
          <w:rFonts w:cs="Times New Roman"/>
        </w:rPr>
        <w:t xml:space="preserve">As discussed earlier, within a TAZ, number of stations and total capacity represent different spatial components of BSS infrastructure. </w:t>
      </w:r>
      <w:r w:rsidR="003C62D5" w:rsidRPr="008A07C9">
        <w:rPr>
          <w:rFonts w:cs="Times New Roman"/>
        </w:rPr>
        <w:t xml:space="preserve">To facilitate the model development </w:t>
      </w:r>
      <w:r w:rsidR="003F209E" w:rsidRPr="008A07C9">
        <w:rPr>
          <w:rFonts w:cs="Times New Roman"/>
        </w:rPr>
        <w:t>process,</w:t>
      </w:r>
      <w:r w:rsidR="003C62D5" w:rsidRPr="008A07C9">
        <w:rPr>
          <w:rFonts w:cs="Times New Roman"/>
        </w:rPr>
        <w:t xml:space="preserve"> we propose and compute a single BSS infrastructure measure</w:t>
      </w:r>
      <w:r w:rsidRPr="008A07C9">
        <w:rPr>
          <w:rFonts w:cs="Times New Roman"/>
        </w:rPr>
        <w:t>.</w:t>
      </w:r>
      <w:r w:rsidR="003C62D5" w:rsidRPr="008A07C9">
        <w:rPr>
          <w:rFonts w:cs="Times New Roman"/>
        </w:rPr>
        <w:t xml:space="preserve"> Th</w:t>
      </w:r>
      <w:r w:rsidR="004A79E0" w:rsidRPr="008A07C9">
        <w:rPr>
          <w:rFonts w:cs="Times New Roman"/>
        </w:rPr>
        <w:t>is</w:t>
      </w:r>
      <w:r w:rsidR="003C62D5" w:rsidRPr="008A07C9">
        <w:rPr>
          <w:rFonts w:cs="Times New Roman"/>
        </w:rPr>
        <w:t xml:space="preserve"> </w:t>
      </w:r>
      <w:r w:rsidR="000A3417" w:rsidRPr="008A07C9">
        <w:rPr>
          <w:rFonts w:cs="Times New Roman"/>
        </w:rPr>
        <w:t xml:space="preserve">TAZ level </w:t>
      </w:r>
      <w:r w:rsidR="003C62D5" w:rsidRPr="008A07C9">
        <w:rPr>
          <w:rFonts w:cs="Times New Roman"/>
        </w:rPr>
        <w:t xml:space="preserve">measure accounts for the influence of </w:t>
      </w:r>
      <w:r w:rsidRPr="008A07C9">
        <w:rPr>
          <w:rFonts w:cs="Times New Roman"/>
        </w:rPr>
        <w:t xml:space="preserve">both </w:t>
      </w:r>
      <w:r w:rsidR="003C62D5" w:rsidRPr="008A07C9">
        <w:rPr>
          <w:rFonts w:cs="Times New Roman"/>
        </w:rPr>
        <w:t xml:space="preserve">number of bicycle stations and the total capacity in the zone </w:t>
      </w:r>
      <w:r w:rsidR="004A79E0" w:rsidRPr="008A07C9">
        <w:rPr>
          <w:rFonts w:cs="Times New Roman"/>
        </w:rPr>
        <w:t xml:space="preserve">simultaneously </w:t>
      </w:r>
      <w:r w:rsidR="003C62D5" w:rsidRPr="008A07C9">
        <w:rPr>
          <w:rFonts w:cs="Times New Roman"/>
        </w:rPr>
        <w:t xml:space="preserve">while </w:t>
      </w:r>
      <w:r w:rsidR="004A79E0" w:rsidRPr="008A07C9">
        <w:rPr>
          <w:rFonts w:cs="Times New Roman"/>
        </w:rPr>
        <w:t>considering</w:t>
      </w:r>
      <w:r w:rsidRPr="008A07C9">
        <w:rPr>
          <w:rFonts w:cs="Times New Roman"/>
        </w:rPr>
        <w:t xml:space="preserve"> the area of</w:t>
      </w:r>
      <w:r w:rsidR="003C62D5" w:rsidRPr="008A07C9">
        <w:rPr>
          <w:rFonts w:cs="Times New Roman"/>
        </w:rPr>
        <w:t xml:space="preserve"> </w:t>
      </w:r>
      <w:r w:rsidR="004A79E0" w:rsidRPr="008A07C9">
        <w:rPr>
          <w:rFonts w:cs="Times New Roman"/>
        </w:rPr>
        <w:t xml:space="preserve">the </w:t>
      </w:r>
      <w:r w:rsidR="003C62D5" w:rsidRPr="008A07C9">
        <w:rPr>
          <w:rFonts w:cs="Times New Roman"/>
        </w:rPr>
        <w:t xml:space="preserve">TAZ. </w:t>
      </w:r>
      <w:r w:rsidRPr="008A07C9">
        <w:rPr>
          <w:rFonts w:cs="Times New Roman"/>
        </w:rPr>
        <w:t>Several forms of the infrastructure index were examined prior to settling on the index presented here.</w:t>
      </w:r>
    </w:p>
    <w:p w14:paraId="0373D5D9" w14:textId="77777777" w:rsidR="003C62D5" w:rsidRPr="008A07C9" w:rsidRDefault="003C62D5" w:rsidP="003C62D5">
      <w:pPr>
        <w:autoSpaceDE w:val="0"/>
        <w:autoSpaceDN w:val="0"/>
        <w:adjustRightInd w:val="0"/>
        <w:ind w:firstLine="720"/>
        <w:rPr>
          <w:rFonts w:cs="Times New Roman"/>
        </w:rPr>
      </w:pPr>
      <w:r w:rsidRPr="008A07C9">
        <w:rPr>
          <w:rFonts w:cs="Times New Roman"/>
        </w:rPr>
        <w:t>Specifically, BSS infrastructure index (B</w:t>
      </w:r>
      <w:r w:rsidR="004423C3" w:rsidRPr="008A07C9">
        <w:rPr>
          <w:rFonts w:cs="Times New Roman"/>
        </w:rPr>
        <w:t>SS</w:t>
      </w:r>
      <w:r w:rsidRPr="008A07C9">
        <w:rPr>
          <w:rFonts w:cs="Times New Roman"/>
        </w:rPr>
        <w:t>I) takes the following form:</w:t>
      </w:r>
    </w:p>
    <w:p w14:paraId="0DDF8A8D" w14:textId="77777777" w:rsidR="003C62D5" w:rsidRPr="008A07C9" w:rsidRDefault="003C62D5" w:rsidP="00BE6EDF">
      <w:pPr>
        <w:autoSpaceDE w:val="0"/>
        <w:autoSpaceDN w:val="0"/>
        <w:adjustRightInd w:val="0"/>
        <w:jc w:val="center"/>
        <w:rPr>
          <w:rFonts w:cs="Times New Roman"/>
          <w:szCs w:val="24"/>
        </w:rPr>
      </w:pPr>
      <m:oMath>
        <m:r>
          <w:rPr>
            <w:rFonts w:ascii="Cambria Math" w:hAnsi="Cambria Math" w:cs="Times New Roman"/>
            <w:szCs w:val="24"/>
          </w:rPr>
          <m:t>BSSI=Ln(</m:t>
        </m:r>
        <m:f>
          <m:fPr>
            <m:ctrlPr>
              <w:rPr>
                <w:rFonts w:ascii="Cambria Math" w:hAnsi="Cambria Math" w:cs="Times New Roman"/>
                <w:i/>
                <w:szCs w:val="24"/>
              </w:rPr>
            </m:ctrlPr>
          </m:fPr>
          <m:num>
            <m:r>
              <w:rPr>
                <w:rFonts w:ascii="Cambria Math" w:hAnsi="Cambria Math" w:cs="Times New Roman"/>
                <w:szCs w:val="24"/>
              </w:rPr>
              <m:t>Number of Stations in TAZ</m:t>
            </m:r>
          </m:num>
          <m:den>
            <m:r>
              <w:rPr>
                <w:rFonts w:ascii="Cambria Math" w:hAnsi="Cambria Math" w:cs="Times New Roman"/>
                <w:szCs w:val="24"/>
              </w:rPr>
              <m:t>Average Number of Stations in TAZs</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 xml:space="preserve">TAZ Capacity </m:t>
            </m:r>
          </m:num>
          <m:den>
            <m:r>
              <w:rPr>
                <w:rFonts w:ascii="Cambria Math" w:hAnsi="Cambria Math" w:cs="Times New Roman"/>
                <w:szCs w:val="24"/>
              </w:rPr>
              <m:t>Average Capacity of TAZs</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TAZ area</m:t>
            </m:r>
          </m:den>
        </m:f>
        <m:r>
          <w:rPr>
            <w:rFonts w:ascii="Cambria Math" w:hAnsi="Cambria Math" w:cs="Times New Roman"/>
            <w:szCs w:val="24"/>
          </w:rPr>
          <m:t>)</m:t>
        </m:r>
      </m:oMath>
      <w:r w:rsidRPr="008A07C9">
        <w:rPr>
          <w:rFonts w:cs="Times New Roman"/>
          <w:szCs w:val="24"/>
        </w:rPr>
        <w:t xml:space="preserve"> </w:t>
      </w:r>
      <w:r w:rsidR="00552A5B" w:rsidRPr="008A07C9">
        <w:rPr>
          <w:rFonts w:cs="Times New Roman"/>
          <w:szCs w:val="24"/>
        </w:rPr>
        <w:t xml:space="preserve">      </w:t>
      </w:r>
      <w:r w:rsidR="00547388" w:rsidRPr="008A07C9">
        <w:rPr>
          <w:rFonts w:cs="Times New Roman"/>
          <w:szCs w:val="24"/>
        </w:rPr>
        <w:t xml:space="preserve">     </w:t>
      </w:r>
      <w:r w:rsidR="00552A5B" w:rsidRPr="008A07C9">
        <w:rPr>
          <w:rFonts w:cs="Times New Roman"/>
          <w:szCs w:val="24"/>
        </w:rPr>
        <w:t xml:space="preserve">    </w:t>
      </w:r>
      <w:r w:rsidRPr="008A07C9">
        <w:rPr>
          <w:rFonts w:cs="Times New Roman"/>
          <w:szCs w:val="24"/>
        </w:rPr>
        <w:t xml:space="preserve">    (1)</w:t>
      </w:r>
    </w:p>
    <w:p w14:paraId="53D2F6D9" w14:textId="453031FB" w:rsidR="0041271E" w:rsidRPr="008A07C9" w:rsidRDefault="00F02746" w:rsidP="00D4354E">
      <w:pPr>
        <w:ind w:firstLine="720"/>
        <w:rPr>
          <w:rFonts w:cs="Times New Roman"/>
        </w:rPr>
      </w:pPr>
      <w:r w:rsidRPr="008A07C9">
        <w:rPr>
          <w:rFonts w:cs="Times New Roman"/>
        </w:rPr>
        <w:t xml:space="preserve">The proposed index concurrently considers the influence of number of stations and capacity of stations in a TAZ while </w:t>
      </w:r>
      <w:r w:rsidR="00E42629">
        <w:rPr>
          <w:rFonts w:cs="Times New Roman"/>
        </w:rPr>
        <w:t xml:space="preserve">normalizing for </w:t>
      </w:r>
      <w:r w:rsidRPr="008A07C9">
        <w:rPr>
          <w:rFonts w:cs="Times New Roman"/>
        </w:rPr>
        <w:t xml:space="preserve">the </w:t>
      </w:r>
      <w:r w:rsidR="00E42629">
        <w:rPr>
          <w:rFonts w:cs="Times New Roman"/>
        </w:rPr>
        <w:t xml:space="preserve">TAZ </w:t>
      </w:r>
      <w:r w:rsidRPr="008A07C9">
        <w:rPr>
          <w:rFonts w:cs="Times New Roman"/>
        </w:rPr>
        <w:t>area</w:t>
      </w:r>
      <w:r w:rsidR="00E42629">
        <w:rPr>
          <w:rFonts w:cs="Times New Roman"/>
        </w:rPr>
        <w:t>.</w:t>
      </w:r>
      <w:r w:rsidRPr="008A07C9">
        <w:rPr>
          <w:rFonts w:cs="Times New Roman"/>
        </w:rPr>
        <w:t xml:space="preserve"> </w:t>
      </w:r>
      <w:r w:rsidR="0041271E" w:rsidRPr="008A07C9">
        <w:rPr>
          <w:rFonts w:cs="Times New Roman"/>
        </w:rPr>
        <w:t xml:space="preserve">Considering only number of stations in </w:t>
      </w:r>
      <w:r w:rsidR="004A79E0" w:rsidRPr="008A07C9">
        <w:rPr>
          <w:rFonts w:cs="Times New Roman"/>
        </w:rPr>
        <w:t xml:space="preserve">a </w:t>
      </w:r>
      <w:r w:rsidR="0041271E" w:rsidRPr="008A07C9">
        <w:rPr>
          <w:rFonts w:cs="Times New Roman"/>
        </w:rPr>
        <w:t>TAZ as</w:t>
      </w:r>
      <w:r w:rsidR="0023353D">
        <w:rPr>
          <w:rFonts w:cs="Times New Roman"/>
        </w:rPr>
        <w:t xml:space="preserve"> the</w:t>
      </w:r>
      <w:r w:rsidR="0041271E" w:rsidRPr="008A07C9">
        <w:rPr>
          <w:rFonts w:cs="Times New Roman"/>
        </w:rPr>
        <w:t xml:space="preserve"> measure of BSS infrastructure cannot </w:t>
      </w:r>
      <w:r w:rsidR="004A79E0" w:rsidRPr="008A07C9">
        <w:rPr>
          <w:rFonts w:cs="Times New Roman"/>
        </w:rPr>
        <w:t>recognize</w:t>
      </w:r>
      <w:r w:rsidR="0041271E" w:rsidRPr="008A07C9">
        <w:rPr>
          <w:rFonts w:cs="Times New Roman"/>
        </w:rPr>
        <w:t xml:space="preserve"> the difference between two TAZs with the same number of stations but with different capacit</w:t>
      </w:r>
      <w:r w:rsidR="004A79E0" w:rsidRPr="008A07C9">
        <w:rPr>
          <w:rFonts w:cs="Times New Roman"/>
        </w:rPr>
        <w:t>ies</w:t>
      </w:r>
      <w:r w:rsidR="0041271E" w:rsidRPr="008A07C9">
        <w:rPr>
          <w:rFonts w:cs="Times New Roman"/>
        </w:rPr>
        <w:t>. On the other hand, using only total capacity of stations in a TAZ as BSS infrastructure index overlook</w:t>
      </w:r>
      <w:r w:rsidR="004A79E0" w:rsidRPr="008A07C9">
        <w:rPr>
          <w:rFonts w:cs="Times New Roman"/>
        </w:rPr>
        <w:t>s</w:t>
      </w:r>
      <w:r w:rsidR="0041271E" w:rsidRPr="008A07C9">
        <w:rPr>
          <w:rFonts w:cs="Times New Roman"/>
        </w:rPr>
        <w:t xml:space="preserve"> the </w:t>
      </w:r>
      <w:r w:rsidR="00407135">
        <w:rPr>
          <w:rFonts w:cs="Times New Roman"/>
        </w:rPr>
        <w:t>distinction in spatial distribution in the TAZ</w:t>
      </w:r>
      <w:r w:rsidR="0041271E" w:rsidRPr="008A07C9">
        <w:rPr>
          <w:rFonts w:cs="Times New Roman"/>
        </w:rPr>
        <w:t xml:space="preserve">. </w:t>
      </w:r>
      <w:r w:rsidR="008E03A6">
        <w:rPr>
          <w:rFonts w:cs="Times New Roman"/>
        </w:rPr>
        <w:t>T</w:t>
      </w:r>
      <w:r w:rsidR="003071E1" w:rsidRPr="008A07C9">
        <w:rPr>
          <w:rFonts w:cs="Times New Roman"/>
        </w:rPr>
        <w:t>he variation of BSS infrastructure</w:t>
      </w:r>
      <w:r w:rsidR="00547388" w:rsidRPr="008A07C9">
        <w:rPr>
          <w:rFonts w:cs="Times New Roman"/>
        </w:rPr>
        <w:t xml:space="preserve"> </w:t>
      </w:r>
      <w:r w:rsidR="004A68FB" w:rsidRPr="008A07C9">
        <w:rPr>
          <w:rFonts w:cs="Times New Roman"/>
        </w:rPr>
        <w:t xml:space="preserve">for an average sized TAZ in Montreal </w:t>
      </w:r>
      <w:r w:rsidR="00EC5DD5" w:rsidRPr="008A07C9">
        <w:rPr>
          <w:rFonts w:cs="Times New Roman"/>
        </w:rPr>
        <w:t xml:space="preserve">with respect to </w:t>
      </w:r>
      <w:r w:rsidR="00547388" w:rsidRPr="008A07C9">
        <w:rPr>
          <w:rFonts w:cs="Times New Roman"/>
        </w:rPr>
        <w:t xml:space="preserve">the </w:t>
      </w:r>
      <w:r w:rsidR="00EC5DD5" w:rsidRPr="008A07C9">
        <w:rPr>
          <w:rFonts w:cs="Times New Roman"/>
        </w:rPr>
        <w:t>number of stations in</w:t>
      </w:r>
      <w:r w:rsidR="004A68FB" w:rsidRPr="008A07C9">
        <w:rPr>
          <w:rFonts w:cs="Times New Roman"/>
        </w:rPr>
        <w:t xml:space="preserve"> the </w:t>
      </w:r>
      <w:r w:rsidR="00EC5DD5" w:rsidRPr="008A07C9">
        <w:rPr>
          <w:rFonts w:cs="Times New Roman"/>
        </w:rPr>
        <w:t>TAZ and TAZ capacity</w:t>
      </w:r>
      <w:r w:rsidR="008E03A6">
        <w:rPr>
          <w:rFonts w:cs="Times New Roman"/>
        </w:rPr>
        <w:t xml:space="preserve"> is illustrated in Figure 1</w:t>
      </w:r>
      <w:r w:rsidR="003737F1" w:rsidRPr="008A07C9">
        <w:rPr>
          <w:rFonts w:cs="Times New Roman"/>
        </w:rPr>
        <w:t xml:space="preserve">. </w:t>
      </w:r>
      <w:r w:rsidR="008E03A6">
        <w:rPr>
          <w:rFonts w:cs="Times New Roman"/>
        </w:rPr>
        <w:t>T</w:t>
      </w:r>
      <w:r w:rsidR="004A68FB" w:rsidRPr="008A07C9">
        <w:rPr>
          <w:rFonts w:cs="Times New Roman"/>
        </w:rPr>
        <w:t xml:space="preserve">he average number of stations in TAZs and </w:t>
      </w:r>
      <w:r w:rsidR="0023353D">
        <w:rPr>
          <w:rFonts w:cs="Times New Roman"/>
        </w:rPr>
        <w:t xml:space="preserve">the </w:t>
      </w:r>
      <w:r w:rsidR="004A68FB" w:rsidRPr="008A07C9">
        <w:rPr>
          <w:rFonts w:cs="Times New Roman"/>
        </w:rPr>
        <w:t>average capacity of TAZs for BIXI system</w:t>
      </w:r>
      <w:r w:rsidR="008E03A6">
        <w:rPr>
          <w:rFonts w:cs="Times New Roman"/>
        </w:rPr>
        <w:t xml:space="preserve"> and an average TAZ area</w:t>
      </w:r>
      <w:r w:rsidR="004A68FB" w:rsidRPr="008A07C9">
        <w:rPr>
          <w:rFonts w:cs="Times New Roman"/>
        </w:rPr>
        <w:t xml:space="preserve"> are assumed for BSSI calculations</w:t>
      </w:r>
      <w:r w:rsidR="008E03A6">
        <w:rPr>
          <w:rFonts w:cs="Times New Roman"/>
        </w:rPr>
        <w:t xml:space="preserve"> </w:t>
      </w:r>
      <w:r w:rsidR="008E03A6" w:rsidRPr="008A07C9">
        <w:rPr>
          <w:rFonts w:cs="Times New Roman"/>
        </w:rPr>
        <w:t>in Figure 1</w:t>
      </w:r>
      <w:r w:rsidR="003737F1" w:rsidRPr="008A07C9">
        <w:rPr>
          <w:rFonts w:cs="Times New Roman"/>
        </w:rPr>
        <w:t>.</w:t>
      </w:r>
      <w:r w:rsidRPr="008A07C9">
        <w:rPr>
          <w:rFonts w:cs="Times New Roman"/>
        </w:rPr>
        <w:t xml:space="preserve"> It is evident from the figure that for the same total capacity in a TAZ, higher number of stations ha</w:t>
      </w:r>
      <w:r w:rsidR="00FB6448" w:rsidRPr="008A07C9">
        <w:rPr>
          <w:rFonts w:cs="Times New Roman"/>
        </w:rPr>
        <w:t>s</w:t>
      </w:r>
      <w:r w:rsidRPr="008A07C9">
        <w:rPr>
          <w:rFonts w:cs="Times New Roman"/>
        </w:rPr>
        <w:t xml:space="preserve"> a higher BSSI value</w:t>
      </w:r>
      <w:r w:rsidR="002A6FEB">
        <w:rPr>
          <w:rFonts w:cs="Times New Roman"/>
        </w:rPr>
        <w:t xml:space="preserve"> – accounting for better spatial distribution</w:t>
      </w:r>
      <w:r w:rsidRPr="008A07C9">
        <w:rPr>
          <w:rFonts w:cs="Times New Roman"/>
        </w:rPr>
        <w:t xml:space="preserve">. </w:t>
      </w:r>
    </w:p>
    <w:p w14:paraId="0A298581" w14:textId="3EA45F95" w:rsidR="00B0400C" w:rsidRDefault="00510EC1" w:rsidP="00C36C8A">
      <w:pPr>
        <w:ind w:firstLine="720"/>
        <w:rPr>
          <w:rFonts w:cs="Times New Roman"/>
        </w:rPr>
      </w:pPr>
      <w:r w:rsidRPr="008A07C9">
        <w:rPr>
          <w:rFonts w:cs="Times New Roman"/>
        </w:rPr>
        <w:t xml:space="preserve">The distribution of the BSSI variable for the Montreal BIXI system is presented in </w:t>
      </w:r>
      <w:r w:rsidR="004423C3" w:rsidRPr="008A07C9">
        <w:rPr>
          <w:rFonts w:cs="Times New Roman"/>
        </w:rPr>
        <w:t>Figure 2</w:t>
      </w:r>
      <w:r w:rsidRPr="008A07C9">
        <w:rPr>
          <w:rFonts w:cs="Times New Roman"/>
        </w:rPr>
        <w:t>.</w:t>
      </w:r>
      <w:r w:rsidR="004423C3" w:rsidRPr="008A07C9">
        <w:rPr>
          <w:rFonts w:cs="Times New Roman"/>
        </w:rPr>
        <w:t xml:space="preserve"> </w:t>
      </w:r>
      <w:r w:rsidRPr="008A07C9">
        <w:rPr>
          <w:rFonts w:cs="Times New Roman"/>
        </w:rPr>
        <w:t>As is expected, the highest values of the variable are observed in downtown Montreal</w:t>
      </w:r>
      <w:r w:rsidR="000B33D5" w:rsidRPr="008A07C9">
        <w:rPr>
          <w:rFonts w:cs="Times New Roman"/>
        </w:rPr>
        <w:t xml:space="preserve"> and</w:t>
      </w:r>
      <w:r w:rsidRPr="008A07C9">
        <w:rPr>
          <w:rFonts w:cs="Times New Roman"/>
        </w:rPr>
        <w:t xml:space="preserve"> </w:t>
      </w:r>
      <w:r w:rsidR="004423C3" w:rsidRPr="008A07C9">
        <w:rPr>
          <w:rFonts w:cs="Times New Roman"/>
        </w:rPr>
        <w:t>the bicycle-friendlier neighbourhood of Plateau-Mont Royal</w:t>
      </w:r>
      <w:r w:rsidRPr="008A07C9">
        <w:rPr>
          <w:rFonts w:cs="Times New Roman"/>
        </w:rPr>
        <w:t xml:space="preserve"> (highlighted)</w:t>
      </w:r>
      <w:r w:rsidR="004423C3" w:rsidRPr="008A07C9">
        <w:rPr>
          <w:rFonts w:cs="Times New Roman"/>
        </w:rPr>
        <w:t xml:space="preserve">. </w:t>
      </w:r>
      <w:r w:rsidRPr="008A07C9">
        <w:rPr>
          <w:rFonts w:cs="Times New Roman"/>
        </w:rPr>
        <w:t>The BSSI variable defined in our study forms the</w:t>
      </w:r>
      <w:r w:rsidR="0085703F" w:rsidRPr="008A07C9">
        <w:rPr>
          <w:rFonts w:cs="Times New Roman"/>
        </w:rPr>
        <w:t xml:space="preserve"> first dimension of our three-level econometric framework</w:t>
      </w:r>
      <w:r w:rsidRPr="008A07C9">
        <w:rPr>
          <w:rFonts w:cs="Times New Roman"/>
        </w:rPr>
        <w:t>. Specifically</w:t>
      </w:r>
      <w:r w:rsidR="0085703F" w:rsidRPr="008A07C9">
        <w:rPr>
          <w:rFonts w:cs="Times New Roman"/>
        </w:rPr>
        <w:t xml:space="preserve">, we employ the proposed BSSI measure </w:t>
      </w:r>
      <w:r w:rsidR="00B5052D" w:rsidRPr="008A07C9">
        <w:rPr>
          <w:rFonts w:cs="Times New Roman"/>
        </w:rPr>
        <w:t xml:space="preserve">as </w:t>
      </w:r>
      <w:r w:rsidR="00A00863" w:rsidRPr="008A07C9">
        <w:rPr>
          <w:rFonts w:cs="Times New Roman"/>
        </w:rPr>
        <w:t xml:space="preserve">the </w:t>
      </w:r>
      <w:r w:rsidR="00B5052D" w:rsidRPr="008A07C9">
        <w:rPr>
          <w:rFonts w:cs="Times New Roman"/>
        </w:rPr>
        <w:t xml:space="preserve">dependent variable </w:t>
      </w:r>
      <w:r w:rsidR="0085703F" w:rsidRPr="008A07C9">
        <w:rPr>
          <w:rFonts w:cs="Times New Roman"/>
        </w:rPr>
        <w:t>to characterize the bicycle-sharing infrastructure installation process</w:t>
      </w:r>
      <w:r w:rsidR="00CC1438" w:rsidRPr="008A07C9">
        <w:rPr>
          <w:rFonts w:cs="Times New Roman"/>
        </w:rPr>
        <w:t xml:space="preserve">. </w:t>
      </w:r>
    </w:p>
    <w:p w14:paraId="42F3BA56" w14:textId="77777777" w:rsidR="00884D67" w:rsidRPr="008A07C9" w:rsidRDefault="00884D67" w:rsidP="00C36C8A">
      <w:pPr>
        <w:ind w:firstLine="720"/>
        <w:rPr>
          <w:rFonts w:cs="Times New Roman"/>
        </w:rPr>
      </w:pPr>
    </w:p>
    <w:p w14:paraId="75F36A92" w14:textId="77777777" w:rsidR="008013D2" w:rsidRPr="008A07C9" w:rsidRDefault="008013D2" w:rsidP="008013D2">
      <w:pPr>
        <w:pStyle w:val="Heading1"/>
        <w:rPr>
          <w:rFonts w:cs="Times New Roman"/>
        </w:rPr>
      </w:pPr>
      <w:r w:rsidRPr="008A07C9">
        <w:rPr>
          <w:rFonts w:cs="Times New Roman"/>
        </w:rPr>
        <w:t>Methodology</w:t>
      </w:r>
    </w:p>
    <w:p w14:paraId="0907100A" w14:textId="3FB22CAB" w:rsidR="00CF3EDF" w:rsidRDefault="008013D2" w:rsidP="00606B26">
      <w:pPr>
        <w:rPr>
          <w:rFonts w:cs="Times New Roman"/>
          <w:szCs w:val="24"/>
        </w:rPr>
      </w:pPr>
      <w:r w:rsidRPr="008A07C9">
        <w:rPr>
          <w:rFonts w:cs="Times New Roman"/>
        </w:rPr>
        <w:t xml:space="preserve">This section describes the structure and estimation procedure of the proposed three dimensional </w:t>
      </w:r>
      <w:r w:rsidRPr="008A07C9">
        <w:rPr>
          <w:rFonts w:cs="Times New Roman"/>
          <w:szCs w:val="24"/>
        </w:rPr>
        <w:t xml:space="preserve">panel mixed </w:t>
      </w:r>
      <w:r w:rsidR="00016D96">
        <w:rPr>
          <w:rFonts w:cs="Times New Roman"/>
          <w:szCs w:val="24"/>
        </w:rPr>
        <w:t xml:space="preserve">multi-level </w:t>
      </w:r>
      <w:r w:rsidRPr="008A07C9">
        <w:rPr>
          <w:rFonts w:cs="Times New Roman"/>
          <w:szCs w:val="24"/>
        </w:rPr>
        <w:t>ordered logit (3PM</w:t>
      </w:r>
      <w:r w:rsidR="00016D96">
        <w:rPr>
          <w:rFonts w:cs="Times New Roman"/>
          <w:szCs w:val="24"/>
        </w:rPr>
        <w:t>M</w:t>
      </w:r>
      <w:r w:rsidRPr="008A07C9">
        <w:rPr>
          <w:rFonts w:cs="Times New Roman"/>
          <w:szCs w:val="24"/>
        </w:rPr>
        <w:t xml:space="preserve">OL) model. </w:t>
      </w:r>
      <w:r w:rsidR="007739D6">
        <w:rPr>
          <w:rFonts w:cs="Times New Roman"/>
          <w:szCs w:val="24"/>
        </w:rPr>
        <w:t xml:space="preserve">The three dimensions correspond to the installation process, arrivals and departures. </w:t>
      </w:r>
      <w:r w:rsidR="00CF3EDF">
        <w:rPr>
          <w:rFonts w:cs="Times New Roman"/>
          <w:szCs w:val="24"/>
        </w:rPr>
        <w:t xml:space="preserve">The framework allows for random parameters, error </w:t>
      </w:r>
      <w:r w:rsidR="00CF3EDF">
        <w:rPr>
          <w:rFonts w:cs="Times New Roman"/>
          <w:szCs w:val="24"/>
        </w:rPr>
        <w:lastRenderedPageBreak/>
        <w:t xml:space="preserve">correlations at multiple levels while accommodating for endogeneity between installation process and BSS usage dimensions. </w:t>
      </w:r>
    </w:p>
    <w:p w14:paraId="6EFF00EF" w14:textId="77777777" w:rsidR="00A76E89" w:rsidRDefault="00A76E89" w:rsidP="00B509E6">
      <w:pPr>
        <w:pStyle w:val="Heading2"/>
      </w:pPr>
      <w:r>
        <w:t>Model Structure</w:t>
      </w:r>
    </w:p>
    <w:p w14:paraId="0C351610" w14:textId="77777777" w:rsidR="00606B26" w:rsidRDefault="007739D6" w:rsidP="00606B26">
      <w:pPr>
        <w:rPr>
          <w:rFonts w:cs="Times New Roman"/>
          <w:szCs w:val="24"/>
        </w:rPr>
      </w:pPr>
      <w:r>
        <w:rPr>
          <w:rFonts w:cs="Times New Roman"/>
          <w:szCs w:val="24"/>
        </w:rPr>
        <w:t>The mathematical framework is described below</w:t>
      </w:r>
      <w:r w:rsidR="0050687A">
        <w:rPr>
          <w:rFonts w:cs="Times New Roman"/>
          <w:szCs w:val="24"/>
        </w:rPr>
        <w:t xml:space="preserve"> (see Figure 3 for a conceptual representation of the econometric framework)</w:t>
      </w:r>
      <w:r>
        <w:rPr>
          <w:rFonts w:cs="Times New Roman"/>
          <w:szCs w:val="24"/>
        </w:rPr>
        <w:t>:</w:t>
      </w:r>
    </w:p>
    <w:p w14:paraId="2143AB1B" w14:textId="6B9C2D2A" w:rsidR="008013D2" w:rsidRDefault="008013D2" w:rsidP="00A03247">
      <w:pPr>
        <w:ind w:firstLine="720"/>
        <w:rPr>
          <w:rFonts w:cs="Times New Roman"/>
        </w:rPr>
      </w:pPr>
      <w:r w:rsidRPr="008A07C9">
        <w:rPr>
          <w:rFonts w:cs="Times New Roman"/>
        </w:rPr>
        <w:t xml:space="preserve">Let </w:t>
      </w:r>
      <w:r w:rsidRPr="008A07C9">
        <w:rPr>
          <w:rFonts w:cs="Times New Roman"/>
          <w:i/>
        </w:rPr>
        <w:t>q</w:t>
      </w:r>
      <w:r w:rsidRPr="008A07C9">
        <w:rPr>
          <w:rFonts w:cs="Times New Roman"/>
        </w:rPr>
        <w:t xml:space="preserve"> (</w:t>
      </w:r>
      <w:r w:rsidRPr="008A07C9">
        <w:rPr>
          <w:rFonts w:cs="Times New Roman"/>
          <w:i/>
        </w:rPr>
        <w:t>q</w:t>
      </w:r>
      <w:r w:rsidRPr="008A07C9">
        <w:rPr>
          <w:rFonts w:cs="Times New Roman"/>
        </w:rPr>
        <w:t xml:space="preserve"> = 1, 2,</w:t>
      </w:r>
      <w:r w:rsidR="00884D67">
        <w:rPr>
          <w:rFonts w:cs="Times New Roman"/>
        </w:rPr>
        <w:t xml:space="preserve"> </w:t>
      </w:r>
      <w:r w:rsidRPr="008A07C9">
        <w:rPr>
          <w:rFonts w:cs="Times New Roman"/>
        </w:rPr>
        <w:t xml:space="preserve">…, </w:t>
      </w:r>
      <w:r w:rsidRPr="008A07C9">
        <w:rPr>
          <w:rFonts w:cs="Times New Roman"/>
          <w:i/>
        </w:rPr>
        <w:t>Q</w:t>
      </w:r>
      <w:r>
        <w:rPr>
          <w:rFonts w:cs="Times New Roman"/>
          <w:i/>
        </w:rPr>
        <w:t xml:space="preserve">; </w:t>
      </w:r>
      <w:r w:rsidRPr="002A2F16">
        <w:rPr>
          <w:rFonts w:cs="Times New Roman"/>
        </w:rPr>
        <w:t>in our case</w:t>
      </w:r>
      <w:r>
        <w:rPr>
          <w:rFonts w:cs="Times New Roman"/>
          <w:i/>
        </w:rPr>
        <w:t xml:space="preserve"> Q = 235</w:t>
      </w:r>
      <w:r w:rsidRPr="008A07C9">
        <w:rPr>
          <w:rFonts w:cs="Times New Roman"/>
        </w:rPr>
        <w:t>) be an index to represent traffic analysis zones (TAZ)</w:t>
      </w:r>
      <w:r w:rsidRPr="008A07C9">
        <w:rPr>
          <w:rFonts w:cs="Times New Roman"/>
          <w:i/>
        </w:rPr>
        <w:t>,</w:t>
      </w:r>
      <w:r w:rsidRPr="008A07C9">
        <w:rPr>
          <w:rFonts w:cs="Times New Roman"/>
        </w:rPr>
        <w:t xml:space="preserve"> </w:t>
      </w:r>
      <w:r w:rsidRPr="008A07C9">
        <w:rPr>
          <w:rFonts w:cs="Times New Roman"/>
          <w:i/>
        </w:rPr>
        <w:t>j</w:t>
      </w:r>
      <w:r w:rsidRPr="008A07C9">
        <w:rPr>
          <w:rFonts w:cs="Times New Roman"/>
        </w:rPr>
        <w:t xml:space="preserve"> (</w:t>
      </w:r>
      <w:r w:rsidRPr="008A07C9">
        <w:rPr>
          <w:rFonts w:cs="Times New Roman"/>
          <w:i/>
        </w:rPr>
        <w:t>j</w:t>
      </w:r>
      <w:r w:rsidRPr="008A07C9">
        <w:rPr>
          <w:rFonts w:cs="Times New Roman"/>
        </w:rPr>
        <w:t xml:space="preserve"> = 1, 2, 3,</w:t>
      </w:r>
      <w:r w:rsidR="00884D67">
        <w:rPr>
          <w:rFonts w:cs="Times New Roman"/>
        </w:rPr>
        <w:t xml:space="preserve"> </w:t>
      </w:r>
      <w:r w:rsidRPr="008A07C9">
        <w:rPr>
          <w:rFonts w:cs="Times New Roman"/>
        </w:rPr>
        <w:t xml:space="preserve">…, </w:t>
      </w:r>
      <w:r w:rsidRPr="008A07C9">
        <w:rPr>
          <w:rFonts w:cs="Times New Roman"/>
          <w:i/>
        </w:rPr>
        <w:t>J</w:t>
      </w:r>
      <w:r w:rsidRPr="008A07C9">
        <w:rPr>
          <w:rFonts w:cs="Times New Roman"/>
        </w:rPr>
        <w:t xml:space="preserve">) be an index to represent the different levels of bicycle infrastructure, and </w:t>
      </w:r>
      <w:r w:rsidRPr="008A07C9">
        <w:rPr>
          <w:rFonts w:cs="Times New Roman"/>
          <w:i/>
        </w:rPr>
        <w:t>k</w:t>
      </w:r>
      <w:r w:rsidRPr="008A07C9">
        <w:rPr>
          <w:rFonts w:cs="Times New Roman"/>
        </w:rPr>
        <w:t xml:space="preserve"> (</w:t>
      </w:r>
      <w:r w:rsidRPr="008A07C9">
        <w:rPr>
          <w:rFonts w:cs="Times New Roman"/>
          <w:i/>
        </w:rPr>
        <w:t>k</w:t>
      </w:r>
      <w:r w:rsidRPr="008A07C9">
        <w:rPr>
          <w:rFonts w:cs="Times New Roman"/>
        </w:rPr>
        <w:t xml:space="preserve"> = 1, 2, 3,</w:t>
      </w:r>
      <w:r w:rsidR="00884D67">
        <w:rPr>
          <w:rFonts w:cs="Times New Roman"/>
        </w:rPr>
        <w:t xml:space="preserve"> </w:t>
      </w:r>
      <w:r w:rsidRPr="008A07C9">
        <w:rPr>
          <w:rFonts w:cs="Times New Roman"/>
        </w:rPr>
        <w:t xml:space="preserve">…, </w:t>
      </w:r>
      <w:r w:rsidRPr="008A07C9">
        <w:rPr>
          <w:rFonts w:cs="Times New Roman"/>
          <w:i/>
        </w:rPr>
        <w:t>K</w:t>
      </w:r>
      <w:r w:rsidRPr="008A07C9">
        <w:rPr>
          <w:rFonts w:cs="Times New Roman"/>
        </w:rPr>
        <w:t xml:space="preserve">) and </w:t>
      </w:r>
      <w:r w:rsidRPr="008A07C9">
        <w:rPr>
          <w:rFonts w:cs="Times New Roman"/>
          <w:i/>
        </w:rPr>
        <w:t>l</w:t>
      </w:r>
      <w:r w:rsidRPr="008A07C9">
        <w:rPr>
          <w:rFonts w:cs="Times New Roman"/>
        </w:rPr>
        <w:t xml:space="preserve"> (</w:t>
      </w:r>
      <w:r w:rsidRPr="008A07C9">
        <w:rPr>
          <w:rFonts w:cs="Times New Roman"/>
          <w:i/>
        </w:rPr>
        <w:t>l</w:t>
      </w:r>
      <w:r w:rsidRPr="008A07C9">
        <w:rPr>
          <w:rFonts w:cs="Times New Roman"/>
        </w:rPr>
        <w:t xml:space="preserve"> = 1, 2, 3,</w:t>
      </w:r>
      <w:r w:rsidR="00884D67">
        <w:rPr>
          <w:rFonts w:cs="Times New Roman"/>
        </w:rPr>
        <w:t xml:space="preserve"> </w:t>
      </w:r>
      <w:r w:rsidRPr="008A07C9">
        <w:rPr>
          <w:rFonts w:cs="Times New Roman"/>
        </w:rPr>
        <w:t xml:space="preserve">…, </w:t>
      </w:r>
      <w:r w:rsidRPr="008A07C9">
        <w:rPr>
          <w:rFonts w:cs="Times New Roman"/>
          <w:i/>
        </w:rPr>
        <w:t>L</w:t>
      </w:r>
      <w:r w:rsidRPr="008A07C9">
        <w:rPr>
          <w:rFonts w:cs="Times New Roman"/>
        </w:rPr>
        <w:t xml:space="preserve">) be an index to represent the TAZ level bicycle arrival and departure categories, respectively. Further, to accommodate for </w:t>
      </w:r>
      <w:r>
        <w:rPr>
          <w:rFonts w:cs="Times New Roman"/>
        </w:rPr>
        <w:t>time period specific</w:t>
      </w:r>
      <w:r w:rsidRPr="008A07C9">
        <w:rPr>
          <w:rFonts w:cs="Times New Roman"/>
        </w:rPr>
        <w:t xml:space="preserve"> bicycle arrivals and departures, let </w:t>
      </w:r>
      <w:r>
        <w:rPr>
          <w:rFonts w:cs="Times New Roman"/>
          <w:i/>
        </w:rPr>
        <w:t>d</w:t>
      </w:r>
      <w:r w:rsidRPr="008A07C9">
        <w:rPr>
          <w:rFonts w:cs="Times New Roman"/>
        </w:rPr>
        <w:t xml:space="preserve"> (</w:t>
      </w:r>
      <w:r>
        <w:rPr>
          <w:rFonts w:cs="Times New Roman"/>
          <w:i/>
        </w:rPr>
        <w:t>d</w:t>
      </w:r>
      <w:r w:rsidRPr="008A07C9">
        <w:rPr>
          <w:rFonts w:cs="Times New Roman"/>
        </w:rPr>
        <w:t xml:space="preserve"> = 1, 2, 3,</w:t>
      </w:r>
      <w:r w:rsidR="00884D67">
        <w:rPr>
          <w:rFonts w:cs="Times New Roman"/>
        </w:rPr>
        <w:t xml:space="preserve"> </w:t>
      </w:r>
      <w:r w:rsidRPr="008A07C9">
        <w:rPr>
          <w:rFonts w:cs="Times New Roman"/>
        </w:rPr>
        <w:t xml:space="preserve">…, </w:t>
      </w:r>
      <w:r>
        <w:rPr>
          <w:rFonts w:cs="Times New Roman"/>
          <w:i/>
        </w:rPr>
        <w:t xml:space="preserve">D; </w:t>
      </w:r>
      <w:r w:rsidRPr="00575F81">
        <w:rPr>
          <w:rFonts w:cs="Times New Roman"/>
        </w:rPr>
        <w:t xml:space="preserve">in our case </w:t>
      </w:r>
      <w:r>
        <w:rPr>
          <w:rFonts w:cs="Times New Roman"/>
          <w:i/>
        </w:rPr>
        <w:t>D</w:t>
      </w:r>
      <w:r w:rsidRPr="00575F81">
        <w:rPr>
          <w:rFonts w:cs="Times New Roman"/>
        </w:rPr>
        <w:t xml:space="preserve"> =</w:t>
      </w:r>
      <w:r>
        <w:rPr>
          <w:rFonts w:cs="Times New Roman"/>
        </w:rPr>
        <w:t>7</w:t>
      </w:r>
      <w:r w:rsidRPr="008A07C9">
        <w:rPr>
          <w:rFonts w:cs="Times New Roman"/>
        </w:rPr>
        <w:t>)</w:t>
      </w:r>
      <w:r>
        <w:rPr>
          <w:rFonts w:cs="Times New Roman"/>
        </w:rPr>
        <w:t xml:space="preserve"> represent the different days and </w:t>
      </w:r>
      <w:r w:rsidRPr="008A07C9">
        <w:rPr>
          <w:rFonts w:cs="Times New Roman"/>
          <w:i/>
        </w:rPr>
        <w:t>t</w:t>
      </w:r>
      <w:r w:rsidRPr="008A07C9">
        <w:rPr>
          <w:rFonts w:cs="Times New Roman"/>
        </w:rPr>
        <w:t xml:space="preserve"> (</w:t>
      </w:r>
      <w:r w:rsidRPr="008A07C9">
        <w:rPr>
          <w:rFonts w:cs="Times New Roman"/>
          <w:i/>
        </w:rPr>
        <w:t>t</w:t>
      </w:r>
      <w:r w:rsidRPr="008A07C9">
        <w:rPr>
          <w:rFonts w:cs="Times New Roman"/>
        </w:rPr>
        <w:t xml:space="preserve"> = 1, 2, 3,</w:t>
      </w:r>
      <w:r w:rsidR="00884D67">
        <w:rPr>
          <w:rFonts w:cs="Times New Roman"/>
        </w:rPr>
        <w:t xml:space="preserve"> </w:t>
      </w:r>
      <w:r w:rsidRPr="008A07C9">
        <w:rPr>
          <w:rFonts w:cs="Times New Roman"/>
        </w:rPr>
        <w:t xml:space="preserve">…, </w:t>
      </w:r>
      <w:r w:rsidRPr="008A07C9">
        <w:rPr>
          <w:rFonts w:cs="Times New Roman"/>
          <w:i/>
        </w:rPr>
        <w:t>T</w:t>
      </w:r>
      <w:r>
        <w:rPr>
          <w:rFonts w:cs="Times New Roman"/>
          <w:i/>
        </w:rPr>
        <w:t xml:space="preserve">; </w:t>
      </w:r>
      <w:r w:rsidRPr="00575F81">
        <w:rPr>
          <w:rFonts w:cs="Times New Roman"/>
        </w:rPr>
        <w:t xml:space="preserve">in our case </w:t>
      </w:r>
      <w:r w:rsidRPr="00360D88">
        <w:rPr>
          <w:rFonts w:cs="Times New Roman"/>
          <w:i/>
        </w:rPr>
        <w:t>T</w:t>
      </w:r>
      <w:r w:rsidRPr="00575F81">
        <w:rPr>
          <w:rFonts w:cs="Times New Roman"/>
        </w:rPr>
        <w:t xml:space="preserve"> =5</w:t>
      </w:r>
      <w:r w:rsidRPr="008A07C9">
        <w:rPr>
          <w:rFonts w:cs="Times New Roman"/>
        </w:rPr>
        <w:t xml:space="preserve">) represent the different time periods for TAZ </w:t>
      </w:r>
      <w:r w:rsidRPr="008A07C9">
        <w:rPr>
          <w:rFonts w:cs="Times New Roman"/>
          <w:i/>
        </w:rPr>
        <w:t>q</w:t>
      </w:r>
      <w:r w:rsidRPr="008A07C9">
        <w:rPr>
          <w:rFonts w:cs="Times New Roman"/>
        </w:rPr>
        <w:t xml:space="preserve">. </w:t>
      </w:r>
      <w:r w:rsidR="00B509E6">
        <w:rPr>
          <w:rFonts w:cs="Times New Roman"/>
        </w:rPr>
        <w:t>I</w:t>
      </w:r>
      <w:r w:rsidR="003A25CC" w:rsidRPr="006765BE">
        <w:rPr>
          <w:rFonts w:cs="Times New Roman"/>
        </w:rPr>
        <w:t>n</w:t>
      </w:r>
      <w:r w:rsidR="003A25CC">
        <w:rPr>
          <w:rFonts w:cs="Times New Roman"/>
        </w:rPr>
        <w:t xml:space="preserve"> our sample, each TAZ </w:t>
      </w:r>
      <w:r w:rsidR="003A25CC" w:rsidRPr="009E7EA9">
        <w:rPr>
          <w:rFonts w:cs="Times New Roman"/>
          <w:i/>
        </w:rPr>
        <w:t>q</w:t>
      </w:r>
      <w:r w:rsidR="003A25CC">
        <w:rPr>
          <w:rFonts w:cs="Times New Roman"/>
        </w:rPr>
        <w:t>, has 35</w:t>
      </w:r>
      <w:r w:rsidR="00A94D7C">
        <w:rPr>
          <w:rFonts w:cs="Times New Roman"/>
        </w:rPr>
        <w:t xml:space="preserve"> </w:t>
      </w:r>
      <w:r w:rsidR="003A25CC">
        <w:rPr>
          <w:rFonts w:cs="Times New Roman"/>
        </w:rPr>
        <w:t>repeated observations</w:t>
      </w:r>
      <w:r w:rsidR="007739D6">
        <w:rPr>
          <w:rFonts w:cs="Times New Roman"/>
        </w:rPr>
        <w:t xml:space="preserve"> (7 days * 5 time periods)</w:t>
      </w:r>
      <w:r w:rsidR="003A25CC">
        <w:rPr>
          <w:rFonts w:cs="Times New Roman"/>
        </w:rPr>
        <w:t>.</w:t>
      </w:r>
    </w:p>
    <w:p w14:paraId="3C07F523" w14:textId="668197A6" w:rsidR="00002402" w:rsidRDefault="008013D2" w:rsidP="00912E7D">
      <w:pPr>
        <w:ind w:firstLine="720"/>
        <w:rPr>
          <w:rFonts w:cs="Times New Roman"/>
        </w:rPr>
      </w:pPr>
      <w:r>
        <w:rPr>
          <w:rFonts w:cs="Times New Roman"/>
        </w:rPr>
        <w:t xml:space="preserve">The existence of endogeneity is a time invariant impact to be examined. On the other hand, for the usage processes (arrivals and departures) the observed impact of exogenous variables are based on whether the variable is time variant or not (such as temperature in the time period). The unobserved </w:t>
      </w:r>
      <w:r w:rsidR="00106FFA">
        <w:rPr>
          <w:rFonts w:cs="Times New Roman"/>
        </w:rPr>
        <w:t>heterogeneity</w:t>
      </w:r>
      <w:r w:rsidR="00C04C00">
        <w:rPr>
          <w:rFonts w:cs="Times New Roman"/>
        </w:rPr>
        <w:t xml:space="preserve"> (characterized as random parameters or error correlations)</w:t>
      </w:r>
      <w:r w:rsidR="00106FFA">
        <w:rPr>
          <w:rFonts w:cs="Times New Roman"/>
        </w:rPr>
        <w:t xml:space="preserve"> </w:t>
      </w:r>
      <w:r>
        <w:rPr>
          <w:rFonts w:cs="Times New Roman"/>
        </w:rPr>
        <w:t xml:space="preserve">on the other hand has three components: (1) TAZ level, (2) </w:t>
      </w:r>
      <w:r w:rsidR="00016D96">
        <w:rPr>
          <w:rFonts w:cs="Times New Roman"/>
        </w:rPr>
        <w:t xml:space="preserve">TAZ - </w:t>
      </w:r>
      <w:r w:rsidR="002175CE">
        <w:rPr>
          <w:rFonts w:cs="Times New Roman"/>
        </w:rPr>
        <w:t xml:space="preserve">Day </w:t>
      </w:r>
      <w:r>
        <w:rPr>
          <w:rFonts w:cs="Times New Roman"/>
        </w:rPr>
        <w:t xml:space="preserve">level and (3) </w:t>
      </w:r>
      <w:r w:rsidR="00016D96">
        <w:rPr>
          <w:rFonts w:cs="Times New Roman"/>
        </w:rPr>
        <w:t xml:space="preserve">TAZ – </w:t>
      </w:r>
      <w:r w:rsidR="002175CE">
        <w:rPr>
          <w:rFonts w:cs="Times New Roman"/>
        </w:rPr>
        <w:t xml:space="preserve">Day </w:t>
      </w:r>
      <w:r w:rsidR="00016D96">
        <w:rPr>
          <w:rFonts w:cs="Times New Roman"/>
        </w:rPr>
        <w:t xml:space="preserve">- </w:t>
      </w:r>
      <w:r w:rsidR="002175CE">
        <w:rPr>
          <w:rFonts w:cs="Times New Roman"/>
        </w:rPr>
        <w:t xml:space="preserve">Time </w:t>
      </w:r>
      <w:r>
        <w:rPr>
          <w:rFonts w:cs="Times New Roman"/>
        </w:rPr>
        <w:t xml:space="preserve">period level. The reasoning behind this decomposition is that there are potential unobserved factors </w:t>
      </w:r>
      <w:r w:rsidR="00C04C00">
        <w:rPr>
          <w:rFonts w:cs="Times New Roman"/>
        </w:rPr>
        <w:t>at every resolution (TAZ, day or time period) that</w:t>
      </w:r>
      <w:r>
        <w:rPr>
          <w:rFonts w:cs="Times New Roman"/>
        </w:rPr>
        <w:t xml:space="preserve"> influence arrival and departure rates. </w:t>
      </w:r>
      <w:r w:rsidR="00002402">
        <w:rPr>
          <w:rFonts w:cs="Times New Roman"/>
        </w:rPr>
        <w:t>I</w:t>
      </w:r>
      <w:r w:rsidR="00AB11CD">
        <w:rPr>
          <w:rFonts w:cs="Times New Roman"/>
        </w:rPr>
        <w:t>gnoring the presence of such multi-level relationships might result in over-estimati</w:t>
      </w:r>
      <w:r w:rsidR="00002402">
        <w:rPr>
          <w:rFonts w:cs="Times New Roman"/>
        </w:rPr>
        <w:t>o</w:t>
      </w:r>
      <w:r w:rsidR="00AB11CD">
        <w:rPr>
          <w:rFonts w:cs="Times New Roman"/>
        </w:rPr>
        <w:t>n</w:t>
      </w:r>
      <w:r w:rsidR="00002402">
        <w:rPr>
          <w:rFonts w:cs="Times New Roman"/>
        </w:rPr>
        <w:t xml:space="preserve"> of</w:t>
      </w:r>
      <w:r w:rsidR="00AB11CD">
        <w:rPr>
          <w:rFonts w:cs="Times New Roman"/>
        </w:rPr>
        <w:t xml:space="preserve"> the presence of endogeneity. </w:t>
      </w:r>
    </w:p>
    <w:p w14:paraId="185420C0" w14:textId="77777777" w:rsidR="008013D2" w:rsidRPr="008A07C9" w:rsidRDefault="00002402" w:rsidP="008013D2">
      <w:pPr>
        <w:ind w:firstLine="720"/>
        <w:rPr>
          <w:rFonts w:cs="Times New Roman"/>
        </w:rPr>
      </w:pPr>
      <w:r>
        <w:rPr>
          <w:rFonts w:cs="Times New Roman"/>
        </w:rPr>
        <w:t>T</w:t>
      </w:r>
      <w:r w:rsidR="008013D2" w:rsidRPr="008A07C9">
        <w:rPr>
          <w:rFonts w:cs="Times New Roman"/>
        </w:rPr>
        <w:t>he equation system</w:t>
      </w:r>
      <w:r w:rsidR="008013D2">
        <w:rPr>
          <w:rFonts w:cs="Times New Roman"/>
        </w:rPr>
        <w:t xml:space="preserve"> in its most generic form</w:t>
      </w:r>
      <w:r w:rsidR="008013D2" w:rsidRPr="008A07C9">
        <w:rPr>
          <w:rFonts w:cs="Times New Roman"/>
        </w:rPr>
        <w:t xml:space="preserve"> for modeling the bicycle-sharing infrastructure index and the departure and arrivals may be written as follows:</w:t>
      </w:r>
    </w:p>
    <w:p w14:paraId="6E7921D7" w14:textId="77777777" w:rsidR="008013D2" w:rsidRPr="008A07C9" w:rsidRDefault="009F1CEF" w:rsidP="008013D2">
      <w:pPr>
        <w:tabs>
          <w:tab w:val="right" w:pos="9360"/>
        </w:tabs>
        <w:rPr>
          <w:rFonts w:cs="Times New Roman"/>
        </w:rPr>
      </w:pP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m:t>
                    </m:r>
                  </m:sup>
                </m:sSup>
              </m:e>
              <m:sub>
                <m:r>
                  <w:rPr>
                    <w:rFonts w:ascii="Cambria Math" w:hAnsi="Cambria Math" w:cs="Times New Roman"/>
                  </w:rPr>
                  <m:t>q</m:t>
                </m:r>
              </m:sub>
            </m:sSub>
          </m:e>
        </m: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q</m:t>
            </m:r>
          </m:sub>
        </m:sSub>
        <m:r>
          <w:rPr>
            <w:rFonts w:ascii="Cambria Math" w:hAnsi="Cambria Math" w:cs="Times New Roman"/>
          </w:rPr>
          <m:t xml:space="preserve"> </m:t>
        </m:r>
      </m:oMath>
      <w:r w:rsidR="008013D2" w:rsidRPr="008A07C9">
        <w:rPr>
          <w:rFonts w:eastAsiaTheme="minorEastAsia" w:cs="Times New Roman"/>
        </w:rPr>
        <w:t xml:space="preserve">, </w:t>
      </w:r>
      <w:r w:rsidR="008013D2" w:rsidRPr="008A07C9">
        <w:rPr>
          <w:rFonts w:cs="Times New Roman"/>
          <w:sz w:val="22"/>
        </w:rPr>
        <w:t xml:space="preserv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q</m:t>
            </m:r>
          </m:sub>
        </m:sSub>
        <m:r>
          <w:rPr>
            <w:rFonts w:ascii="Cambria Math" w:hAnsi="Cambria Math" w:cs="Times New Roman"/>
          </w:rPr>
          <m:t>=j</m:t>
        </m:r>
      </m:oMath>
      <w:r w:rsidR="008013D2" w:rsidRPr="008A07C9">
        <w:rPr>
          <w:rFonts w:cs="Times New Roman"/>
        </w:rPr>
        <w:t xml:space="preserve">  if </w:t>
      </w:r>
      <m:oMath>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j-1</m:t>
            </m:r>
          </m:sub>
        </m:sSub>
        <m:r>
          <w:rPr>
            <w:rFonts w:ascii="Cambria Math" w:hAnsi="Cambria Math" w:cs="Times New Roman"/>
          </w:rPr>
          <m:t>&lt;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j</m:t>
            </m:r>
          </m:sub>
        </m:sSub>
      </m:oMath>
      <w:r w:rsidR="008013D2" w:rsidRPr="008A07C9">
        <w:rPr>
          <w:rFonts w:cs="Times New Roman"/>
          <w:sz w:val="22"/>
        </w:rPr>
        <w:tab/>
      </w:r>
      <w:r w:rsidR="008013D2" w:rsidRPr="008A07C9">
        <w:rPr>
          <w:rFonts w:cs="Times New Roman"/>
        </w:rPr>
        <w:t xml:space="preserve">(2)     </w:t>
      </w:r>
    </w:p>
    <w:p w14:paraId="381428DF" w14:textId="77777777" w:rsidR="00AB11CD" w:rsidRDefault="00AB11CD" w:rsidP="008013D2">
      <w:pPr>
        <w:tabs>
          <w:tab w:val="right" w:pos="9360"/>
        </w:tabs>
        <w:rPr>
          <w:rFonts w:eastAsiaTheme="minorEastAsia" w:cs="Times New Roman"/>
        </w:rPr>
      </w:pPr>
    </w:p>
    <w:p w14:paraId="7870BEE9" w14:textId="77777777" w:rsidR="008013D2" w:rsidRPr="008A07C9" w:rsidRDefault="009F1CEF" w:rsidP="008013D2">
      <w:pPr>
        <w:tabs>
          <w:tab w:val="right" w:pos="9360"/>
        </w:tabs>
        <w:rPr>
          <w:rFonts w:cs="Times New Roman"/>
        </w:rPr>
      </w:pP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e>
          <m:sub>
            <m:r>
              <w:rPr>
                <w:rFonts w:ascii="Cambria Math" w:hAnsi="Cambria Math" w:cs="Times New Roman"/>
              </w:rPr>
              <m:t>qdt</m:t>
            </m:r>
          </m:sub>
        </m:sSub>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f+</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qdt</m:t>
            </m:r>
          </m:sub>
        </m:sSub>
        <m:r>
          <w:rPr>
            <w:rFonts w:ascii="Cambria Math" w:hAnsi="Cambria Math" w:cs="Times New Roman"/>
          </w:rPr>
          <m:t xml:space="preserve"> </m:t>
        </m:r>
      </m:oMath>
      <w:r w:rsidR="008013D2" w:rsidRPr="008A07C9">
        <w:rPr>
          <w:rFonts w:eastAsiaTheme="minorEastAsia" w:cs="Times New Roman"/>
        </w:rPr>
        <w:t xml:space="preserve">, </w:t>
      </w:r>
      <w:r w:rsidR="008013D2" w:rsidRPr="008A07C9">
        <w:rPr>
          <w:rFonts w:cs="Times New Roman"/>
          <w:sz w:val="22"/>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qdt</m:t>
            </m:r>
          </m:sub>
        </m:sSub>
        <m:r>
          <w:rPr>
            <w:rFonts w:ascii="Cambria Math" w:hAnsi="Cambria Math" w:cs="Times New Roman"/>
          </w:rPr>
          <m:t>=k</m:t>
        </m:r>
      </m:oMath>
      <w:r w:rsidR="008013D2" w:rsidRPr="008A07C9">
        <w:rPr>
          <w:rFonts w:cs="Times New Roman"/>
        </w:rPr>
        <w:t xml:space="preserve">  if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k-1</m:t>
            </m:r>
          </m:sub>
        </m:sSub>
        <m:r>
          <w:rPr>
            <w:rFonts w:ascii="Cambria Math" w:hAnsi="Cambria Math" w:cs="Times New Roman"/>
          </w:rPr>
          <m:t>&lt;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e>
          <m:sub>
            <m:r>
              <w:rPr>
                <w:rFonts w:ascii="Cambria Math" w:hAnsi="Cambria Math" w:cs="Times New Roman"/>
              </w:rPr>
              <m:t>qdt</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k</m:t>
            </m:r>
          </m:sub>
        </m:sSub>
      </m:oMath>
      <w:r w:rsidR="008013D2" w:rsidRPr="008A07C9">
        <w:rPr>
          <w:rFonts w:cs="Times New Roman"/>
        </w:rPr>
        <w:t xml:space="preserve">         </w:t>
      </w:r>
      <w:r w:rsidR="008013D2" w:rsidRPr="008A07C9">
        <w:rPr>
          <w:rFonts w:cs="Times New Roman"/>
        </w:rPr>
        <w:tab/>
        <w:t xml:space="preserve">                   (3)</w:t>
      </w:r>
    </w:p>
    <w:p w14:paraId="1858F0ED" w14:textId="77777777" w:rsidR="00AB11CD" w:rsidRDefault="00AB11CD" w:rsidP="008013D2">
      <w:pPr>
        <w:rPr>
          <w:rFonts w:eastAsiaTheme="minorEastAsia" w:cs="Times New Roman"/>
        </w:rPr>
      </w:pPr>
    </w:p>
    <w:p w14:paraId="271F6660" w14:textId="77777777" w:rsidR="008013D2" w:rsidRPr="008A07C9" w:rsidRDefault="009F1CEF" w:rsidP="008013D2">
      <w:pPr>
        <w:rPr>
          <w:rFonts w:cs="Times New Roman"/>
        </w:rPr>
      </w:pP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m:t>
                </m:r>
              </m:sup>
            </m:sSup>
          </m:e>
          <m:sub>
            <m:r>
              <w:rPr>
                <w:rFonts w:ascii="Cambria Math" w:hAnsi="Cambria Math" w:cs="Times New Roman"/>
              </w:rPr>
              <m:t>qdt</m:t>
            </m:r>
          </m:sub>
        </m:sSub>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τ</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h+</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qdt</m:t>
            </m:r>
          </m:sub>
        </m:sSub>
        <m:r>
          <w:rPr>
            <w:rFonts w:ascii="Cambria Math" w:hAnsi="Cambria Math" w:cs="Times New Roman"/>
          </w:rPr>
          <m:t xml:space="preserve"> </m:t>
        </m:r>
      </m:oMath>
      <w:r w:rsidR="008013D2" w:rsidRPr="008A07C9">
        <w:rPr>
          <w:rFonts w:eastAsiaTheme="minorEastAsia" w:cs="Times New Roman"/>
        </w:rPr>
        <w:t xml:space="preserve">, </w:t>
      </w:r>
      <w:r w:rsidR="008013D2" w:rsidRPr="008A07C9">
        <w:rPr>
          <w:rFonts w:cs="Times New Roman"/>
          <w:sz w:val="22"/>
        </w:rPr>
        <w:t xml:space="preserve">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qdt</m:t>
            </m:r>
          </m:sub>
        </m:sSub>
        <m:r>
          <w:rPr>
            <w:rFonts w:ascii="Cambria Math" w:hAnsi="Cambria Math" w:cs="Times New Roman"/>
          </w:rPr>
          <m:t>=l</m:t>
        </m:r>
      </m:oMath>
      <w:r w:rsidR="008013D2" w:rsidRPr="008A07C9">
        <w:rPr>
          <w:rFonts w:cs="Times New Roman"/>
        </w:rPr>
        <w:t xml:space="preserve">  if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l-1</m:t>
            </m:r>
          </m:sub>
        </m:sSub>
        <m:r>
          <w:rPr>
            <w:rFonts w:ascii="Cambria Math" w:hAnsi="Cambria Math" w:cs="Times New Roman"/>
          </w:rPr>
          <m:t>&lt;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m:t>
                </m:r>
              </m:sup>
            </m:sSup>
          </m:e>
          <m:sub>
            <m:r>
              <w:rPr>
                <w:rFonts w:ascii="Cambria Math" w:hAnsi="Cambria Math" w:cs="Times New Roman"/>
              </w:rPr>
              <m:t>qdt</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l</m:t>
            </m:r>
          </m:sub>
        </m:sSub>
      </m:oMath>
      <w:r w:rsidR="008013D2" w:rsidRPr="008A07C9">
        <w:rPr>
          <w:rFonts w:cs="Times New Roman"/>
        </w:rPr>
        <w:t xml:space="preserve">         </w:t>
      </w:r>
      <w:r w:rsidR="008013D2" w:rsidRPr="008A07C9">
        <w:rPr>
          <w:rFonts w:cs="Times New Roman"/>
        </w:rPr>
        <w:tab/>
        <w:t xml:space="preserve">                   </w:t>
      </w:r>
      <w:r w:rsidR="00EE2037">
        <w:rPr>
          <w:rFonts w:cs="Times New Roman"/>
        </w:rPr>
        <w:tab/>
      </w:r>
      <w:r w:rsidR="00EE2037">
        <w:rPr>
          <w:rFonts w:cs="Times New Roman"/>
        </w:rPr>
        <w:tab/>
      </w:r>
      <w:r w:rsidR="00EE2037">
        <w:rPr>
          <w:rFonts w:cs="Times New Roman"/>
        </w:rPr>
        <w:tab/>
      </w:r>
      <w:r w:rsidR="00EE2037">
        <w:rPr>
          <w:rFonts w:cs="Times New Roman"/>
        </w:rPr>
        <w:tab/>
      </w:r>
      <w:r w:rsidR="00EE2037">
        <w:rPr>
          <w:rFonts w:cs="Times New Roman"/>
        </w:rPr>
        <w:tab/>
      </w:r>
      <w:r w:rsidR="00EE2037">
        <w:rPr>
          <w:rFonts w:cs="Times New Roman"/>
        </w:rPr>
        <w:tab/>
      </w:r>
      <w:r w:rsidR="00EE2037">
        <w:rPr>
          <w:rFonts w:cs="Times New Roman"/>
        </w:rPr>
        <w:tab/>
        <w:t xml:space="preserve">       </w:t>
      </w:r>
      <w:r w:rsidR="008013D2" w:rsidRPr="008A07C9">
        <w:rPr>
          <w:rFonts w:cs="Times New Roman"/>
        </w:rPr>
        <w:t>(4)</w:t>
      </w:r>
    </w:p>
    <w:p w14:paraId="7E3AC80A" w14:textId="0F3C2810" w:rsidR="008013D2" w:rsidRPr="008A07C9" w:rsidRDefault="00DC017C" w:rsidP="00D4354E">
      <w:pPr>
        <w:ind w:firstLine="720"/>
        <w:rPr>
          <w:rFonts w:cs="Times New Roman"/>
        </w:rPr>
      </w:pPr>
      <w:r>
        <w:rPr>
          <w:rFonts w:cs="Times New Roman"/>
        </w:rPr>
        <w:t>E</w:t>
      </w:r>
      <w:r w:rsidR="008013D2" w:rsidRPr="008A07C9">
        <w:rPr>
          <w:rFonts w:cs="Times New Roman"/>
        </w:rPr>
        <w:t>quation</w:t>
      </w:r>
      <w:r>
        <w:rPr>
          <w:rFonts w:cs="Times New Roman"/>
        </w:rPr>
        <w:t xml:space="preserve"> (2)</w:t>
      </w:r>
      <w:r w:rsidR="008013D2" w:rsidRPr="008A07C9">
        <w:rPr>
          <w:rFonts w:cs="Times New Roman"/>
        </w:rPr>
        <w:t xml:space="preserve"> is associated with the </w:t>
      </w:r>
      <w:r w:rsidR="0050687A">
        <w:rPr>
          <w:rFonts w:cs="Times New Roman"/>
        </w:rPr>
        <w:t xml:space="preserve">BSSI installation </w:t>
      </w:r>
      <w:r w:rsidR="008013D2">
        <w:rPr>
          <w:rFonts w:cs="Times New Roman"/>
        </w:rPr>
        <w:t>propensity</w:t>
      </w:r>
      <w:r w:rsidR="008013D2" w:rsidRPr="008A07C9">
        <w:rPr>
          <w:rFonts w:cs="Times New Roman"/>
        </w:rPr>
        <w:t xml:space="preserve"> </w:t>
      </w: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e>
          <m:sub>
            <m:r>
              <w:rPr>
                <w:rFonts w:ascii="Cambria Math" w:hAnsi="Cambria Math" w:cs="Times New Roman"/>
              </w:rPr>
              <m:t>q</m:t>
            </m:r>
          </m:sub>
        </m:sSub>
      </m:oMath>
      <w:r>
        <w:rPr>
          <w:rFonts w:eastAsiaTheme="minorEastAsia" w:cs="Times New Roman"/>
        </w:rPr>
        <w:t xml:space="preserve"> </w:t>
      </w:r>
      <w:r w:rsidR="008013D2" w:rsidRPr="008A07C9">
        <w:rPr>
          <w:rFonts w:cs="Times New Roman"/>
        </w:rPr>
        <w:t xml:space="preserve">for TAZ </w:t>
      </w:r>
      <w:r w:rsidR="008013D2" w:rsidRPr="008A07C9">
        <w:rPr>
          <w:rFonts w:cs="Times New Roman"/>
          <w:i/>
        </w:rPr>
        <w:t>q</w:t>
      </w:r>
      <w:r w:rsidR="008013D2" w:rsidRPr="008A07C9">
        <w:rPr>
          <w:rFonts w:cs="Times New Roman"/>
        </w:rPr>
        <w:t xml:space="preserve">, and </w:t>
      </w:r>
      <w:r w:rsidR="008013D2" w:rsidRPr="008A07C9">
        <w:rPr>
          <w:rFonts w:cs="Times New Roman"/>
          <w:position w:val="-14"/>
        </w:rPr>
        <w:object w:dxaOrig="260" w:dyaOrig="380" w14:anchorId="5CB0E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8.45pt" o:ole="">
            <v:imagedata r:id="rId11" o:title=""/>
          </v:shape>
          <o:OLEObject Type="Embed" ProgID="Equation.DSMT4" ShapeID="_x0000_i1025" DrawAspect="Content" ObjectID="_1538549622" r:id="rId12"/>
        </w:object>
      </w:r>
      <w:r w:rsidR="008013D2" w:rsidRPr="008A07C9">
        <w:rPr>
          <w:rFonts w:cs="Times New Roman"/>
        </w:rPr>
        <w:t xml:space="preserve"> is an (</w:t>
      </w:r>
      <w:r w:rsidR="008013D2" w:rsidRPr="008A07C9">
        <w:rPr>
          <w:rFonts w:cs="Times New Roman"/>
          <w:i/>
        </w:rPr>
        <w:t>M</w:t>
      </w:r>
      <w:r w:rsidR="008013D2" w:rsidRPr="008A07C9">
        <w:rPr>
          <w:rFonts w:cs="Times New Roman"/>
        </w:rPr>
        <w:t xml:space="preserve"> × 1)-column vector of attributes associated with TAZ </w:t>
      </w:r>
      <w:r w:rsidR="008013D2" w:rsidRPr="008A07C9">
        <w:rPr>
          <w:rFonts w:cs="Times New Roman"/>
          <w:i/>
        </w:rPr>
        <w:t>q</w:t>
      </w:r>
      <w:r w:rsidR="008013D2" w:rsidRPr="008A07C9">
        <w:rPr>
          <w:rFonts w:cs="Times New Roman"/>
        </w:rPr>
        <w:t xml:space="preserve"> (for example, job density, bicycle lane density, </w:t>
      </w:r>
      <w:r w:rsidR="008013D2" w:rsidRPr="008A07C9">
        <w:rPr>
          <w:rFonts w:cs="Times New Roman"/>
          <w:i/>
        </w:rPr>
        <w:t>etc</w:t>
      </w:r>
      <w:r w:rsidR="008013D2" w:rsidRPr="008A07C9">
        <w:rPr>
          <w:rFonts w:cs="Times New Roman"/>
        </w:rPr>
        <w:t>.)</w:t>
      </w:r>
      <w:r w:rsidR="00D4354E">
        <w:rPr>
          <w:rFonts w:cs="Times New Roman"/>
        </w:rPr>
        <w:t xml:space="preserve"> and </w:t>
      </w:r>
      <m:oMath>
        <m:r>
          <w:rPr>
            <w:rFonts w:ascii="Cambria Math" w:hAnsi="Cambria Math" w:cs="Times New Roman"/>
          </w:rPr>
          <m:t>ψ</m:t>
        </m:r>
      </m:oMath>
      <w:r w:rsidR="00D4354E">
        <w:rPr>
          <w:rFonts w:eastAsiaTheme="minorEastAsia" w:cs="Times New Roman"/>
        </w:rPr>
        <w:t xml:space="preserve"> represents threshold </w:t>
      </w:r>
      <w:r w:rsidR="00135562">
        <w:rPr>
          <w:rFonts w:eastAsiaTheme="minorEastAsia" w:cs="Times New Roman"/>
        </w:rPr>
        <w:t>vector for</w:t>
      </w:r>
      <w:r w:rsidR="00D4354E">
        <w:rPr>
          <w:rFonts w:eastAsiaTheme="minorEastAsia" w:cs="Times New Roman"/>
        </w:rPr>
        <w:t xml:space="preserve"> BSSI installation</w:t>
      </w:r>
      <w:r w:rsidR="008013D2" w:rsidRPr="008A07C9">
        <w:rPr>
          <w:rFonts w:cs="Times New Roman"/>
        </w:rPr>
        <w:t>. β represents a corresponding (</w:t>
      </w:r>
      <w:r w:rsidR="008013D2" w:rsidRPr="008A07C9">
        <w:rPr>
          <w:rFonts w:cs="Times New Roman"/>
          <w:i/>
        </w:rPr>
        <w:t>M</w:t>
      </w:r>
      <w:r w:rsidR="008013D2" w:rsidRPr="008A07C9">
        <w:rPr>
          <w:rFonts w:cs="Times New Roman"/>
        </w:rPr>
        <w:t xml:space="preserve"> × 1)-column vector of mean effects of the elements of </w:t>
      </w:r>
      <w:r w:rsidR="008013D2" w:rsidRPr="008A07C9">
        <w:rPr>
          <w:rFonts w:cs="Times New Roman"/>
          <w:position w:val="-14"/>
        </w:rPr>
        <w:object w:dxaOrig="260" w:dyaOrig="380" w14:anchorId="0943FFFA">
          <v:shape id="_x0000_i1026" type="#_x0000_t75" style="width:14.4pt;height:18.45pt" o:ole="">
            <v:imagedata r:id="rId11" o:title=""/>
          </v:shape>
          <o:OLEObject Type="Embed" ProgID="Equation.DSMT4" ShapeID="_x0000_i1026" DrawAspect="Content" ObjectID="_1538549623" r:id="rId13"/>
        </w:object>
      </w:r>
      <w:r w:rsidR="008013D2" w:rsidRPr="008A07C9">
        <w:rPr>
          <w:rFonts w:cs="Times New Roman"/>
        </w:rPr>
        <w:t xml:space="preserve"> while </w:t>
      </w: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m:t>
                </m:r>
              </m:sup>
            </m:sSup>
          </m:e>
          <m:sub>
            <m:r>
              <w:rPr>
                <w:rFonts w:ascii="Cambria Math" w:hAnsi="Cambria Math" w:cs="Times New Roman"/>
              </w:rPr>
              <m:t>q</m:t>
            </m:r>
          </m:sub>
        </m:sSub>
      </m:oMath>
      <w:r w:rsidR="008013D2" w:rsidRPr="008A07C9">
        <w:rPr>
          <w:rFonts w:cs="Times New Roman"/>
        </w:rPr>
        <w:t xml:space="preserve"> is another (</w:t>
      </w:r>
      <w:r w:rsidR="008013D2" w:rsidRPr="008A07C9">
        <w:rPr>
          <w:rFonts w:cs="Times New Roman"/>
          <w:i/>
        </w:rPr>
        <w:t>M</w:t>
      </w:r>
      <w:r w:rsidR="008013D2" w:rsidRPr="008A07C9">
        <w:rPr>
          <w:rFonts w:cs="Times New Roman"/>
        </w:rPr>
        <w:t xml:space="preserve"> × 1)-column vector with its </w:t>
      </w:r>
      <w:r w:rsidR="008013D2" w:rsidRPr="008A07C9">
        <w:rPr>
          <w:rFonts w:cs="Times New Roman"/>
          <w:i/>
        </w:rPr>
        <w:t>m</w:t>
      </w:r>
      <w:r w:rsidR="008013D2" w:rsidRPr="008A07C9">
        <w:rPr>
          <w:rFonts w:cs="Times New Roman"/>
          <w:i/>
          <w:vertAlign w:val="superscript"/>
        </w:rPr>
        <w:t>th</w:t>
      </w:r>
      <w:r w:rsidR="008013D2" w:rsidRPr="008A07C9">
        <w:rPr>
          <w:rFonts w:cs="Times New Roman"/>
        </w:rPr>
        <w:t xml:space="preserve"> element representing unobserved factors specific to TAZ </w:t>
      </w:r>
      <w:r w:rsidR="008013D2" w:rsidRPr="008A07C9">
        <w:rPr>
          <w:rFonts w:cs="Times New Roman"/>
          <w:i/>
        </w:rPr>
        <w:t xml:space="preserve">q </w:t>
      </w:r>
      <w:r w:rsidR="008013D2" w:rsidRPr="008A07C9">
        <w:rPr>
          <w:rFonts w:cs="Times New Roman"/>
        </w:rPr>
        <w:t xml:space="preserve">and its choice environment that moderate the influence of the corresponding </w:t>
      </w:r>
      <w:r w:rsidR="008013D2" w:rsidRPr="008A07C9">
        <w:rPr>
          <w:rFonts w:cs="Times New Roman"/>
          <w:i/>
        </w:rPr>
        <w:t>m</w:t>
      </w:r>
      <w:r w:rsidR="008013D2" w:rsidRPr="008A07C9">
        <w:rPr>
          <w:rFonts w:cs="Times New Roman"/>
          <w:i/>
          <w:vertAlign w:val="superscript"/>
        </w:rPr>
        <w:t>th</w:t>
      </w:r>
      <w:r w:rsidR="008013D2" w:rsidRPr="008A07C9">
        <w:rPr>
          <w:rFonts w:cs="Times New Roman"/>
          <w:i/>
        </w:rPr>
        <w:t xml:space="preserve"> </w:t>
      </w:r>
      <w:r w:rsidR="008013D2" w:rsidRPr="008A07C9">
        <w:rPr>
          <w:rFonts w:cs="Times New Roman"/>
        </w:rPr>
        <w:t xml:space="preserve">element of the vector </w:t>
      </w:r>
      <w:r w:rsidR="008013D2" w:rsidRPr="008A07C9">
        <w:rPr>
          <w:rFonts w:cs="Times New Roman"/>
          <w:position w:val="-14"/>
        </w:rPr>
        <w:object w:dxaOrig="260" w:dyaOrig="380" w14:anchorId="10BFE115">
          <v:shape id="_x0000_i1027" type="#_x0000_t75" style="width:14.4pt;height:18.45pt" o:ole="">
            <v:imagedata r:id="rId14" o:title=""/>
          </v:shape>
          <o:OLEObject Type="Embed" ProgID="Equation.DSMT4" ShapeID="_x0000_i1027" DrawAspect="Content" ObjectID="_1538549624" r:id="rId15"/>
        </w:object>
      </w:r>
      <w:r w:rsidR="008013D2" w:rsidRPr="008A07C9">
        <w:rPr>
          <w:rFonts w:cs="Times New Roman"/>
        </w:rPr>
        <w:t xml:space="preserve">.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q</m:t>
            </m:r>
          </m:sub>
        </m:sSub>
      </m:oMath>
      <w:r w:rsidR="008013D2" w:rsidRPr="008A07C9">
        <w:rPr>
          <w:rFonts w:cs="Times New Roman"/>
        </w:rPr>
        <w:t xml:space="preserve"> is an idiosyncratic random error term assumed to be identically and independently standard </w:t>
      </w:r>
      <w:r w:rsidR="00002402">
        <w:rPr>
          <w:rFonts w:cs="Times New Roman"/>
        </w:rPr>
        <w:t>Logistic</w:t>
      </w:r>
      <w:r w:rsidR="008013D2" w:rsidRPr="008A07C9">
        <w:rPr>
          <w:rFonts w:cs="Times New Roman"/>
        </w:rPr>
        <w:t xml:space="preserve"> distributed across TAZs.</w:t>
      </w:r>
    </w:p>
    <w:p w14:paraId="3019164E" w14:textId="3A152A2C" w:rsidR="008013D2" w:rsidRDefault="00DC017C">
      <w:pPr>
        <w:ind w:firstLine="720"/>
        <w:rPr>
          <w:rFonts w:cs="Times New Roman"/>
        </w:rPr>
      </w:pPr>
      <w:r>
        <w:rPr>
          <w:rFonts w:cs="Times New Roman"/>
        </w:rPr>
        <w:lastRenderedPageBreak/>
        <w:t>E</w:t>
      </w:r>
      <w:r w:rsidR="008013D2" w:rsidRPr="008A07C9">
        <w:rPr>
          <w:rFonts w:cs="Times New Roman"/>
        </w:rPr>
        <w:t>quation</w:t>
      </w:r>
      <w:r>
        <w:rPr>
          <w:rFonts w:cs="Times New Roman"/>
        </w:rPr>
        <w:t xml:space="preserve"> (3)</w:t>
      </w:r>
      <w:r w:rsidR="008013D2" w:rsidRPr="008A07C9">
        <w:rPr>
          <w:rFonts w:cs="Times New Roman"/>
        </w:rPr>
        <w:t xml:space="preserve"> is associated with </w:t>
      </w: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e>
          <m:sub>
            <m:r>
              <w:rPr>
                <w:rFonts w:ascii="Cambria Math" w:hAnsi="Cambria Math" w:cs="Times New Roman"/>
              </w:rPr>
              <m:t>qdt</m:t>
            </m:r>
          </m:sub>
        </m:sSub>
      </m:oMath>
      <w:r w:rsidR="008013D2" w:rsidRPr="008A07C9">
        <w:rPr>
          <w:rFonts w:cs="Times New Roman"/>
        </w:rPr>
        <w:t xml:space="preserve"> being the latent (ordered) bicycle </w:t>
      </w:r>
      <w:r w:rsidR="008013D2">
        <w:rPr>
          <w:rFonts w:cs="Times New Roman"/>
        </w:rPr>
        <w:t xml:space="preserve">propensity for </w:t>
      </w:r>
      <w:r w:rsidR="008013D2" w:rsidRPr="008A07C9">
        <w:rPr>
          <w:rFonts w:cs="Times New Roman"/>
        </w:rPr>
        <w:t xml:space="preserve">arrivals of TAZ </w:t>
      </w:r>
      <w:r w:rsidR="008013D2" w:rsidRPr="008A07C9">
        <w:rPr>
          <w:rFonts w:cs="Times New Roman"/>
          <w:i/>
        </w:rPr>
        <w:t>q</w:t>
      </w:r>
      <w:r w:rsidR="008013D2" w:rsidRPr="008A07C9">
        <w:rPr>
          <w:rFonts w:cs="Times New Roman"/>
        </w:rPr>
        <w:t xml:space="preserve"> </w:t>
      </w:r>
      <w:r w:rsidR="008013D2">
        <w:rPr>
          <w:rFonts w:cs="Times New Roman"/>
        </w:rPr>
        <w:t>on</w:t>
      </w:r>
      <w:r w:rsidR="008013D2" w:rsidRPr="008A07C9">
        <w:rPr>
          <w:rFonts w:cs="Times New Roman"/>
        </w:rPr>
        <w:t xml:space="preserve"> </w:t>
      </w:r>
      <w:r w:rsidR="008013D2">
        <w:rPr>
          <w:rFonts w:cs="Times New Roman"/>
        </w:rPr>
        <w:t xml:space="preserve">day </w:t>
      </w:r>
      <w:r w:rsidR="008013D2" w:rsidRPr="002A2F16">
        <w:rPr>
          <w:rFonts w:cs="Times New Roman"/>
          <w:i/>
        </w:rPr>
        <w:t>d</w:t>
      </w:r>
      <w:r w:rsidR="008013D2">
        <w:rPr>
          <w:rFonts w:cs="Times New Roman"/>
        </w:rPr>
        <w:t xml:space="preserve"> and </w:t>
      </w:r>
      <w:r w:rsidR="008013D2" w:rsidRPr="008A07C9">
        <w:rPr>
          <w:rFonts w:cs="Times New Roman"/>
          <w:i/>
        </w:rPr>
        <w:t>t</w:t>
      </w:r>
      <w:r w:rsidR="008013D2" w:rsidRPr="008A07C9">
        <w:rPr>
          <w:rFonts w:cs="Times New Roman"/>
          <w:i/>
          <w:vertAlign w:val="superscript"/>
        </w:rPr>
        <w:t>th</w:t>
      </w:r>
      <w:r w:rsidR="008013D2" w:rsidRPr="008A07C9">
        <w:rPr>
          <w:rFonts w:cs="Times New Roman"/>
        </w:rPr>
        <w:t xml:space="preserve"> time occasion. This latent </w:t>
      </w:r>
      <w:r w:rsidR="008013D2">
        <w:rPr>
          <w:rFonts w:cs="Times New Roman"/>
        </w:rPr>
        <w:t>propensity</w:t>
      </w:r>
      <w:r w:rsidR="008013D2" w:rsidRPr="008A07C9">
        <w:rPr>
          <w:rFonts w:cs="Times New Roman"/>
        </w:rPr>
        <w:t xml:space="preserve"> </w:t>
      </w: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e>
          <m:sub>
            <m:r>
              <w:rPr>
                <w:rFonts w:ascii="Cambria Math" w:hAnsi="Cambria Math" w:cs="Times New Roman"/>
              </w:rPr>
              <m:t>qdt</m:t>
            </m:r>
          </m:sub>
        </m:sSub>
      </m:oMath>
      <w:r w:rsidR="008013D2" w:rsidRPr="008A07C9">
        <w:rPr>
          <w:rFonts w:cs="Times New Roman"/>
        </w:rPr>
        <w:t xml:space="preserve"> is mapped to the actual grouped </w:t>
      </w:r>
      <w:r w:rsidR="008013D2">
        <w:rPr>
          <w:rFonts w:cs="Times New Roman"/>
        </w:rPr>
        <w:t>arrival</w:t>
      </w:r>
      <w:r w:rsidR="008013D2" w:rsidRPr="008A07C9">
        <w:rPr>
          <w:rFonts w:cs="Times New Roman"/>
        </w:rPr>
        <w:t xml:space="preserve"> category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qdt</m:t>
            </m:r>
          </m:sub>
        </m:sSub>
      </m:oMath>
      <w:r w:rsidR="008013D2" w:rsidRPr="008A07C9">
        <w:rPr>
          <w:rFonts w:cs="Times New Roman"/>
        </w:rPr>
        <w:t xml:space="preserve"> by the ω thresholds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0</m:t>
            </m:r>
          </m:sub>
        </m:sSub>
        <m:r>
          <w:rPr>
            <w:rFonts w:ascii="Cambria Math" w:hAnsi="Cambria Math" w:cs="Times New Roman"/>
          </w:rPr>
          <m:t>=-∞</m:t>
        </m:r>
      </m:oMath>
      <w:r w:rsidR="008013D2" w:rsidRPr="008A07C9">
        <w:rPr>
          <w:rFonts w:eastAsiaTheme="minorEastAsia" w:cs="Times New Roman"/>
        </w:rPr>
        <w:t xml:space="preserve"> </w:t>
      </w:r>
      <w:r w:rsidR="008013D2" w:rsidRPr="008A07C9">
        <w:rPr>
          <w:rFonts w:cs="Times New Roman"/>
        </w:rPr>
        <w:t xml:space="preserve">and </w:t>
      </w:r>
      <m:oMath>
        <m:sSub>
          <m:sSubPr>
            <m:ctrlPr>
              <w:rPr>
                <w:rFonts w:ascii="Cambria Math" w:hAnsi="Cambria Math" w:cs="Times New Roman"/>
                <w:i/>
              </w:rPr>
            </m:ctrlPr>
          </m:sSubPr>
          <m:e>
            <m:r>
              <w:rPr>
                <w:rFonts w:ascii="Cambria Math" w:hAnsi="Cambria Math" w:cs="Times New Roman"/>
              </w:rPr>
              <m:t>ω</m:t>
            </m:r>
          </m:e>
          <m:sub>
            <m:r>
              <m:rPr>
                <m:sty m:val="p"/>
              </m:rPr>
              <w:rPr>
                <w:rFonts w:ascii="Cambria Math" w:hAnsi="Cambria Math" w:cs="Times New Roman"/>
              </w:rPr>
              <m:t>k</m:t>
            </m:r>
          </m:sub>
        </m:sSub>
        <m:r>
          <w:rPr>
            <w:rFonts w:ascii="Cambria Math" w:hAnsi="Cambria Math" w:cs="Times New Roman"/>
          </w:rPr>
          <m:t>=∞</m:t>
        </m:r>
      </m:oMath>
      <w:r w:rsidR="008013D2" w:rsidRPr="008A07C9">
        <w:rPr>
          <w:rFonts w:cs="Times New Roman"/>
        </w:rPr>
        <w:t>) in the usual ordered-response modeling framework.</w:t>
      </w:r>
      <w:r w:rsidR="008013D2">
        <w:rPr>
          <w:rFonts w:cs="Times New Roman"/>
        </w:rPr>
        <w:t xml:space="preserve"> </w:t>
      </w:r>
      <m:oMath>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qdt</m:t>
            </m:r>
          </m:sub>
        </m:sSub>
      </m:oMath>
      <w:r w:rsidR="008013D2" w:rsidRPr="008A07C9">
        <w:rPr>
          <w:rFonts w:cs="Times New Roman"/>
        </w:rPr>
        <w:t xml:space="preserve"> is an idiosyncratic random error term, assumed identically and independently logistic distributed (across TAZs</w:t>
      </w:r>
      <w:r w:rsidR="008013D2">
        <w:rPr>
          <w:rFonts w:cs="Times New Roman"/>
        </w:rPr>
        <w:t>, days</w:t>
      </w:r>
      <w:r w:rsidR="008013D2" w:rsidRPr="008A07C9">
        <w:rPr>
          <w:rFonts w:cs="Times New Roman"/>
        </w:rPr>
        <w:t xml:space="preserve"> and time periods).</w:t>
      </w:r>
      <w:r w:rsidR="008013D2">
        <w:rPr>
          <w:rFonts w:cs="Times New Roman"/>
        </w:rPr>
        <w:t xml:space="preserve"> </w:t>
      </w:r>
      <w:r>
        <w:rPr>
          <w:rFonts w:cs="Times New Roman"/>
        </w:rPr>
        <w:t>E</w:t>
      </w:r>
      <w:r w:rsidR="008013D2">
        <w:rPr>
          <w:rFonts w:cs="Times New Roman"/>
        </w:rPr>
        <w:t xml:space="preserve">quation </w:t>
      </w:r>
      <w:r>
        <w:rPr>
          <w:rFonts w:cs="Times New Roman"/>
        </w:rPr>
        <w:t xml:space="preserve">(3) </w:t>
      </w:r>
      <w:r w:rsidR="008013D2">
        <w:rPr>
          <w:rFonts w:cs="Times New Roman"/>
        </w:rPr>
        <w:t>similarly posit</w:t>
      </w:r>
      <w:r w:rsidR="007739D6">
        <w:rPr>
          <w:rFonts w:cs="Times New Roman"/>
        </w:rPr>
        <w:t>s</w:t>
      </w:r>
      <w:r w:rsidR="008013D2">
        <w:rPr>
          <w:rFonts w:cs="Times New Roman"/>
        </w:rPr>
        <w:t xml:space="preserve"> the departure rates of </w:t>
      </w:r>
      <w:r w:rsidR="008013D2" w:rsidRPr="008A07C9">
        <w:rPr>
          <w:rFonts w:cs="Times New Roman"/>
        </w:rPr>
        <w:t xml:space="preserve">TAZ </w:t>
      </w:r>
      <w:r w:rsidR="008013D2" w:rsidRPr="008A07C9">
        <w:rPr>
          <w:rFonts w:cs="Times New Roman"/>
          <w:i/>
        </w:rPr>
        <w:t>q</w:t>
      </w:r>
      <w:r w:rsidR="008013D2" w:rsidRPr="008A07C9">
        <w:rPr>
          <w:rFonts w:cs="Times New Roman"/>
        </w:rPr>
        <w:t xml:space="preserve"> </w:t>
      </w:r>
      <w:r w:rsidR="008013D2">
        <w:rPr>
          <w:rFonts w:cs="Times New Roman"/>
        </w:rPr>
        <w:t>on</w:t>
      </w:r>
      <w:r w:rsidR="008013D2" w:rsidRPr="008A07C9">
        <w:rPr>
          <w:rFonts w:cs="Times New Roman"/>
        </w:rPr>
        <w:t xml:space="preserve"> </w:t>
      </w:r>
      <w:r w:rsidR="008013D2">
        <w:rPr>
          <w:rFonts w:cs="Times New Roman"/>
        </w:rPr>
        <w:t xml:space="preserve">day </w:t>
      </w:r>
      <w:r w:rsidR="008013D2" w:rsidRPr="002A2F16">
        <w:rPr>
          <w:rFonts w:cs="Times New Roman"/>
          <w:i/>
        </w:rPr>
        <w:t>d</w:t>
      </w:r>
      <w:r w:rsidR="008013D2">
        <w:rPr>
          <w:rFonts w:cs="Times New Roman"/>
        </w:rPr>
        <w:t xml:space="preserve"> and </w:t>
      </w:r>
      <w:r w:rsidR="008013D2" w:rsidRPr="008A07C9">
        <w:rPr>
          <w:rFonts w:cs="Times New Roman"/>
          <w:i/>
        </w:rPr>
        <w:t>t</w:t>
      </w:r>
      <w:r w:rsidR="008013D2" w:rsidRPr="008A07C9">
        <w:rPr>
          <w:rFonts w:cs="Times New Roman"/>
          <w:i/>
          <w:vertAlign w:val="superscript"/>
        </w:rPr>
        <w:t>th</w:t>
      </w:r>
      <w:r w:rsidR="008013D2" w:rsidRPr="008A07C9">
        <w:rPr>
          <w:rFonts w:cs="Times New Roman"/>
        </w:rPr>
        <w:t xml:space="preserve"> time occasion</w:t>
      </w:r>
      <w:r w:rsidR="008013D2">
        <w:rPr>
          <w:rFonts w:cs="Times New Roman"/>
        </w:rPr>
        <w:t xml:space="preserve"> with the latent ordered propensity of </w:t>
      </w:r>
      <m:oMath>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m:t>
                </m:r>
              </m:sup>
            </m:sSup>
          </m:e>
          <m:sub>
            <m:r>
              <w:rPr>
                <w:rFonts w:ascii="Cambria Math" w:hAnsi="Cambria Math" w:cs="Times New Roman"/>
              </w:rPr>
              <m:t>qdt</m:t>
            </m:r>
          </m:sub>
        </m:sSub>
      </m:oMath>
      <w:r w:rsidR="008013D2">
        <w:rPr>
          <w:rFonts w:eastAsiaTheme="minorEastAsia" w:cs="Times New Roman"/>
        </w:rPr>
        <w:t xml:space="preserve"> , </w:t>
      </w:r>
      <w:r w:rsidR="008013D2" w:rsidRPr="008A07C9">
        <w:rPr>
          <w:rFonts w:cs="Times New Roman"/>
        </w:rPr>
        <w:t>ω thresholds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0</m:t>
            </m:r>
          </m:sub>
        </m:sSub>
        <m:r>
          <w:rPr>
            <w:rFonts w:ascii="Cambria Math" w:hAnsi="Cambria Math" w:cs="Times New Roman"/>
          </w:rPr>
          <m:t>=-∞</m:t>
        </m:r>
      </m:oMath>
      <w:r w:rsidR="008013D2" w:rsidRPr="008A07C9">
        <w:rPr>
          <w:rFonts w:eastAsiaTheme="minorEastAsia" w:cs="Times New Roman"/>
        </w:rPr>
        <w:t xml:space="preserve"> </w:t>
      </w:r>
      <w:r w:rsidR="008013D2" w:rsidRPr="008A07C9">
        <w:rPr>
          <w:rFonts w:cs="Times New Roman"/>
        </w:rPr>
        <w:t xml:space="preserve">and </w:t>
      </w:r>
      <m:oMath>
        <m:sSub>
          <m:sSubPr>
            <m:ctrlPr>
              <w:rPr>
                <w:rFonts w:ascii="Cambria Math" w:hAnsi="Cambria Math" w:cs="Times New Roman"/>
                <w:i/>
              </w:rPr>
            </m:ctrlPr>
          </m:sSubPr>
          <m:e>
            <m:r>
              <w:rPr>
                <w:rFonts w:ascii="Cambria Math" w:hAnsi="Cambria Math" w:cs="Times New Roman"/>
              </w:rPr>
              <m:t>ω</m:t>
            </m:r>
          </m:e>
          <m:sub>
            <m:r>
              <m:rPr>
                <m:sty m:val="p"/>
              </m:rPr>
              <w:rPr>
                <w:rFonts w:ascii="Cambria Math" w:hAnsi="Cambria Math" w:cs="Times New Roman"/>
              </w:rPr>
              <m:t>l</m:t>
            </m:r>
          </m:sub>
        </m:sSub>
        <m:r>
          <w:rPr>
            <w:rFonts w:ascii="Cambria Math" w:hAnsi="Cambria Math" w:cs="Times New Roman"/>
          </w:rPr>
          <m:t>=∞</m:t>
        </m:r>
      </m:oMath>
      <w:r w:rsidR="008013D2" w:rsidRPr="008A07C9">
        <w:rPr>
          <w:rFonts w:cs="Times New Roman"/>
        </w:rPr>
        <w:t>)</w:t>
      </w:r>
      <w:r w:rsidR="008013D2">
        <w:rPr>
          <w:rFonts w:cs="Times New Roman"/>
        </w:rPr>
        <w:t xml:space="preserve">, and </w:t>
      </w:r>
      <w:r w:rsidR="008013D2">
        <w:rPr>
          <w:rFonts w:eastAsiaTheme="minorEastAsia" w:cs="Times New Roman"/>
        </w:rPr>
        <w:t xml:space="preserve">error term </w:t>
      </w:r>
      <m:oMath>
        <m:sSub>
          <m:sSubPr>
            <m:ctrlPr>
              <w:rPr>
                <w:rFonts w:ascii="Cambria Math" w:hAnsi="Cambria Math" w:cs="Times New Roman"/>
                <w:i/>
                <w:szCs w:val="24"/>
              </w:rPr>
            </m:ctrlPr>
          </m:sSubPr>
          <m:e>
            <m:r>
              <w:rPr>
                <w:rFonts w:ascii="Cambria Math" w:hAnsi="Cambria Math" w:cs="Times New Roman"/>
                <w:szCs w:val="24"/>
              </w:rPr>
              <m:t>ζ</m:t>
            </m:r>
          </m:e>
          <m:sub>
            <m:r>
              <w:rPr>
                <w:rFonts w:ascii="Cambria Math" w:hAnsi="Cambria Math" w:cs="Times New Roman"/>
                <w:szCs w:val="24"/>
              </w:rPr>
              <m:t>qdt</m:t>
            </m:r>
          </m:sub>
        </m:sSub>
      </m:oMath>
      <w:r w:rsidR="008013D2">
        <w:rPr>
          <w:rFonts w:eastAsiaTheme="minorEastAsia" w:cs="Times New Roman"/>
          <w:szCs w:val="24"/>
        </w:rPr>
        <w:t>.</w:t>
      </w:r>
    </w:p>
    <w:p w14:paraId="35B14D39" w14:textId="1E5C66F2" w:rsidR="009937F9" w:rsidRPr="009937F9" w:rsidRDefault="008013D2" w:rsidP="003732C3">
      <w:pPr>
        <w:ind w:firstLine="720"/>
        <w:rPr>
          <w:rFonts w:eastAsiaTheme="minorEastAsia" w:cs="Times New Roman"/>
        </w:rPr>
      </w:pPr>
      <m:oMath>
        <m:r>
          <w:rPr>
            <w:rFonts w:ascii="Cambria Math" w:hAnsi="Cambria Math" w:cs="Times New Roman"/>
          </w:rPr>
          <m:t>f</m:t>
        </m:r>
      </m:oMath>
      <w:r w:rsidR="00DF71F5">
        <w:rPr>
          <w:rFonts w:eastAsiaTheme="minorEastAsia" w:cs="Times New Roman"/>
        </w:rPr>
        <w:t xml:space="preserve"> matrix composed of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q</m:t>
            </m:r>
          </m:sub>
        </m:sSub>
      </m:oMath>
      <w:r w:rsidR="00DF71F5">
        <w:rPr>
          <w:rFonts w:eastAsiaTheme="minorEastAsia"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qd</m:t>
            </m:r>
          </m:sub>
        </m:sSub>
        <m:r>
          <w:rPr>
            <w:rFonts w:ascii="Cambria Math" w:hAnsi="Cambria Math" w:cs="Times New Roman"/>
          </w:rPr>
          <m:t xml:space="preserve"> </m:t>
        </m:r>
        <m:r>
          <m:rPr>
            <m:sty m:val="p"/>
          </m:rPr>
          <w:rPr>
            <w:rFonts w:ascii="Cambria Math" w:hAnsi="Cambria Math" w:cs="Times New Roman"/>
          </w:rPr>
          <m:t>and</m:t>
        </m:r>
      </m:oMath>
      <w:r w:rsidR="00DF71F5" w:rsidRPr="00DF71F5">
        <w:rPr>
          <w:rFonts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qdt</m:t>
            </m:r>
          </m:sub>
        </m:sSub>
      </m:oMath>
      <w:r w:rsidR="00DF71F5">
        <w:rPr>
          <w:rFonts w:eastAsiaTheme="minorEastAsia" w:cs="Times New Roman"/>
        </w:rPr>
        <w:t xml:space="preserve"> </w:t>
      </w:r>
      <w:r w:rsidR="007739D6">
        <w:rPr>
          <w:rFonts w:eastAsiaTheme="minorEastAsia" w:cs="Times New Roman"/>
        </w:rPr>
        <w:t>in Equation (3)</w:t>
      </w:r>
      <w:r>
        <w:rPr>
          <w:rFonts w:eastAsiaTheme="minorEastAsia" w:cs="Times New Roman"/>
        </w:rPr>
        <w:t xml:space="preserve"> is the set of attributes that solely influence the TAZ’s bicycle arrival</w:t>
      </w:r>
      <w:r w:rsidR="00DF71F5">
        <w:rPr>
          <w:rFonts w:eastAsiaTheme="minorEastAsia" w:cs="Times New Roman"/>
        </w:rPr>
        <w:t xml:space="preserve"> rate</w:t>
      </w:r>
      <w:r>
        <w:rPr>
          <w:rFonts w:eastAsiaTheme="minorEastAsia" w:cs="Times New Roman"/>
        </w:rPr>
        <w:t xml:space="preserve"> while </w:t>
      </w:r>
      <m:oMath>
        <m:r>
          <w:rPr>
            <w:rFonts w:ascii="Cambria Math" w:eastAsiaTheme="minorEastAsia" w:hAnsi="Cambria Math" w:cs="Times New Roman"/>
          </w:rPr>
          <m:t>h</m:t>
        </m:r>
      </m:oMath>
      <w:r>
        <w:rPr>
          <w:rFonts w:eastAsiaTheme="minorEastAsia" w:cs="Times New Roman"/>
        </w:rPr>
        <w:t xml:space="preserve"> </w:t>
      </w:r>
      <w:r w:rsidR="00DF71F5">
        <w:rPr>
          <w:rFonts w:eastAsiaTheme="minorEastAsia" w:cs="Times New Roman"/>
        </w:rPr>
        <w:t xml:space="preserve">matrix composed of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q</m:t>
            </m:r>
          </m:sub>
        </m:sSub>
      </m:oMath>
      <w:r w:rsidR="00DF71F5">
        <w:rPr>
          <w:rFonts w:eastAsiaTheme="minorEastAsia" w:cs="Times New Roman"/>
        </w:rPr>
        <w:t xml:space="preserv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qd</m:t>
            </m:r>
          </m:sub>
        </m:sSub>
        <m:r>
          <m:rPr>
            <m:sty m:val="p"/>
          </m:rPr>
          <w:rPr>
            <w:rFonts w:ascii="Cambria Math" w:hAnsi="Cambria Math" w:cs="Times New Roman"/>
          </w:rPr>
          <m:t xml:space="preserve"> and</m:t>
        </m:r>
      </m:oMath>
      <w:r w:rsidR="00DF71F5" w:rsidRPr="008A07C9">
        <w:rPr>
          <w:rFonts w:cs="Times New Roman"/>
        </w:rPr>
        <w:t xml:space="preserv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qdt</m:t>
            </m:r>
          </m:sub>
        </m:sSub>
      </m:oMath>
      <w:r w:rsidR="00DF71F5">
        <w:rPr>
          <w:rFonts w:eastAsiaTheme="minorEastAsia" w:cs="Times New Roman"/>
        </w:rPr>
        <w:t xml:space="preserve"> </w:t>
      </w:r>
      <w:r w:rsidR="007739D6">
        <w:rPr>
          <w:rFonts w:eastAsiaTheme="minorEastAsia" w:cs="Times New Roman"/>
        </w:rPr>
        <w:t xml:space="preserve">in Equation (4) </w:t>
      </w:r>
      <w:r>
        <w:rPr>
          <w:rFonts w:eastAsiaTheme="minorEastAsia" w:cs="Times New Roman"/>
        </w:rPr>
        <w:t>is the set of attributes that solely affect the TAZ’s bicycle departure</w:t>
      </w:r>
      <w:r w:rsidR="00DF71F5">
        <w:rPr>
          <w:rFonts w:eastAsiaTheme="minorEastAsia" w:cs="Times New Roman"/>
        </w:rPr>
        <w:t xml:space="preserve"> rates</w:t>
      </w:r>
      <w:r>
        <w:rPr>
          <w:rFonts w:eastAsiaTheme="minorEastAsia" w:cs="Times New Roman"/>
        </w:rPr>
        <w:t xml:space="preserve">. In addition, </w:t>
      </w:r>
      <m:oMath>
        <m:r>
          <w:rPr>
            <w:rFonts w:ascii="Cambria Math" w:eastAsiaTheme="minorEastAsia" w:hAnsi="Cambria Math" w:cs="Times New Roman"/>
          </w:rPr>
          <m:t>g</m:t>
        </m:r>
      </m:oMath>
      <w:r w:rsidR="00DF71F5">
        <w:rPr>
          <w:rFonts w:eastAsiaTheme="minorEastAsia" w:cs="Times New Roman"/>
        </w:rPr>
        <w:t xml:space="preserve"> matrix composed of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q</m:t>
            </m:r>
          </m:sub>
        </m:sSub>
      </m:oMath>
      <w:r w:rsidR="00DF71F5">
        <w:rPr>
          <w:rFonts w:eastAsiaTheme="minorEastAsia" w:cs="Times New Roman"/>
        </w:rPr>
        <w:t xml:space="preserve">,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qd</m:t>
            </m:r>
          </m:sub>
        </m:sSub>
        <m:r>
          <w:rPr>
            <w:rFonts w:ascii="Cambria Math" w:hAnsi="Cambria Math" w:cs="Times New Roman"/>
          </w:rPr>
          <m:t xml:space="preserve"> </m:t>
        </m:r>
        <m:r>
          <m:rPr>
            <m:sty m:val="p"/>
          </m:rPr>
          <w:rPr>
            <w:rFonts w:ascii="Cambria Math" w:hAnsi="Cambria Math" w:cs="Times New Roman"/>
          </w:rPr>
          <m:t>and</m:t>
        </m:r>
      </m:oMath>
      <w:r w:rsidR="00DF71F5" w:rsidRPr="008A07C9">
        <w:rPr>
          <w:rFonts w:cs="Times New Roman"/>
        </w:rPr>
        <w:t xml:space="preserve">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qdt</m:t>
            </m:r>
          </m:sub>
        </m:sSub>
      </m:oMath>
      <w:r>
        <w:rPr>
          <w:rFonts w:eastAsiaTheme="minorEastAsia" w:cs="Times New Roman"/>
        </w:rPr>
        <w:t xml:space="preserve"> </w:t>
      </w:r>
      <w:r w:rsidR="007739D6">
        <w:rPr>
          <w:rFonts w:eastAsiaTheme="minorEastAsia" w:cs="Times New Roman"/>
        </w:rPr>
        <w:t xml:space="preserve">in Equation (3, 4) </w:t>
      </w:r>
      <w:r>
        <w:rPr>
          <w:rFonts w:eastAsiaTheme="minorEastAsia" w:cs="Times New Roman"/>
        </w:rPr>
        <w:t xml:space="preserve">is the set of common attributes that </w:t>
      </w:r>
      <w:r w:rsidRPr="008A07C9">
        <w:rPr>
          <w:rFonts w:cs="Times New Roman"/>
        </w:rPr>
        <w:t xml:space="preserve">simultaneously </w:t>
      </w:r>
      <w:r>
        <w:rPr>
          <w:rFonts w:eastAsiaTheme="minorEastAsia" w:cs="Times New Roman"/>
        </w:rPr>
        <w:t>impact</w:t>
      </w:r>
      <w:r w:rsidR="00DF71F5">
        <w:rPr>
          <w:rFonts w:eastAsiaTheme="minorEastAsia" w:cs="Times New Roman"/>
        </w:rPr>
        <w:t>s</w:t>
      </w:r>
      <w:r>
        <w:rPr>
          <w:rFonts w:eastAsiaTheme="minorEastAsia" w:cs="Times New Roman"/>
        </w:rPr>
        <w:t xml:space="preserve"> both arrival and departure</w:t>
      </w:r>
      <w:r w:rsidR="00DF71F5">
        <w:rPr>
          <w:rFonts w:eastAsiaTheme="minorEastAsia" w:cs="Times New Roman"/>
        </w:rPr>
        <w:t xml:space="preserve"> rates</w:t>
      </w:r>
      <w:r>
        <w:rPr>
          <w:rFonts w:eastAsiaTheme="minorEastAsia" w:cs="Times New Roman"/>
        </w:rPr>
        <w:t>.</w:t>
      </w:r>
      <w:r w:rsidR="0056166A">
        <w:rPr>
          <w:rFonts w:eastAsiaTheme="minorEastAsia" w:cs="Times New Roman"/>
        </w:rPr>
        <w:t xml:space="preserve"> </w:t>
      </w:r>
      <w:r w:rsidR="0056166A">
        <w:rPr>
          <w:rFonts w:cs="Times New Roman"/>
          <w:szCs w:val="24"/>
        </w:rPr>
        <w:t>The reader would note that t</w:t>
      </w:r>
      <w:r w:rsidR="0056166A">
        <w:rPr>
          <w:rFonts w:eastAsiaTheme="minorEastAsia" w:cs="Times New Roman"/>
        </w:rPr>
        <w:t xml:space="preserve">here is no overlap in the variables in  </w:t>
      </w:r>
      <m:oMath>
        <m:r>
          <w:rPr>
            <w:rFonts w:ascii="Cambria Math" w:hAnsi="Cambria Math" w:cs="Times New Roman"/>
          </w:rPr>
          <m:t>f</m:t>
        </m:r>
      </m:oMath>
      <w:r w:rsidR="0056166A">
        <w:rPr>
          <w:rFonts w:eastAsiaTheme="minorEastAsia" w:cs="Times New Roman"/>
        </w:rPr>
        <w:t xml:space="preserve"> and </w:t>
      </w:r>
      <m:oMath>
        <m:r>
          <w:rPr>
            <w:rFonts w:ascii="Cambria Math" w:eastAsiaTheme="minorEastAsia" w:hAnsi="Cambria Math" w:cs="Times New Roman"/>
          </w:rPr>
          <m:t>g</m:t>
        </m:r>
      </m:oMath>
      <w:r w:rsidR="0056166A">
        <w:rPr>
          <w:rFonts w:eastAsiaTheme="minorEastAsia" w:cs="Times New Roman"/>
        </w:rPr>
        <w:t xml:space="preserve"> as well as in  </w:t>
      </w:r>
      <m:oMath>
        <m:r>
          <w:rPr>
            <w:rFonts w:ascii="Cambria Math" w:hAnsi="Cambria Math" w:cs="Times New Roman"/>
          </w:rPr>
          <m:t>h</m:t>
        </m:r>
      </m:oMath>
      <w:r w:rsidR="0056166A">
        <w:rPr>
          <w:rFonts w:eastAsiaTheme="minorEastAsia" w:cs="Times New Roman"/>
        </w:rPr>
        <w:t xml:space="preserve"> and </w:t>
      </w:r>
      <m:oMath>
        <m:r>
          <w:rPr>
            <w:rFonts w:ascii="Cambria Math" w:eastAsiaTheme="minorEastAsia" w:hAnsi="Cambria Math" w:cs="Times New Roman"/>
          </w:rPr>
          <m:t>g</m:t>
        </m:r>
      </m:oMath>
      <w:r w:rsidR="0056166A">
        <w:rPr>
          <w:rFonts w:eastAsiaTheme="minorEastAsia" w:cs="Times New Roman"/>
        </w:rPr>
        <w:t>.</w:t>
      </w:r>
      <w:r w:rsidR="0050687A">
        <w:rPr>
          <w:rFonts w:eastAsiaTheme="minorEastAsia" w:cs="Times New Roman"/>
        </w:rPr>
        <w:t xml:space="preserve"> </w:t>
      </w:r>
      <m:oMath>
        <m:r>
          <w:rPr>
            <w:rFonts w:ascii="Cambria Math" w:hAnsi="Cambria Math" w:cs="Times New Roman"/>
          </w:rPr>
          <m:t xml:space="preserve">α, τ, </m:t>
        </m:r>
      </m:oMath>
      <w:r w:rsidR="007739D6">
        <w:rPr>
          <w:rFonts w:eastAsiaTheme="minorEastAsia" w:cs="Times New Roman"/>
        </w:rPr>
        <w:t>and</w:t>
      </w:r>
      <w:r w:rsidR="009937F9">
        <w:rPr>
          <w:rFonts w:eastAsiaTheme="minorEastAsia" w:cs="Times New Roman"/>
        </w:rPr>
        <w:t xml:space="preserve"> </w:t>
      </w:r>
      <m:oMath>
        <m:r>
          <w:rPr>
            <w:rFonts w:ascii="Cambria Math" w:hAnsi="Cambria Math" w:cs="Times New Roman"/>
            <w:szCs w:val="24"/>
          </w:rPr>
          <m:t>θ</m:t>
        </m:r>
      </m:oMath>
      <w:r w:rsidR="007739D6">
        <w:rPr>
          <w:rFonts w:eastAsiaTheme="minorEastAsia" w:cs="Times New Roman"/>
        </w:rPr>
        <w:t xml:space="preserve"> </w:t>
      </w:r>
      <w:r w:rsidR="007739D6">
        <w:rPr>
          <w:rFonts w:cs="Times New Roman"/>
        </w:rPr>
        <w:t>are</w:t>
      </w:r>
      <w:r>
        <w:rPr>
          <w:rFonts w:cs="Times New Roman"/>
        </w:rPr>
        <w:t xml:space="preserve"> </w:t>
      </w:r>
      <w:r w:rsidRPr="008A07C9">
        <w:rPr>
          <w:rFonts w:cs="Times New Roman"/>
        </w:rPr>
        <w:t>corresponding vector</w:t>
      </w:r>
      <w:r w:rsidR="00463E94">
        <w:rPr>
          <w:rFonts w:cs="Times New Roman"/>
        </w:rPr>
        <w:t>s</w:t>
      </w:r>
      <w:r w:rsidRPr="008A07C9">
        <w:rPr>
          <w:rFonts w:cs="Times New Roman"/>
        </w:rPr>
        <w:t xml:space="preserve"> of mean effects </w:t>
      </w:r>
      <w:r w:rsidR="009937F9">
        <w:rPr>
          <w:rFonts w:cs="Times New Roman"/>
        </w:rPr>
        <w:t xml:space="preserve">for matrices </w:t>
      </w:r>
      <w:r w:rsidR="009937F9" w:rsidRPr="009937F9">
        <w:rPr>
          <w:rFonts w:cs="Times New Roman"/>
          <w:i/>
        </w:rPr>
        <w:t>f</w:t>
      </w:r>
      <w:r w:rsidR="009937F9">
        <w:rPr>
          <w:rFonts w:cs="Times New Roman"/>
        </w:rPr>
        <w:t xml:space="preserve">, </w:t>
      </w:r>
      <w:r w:rsidR="009937F9" w:rsidRPr="009937F9">
        <w:rPr>
          <w:rFonts w:cs="Times New Roman"/>
          <w:i/>
        </w:rPr>
        <w:t>g</w:t>
      </w:r>
      <w:r w:rsidR="009937F9">
        <w:rPr>
          <w:rFonts w:cs="Times New Roman"/>
        </w:rPr>
        <w:t xml:space="preserve"> and </w:t>
      </w:r>
      <w:r w:rsidR="009937F9" w:rsidRPr="009937F9">
        <w:rPr>
          <w:rFonts w:cs="Times New Roman"/>
          <w:i/>
        </w:rPr>
        <w:t>h</w:t>
      </w:r>
      <w:r w:rsidR="009937F9">
        <w:rPr>
          <w:rFonts w:cs="Times New Roman"/>
        </w:rPr>
        <w:t xml:space="preserve"> respectively</w:t>
      </w:r>
      <w:r w:rsidR="00F827E7">
        <w:rPr>
          <w:rFonts w:cs="Times New Roman"/>
        </w:rPr>
        <w:t>.</w:t>
      </w:r>
      <w:r w:rsidR="00DC017C">
        <w:rPr>
          <w:rFonts w:cs="Times New Roman"/>
        </w:rPr>
        <w:t xml:space="preserve"> </w:t>
      </w:r>
      <m:oMath>
        <m:r>
          <w:rPr>
            <w:rFonts w:ascii="Cambria Math" w:hAnsi="Cambria Math" w:cs="Times New Roman"/>
          </w:rPr>
          <m:t>δ</m:t>
        </m:r>
      </m:oMath>
      <w:r w:rsidR="009937F9">
        <w:rPr>
          <w:rFonts w:eastAsiaTheme="minorEastAsia" w:cs="Times New Roman"/>
        </w:rPr>
        <w:t xml:space="preserve">, </w:t>
      </w:r>
      <m:oMath>
        <m:r>
          <w:rPr>
            <w:rFonts w:ascii="Cambria Math" w:hAnsi="Cambria Math" w:cs="Times New Roman"/>
            <w:szCs w:val="24"/>
          </w:rPr>
          <m:t>λ</m:t>
        </m:r>
      </m:oMath>
      <w:r w:rsidR="009937F9">
        <w:rPr>
          <w:rFonts w:eastAsiaTheme="minorEastAsia" w:cs="Times New Roman"/>
          <w:szCs w:val="24"/>
        </w:rPr>
        <w:t xml:space="preserve"> and </w:t>
      </w:r>
      <m:oMath>
        <m:r>
          <w:rPr>
            <w:rFonts w:ascii="Cambria Math" w:hAnsi="Cambria Math" w:cs="Times New Roman"/>
          </w:rPr>
          <m:t>μ</m:t>
        </m:r>
      </m:oMath>
      <w:r w:rsidR="009937F9">
        <w:rPr>
          <w:rFonts w:eastAsiaTheme="minorEastAsia" w:cs="Times New Roman"/>
        </w:rPr>
        <w:t xml:space="preserve"> are the corresponding vectors for </w:t>
      </w:r>
      <w:r w:rsidR="009937F9" w:rsidRPr="008A07C9">
        <w:rPr>
          <w:rFonts w:cs="Times New Roman"/>
        </w:rPr>
        <w:t>unobserved factors moderating the influence of attributes</w:t>
      </w:r>
      <w:r w:rsidR="009937F9">
        <w:rPr>
          <w:rFonts w:cs="Times New Roman"/>
        </w:rPr>
        <w:t xml:space="preserve"> on </w:t>
      </w:r>
      <w:r w:rsidR="009937F9" w:rsidRPr="009937F9">
        <w:rPr>
          <w:rFonts w:cs="Times New Roman"/>
          <w:i/>
        </w:rPr>
        <w:t>f</w:t>
      </w:r>
      <w:r w:rsidR="009937F9">
        <w:rPr>
          <w:rFonts w:cs="Times New Roman"/>
        </w:rPr>
        <w:t xml:space="preserve">, </w:t>
      </w:r>
      <w:r w:rsidR="009937F9" w:rsidRPr="009937F9">
        <w:rPr>
          <w:rFonts w:cs="Times New Roman"/>
          <w:i/>
        </w:rPr>
        <w:t>g</w:t>
      </w:r>
      <w:r w:rsidR="009937F9">
        <w:rPr>
          <w:rFonts w:cs="Times New Roman"/>
        </w:rPr>
        <w:t xml:space="preserve"> and </w:t>
      </w:r>
      <w:r w:rsidR="009937F9" w:rsidRPr="009937F9">
        <w:rPr>
          <w:rFonts w:cs="Times New Roman"/>
          <w:i/>
        </w:rPr>
        <w:t>h</w:t>
      </w:r>
      <w:r w:rsidR="009937F9">
        <w:rPr>
          <w:rFonts w:cs="Times New Roman"/>
        </w:rPr>
        <w:t xml:space="preserve"> respectively</w:t>
      </w:r>
      <w:r w:rsidR="005162D2">
        <w:rPr>
          <w:rFonts w:cs="Times New Roman"/>
        </w:rPr>
        <w:t xml:space="preserve"> at multiple levels</w:t>
      </w:r>
      <w:r w:rsidR="009937F9">
        <w:rPr>
          <w:rFonts w:cs="Times New Roman"/>
        </w:rPr>
        <w:t xml:space="preserve">. </w:t>
      </w:r>
      <w:r w:rsidR="00AC0BE6">
        <w:rPr>
          <w:rFonts w:cs="Times New Roman"/>
        </w:rPr>
        <w:t>T</w:t>
      </w:r>
      <w:r w:rsidR="009937F9">
        <w:rPr>
          <w:rFonts w:cs="Times New Roman"/>
        </w:rPr>
        <w:t>he random parameters</w:t>
      </w:r>
      <w:r w:rsidR="00F827E7">
        <w:rPr>
          <w:rFonts w:cs="Times New Roman"/>
        </w:rPr>
        <w:t xml:space="preserve"> or error correlations</w:t>
      </w:r>
      <w:r w:rsidR="009937F9">
        <w:rPr>
          <w:rFonts w:cs="Times New Roman"/>
        </w:rPr>
        <w:t xml:space="preserve"> can potentially be separated into three levels of influence as captured by the TAZ level (</w:t>
      </w:r>
      <w:r w:rsidR="009937F9" w:rsidRPr="009937F9">
        <w:rPr>
          <w:rFonts w:cs="Times New Roman"/>
          <w:i/>
        </w:rPr>
        <w:t>q</w:t>
      </w:r>
      <w:r w:rsidR="009937F9">
        <w:rPr>
          <w:rFonts w:cs="Times New Roman"/>
        </w:rPr>
        <w:t xml:space="preserve">), TAZ and </w:t>
      </w:r>
      <w:r w:rsidR="0056166A">
        <w:rPr>
          <w:rFonts w:cs="Times New Roman"/>
        </w:rPr>
        <w:t>D</w:t>
      </w:r>
      <w:r w:rsidR="009937F9">
        <w:rPr>
          <w:rFonts w:cs="Times New Roman"/>
        </w:rPr>
        <w:t>ay level (</w:t>
      </w:r>
      <w:r w:rsidR="009937F9" w:rsidRPr="009937F9">
        <w:rPr>
          <w:rFonts w:cs="Times New Roman"/>
          <w:i/>
        </w:rPr>
        <w:t>qd</w:t>
      </w:r>
      <w:r w:rsidR="009937F9">
        <w:rPr>
          <w:rFonts w:cs="Times New Roman"/>
        </w:rPr>
        <w:t xml:space="preserve">) and TAZ – </w:t>
      </w:r>
      <w:r w:rsidR="0056166A">
        <w:rPr>
          <w:rFonts w:cs="Times New Roman"/>
        </w:rPr>
        <w:t>D</w:t>
      </w:r>
      <w:r w:rsidR="009937F9">
        <w:rPr>
          <w:rFonts w:cs="Times New Roman"/>
        </w:rPr>
        <w:t>ay and Time Period level (</w:t>
      </w:r>
      <w:r w:rsidR="009937F9" w:rsidRPr="009937F9">
        <w:rPr>
          <w:rFonts w:cs="Times New Roman"/>
          <w:i/>
        </w:rPr>
        <w:t>qdt</w:t>
      </w:r>
      <w:r w:rsidR="009937F9">
        <w:rPr>
          <w:rFonts w:cs="Times New Roman"/>
        </w:rPr>
        <w:t>)</w:t>
      </w:r>
      <w:r w:rsidR="0050687A">
        <w:rPr>
          <w:rStyle w:val="FootnoteReference"/>
          <w:rFonts w:cs="Times New Roman"/>
        </w:rPr>
        <w:footnoteReference w:id="3"/>
      </w:r>
      <w:r w:rsidR="009937F9">
        <w:rPr>
          <w:rFonts w:cs="Times New Roman"/>
        </w:rPr>
        <w:t xml:space="preserve">.  </w:t>
      </w:r>
    </w:p>
    <w:p w14:paraId="6DEC6244" w14:textId="45C42F30" w:rsidR="008013D2" w:rsidRPr="008A07C9" w:rsidRDefault="009F1CEF">
      <w:pPr>
        <w:ind w:firstLine="720"/>
        <w:rPr>
          <w:rFonts w:cs="Times New Roman"/>
        </w:rPr>
      </w:pP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r>
          <w:rPr>
            <w:rFonts w:ascii="Cambria Math" w:hAnsi="Cambria Math" w:cs="Times New Roman"/>
          </w:rPr>
          <m:t xml:space="preserve"> </m:t>
        </m:r>
      </m:oMath>
      <w:r w:rsidR="008013D2">
        <w:rPr>
          <w:rFonts w:eastAsiaTheme="minorEastAsia" w:cs="Times New Roman"/>
        </w:rPr>
        <w:t xml:space="preserve">represents the </w:t>
      </w:r>
      <w:r w:rsidR="008013D2">
        <w:rPr>
          <w:rFonts w:cs="Times New Roman"/>
          <w:iCs/>
        </w:rPr>
        <w:t xml:space="preserve">endogeneity effect by </w:t>
      </w:r>
      <w:r w:rsidR="008013D2" w:rsidRPr="008A07C9">
        <w:rPr>
          <w:rFonts w:cs="Times New Roman"/>
        </w:rPr>
        <w:t>captur</w:t>
      </w:r>
      <w:r w:rsidR="008013D2">
        <w:rPr>
          <w:rFonts w:cs="Times New Roman"/>
        </w:rPr>
        <w:t>ing the</w:t>
      </w:r>
      <w:r w:rsidR="008013D2" w:rsidRPr="008A07C9">
        <w:rPr>
          <w:rFonts w:cs="Times New Roman"/>
        </w:rPr>
        <w:t xml:space="preserve"> unobserved factors that simultaneously impact BSS infrastructure installation and </w:t>
      </w:r>
      <w:r w:rsidR="008013D2">
        <w:rPr>
          <w:rFonts w:cs="Times New Roman"/>
        </w:rPr>
        <w:t>BSS usage</w:t>
      </w:r>
      <w:r w:rsidR="008013D2" w:rsidRPr="008A07C9">
        <w:rPr>
          <w:rFonts w:cs="Times New Roman"/>
        </w:rPr>
        <w:t xml:space="preserve"> for TAZ </w:t>
      </w:r>
      <w:r w:rsidR="008013D2" w:rsidRPr="008A07C9">
        <w:rPr>
          <w:rFonts w:cs="Times New Roman"/>
          <w:i/>
        </w:rPr>
        <w:t>q</w:t>
      </w:r>
      <w:r w:rsidR="008013D2" w:rsidRPr="008A07C9">
        <w:rPr>
          <w:rFonts w:cs="Times New Roman"/>
        </w:rPr>
        <w:t xml:space="preserve">.  The </w:t>
      </w:r>
      <w:r w:rsidR="008013D2" w:rsidRPr="008A07C9">
        <w:rPr>
          <w:rFonts w:cs="Times New Roman"/>
          <w:position w:val="-4"/>
        </w:rPr>
        <w:object w:dxaOrig="225" w:dyaOrig="240" w14:anchorId="2C2A8C24">
          <v:shape id="_x0000_i1028" type="#_x0000_t75" style="width:11.5pt;height:11.5pt" o:ole="">
            <v:imagedata r:id="rId16" o:title=""/>
          </v:shape>
          <o:OLEObject Type="Embed" ProgID="Equation.3" ShapeID="_x0000_i1028" DrawAspect="Content" ObjectID="_1538549625" r:id="rId17"/>
        </w:object>
      </w:r>
      <w:r w:rsidR="008013D2" w:rsidRPr="008A07C9">
        <w:rPr>
          <w:rFonts w:cs="Times New Roman"/>
        </w:rPr>
        <w:t xml:space="preserve"> sign in front of </w:t>
      </w: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r>
          <w:rPr>
            <w:rFonts w:ascii="Cambria Math" w:hAnsi="Cambria Math" w:cs="Times New Roman"/>
          </w:rPr>
          <m:t xml:space="preserve"> </m:t>
        </m:r>
      </m:oMath>
      <w:r w:rsidR="008013D2" w:rsidRPr="008A07C9">
        <w:rPr>
          <w:rFonts w:cs="Times New Roman"/>
        </w:rPr>
        <w:t xml:space="preserve">in the bicycle </w:t>
      </w:r>
      <w:r w:rsidR="008013D2">
        <w:rPr>
          <w:rFonts w:cs="Times New Roman"/>
        </w:rPr>
        <w:t>usage</w:t>
      </w:r>
      <w:r w:rsidR="008013D2" w:rsidRPr="008A07C9">
        <w:rPr>
          <w:rFonts w:cs="Times New Roman"/>
        </w:rPr>
        <w:t xml:space="preserve"> equation indicates that the correlation in unobserved factors between the </w:t>
      </w:r>
      <w:r w:rsidR="008013D2">
        <w:rPr>
          <w:rFonts w:cs="Times New Roman"/>
        </w:rPr>
        <w:t>BSS</w:t>
      </w:r>
      <w:r w:rsidR="008013D2" w:rsidRPr="008A07C9">
        <w:rPr>
          <w:rFonts w:cs="Times New Roman"/>
        </w:rPr>
        <w:t xml:space="preserve"> infrastructure installation and the bicycle arrival and departure </w:t>
      </w:r>
      <w:r w:rsidR="008013D2">
        <w:rPr>
          <w:rFonts w:cs="Times New Roman"/>
        </w:rPr>
        <w:t>rates</w:t>
      </w:r>
      <w:r w:rsidR="008013D2" w:rsidRPr="008A07C9">
        <w:rPr>
          <w:rFonts w:cs="Times New Roman"/>
        </w:rPr>
        <w:t xml:space="preserve"> may be positive or negative. A positive sign implies that unobserved factors that increase the propensity of BSS installation will also increase the bicycle flows, while a negative sign suggests that unobserved factors that increase the propensity of BSS installation for a certain TAZ will decrease the </w:t>
      </w:r>
      <w:r w:rsidR="008013D2">
        <w:rPr>
          <w:rFonts w:cs="Times New Roman"/>
        </w:rPr>
        <w:t>BSS</w:t>
      </w:r>
      <w:r w:rsidR="008013D2" w:rsidRPr="008A07C9">
        <w:rPr>
          <w:rFonts w:cs="Times New Roman"/>
        </w:rPr>
        <w:t xml:space="preserve"> </w:t>
      </w:r>
      <w:r w:rsidR="008013D2">
        <w:rPr>
          <w:rFonts w:cs="Times New Roman"/>
        </w:rPr>
        <w:t>usage</w:t>
      </w:r>
      <w:r w:rsidR="008013D2" w:rsidRPr="008A07C9">
        <w:rPr>
          <w:rFonts w:cs="Times New Roman"/>
        </w:rPr>
        <w:t>. Clearly, one expects, from an intuitive standpoint, that the former case will hold. However, one can empirically test the models with both ‘+’ and ‘−’ signs to determine the best empirical result.</w:t>
      </w:r>
      <w:r w:rsidR="008013D2">
        <w:rPr>
          <w:rFonts w:cs="Times New Roman"/>
        </w:rPr>
        <w:t xml:space="preserve"> </w:t>
      </w:r>
    </w:p>
    <w:p w14:paraId="2082AD63" w14:textId="77777777" w:rsidR="008013D2" w:rsidRPr="008A07C9" w:rsidRDefault="008013D2" w:rsidP="008013D2">
      <w:pPr>
        <w:ind w:firstLine="720"/>
        <w:rPr>
          <w:rFonts w:cs="Times New Roman"/>
        </w:rPr>
      </w:pPr>
      <w:r w:rsidRPr="008A07C9">
        <w:rPr>
          <w:rFonts w:cs="Times New Roman"/>
        </w:rPr>
        <w:t xml:space="preserve">To complete the model structure of the system in Equations (2) through (4), it is necessary to specify the structure for the unobserved vectors </w:t>
      </w:r>
      <m:oMath>
        <m:r>
          <w:rPr>
            <w:rFonts w:ascii="Cambria Math" w:hAnsi="Cambria Math" w:cs="Times New Roman"/>
          </w:rPr>
          <m:t>γ</m:t>
        </m:r>
      </m:oMath>
      <w:r w:rsidRPr="008A07C9">
        <w:rPr>
          <w:rFonts w:eastAsiaTheme="minorEastAsia" w:cs="Times New Roman"/>
        </w:rPr>
        <w:t xml:space="preserve">, </w:t>
      </w:r>
      <m:oMath>
        <m:r>
          <w:rPr>
            <w:rFonts w:ascii="Cambria Math" w:hAnsi="Cambria Math" w:cs="Times New Roman"/>
          </w:rPr>
          <m:t>δ</m:t>
        </m:r>
      </m:oMath>
      <w:r w:rsidRPr="008A07C9">
        <w:rPr>
          <w:rFonts w:eastAsiaTheme="minorEastAsia" w:cs="Times New Roman"/>
        </w:rPr>
        <w:t xml:space="preserve">, </w:t>
      </w:r>
      <m:oMath>
        <m:r>
          <w:rPr>
            <w:rFonts w:ascii="Cambria Math" w:hAnsi="Cambria Math" w:cs="Times New Roman"/>
            <w:szCs w:val="24"/>
          </w:rPr>
          <m:t>λ</m:t>
        </m:r>
      </m:oMath>
      <w:r w:rsidRPr="008A07C9">
        <w:rPr>
          <w:rFonts w:eastAsiaTheme="minorEastAsia" w:cs="Times New Roman"/>
          <w:szCs w:val="24"/>
        </w:rPr>
        <w:t xml:space="preserve">, </w:t>
      </w:r>
      <m:oMath>
        <m:r>
          <w:rPr>
            <w:rFonts w:ascii="Cambria Math" w:hAnsi="Cambria Math" w:cs="Times New Roman"/>
          </w:rPr>
          <m:t>μ</m:t>
        </m:r>
      </m:oMath>
      <w:r w:rsidRPr="008A07C9">
        <w:rPr>
          <w:rFonts w:eastAsiaTheme="minorEastAsia" w:cs="Times New Roman"/>
          <w:szCs w:val="24"/>
        </w:rPr>
        <w:t xml:space="preserve"> and </w:t>
      </w:r>
      <m:oMath>
        <m:r>
          <w:rPr>
            <w:rFonts w:ascii="Cambria Math" w:hAnsi="Cambria Math" w:cs="Times New Roman"/>
          </w:rPr>
          <m:t>η</m:t>
        </m:r>
      </m:oMath>
      <w:r w:rsidRPr="008A07C9">
        <w:rPr>
          <w:rFonts w:eastAsiaTheme="minorEastAsia" w:cs="Times New Roman"/>
        </w:rPr>
        <w:t xml:space="preserve">. In this analysis, we assume that the elements </w:t>
      </w:r>
      <w:r w:rsidRPr="008A07C9">
        <w:rPr>
          <w:rFonts w:cs="Times New Roman"/>
        </w:rPr>
        <w:t>are independent realizations from normal population distributions</w:t>
      </w:r>
      <w:r>
        <w:rPr>
          <w:rFonts w:cs="Times New Roman"/>
        </w:rPr>
        <w:t xml:space="preserve"> and we estimate the standard deviation of the distribution</w:t>
      </w:r>
      <w:r w:rsidRPr="008A07C9">
        <w:rPr>
          <w:rFonts w:cs="Times New Roman"/>
        </w:rPr>
        <w:t xml:space="preserve">. With these assumptions, the probability expression for the infrastructure installation conditional on </w:t>
      </w:r>
      <m:oMath>
        <m:r>
          <w:rPr>
            <w:rFonts w:ascii="Cambria Math" w:hAnsi="Cambria Math" w:cs="Times New Roman"/>
          </w:rPr>
          <m:t>γ</m:t>
        </m:r>
      </m:oMath>
      <w:r w:rsidRPr="008A07C9">
        <w:rPr>
          <w:rFonts w:eastAsiaTheme="minorEastAsia" w:cs="Times New Roman"/>
        </w:rPr>
        <w:t xml:space="preserve"> and </w:t>
      </w:r>
      <m:oMath>
        <m:r>
          <w:rPr>
            <w:rFonts w:ascii="Cambria Math" w:hAnsi="Cambria Math" w:cs="Times New Roman"/>
          </w:rPr>
          <m:t>η</m:t>
        </m:r>
      </m:oMath>
      <w:r w:rsidRPr="008A07C9">
        <w:rPr>
          <w:rFonts w:cs="Times New Roman"/>
        </w:rPr>
        <w:t xml:space="preserve">  is given as:</w:t>
      </w:r>
    </w:p>
    <w:p w14:paraId="50426AFB" w14:textId="77777777" w:rsidR="008013D2" w:rsidRPr="008A07C9" w:rsidRDefault="009F1CEF" w:rsidP="008013D2">
      <w:pPr>
        <w:rPr>
          <w:rFonts w:eastAsiaTheme="minorEastAsia"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qj</m:t>
              </m:r>
            </m:sub>
          </m:sSub>
          <m:r>
            <m:rPr>
              <m:sty m:val="p"/>
            </m:rPr>
            <w:rPr>
              <w:rFonts w:ascii="Cambria Math" w:hAnsi="Cambria Math" w:cs="Times New Roman"/>
            </w:rPr>
            <m:t>=Λ</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j</m:t>
                  </m:r>
                </m:sub>
              </m:sSub>
              <m:r>
                <w:rPr>
                  <w:rFonts w:ascii="Cambria Math" w:hAnsi="Cambria Math" w:cs="Times New Roman"/>
                </w:rPr>
                <m:t>-</m:t>
              </m:r>
              <m:d>
                <m:dPr>
                  <m:ctrlPr>
                    <w:rPr>
                      <w:rFonts w:ascii="Cambria Math" w:hAnsi="Cambria Math" w:cs="Times New Roman"/>
                      <w:i/>
                    </w:rPr>
                  </m:ctrlPr>
                </m:d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m:t>
                              </m:r>
                            </m:sup>
                          </m:sSup>
                        </m:e>
                        <m:sub>
                          <m:r>
                            <w:rPr>
                              <w:rFonts w:ascii="Cambria Math" w:hAnsi="Cambria Math" w:cs="Times New Roman"/>
                            </w:rPr>
                            <m:t>q</m:t>
                          </m:r>
                        </m:sub>
                      </m:sSub>
                    </m:e>
                  </m: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e>
              </m:d>
            </m:e>
          </m:d>
          <m:r>
            <w:rPr>
              <w:rFonts w:ascii="Cambria Math" w:hAnsi="Cambria Math" w:cs="Times New Roman"/>
            </w:rPr>
            <m:t>-</m:t>
          </m:r>
          <m:r>
            <m:rPr>
              <m:sty m:val="p"/>
            </m:rPr>
            <w:rPr>
              <w:rFonts w:ascii="Cambria Math" w:hAnsi="Cambria Math" w:cs="Times New Roman"/>
            </w:rPr>
            <m:t>Λ</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j-1</m:t>
                  </m:r>
                </m:sub>
              </m:sSub>
              <m:r>
                <w:rPr>
                  <w:rFonts w:ascii="Cambria Math" w:hAnsi="Cambria Math" w:cs="Times New Roman"/>
                </w:rPr>
                <m:t>-</m:t>
              </m:r>
              <m:d>
                <m:dPr>
                  <m:ctrlPr>
                    <w:rPr>
                      <w:rFonts w:ascii="Cambria Math" w:hAnsi="Cambria Math" w:cs="Times New Roman"/>
                      <w:i/>
                    </w:rPr>
                  </m:ctrlPr>
                </m:d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m:t>
                              </m:r>
                            </m:sup>
                          </m:sSup>
                        </m:e>
                        <m:sub>
                          <m:r>
                            <w:rPr>
                              <w:rFonts w:ascii="Cambria Math" w:hAnsi="Cambria Math" w:cs="Times New Roman"/>
                            </w:rPr>
                            <m:t>q</m:t>
                          </m:r>
                        </m:sub>
                      </m:sSub>
                    </m:e>
                  </m: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e>
              </m:d>
            </m:e>
          </m:d>
          <m:r>
            <w:rPr>
              <w:rFonts w:ascii="Cambria Math" w:hAnsi="Cambria Math" w:cs="Times New Roman"/>
            </w:rPr>
            <m:t xml:space="preserve">                                  (5)</m:t>
          </m:r>
        </m:oMath>
      </m:oMathPara>
    </w:p>
    <w:p w14:paraId="1F0F0BFB" w14:textId="77777777" w:rsidR="0056166A" w:rsidRDefault="008013D2" w:rsidP="008013D2">
      <w:pPr>
        <w:rPr>
          <w:rFonts w:cs="Times New Roman"/>
        </w:rPr>
      </w:pPr>
      <w:r w:rsidRPr="008A07C9">
        <w:rPr>
          <w:rFonts w:cs="Times New Roman"/>
        </w:rPr>
        <w:t xml:space="preserve">where </w:t>
      </w:r>
      <m:oMath>
        <m:r>
          <m:rPr>
            <m:sty m:val="p"/>
          </m:rPr>
          <w:rPr>
            <w:rFonts w:ascii="Cambria Math" w:hAnsi="Cambria Math" w:cs="Times New Roman"/>
          </w:rPr>
          <m:t>Λ</m:t>
        </m:r>
      </m:oMath>
      <w:r w:rsidRPr="008A07C9">
        <w:rPr>
          <w:rFonts w:eastAsiaTheme="minorEastAsia" w:cs="Times New Roman"/>
        </w:rPr>
        <w:t>[</w:t>
      </w:r>
      <w:r w:rsidRPr="008A07C9">
        <w:rPr>
          <w:rFonts w:cs="Times New Roman"/>
        </w:rPr>
        <w:t xml:space="preserve">.] is the cumulative distribution of the standard logistic distribution. </w:t>
      </w:r>
    </w:p>
    <w:p w14:paraId="1F4B6C22" w14:textId="721F6DCB" w:rsidR="008013D2" w:rsidRPr="008A07C9" w:rsidRDefault="00A03247" w:rsidP="00A03247">
      <w:pPr>
        <w:ind w:firstLine="720"/>
        <w:rPr>
          <w:rFonts w:eastAsiaTheme="minorEastAsia" w:cs="Times New Roman"/>
        </w:rPr>
      </w:pPr>
      <w:r w:rsidRPr="008A07C9">
        <w:rPr>
          <w:rFonts w:cs="Times New Roman"/>
        </w:rPr>
        <w:lastRenderedPageBreak/>
        <w:t>Similarly,</w:t>
      </w:r>
      <w:r w:rsidR="008013D2" w:rsidRPr="008A07C9">
        <w:rPr>
          <w:rFonts w:cs="Times New Roman"/>
        </w:rPr>
        <w:t xml:space="preserve"> conditional on</w:t>
      </w:r>
      <w:r w:rsidR="008013D2" w:rsidRPr="008A07C9">
        <w:rPr>
          <w:rFonts w:eastAsiaTheme="minorEastAsia" w:cs="Times New Roman"/>
        </w:rPr>
        <w:t xml:space="preserve"> </w:t>
      </w:r>
      <m:oMath>
        <m:r>
          <w:rPr>
            <w:rFonts w:ascii="Cambria Math" w:hAnsi="Cambria Math" w:cs="Times New Roman"/>
          </w:rPr>
          <m:t>δ</m:t>
        </m:r>
      </m:oMath>
      <w:r w:rsidR="008013D2" w:rsidRPr="008A07C9">
        <w:rPr>
          <w:rFonts w:eastAsiaTheme="minorEastAsia" w:cs="Times New Roman"/>
        </w:rPr>
        <w:t xml:space="preserve">, </w:t>
      </w:r>
      <m:oMath>
        <m:r>
          <w:rPr>
            <w:rFonts w:ascii="Cambria Math" w:hAnsi="Cambria Math" w:cs="Times New Roman"/>
            <w:szCs w:val="24"/>
          </w:rPr>
          <m:t>λ</m:t>
        </m:r>
      </m:oMath>
      <w:r w:rsidR="008013D2" w:rsidRPr="008A07C9">
        <w:rPr>
          <w:rFonts w:eastAsiaTheme="minorEastAsia" w:cs="Times New Roman"/>
          <w:szCs w:val="24"/>
        </w:rPr>
        <w:t xml:space="preserve">, </w:t>
      </w:r>
      <m:oMath>
        <m:r>
          <w:rPr>
            <w:rFonts w:ascii="Cambria Math" w:hAnsi="Cambria Math" w:cs="Times New Roman"/>
            <w:szCs w:val="24"/>
          </w:rPr>
          <m:t>μ</m:t>
        </m:r>
      </m:oMath>
      <w:r w:rsidR="008013D2" w:rsidRPr="008A07C9">
        <w:rPr>
          <w:rFonts w:eastAsiaTheme="minorEastAsia" w:cs="Times New Roman"/>
          <w:szCs w:val="24"/>
        </w:rPr>
        <w:t xml:space="preserve"> and </w:t>
      </w:r>
      <m:oMath>
        <m:r>
          <w:rPr>
            <w:rFonts w:ascii="Cambria Math" w:hAnsi="Cambria Math" w:cs="Times New Roman"/>
          </w:rPr>
          <m:t>η</m:t>
        </m:r>
      </m:oMath>
      <w:r w:rsidR="008013D2" w:rsidRPr="008A07C9">
        <w:rPr>
          <w:rFonts w:eastAsiaTheme="minorEastAsia" w:cs="Times New Roman"/>
        </w:rPr>
        <w:t>, the probability of bicycle arrivals and departures are respectively given by</w:t>
      </w:r>
      <w:r w:rsidR="00390C65">
        <w:rPr>
          <w:rFonts w:eastAsiaTheme="minorEastAsia" w:cs="Times New Roman"/>
        </w:rPr>
        <w:t>:</w:t>
      </w:r>
    </w:p>
    <w:p w14:paraId="2B8026ED" w14:textId="77777777" w:rsidR="008013D2" w:rsidRPr="00E12469" w:rsidRDefault="009F1CEF" w:rsidP="008013D2">
      <w:pPr>
        <w:rPr>
          <w:rFonts w:ascii="Cambria Math" w:hAnsi="Cambria Math" w:cs="Times New Roman"/>
          <w:i/>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qdtk</m:t>
              </m:r>
            </m:sub>
          </m:sSub>
          <m:r>
            <w:rPr>
              <w:rFonts w:ascii="Cambria Math" w:hAnsi="Cambria Math" w:cs="Times New Roman"/>
            </w:rPr>
            <m:t>=Λ</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k</m:t>
                  </m:r>
                </m:sub>
              </m:sSub>
              <m:r>
                <w:rPr>
                  <w:rFonts w:ascii="Cambria Math" w:hAnsi="Cambria Math" w:cs="Times New Roman"/>
                </w:rPr>
                <m:t>-</m:t>
              </m:r>
              <m:d>
                <m:dPr>
                  <m:ctrlPr>
                    <w:rPr>
                      <w:rFonts w:ascii="Cambria Math" w:hAnsi="Cambria Math" w:cs="Times New Roman"/>
                      <w:i/>
                    </w:rPr>
                  </m:ctrlPr>
                </m:d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f+</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e>
              </m:d>
            </m:e>
          </m:d>
          <m:r>
            <w:rPr>
              <w:rFonts w:ascii="Cambria Math" w:hAnsi="Cambria Math" w:cs="Times New Roman"/>
            </w:rPr>
            <m:t>- Λ</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k-1</m:t>
                  </m:r>
                </m:sub>
              </m:sSub>
              <m:r>
                <w:rPr>
                  <w:rFonts w:ascii="Cambria Math" w:hAnsi="Cambria Math" w:cs="Times New Roman"/>
                </w:rPr>
                <m:t>-</m:t>
              </m:r>
              <m:d>
                <m:dPr>
                  <m:ctrlPr>
                    <w:rPr>
                      <w:rFonts w:ascii="Cambria Math" w:hAnsi="Cambria Math" w:cs="Times New Roman"/>
                      <w:i/>
                    </w:rPr>
                  </m:ctrlPr>
                </m:d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f+</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e>
              </m:d>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6</m:t>
              </m:r>
            </m:e>
          </m:d>
        </m:oMath>
      </m:oMathPara>
    </w:p>
    <w:p w14:paraId="6E620C04" w14:textId="77777777" w:rsidR="008013D2" w:rsidRDefault="009F1CEF" w:rsidP="008013D2">
      <w:pPr>
        <w:rPr>
          <w:rFonts w:ascii="Cambria Math" w:eastAsiaTheme="minorEastAsia" w:hAnsi="Cambria Math" w:cs="Times New Roman"/>
          <w:i/>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qdtl</m:t>
              </m:r>
            </m:sub>
          </m:sSub>
          <m:r>
            <w:rPr>
              <w:rFonts w:ascii="Cambria Math" w:hAnsi="Cambria Math" w:cs="Times New Roman"/>
            </w:rPr>
            <m:t>=Λ</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l</m:t>
                  </m:r>
                </m:sub>
              </m:sSub>
              <m:r>
                <w:rPr>
                  <w:rFonts w:ascii="Cambria Math" w:hAnsi="Cambria Math" w:cs="Times New Roman"/>
                </w:rPr>
                <m:t>-</m:t>
              </m:r>
              <m:d>
                <m:dPr>
                  <m:ctrlPr>
                    <w:rPr>
                      <w:rFonts w:ascii="Cambria Math" w:hAnsi="Cambria Math" w:cs="Times New Roman"/>
                      <w:i/>
                    </w:rPr>
                  </m:ctrlPr>
                </m:d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τ</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h+</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e>
              </m:d>
            </m:e>
          </m:d>
          <m:r>
            <w:rPr>
              <w:rFonts w:ascii="Cambria Math" w:hAnsi="Cambria Math" w:cs="Times New Roman"/>
            </w:rPr>
            <m:t>- Λ</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ψ</m:t>
                  </m:r>
                </m:e>
                <m:sub>
                  <m:r>
                    <w:rPr>
                      <w:rFonts w:ascii="Cambria Math" w:hAnsi="Cambria Math" w:cs="Times New Roman"/>
                    </w:rPr>
                    <m:t>l-1</m:t>
                  </m:r>
                </m:sub>
              </m:sSub>
              <m:r>
                <w:rPr>
                  <w:rFonts w:ascii="Cambria Math" w:hAnsi="Cambria Math" w:cs="Times New Roman"/>
                </w:rPr>
                <m:t>-</m:t>
              </m:r>
              <m:d>
                <m:dPr>
                  <m:ctrlPr>
                    <w:rPr>
                      <w:rFonts w:ascii="Cambria Math" w:hAnsi="Cambria Math" w:cs="Times New Roman"/>
                      <w:i/>
                    </w:rPr>
                  </m:ctrlPr>
                </m:dPr>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τ</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h+</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sup>
                      </m:sSup>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m:t>
                              </m:r>
                            </m:sup>
                          </m:sSup>
                        </m:e>
                        <m:sub>
                          <m:r>
                            <w:rPr>
                              <w:rFonts w:ascii="Cambria Math" w:hAnsi="Cambria Math" w:cs="Times New Roman"/>
                            </w:rPr>
                            <m:t>qdt</m:t>
                          </m:r>
                        </m:sub>
                      </m:sSub>
                    </m:e>
                  </m:d>
                  <m:r>
                    <w:rPr>
                      <w:rFonts w:ascii="Cambria Math" w:hAnsi="Cambria Math" w:cs="Times New Roman"/>
                    </w:rPr>
                    <m:t>g±</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q</m:t>
                      </m:r>
                    </m:sub>
                  </m:sSub>
                </m:e>
              </m:d>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7</m:t>
              </m:r>
            </m:e>
          </m:d>
        </m:oMath>
      </m:oMathPara>
    </w:p>
    <w:p w14:paraId="4273DEF4" w14:textId="77777777" w:rsidR="008013D2" w:rsidRPr="008A07C9" w:rsidRDefault="008013D2" w:rsidP="008013D2">
      <w:pPr>
        <w:ind w:firstLine="720"/>
        <w:rPr>
          <w:rFonts w:cs="Times New Roman"/>
        </w:rPr>
      </w:pPr>
      <w:r>
        <w:rPr>
          <w:rFonts w:cs="Times New Roman"/>
        </w:rPr>
        <w:t>In the joint model of Equation</w:t>
      </w:r>
      <w:r w:rsidR="00AE23CA">
        <w:rPr>
          <w:rFonts w:cs="Times New Roman"/>
        </w:rPr>
        <w:t>s</w:t>
      </w:r>
      <w:r>
        <w:rPr>
          <w:rFonts w:cs="Times New Roman"/>
        </w:rPr>
        <w:t xml:space="preserve"> 5 to 7, the parameters to be estimated are the vectors of</w:t>
      </w:r>
      <w:r w:rsidR="0056166A">
        <w:rPr>
          <w:rFonts w:cs="Times New Roman"/>
        </w:rPr>
        <w:t xml:space="preserve"> </w:t>
      </w:r>
      <m:oMath>
        <m:r>
          <w:rPr>
            <w:rFonts w:ascii="Cambria Math" w:hAnsi="Cambria Math" w:cs="Times New Roman"/>
          </w:rPr>
          <m:t>β, α, τ,θ</m:t>
        </m:r>
      </m:oMath>
      <w:r>
        <w:rPr>
          <w:rFonts w:eastAsiaTheme="minorEastAsia" w:cs="Times New Roman"/>
        </w:rPr>
        <w:t xml:space="preserve">, the </w:t>
      </w:r>
      <m:oMath>
        <m:r>
          <w:rPr>
            <w:rFonts w:ascii="Cambria Math" w:hAnsi="Cambria Math" w:cs="Times New Roman"/>
          </w:rPr>
          <m:t>ψ</m:t>
        </m:r>
      </m:oMath>
      <w:r>
        <w:rPr>
          <w:rFonts w:eastAsiaTheme="minorEastAsia" w:cs="Times New Roman"/>
        </w:rPr>
        <w:t xml:space="preserve"> </w:t>
      </w:r>
      <w:r w:rsidRPr="00E12469">
        <w:rPr>
          <w:rFonts w:cs="Times New Roman"/>
        </w:rPr>
        <w:t>thr</w:t>
      </w:r>
      <w:r w:rsidR="00DF71F5">
        <w:rPr>
          <w:rFonts w:cs="Times New Roman"/>
        </w:rPr>
        <w:t>e</w:t>
      </w:r>
      <w:r w:rsidRPr="00E12469">
        <w:rPr>
          <w:rFonts w:cs="Times New Roman"/>
        </w:rPr>
        <w:t>sholds</w:t>
      </w:r>
      <w:r>
        <w:rPr>
          <w:rFonts w:eastAsiaTheme="minorEastAsia" w:cs="Times New Roman"/>
        </w:rPr>
        <w:t xml:space="preserve">, and the variance terms of </w:t>
      </w:r>
      <m:oMath>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η</m:t>
            </m:r>
          </m:e>
          <m:sup>
            <m:r>
              <w:rPr>
                <w:rFonts w:ascii="Cambria Math" w:hAnsi="Cambria Math" w:cs="Times New Roman"/>
              </w:rPr>
              <m:t>2</m:t>
            </m:r>
          </m:sup>
        </m:sSup>
      </m:oMath>
      <w:r>
        <w:rPr>
          <w:rFonts w:eastAsiaTheme="minorEastAsia" w:cs="Times New Roman"/>
        </w:rPr>
        <w:t xml:space="preserve">. Thus, </w:t>
      </w:r>
      <w:r>
        <w:rPr>
          <w:rFonts w:cs="Times New Roman"/>
        </w:rPr>
        <w:t>t</w:t>
      </w:r>
      <w:r w:rsidRPr="008A07C9">
        <w:rPr>
          <w:rFonts w:cs="Times New Roman"/>
        </w:rPr>
        <w:t xml:space="preserve">he joint likelihood function can be written for TAZ </w:t>
      </w:r>
      <w:r w:rsidRPr="008A07C9">
        <w:rPr>
          <w:rFonts w:cs="Times New Roman"/>
          <w:i/>
        </w:rPr>
        <w:t>q</w:t>
      </w:r>
      <w:r w:rsidRPr="008A07C9">
        <w:rPr>
          <w:rFonts w:cs="Times New Roman"/>
        </w:rPr>
        <w:t xml:space="preserve"> as follows:</w:t>
      </w:r>
    </w:p>
    <w:p w14:paraId="723D06E3" w14:textId="77777777" w:rsidR="008013D2" w:rsidRPr="008A07C9" w:rsidRDefault="009F1CEF" w:rsidP="008013D2">
      <w:pPr>
        <w:rPr>
          <w:rFonts w:cs="Times New Roman"/>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r>
            <w:rPr>
              <w:rFonts w:ascii="Cambria Math" w:hAnsi="Cambria Math" w:cs="Times New Roman"/>
            </w:rPr>
            <m:t>|γ,δ,λ,μ,η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qj</m:t>
                  </m:r>
                </m:sub>
              </m:sSub>
              <m:r>
                <w:rPr>
                  <w:rFonts w:ascii="Cambria Math" w:hAnsi="Cambria Math" w:cs="Times New Roman"/>
                </w:rPr>
                <m:t>|γ</m:t>
              </m:r>
              <m:r>
                <m:rPr>
                  <m:sty m:val="p"/>
                </m:rPr>
                <w:rPr>
                  <w:rFonts w:ascii="Cambria Math" w:eastAsiaTheme="minorEastAsia" w:hAnsi="Cambria Math" w:cs="Times New Roman"/>
                </w:rPr>
                <m:t xml:space="preserve">, </m:t>
              </m:r>
              <m:r>
                <w:rPr>
                  <w:rFonts w:ascii="Cambria Math" w:hAnsi="Cambria Math" w:cs="Times New Roman"/>
                </w:rPr>
                <m:t>η</m:t>
              </m:r>
            </m:e>
          </m:d>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d=1</m:t>
                  </m:r>
                </m:sub>
                <m:sup>
                  <m:r>
                    <w:rPr>
                      <w:rFonts w:ascii="Cambria Math" w:hAnsi="Cambria Math" w:cs="Times New Roman"/>
                    </w:rPr>
                    <m:t>D</m:t>
                  </m:r>
                </m:sup>
                <m:e>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qdtk</m:t>
                              </m:r>
                            </m:sub>
                          </m:sSub>
                          <m:r>
                            <w:rPr>
                              <w:rFonts w:ascii="Cambria Math" w:hAnsi="Cambria Math" w:cs="Times New Roman"/>
                            </w:rPr>
                            <m:t>|δ</m:t>
                          </m:r>
                          <m:r>
                            <w:rPr>
                              <w:rFonts w:ascii="Cambria Math" w:eastAsiaTheme="minorEastAsia" w:hAnsi="Cambria Math" w:cs="Times New Roman"/>
                            </w:rPr>
                            <m:t>, μ,</m:t>
                          </m:r>
                          <m:r>
                            <w:rPr>
                              <w:rFonts w:ascii="Cambria Math" w:hAnsi="Cambria Math" w:cs="Times New Roman"/>
                            </w:rPr>
                            <m:t>η</m:t>
                          </m:r>
                        </m:e>
                      </m:d>
                    </m:e>
                  </m:nary>
                </m:e>
              </m:nary>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d=1</m:t>
                  </m:r>
                </m:sub>
                <m:sup>
                  <m:r>
                    <w:rPr>
                      <w:rFonts w:ascii="Cambria Math" w:hAnsi="Cambria Math" w:cs="Times New Roman"/>
                    </w:rPr>
                    <m:t>D</m:t>
                  </m:r>
                </m:sup>
                <m:e>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qdtl</m:t>
                              </m:r>
                            </m:sub>
                          </m:sSub>
                          <m:r>
                            <w:rPr>
                              <w:rFonts w:ascii="Cambria Math" w:hAnsi="Cambria Math" w:cs="Times New Roman"/>
                            </w:rPr>
                            <m:t>|</m:t>
                          </m:r>
                          <m:r>
                            <w:rPr>
                              <w:rFonts w:ascii="Cambria Math" w:hAnsi="Cambria Math" w:cs="Times New Roman"/>
                              <w:szCs w:val="24"/>
                            </w:rPr>
                            <m:t>λ</m:t>
                          </m:r>
                          <m:r>
                            <m:rPr>
                              <m:sty m:val="p"/>
                            </m:rPr>
                            <w:rPr>
                              <w:rFonts w:ascii="Cambria Math" w:eastAsiaTheme="minorEastAsia" w:hAnsi="Cambria Math" w:cs="Times New Roman"/>
                            </w:rPr>
                            <m:t>,</m:t>
                          </m:r>
                          <m:r>
                            <w:rPr>
                              <w:rFonts w:ascii="Cambria Math" w:eastAsiaTheme="minorEastAsia" w:hAnsi="Cambria Math" w:cs="Times New Roman"/>
                            </w:rPr>
                            <m:t>μ,</m:t>
                          </m:r>
                          <m:r>
                            <w:rPr>
                              <w:rFonts w:ascii="Cambria Math" w:hAnsi="Cambria Math" w:cs="Times New Roman"/>
                            </w:rPr>
                            <m:t>η</m:t>
                          </m:r>
                        </m:e>
                      </m:d>
                    </m:e>
                  </m:nary>
                </m:e>
              </m:nary>
            </m:e>
          </m:d>
          <m:r>
            <w:rPr>
              <w:rFonts w:ascii="Cambria Math" w:hAnsi="Cambria Math" w:cs="Times New Roman"/>
            </w:rPr>
            <m:t xml:space="preserve">                          (8)</m:t>
          </m:r>
        </m:oMath>
      </m:oMathPara>
    </w:p>
    <w:p w14:paraId="2A3E20E9" w14:textId="77777777" w:rsidR="008013D2" w:rsidRPr="008A07C9" w:rsidRDefault="008013D2" w:rsidP="008013D2">
      <w:pPr>
        <w:rPr>
          <w:rFonts w:cs="Times New Roman"/>
        </w:rPr>
      </w:pPr>
      <w:r w:rsidRPr="008A07C9">
        <w:rPr>
          <w:rFonts w:cs="Times New Roman"/>
        </w:rPr>
        <w:t>The unconditional likelihood function is given by:</w:t>
      </w:r>
    </w:p>
    <w:p w14:paraId="2C815A98" w14:textId="77777777" w:rsidR="008013D2" w:rsidRPr="008A07C9" w:rsidRDefault="009F1CEF" w:rsidP="008013D2">
      <w:pPr>
        <w:rPr>
          <w:rFonts w:cs="Times New Roman"/>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r>
            <w:rPr>
              <w:rFonts w:ascii="Cambria Math" w:hAnsi="Cambria Math" w:cs="Times New Roman"/>
            </w:rPr>
            <m:t>=</m:t>
          </m:r>
          <m:nary>
            <m:naryPr>
              <m:limLoc m:val="undOvr"/>
              <m:ctrlPr>
                <w:rPr>
                  <w:rFonts w:ascii="Cambria Math" w:hAnsi="Cambria Math" w:cs="Times New Roman"/>
                  <w:i/>
                </w:rPr>
              </m:ctrlPr>
            </m:naryPr>
            <m:sub>
              <m:r>
                <w:rPr>
                  <w:rFonts w:ascii="Cambria Math" w:hAnsi="Cambria Math" w:cs="Times New Roman"/>
                </w:rPr>
                <m:t>γ,δ,λ,μ,η</m:t>
              </m:r>
            </m:sub>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qj</m:t>
                      </m:r>
                    </m:sub>
                  </m:sSub>
                  <m:r>
                    <w:rPr>
                      <w:rFonts w:ascii="Cambria Math" w:hAnsi="Cambria Math" w:cs="Times New Roman"/>
                    </w:rPr>
                    <m:t>|γ</m:t>
                  </m:r>
                  <m:r>
                    <m:rPr>
                      <m:sty m:val="p"/>
                    </m:rPr>
                    <w:rPr>
                      <w:rFonts w:ascii="Cambria Math" w:eastAsiaTheme="minorEastAsia" w:hAnsi="Cambria Math" w:cs="Times New Roman"/>
                    </w:rPr>
                    <m:t xml:space="preserve">, </m:t>
                  </m:r>
                  <m:r>
                    <w:rPr>
                      <w:rFonts w:ascii="Cambria Math" w:hAnsi="Cambria Math" w:cs="Times New Roman"/>
                    </w:rPr>
                    <m:t>η</m:t>
                  </m:r>
                </m:e>
              </m:d>
              <m:d>
                <m:dPr>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d=1</m:t>
                      </m:r>
                    </m:sub>
                    <m:sup>
                      <m:r>
                        <w:rPr>
                          <w:rFonts w:ascii="Cambria Math" w:hAnsi="Cambria Math" w:cs="Times New Roman"/>
                        </w:rPr>
                        <m:t>D</m:t>
                      </m:r>
                    </m:sup>
                    <m:e>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qdtk</m:t>
                                  </m:r>
                                </m:sub>
                              </m:sSub>
                              <m:r>
                                <w:rPr>
                                  <w:rFonts w:ascii="Cambria Math" w:hAnsi="Cambria Math" w:cs="Times New Roman"/>
                                </w:rPr>
                                <m:t>|δ</m:t>
                              </m:r>
                              <m:r>
                                <w:rPr>
                                  <w:rFonts w:ascii="Cambria Math" w:eastAsiaTheme="minorEastAsia" w:hAnsi="Cambria Math" w:cs="Times New Roman"/>
                                </w:rPr>
                                <m:t>, μ,</m:t>
                              </m:r>
                              <m:r>
                                <w:rPr>
                                  <w:rFonts w:ascii="Cambria Math" w:hAnsi="Cambria Math" w:cs="Times New Roman"/>
                                </w:rPr>
                                <m:t>η</m:t>
                              </m:r>
                            </m:e>
                          </m:d>
                        </m:e>
                      </m:nary>
                    </m:e>
                  </m:nary>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d=1</m:t>
                      </m:r>
                    </m:sub>
                    <m:sup>
                      <m:r>
                        <w:rPr>
                          <w:rFonts w:ascii="Cambria Math" w:hAnsi="Cambria Math" w:cs="Times New Roman"/>
                        </w:rPr>
                        <m:t>D</m:t>
                      </m:r>
                    </m:sup>
                    <m:e>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qdtl</m:t>
                                  </m:r>
                                </m:sub>
                              </m:sSub>
                              <m:r>
                                <w:rPr>
                                  <w:rFonts w:ascii="Cambria Math" w:hAnsi="Cambria Math" w:cs="Times New Roman"/>
                                </w:rPr>
                                <m:t>|</m:t>
                              </m:r>
                              <m:r>
                                <w:rPr>
                                  <w:rFonts w:ascii="Cambria Math" w:hAnsi="Cambria Math" w:cs="Times New Roman"/>
                                  <w:szCs w:val="24"/>
                                </w:rPr>
                                <m:t>λ</m:t>
                              </m:r>
                              <m:r>
                                <m:rPr>
                                  <m:sty m:val="p"/>
                                </m:rPr>
                                <w:rPr>
                                  <w:rFonts w:ascii="Cambria Math" w:eastAsiaTheme="minorEastAsia" w:hAnsi="Cambria Math" w:cs="Times New Roman"/>
                                </w:rPr>
                                <m:t>,</m:t>
                              </m:r>
                              <m:r>
                                <w:rPr>
                                  <w:rFonts w:ascii="Cambria Math" w:eastAsiaTheme="minorEastAsia" w:hAnsi="Cambria Math" w:cs="Times New Roman"/>
                                </w:rPr>
                                <m:t>μ,</m:t>
                              </m:r>
                              <m:r>
                                <w:rPr>
                                  <w:rFonts w:ascii="Cambria Math" w:hAnsi="Cambria Math" w:cs="Times New Roman"/>
                                </w:rPr>
                                <m:t>η</m:t>
                              </m:r>
                            </m:e>
                          </m:d>
                        </m:e>
                      </m:nary>
                    </m:e>
                  </m:nary>
                </m:e>
              </m:d>
              <m:r>
                <w:rPr>
                  <w:rFonts w:ascii="Cambria Math" w:hAnsi="Cambria Math" w:cs="Times New Roman"/>
                </w:rPr>
                <m:t>dF(γ,δ,λ,μ,η)</m:t>
              </m:r>
            </m:e>
          </m:nary>
          <m:r>
            <w:rPr>
              <w:rFonts w:ascii="Cambria Math" w:hAnsi="Cambria Math" w:cs="Times New Roman"/>
            </w:rPr>
            <m:t xml:space="preserve">      (9)</m:t>
          </m:r>
        </m:oMath>
      </m:oMathPara>
    </w:p>
    <w:p w14:paraId="797D4BC9" w14:textId="77777777" w:rsidR="008013D2" w:rsidRPr="008A07C9" w:rsidRDefault="008013D2" w:rsidP="008013D2">
      <w:pPr>
        <w:rPr>
          <w:rFonts w:cs="Times New Roman"/>
        </w:rPr>
      </w:pPr>
      <w:r w:rsidRPr="008A07C9">
        <w:rPr>
          <w:rFonts w:cs="Times New Roman"/>
        </w:rPr>
        <w:t>where F is the multidimensional cumulative normal distribution. The log-likelihood function is:</w:t>
      </w:r>
    </w:p>
    <w:p w14:paraId="56D164AA" w14:textId="77777777" w:rsidR="008013D2" w:rsidRPr="008A07C9" w:rsidRDefault="008013D2" w:rsidP="008013D2">
      <w:pPr>
        <w:rPr>
          <w:rFonts w:eastAsiaTheme="minorEastAsia" w:cs="Times New Roman"/>
        </w:rPr>
      </w:pPr>
      <m:oMathPara>
        <m:oMathParaPr>
          <m:jc m:val="left"/>
        </m:oMathParaPr>
        <m:oMath>
          <m:r>
            <w:rPr>
              <w:rFonts w:ascii="Cambria Math" w:hAnsi="Cambria Math" w:cs="Times New Roman"/>
            </w:rPr>
            <m:t>Ln L=</m:t>
          </m:r>
          <m:nary>
            <m:naryPr>
              <m:chr m:val="∑"/>
              <m:limLoc m:val="undOvr"/>
              <m:supHide m:val="1"/>
              <m:ctrlPr>
                <w:rPr>
                  <w:rFonts w:ascii="Cambria Math" w:hAnsi="Cambria Math" w:cs="Times New Roman"/>
                  <w:i/>
                </w:rPr>
              </m:ctrlPr>
            </m:naryPr>
            <m:sub>
              <m:r>
                <w:rPr>
                  <w:rFonts w:ascii="Cambria Math" w:hAnsi="Cambria Math" w:cs="Times New Roman"/>
                </w:rPr>
                <m:t>q</m:t>
              </m:r>
            </m:sub>
            <m:sup/>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e>
          </m:nary>
          <m:r>
            <w:rPr>
              <w:rFonts w:ascii="Cambria Math" w:hAnsi="Cambria Math" w:cs="Times New Roman"/>
            </w:rPr>
            <m:t xml:space="preserve">                                                                                                                                             (10)</m:t>
          </m:r>
        </m:oMath>
      </m:oMathPara>
    </w:p>
    <w:p w14:paraId="3A0FB755" w14:textId="77777777" w:rsidR="00A76E89" w:rsidRDefault="008013D2" w:rsidP="008013D2">
      <w:pPr>
        <w:ind w:firstLine="720"/>
        <w:rPr>
          <w:rFonts w:cs="Times New Roman"/>
        </w:rPr>
      </w:pPr>
      <w:r w:rsidRPr="008A07C9">
        <w:rPr>
          <w:rFonts w:cs="Times New Roman"/>
        </w:rPr>
        <w:t xml:space="preserve">The likelihood function in Equation (9) involves the evaluation of a multi-dimensional integral of size equal to the total number of elements in </w:t>
      </w:r>
      <m:oMath>
        <m:r>
          <w:rPr>
            <w:rFonts w:ascii="Cambria Math" w:hAnsi="Cambria Math" w:cs="Times New Roman"/>
          </w:rPr>
          <m:t>γ,δ,λ</m:t>
        </m:r>
      </m:oMath>
      <w:r w:rsidRPr="008A07C9">
        <w:rPr>
          <w:rFonts w:eastAsiaTheme="minorEastAsia" w:cs="Times New Roman"/>
        </w:rPr>
        <w:t>,</w:t>
      </w:r>
      <m:oMath>
        <m:r>
          <w:rPr>
            <w:rFonts w:ascii="Cambria Math" w:hAnsi="Cambria Math" w:cs="Times New Roman"/>
          </w:rPr>
          <m:t xml:space="preserve"> μ</m:t>
        </m:r>
      </m:oMath>
      <w:r w:rsidRPr="008A07C9">
        <w:rPr>
          <w:rFonts w:eastAsiaTheme="minorEastAsia" w:cs="Times New Roman"/>
        </w:rPr>
        <w:t xml:space="preserve"> and</w:t>
      </w:r>
      <m:oMath>
        <m:r>
          <w:rPr>
            <w:rFonts w:ascii="Cambria Math" w:hAnsi="Cambria Math" w:cs="Times New Roman"/>
          </w:rPr>
          <m:t xml:space="preserve"> η</m:t>
        </m:r>
      </m:oMath>
      <w:r w:rsidRPr="008A07C9">
        <w:rPr>
          <w:rFonts w:cs="Times New Roman"/>
        </w:rPr>
        <w:t xml:space="preserve">. </w:t>
      </w:r>
    </w:p>
    <w:p w14:paraId="78C4F60A" w14:textId="77777777" w:rsidR="00A76E89" w:rsidRDefault="00A76E89" w:rsidP="00B509E6">
      <w:pPr>
        <w:pStyle w:val="Heading2"/>
      </w:pPr>
      <w:r>
        <w:t>Model Estimation</w:t>
      </w:r>
    </w:p>
    <w:p w14:paraId="371FD42C" w14:textId="15635FAF" w:rsidR="008013D2" w:rsidRDefault="008013D2" w:rsidP="00912E7D">
      <w:pPr>
        <w:rPr>
          <w:rFonts w:eastAsiaTheme="minorEastAsia" w:cs="Times New Roman"/>
        </w:rPr>
      </w:pPr>
      <w:r w:rsidRPr="008A07C9">
        <w:rPr>
          <w:rFonts w:cs="Times New Roman"/>
        </w:rPr>
        <w:t xml:space="preserve">We apply Quasi-Monte Carlo simulation techniques based on the scrambled Halton sequence to approximate this integral in the likelihood function and maximize the logarithm of the resulting simulated likelihood function across individuals with respect to </w:t>
      </w:r>
      <m:oMath>
        <m:r>
          <w:rPr>
            <w:rFonts w:ascii="Cambria Math" w:hAnsi="Cambria Math" w:cs="Times New Roman"/>
          </w:rPr>
          <m:t>γ,δ,λ</m:t>
        </m:r>
      </m:oMath>
      <w:r w:rsidRPr="000E1385">
        <w:rPr>
          <w:rFonts w:eastAsiaTheme="minorEastAsia" w:cs="Times New Roman"/>
        </w:rPr>
        <w:t xml:space="preserve">, </w:t>
      </w:r>
      <w:r w:rsidRPr="000E1385">
        <w:rPr>
          <w:rFonts w:ascii="Cambria Math" w:eastAsiaTheme="minorEastAsia" w:hAnsi="Cambria Math" w:cs="Times New Roman"/>
        </w:rPr>
        <w:t>𝜇</w:t>
      </w:r>
      <w:r w:rsidRPr="000E1385">
        <w:rPr>
          <w:rFonts w:eastAsiaTheme="minorEastAsia" w:cs="Times New Roman"/>
        </w:rPr>
        <w:t xml:space="preserve"> and</w:t>
      </w:r>
      <m:oMath>
        <m:r>
          <w:rPr>
            <w:rFonts w:ascii="Cambria Math" w:hAnsi="Cambria Math" w:cs="Times New Roman"/>
          </w:rPr>
          <m:t xml:space="preserve"> η</m:t>
        </m:r>
      </m:oMath>
      <w:r w:rsidRPr="008A07C9">
        <w:rPr>
          <w:rFonts w:eastAsiaTheme="minorEastAsia" w:cs="Times New Roman"/>
        </w:rPr>
        <w:t xml:space="preserve"> (Bhat 2003). </w:t>
      </w:r>
      <w:r>
        <w:rPr>
          <w:rFonts w:eastAsiaTheme="minorEastAsia" w:cs="Times New Roman"/>
        </w:rPr>
        <w:t xml:space="preserve">Since, we are decomposing the </w:t>
      </w:r>
      <w:r w:rsidR="00044F35">
        <w:rPr>
          <w:rFonts w:cs="Times New Roman"/>
        </w:rPr>
        <w:t>unobserved heterogeneity</w:t>
      </w:r>
      <w:r w:rsidR="00044F35">
        <w:rPr>
          <w:rFonts w:eastAsiaTheme="minorEastAsia" w:cs="Times New Roman"/>
        </w:rPr>
        <w:t xml:space="preserve"> </w:t>
      </w:r>
      <w:r>
        <w:rPr>
          <w:rFonts w:eastAsiaTheme="minorEastAsia" w:cs="Times New Roman"/>
        </w:rPr>
        <w:t xml:space="preserve">influencing arrivals and departures to three levels (i.e. </w:t>
      </w:r>
      <w:r>
        <w:rPr>
          <w:rFonts w:cs="Times New Roman"/>
        </w:rPr>
        <w:t xml:space="preserve">TAZ component, TAZ - </w:t>
      </w:r>
      <w:r w:rsidR="00412BEE">
        <w:rPr>
          <w:rFonts w:cs="Times New Roman"/>
        </w:rPr>
        <w:t>D</w:t>
      </w:r>
      <w:r>
        <w:rPr>
          <w:rFonts w:cs="Times New Roman"/>
        </w:rPr>
        <w:t xml:space="preserve">ay component, and TAZ - </w:t>
      </w:r>
      <w:r w:rsidR="00412BEE">
        <w:rPr>
          <w:rFonts w:cs="Times New Roman"/>
        </w:rPr>
        <w:t>D</w:t>
      </w:r>
      <w:r>
        <w:rPr>
          <w:rFonts w:cs="Times New Roman"/>
        </w:rPr>
        <w:t xml:space="preserve">ay - </w:t>
      </w:r>
      <w:r w:rsidR="00412BEE">
        <w:rPr>
          <w:rFonts w:cs="Times New Roman"/>
        </w:rPr>
        <w:t>T</w:t>
      </w:r>
      <w:r>
        <w:rPr>
          <w:rFonts w:cs="Times New Roman"/>
        </w:rPr>
        <w:t xml:space="preserve">ime period combination), different levels of simulation </w:t>
      </w:r>
      <w:r w:rsidR="00B509E6">
        <w:rPr>
          <w:rFonts w:cs="Times New Roman"/>
        </w:rPr>
        <w:t xml:space="preserve">draws </w:t>
      </w:r>
      <w:r>
        <w:rPr>
          <w:rFonts w:cs="Times New Roman"/>
        </w:rPr>
        <w:t xml:space="preserve">are needed to obtain simulated likelihood function. </w:t>
      </w:r>
      <w:r w:rsidRPr="008A07C9">
        <w:rPr>
          <w:rFonts w:eastAsiaTheme="minorEastAsia" w:cs="Times New Roman"/>
        </w:rPr>
        <w:t>The code was programmed in Gauss matrix programming language.</w:t>
      </w:r>
      <w:r w:rsidR="00CB380D">
        <w:rPr>
          <w:rFonts w:eastAsiaTheme="minorEastAsia" w:cs="Times New Roman"/>
        </w:rPr>
        <w:t xml:space="preserve"> The maximum simulated likelihood estimator described is consistent under weak regularity conditions (</w:t>
      </w:r>
      <w:r w:rsidR="00CB380D" w:rsidRPr="00674733">
        <w:rPr>
          <w:rFonts w:cs="Times New Roman"/>
          <w:bCs/>
          <w:iCs/>
          <w:szCs w:val="24"/>
        </w:rPr>
        <w:t>see Hajivas</w:t>
      </w:r>
      <w:r w:rsidR="00CB380D">
        <w:rPr>
          <w:rFonts w:cs="Times New Roman"/>
          <w:bCs/>
          <w:iCs/>
          <w:szCs w:val="24"/>
        </w:rPr>
        <w:t xml:space="preserve">siliou and Ruud, 1994; Lee 1992; </w:t>
      </w:r>
      <w:r w:rsidR="00CA51C2">
        <w:rPr>
          <w:rFonts w:eastAsiaTheme="minorEastAsia" w:cs="Times New Roman"/>
        </w:rPr>
        <w:t>Eluru</w:t>
      </w:r>
      <w:r w:rsidR="00CB380D">
        <w:rPr>
          <w:rFonts w:eastAsiaTheme="minorEastAsia" w:cs="Times New Roman"/>
        </w:rPr>
        <w:t xml:space="preserve"> and </w:t>
      </w:r>
      <w:r w:rsidR="00CA51C2">
        <w:rPr>
          <w:rFonts w:eastAsiaTheme="minorEastAsia" w:cs="Times New Roman"/>
        </w:rPr>
        <w:t>Bhat</w:t>
      </w:r>
      <w:r w:rsidR="00CB380D">
        <w:rPr>
          <w:rFonts w:eastAsiaTheme="minorEastAsia" w:cs="Times New Roman"/>
        </w:rPr>
        <w:t xml:space="preserve">, 2007). </w:t>
      </w:r>
      <w:r w:rsidRPr="008A07C9">
        <w:rPr>
          <w:rFonts w:eastAsiaTheme="minorEastAsia" w:cs="Times New Roman"/>
        </w:rPr>
        <w:t xml:space="preserve"> </w:t>
      </w:r>
    </w:p>
    <w:p w14:paraId="43D51BBE" w14:textId="77777777" w:rsidR="003C389D" w:rsidRPr="00340B7A" w:rsidRDefault="003C389D" w:rsidP="001F0B08"/>
    <w:p w14:paraId="61962A67" w14:textId="77777777" w:rsidR="003C389D" w:rsidRDefault="003C389D" w:rsidP="001F0B08">
      <w:pPr>
        <w:pStyle w:val="Heading1"/>
        <w:rPr>
          <w:rFonts w:cs="Times New Roman"/>
        </w:rPr>
      </w:pPr>
      <w:r>
        <w:rPr>
          <w:rFonts w:cs="Times New Roman"/>
        </w:rPr>
        <w:t>Data</w:t>
      </w:r>
    </w:p>
    <w:p w14:paraId="58E59E36" w14:textId="77777777" w:rsidR="002A6FEB" w:rsidRPr="00390C65" w:rsidRDefault="002A6FEB" w:rsidP="00B509E6">
      <w:pPr>
        <w:pStyle w:val="Heading2"/>
        <w:rPr>
          <w:bCs/>
        </w:rPr>
      </w:pPr>
      <w:r w:rsidRPr="00390C65">
        <w:rPr>
          <w:bCs/>
        </w:rPr>
        <w:lastRenderedPageBreak/>
        <w:t xml:space="preserve">Sample </w:t>
      </w:r>
      <w:r w:rsidR="00360D88" w:rsidRPr="00390C65">
        <w:t>Formation</w:t>
      </w:r>
    </w:p>
    <w:p w14:paraId="45B34408" w14:textId="5780CD99" w:rsidR="002A6FEB" w:rsidRPr="00606B26" w:rsidRDefault="003C62D5" w:rsidP="00606B26">
      <w:pPr>
        <w:autoSpaceDE w:val="0"/>
        <w:autoSpaceDN w:val="0"/>
        <w:adjustRightInd w:val="0"/>
        <w:rPr>
          <w:rFonts w:cs="Times New Roman"/>
        </w:rPr>
      </w:pPr>
      <w:r w:rsidRPr="008A07C9">
        <w:rPr>
          <w:rFonts w:cs="Times New Roman"/>
        </w:rPr>
        <w:t>For this study, the arrival and departure rat</w:t>
      </w:r>
      <w:r w:rsidR="00AE1FC7" w:rsidRPr="008A07C9">
        <w:rPr>
          <w:rFonts w:cs="Times New Roman"/>
        </w:rPr>
        <w:t>es are obtained from the minute-</w:t>
      </w:r>
      <w:r w:rsidRPr="008A07C9">
        <w:rPr>
          <w:rFonts w:cs="Times New Roman"/>
        </w:rPr>
        <w:t>by</w:t>
      </w:r>
      <w:r w:rsidR="00AE1FC7" w:rsidRPr="008A07C9">
        <w:rPr>
          <w:rFonts w:cs="Times New Roman"/>
        </w:rPr>
        <w:t>-</w:t>
      </w:r>
      <w:r w:rsidRPr="008A07C9">
        <w:rPr>
          <w:rFonts w:cs="Times New Roman"/>
        </w:rPr>
        <w:t>minute BIXI bicycle availability data for all stations in service (410 stations) between May and August 2012</w:t>
      </w:r>
      <w:r w:rsidR="00AE1FC7" w:rsidRPr="008A07C9">
        <w:rPr>
          <w:rFonts w:cs="Times New Roman"/>
        </w:rPr>
        <w:t xml:space="preserve">. </w:t>
      </w:r>
      <w:r w:rsidR="001D7797" w:rsidRPr="008A07C9">
        <w:rPr>
          <w:rFonts w:cs="Times New Roman"/>
        </w:rPr>
        <w:t>The raw data</w:t>
      </w:r>
      <w:r w:rsidR="00181DA5" w:rsidRPr="008A07C9">
        <w:rPr>
          <w:rFonts w:cs="Times New Roman"/>
        </w:rPr>
        <w:t xml:space="preserve"> extracted</w:t>
      </w:r>
      <w:r w:rsidR="001D7797" w:rsidRPr="008A07C9">
        <w:rPr>
          <w:rFonts w:cs="Times New Roman"/>
        </w:rPr>
        <w:t xml:space="preserve"> from the BIXI website </w:t>
      </w:r>
      <w:r w:rsidR="00961004" w:rsidRPr="008A07C9">
        <w:rPr>
          <w:rFonts w:cs="Times New Roman"/>
        </w:rPr>
        <w:t>wa</w:t>
      </w:r>
      <w:r w:rsidR="001D7797" w:rsidRPr="008A07C9">
        <w:rPr>
          <w:rFonts w:cs="Times New Roman"/>
        </w:rPr>
        <w:t>s p</w:t>
      </w:r>
      <w:r w:rsidR="00AE1FC7" w:rsidRPr="008A07C9">
        <w:rPr>
          <w:rFonts w:cs="Times New Roman"/>
        </w:rPr>
        <w:t>rocessed to generate the minute-</w:t>
      </w:r>
      <w:r w:rsidR="001D7797" w:rsidRPr="008A07C9">
        <w:rPr>
          <w:rFonts w:cs="Times New Roman"/>
        </w:rPr>
        <w:t>by</w:t>
      </w:r>
      <w:r w:rsidR="00AE1FC7" w:rsidRPr="008A07C9">
        <w:rPr>
          <w:rFonts w:cs="Times New Roman"/>
        </w:rPr>
        <w:t>-</w:t>
      </w:r>
      <w:r w:rsidR="001D7797" w:rsidRPr="008A07C9">
        <w:rPr>
          <w:rFonts w:cs="Times New Roman"/>
        </w:rPr>
        <w:t xml:space="preserve">minute arrival or departure rate of bicycles for every station </w:t>
      </w:r>
      <w:r w:rsidR="004734A7" w:rsidRPr="008A07C9">
        <w:rPr>
          <w:rFonts w:cs="Times New Roman"/>
        </w:rPr>
        <w:t xml:space="preserve">(see Faghih-Imani et al. 2014 for </w:t>
      </w:r>
      <w:r w:rsidR="00D3607A">
        <w:rPr>
          <w:rFonts w:cs="Times New Roman"/>
        </w:rPr>
        <w:t xml:space="preserve">more </w:t>
      </w:r>
      <w:r w:rsidR="007A3E37">
        <w:rPr>
          <w:rFonts w:cs="Times New Roman"/>
        </w:rPr>
        <w:t xml:space="preserve">details on </w:t>
      </w:r>
      <w:r w:rsidR="00D3607A">
        <w:rPr>
          <w:rFonts w:cs="Times New Roman"/>
        </w:rPr>
        <w:t>basic data preparation methods</w:t>
      </w:r>
      <w:r w:rsidR="004734A7" w:rsidRPr="008A07C9">
        <w:rPr>
          <w:rFonts w:cs="Times New Roman"/>
        </w:rPr>
        <w:t>)</w:t>
      </w:r>
      <w:r w:rsidR="001D7797" w:rsidRPr="008A07C9">
        <w:rPr>
          <w:rFonts w:cs="Times New Roman"/>
        </w:rPr>
        <w:t xml:space="preserve">. </w:t>
      </w:r>
    </w:p>
    <w:p w14:paraId="0945C758" w14:textId="77777777" w:rsidR="002A6FEB" w:rsidRPr="00390C65" w:rsidRDefault="002A6FEB" w:rsidP="00B509E6">
      <w:pPr>
        <w:pStyle w:val="Heading2"/>
      </w:pPr>
      <w:r w:rsidRPr="00390C65">
        <w:t>Dependent Variable</w:t>
      </w:r>
      <w:r w:rsidR="00666EF1" w:rsidRPr="00390C65">
        <w:t xml:space="preserve"> Generation</w:t>
      </w:r>
    </w:p>
    <w:p w14:paraId="54FD25AD" w14:textId="6CFC6797" w:rsidR="009B672A" w:rsidRPr="008A07C9" w:rsidRDefault="002A6FEB" w:rsidP="0014184A">
      <w:pPr>
        <w:rPr>
          <w:rFonts w:cs="Times New Roman"/>
        </w:rPr>
      </w:pPr>
      <w:r>
        <w:rPr>
          <w:rFonts w:cs="Times New Roman"/>
        </w:rPr>
        <w:t>B</w:t>
      </w:r>
      <w:r w:rsidR="00426F1E" w:rsidRPr="008A07C9">
        <w:rPr>
          <w:rFonts w:cs="Times New Roman"/>
        </w:rPr>
        <w:t xml:space="preserve">y observing </w:t>
      </w:r>
      <w:r w:rsidR="004734A7" w:rsidRPr="008A07C9">
        <w:rPr>
          <w:rFonts w:cs="Times New Roman"/>
        </w:rPr>
        <w:t xml:space="preserve">the </w:t>
      </w:r>
      <w:r w:rsidR="00426F1E" w:rsidRPr="008A07C9">
        <w:rPr>
          <w:rFonts w:cs="Times New Roman"/>
        </w:rPr>
        <w:t xml:space="preserve">bicycle flow pattern </w:t>
      </w:r>
      <w:r>
        <w:rPr>
          <w:rFonts w:cs="Times New Roman"/>
        </w:rPr>
        <w:t xml:space="preserve">for arrivals and departures </w:t>
      </w:r>
      <w:r w:rsidR="00426F1E" w:rsidRPr="008A07C9">
        <w:rPr>
          <w:rFonts w:cs="Times New Roman"/>
        </w:rPr>
        <w:t xml:space="preserve">we </w:t>
      </w:r>
      <w:r w:rsidR="004734A7" w:rsidRPr="008A07C9">
        <w:rPr>
          <w:rFonts w:cs="Times New Roman"/>
        </w:rPr>
        <w:t xml:space="preserve">categorized </w:t>
      </w:r>
      <w:r w:rsidR="00426F1E" w:rsidRPr="008A07C9">
        <w:rPr>
          <w:rFonts w:cs="Times New Roman"/>
        </w:rPr>
        <w:t>a day into five time periods: AM (6</w:t>
      </w:r>
      <w:r w:rsidR="00095777" w:rsidRPr="008A07C9">
        <w:rPr>
          <w:rFonts w:cs="Times New Roman"/>
        </w:rPr>
        <w:t>:00</w:t>
      </w:r>
      <w:r w:rsidR="00426F1E" w:rsidRPr="008A07C9">
        <w:rPr>
          <w:rFonts w:cs="Times New Roman"/>
        </w:rPr>
        <w:t>-10</w:t>
      </w:r>
      <w:r w:rsidR="00095777" w:rsidRPr="008A07C9">
        <w:rPr>
          <w:rFonts w:cs="Times New Roman"/>
        </w:rPr>
        <w:t>:00</w:t>
      </w:r>
      <w:r w:rsidR="00426F1E" w:rsidRPr="008A07C9">
        <w:rPr>
          <w:rFonts w:cs="Times New Roman"/>
        </w:rPr>
        <w:t>), Midday (10</w:t>
      </w:r>
      <w:r w:rsidR="00095777" w:rsidRPr="008A07C9">
        <w:rPr>
          <w:rFonts w:cs="Times New Roman"/>
        </w:rPr>
        <w:t>:00</w:t>
      </w:r>
      <w:r w:rsidR="00426F1E" w:rsidRPr="008A07C9">
        <w:rPr>
          <w:rFonts w:cs="Times New Roman"/>
        </w:rPr>
        <w:t>-16</w:t>
      </w:r>
      <w:r w:rsidR="00095777" w:rsidRPr="008A07C9">
        <w:rPr>
          <w:rFonts w:cs="Times New Roman"/>
        </w:rPr>
        <w:t>:00</w:t>
      </w:r>
      <w:r w:rsidR="00426F1E" w:rsidRPr="008A07C9">
        <w:rPr>
          <w:rFonts w:cs="Times New Roman"/>
        </w:rPr>
        <w:t>), PM</w:t>
      </w:r>
      <w:r w:rsidR="00095777" w:rsidRPr="008A07C9">
        <w:rPr>
          <w:rFonts w:cs="Times New Roman"/>
        </w:rPr>
        <w:t xml:space="preserve"> </w:t>
      </w:r>
      <w:r w:rsidR="00426F1E" w:rsidRPr="008A07C9">
        <w:rPr>
          <w:rFonts w:cs="Times New Roman"/>
        </w:rPr>
        <w:t>(16</w:t>
      </w:r>
      <w:r w:rsidR="00095777" w:rsidRPr="008A07C9">
        <w:rPr>
          <w:rFonts w:cs="Times New Roman"/>
        </w:rPr>
        <w:t>:00</w:t>
      </w:r>
      <w:r w:rsidR="00426F1E" w:rsidRPr="008A07C9">
        <w:rPr>
          <w:rFonts w:cs="Times New Roman"/>
        </w:rPr>
        <w:t>-20</w:t>
      </w:r>
      <w:r w:rsidR="00095777" w:rsidRPr="008A07C9">
        <w:rPr>
          <w:rFonts w:cs="Times New Roman"/>
        </w:rPr>
        <w:t>:00</w:t>
      </w:r>
      <w:r w:rsidR="00426F1E" w:rsidRPr="008A07C9">
        <w:rPr>
          <w:rFonts w:cs="Times New Roman"/>
        </w:rPr>
        <w:t>), Evening (20</w:t>
      </w:r>
      <w:r w:rsidR="00095777" w:rsidRPr="008A07C9">
        <w:rPr>
          <w:rFonts w:cs="Times New Roman"/>
        </w:rPr>
        <w:t>:00</w:t>
      </w:r>
      <w:r w:rsidR="00426F1E" w:rsidRPr="008A07C9">
        <w:rPr>
          <w:rFonts w:cs="Times New Roman"/>
        </w:rPr>
        <w:t>-24</w:t>
      </w:r>
      <w:r w:rsidR="00095777" w:rsidRPr="008A07C9">
        <w:rPr>
          <w:rFonts w:cs="Times New Roman"/>
        </w:rPr>
        <w:t>:00</w:t>
      </w:r>
      <w:r w:rsidR="00426F1E" w:rsidRPr="008A07C9">
        <w:rPr>
          <w:rFonts w:cs="Times New Roman"/>
        </w:rPr>
        <w:t>), and Night (</w:t>
      </w:r>
      <w:r w:rsidR="00095777" w:rsidRPr="008A07C9">
        <w:rPr>
          <w:rFonts w:cs="Times New Roman"/>
        </w:rPr>
        <w:t>0:00</w:t>
      </w:r>
      <w:r w:rsidR="00426F1E" w:rsidRPr="008A07C9">
        <w:rPr>
          <w:rFonts w:cs="Times New Roman"/>
        </w:rPr>
        <w:t>-6</w:t>
      </w:r>
      <w:r w:rsidR="00095777" w:rsidRPr="008A07C9">
        <w:rPr>
          <w:rFonts w:cs="Times New Roman"/>
        </w:rPr>
        <w:t>:00</w:t>
      </w:r>
      <w:r w:rsidR="00426F1E" w:rsidRPr="008A07C9">
        <w:rPr>
          <w:rFonts w:cs="Times New Roman"/>
        </w:rPr>
        <w:t xml:space="preserve">). </w:t>
      </w:r>
      <w:r>
        <w:rPr>
          <w:rFonts w:cs="Times New Roman"/>
        </w:rPr>
        <w:t>B</w:t>
      </w:r>
      <w:r w:rsidR="001D7797" w:rsidRPr="008A07C9">
        <w:rPr>
          <w:rFonts w:cs="Times New Roman"/>
        </w:rPr>
        <w:t>y aggregating</w:t>
      </w:r>
      <w:r w:rsidR="00D3607A">
        <w:rPr>
          <w:rFonts w:cs="Times New Roman"/>
        </w:rPr>
        <w:t xml:space="preserve"> obtained </w:t>
      </w:r>
      <w:r w:rsidR="003C389D">
        <w:rPr>
          <w:rFonts w:cs="Times New Roman"/>
        </w:rPr>
        <w:t>arrivals and departures</w:t>
      </w:r>
      <w:r w:rsidR="001D7797" w:rsidRPr="008A07C9">
        <w:rPr>
          <w:rFonts w:cs="Times New Roman"/>
        </w:rPr>
        <w:t xml:space="preserve"> for every station</w:t>
      </w:r>
      <w:r w:rsidR="004032AD" w:rsidRPr="008A07C9">
        <w:rPr>
          <w:rFonts w:cs="Times New Roman"/>
        </w:rPr>
        <w:t>,</w:t>
      </w:r>
      <w:r w:rsidR="001D7797" w:rsidRPr="008A07C9">
        <w:rPr>
          <w:rFonts w:cs="Times New Roman"/>
        </w:rPr>
        <w:t xml:space="preserve"> we </w:t>
      </w:r>
      <w:r w:rsidR="009A27DD">
        <w:rPr>
          <w:rFonts w:cs="Times New Roman"/>
        </w:rPr>
        <w:t>generated</w:t>
      </w:r>
      <w:r w:rsidR="009A27DD" w:rsidRPr="008A07C9">
        <w:rPr>
          <w:rFonts w:cs="Times New Roman"/>
        </w:rPr>
        <w:t xml:space="preserve"> </w:t>
      </w:r>
      <w:r w:rsidR="001D7797" w:rsidRPr="008A07C9">
        <w:rPr>
          <w:rFonts w:cs="Times New Roman"/>
        </w:rPr>
        <w:t xml:space="preserve">arrival and departure rates for </w:t>
      </w:r>
      <w:r w:rsidR="00426F1E" w:rsidRPr="008A07C9">
        <w:rPr>
          <w:rFonts w:cs="Times New Roman"/>
        </w:rPr>
        <w:t xml:space="preserve">these </w:t>
      </w:r>
      <w:r w:rsidR="001D7797" w:rsidRPr="008A07C9">
        <w:rPr>
          <w:rFonts w:cs="Times New Roman"/>
        </w:rPr>
        <w:t>five time periods</w:t>
      </w:r>
      <w:r w:rsidR="00426F1E" w:rsidRPr="008A07C9">
        <w:rPr>
          <w:rFonts w:cs="Times New Roman"/>
        </w:rPr>
        <w:t>.</w:t>
      </w:r>
      <w:r w:rsidR="001D7797" w:rsidRPr="008A07C9">
        <w:rPr>
          <w:rFonts w:cs="Times New Roman"/>
        </w:rPr>
        <w:t xml:space="preserve"> Then, by </w:t>
      </w:r>
      <w:r w:rsidR="005C6A01" w:rsidRPr="008A07C9">
        <w:rPr>
          <w:rFonts w:cs="Times New Roman"/>
        </w:rPr>
        <w:t>addi</w:t>
      </w:r>
      <w:r w:rsidR="00426F1E" w:rsidRPr="008A07C9">
        <w:rPr>
          <w:rFonts w:cs="Times New Roman"/>
        </w:rPr>
        <w:t>ng</w:t>
      </w:r>
      <w:r w:rsidR="001D7797" w:rsidRPr="008A07C9">
        <w:rPr>
          <w:rFonts w:cs="Times New Roman"/>
        </w:rPr>
        <w:t xml:space="preserve"> arrival</w:t>
      </w:r>
      <w:r w:rsidR="00340B7A">
        <w:rPr>
          <w:rFonts w:cs="Times New Roman"/>
        </w:rPr>
        <w:t>s</w:t>
      </w:r>
      <w:r w:rsidR="001D7797" w:rsidRPr="008A07C9">
        <w:rPr>
          <w:rFonts w:cs="Times New Roman"/>
        </w:rPr>
        <w:t xml:space="preserve"> and departure</w:t>
      </w:r>
      <w:r w:rsidR="00340B7A">
        <w:rPr>
          <w:rFonts w:cs="Times New Roman"/>
        </w:rPr>
        <w:t>s</w:t>
      </w:r>
      <w:r w:rsidR="001D7797" w:rsidRPr="008A07C9">
        <w:rPr>
          <w:rFonts w:cs="Times New Roman"/>
        </w:rPr>
        <w:t xml:space="preserve"> of all </w:t>
      </w:r>
      <w:r w:rsidR="005C6A01" w:rsidRPr="008A07C9">
        <w:rPr>
          <w:rFonts w:cs="Times New Roman"/>
        </w:rPr>
        <w:t>stations in a</w:t>
      </w:r>
      <w:r w:rsidR="001D7797" w:rsidRPr="008A07C9">
        <w:rPr>
          <w:rFonts w:cs="Times New Roman"/>
        </w:rPr>
        <w:t xml:space="preserve"> TAZ</w:t>
      </w:r>
      <w:r w:rsidR="004032AD" w:rsidRPr="008A07C9">
        <w:rPr>
          <w:rFonts w:cs="Times New Roman"/>
        </w:rPr>
        <w:t xml:space="preserve"> </w:t>
      </w:r>
      <w:r w:rsidR="004734A7" w:rsidRPr="008A07C9">
        <w:rPr>
          <w:rFonts w:cs="Times New Roman"/>
        </w:rPr>
        <w:t xml:space="preserve">for the corresponding time period </w:t>
      </w:r>
      <w:r w:rsidR="004032AD" w:rsidRPr="008A07C9">
        <w:rPr>
          <w:rFonts w:cs="Times New Roman"/>
        </w:rPr>
        <w:t xml:space="preserve">we </w:t>
      </w:r>
      <w:r w:rsidR="005C6A01" w:rsidRPr="008A07C9">
        <w:rPr>
          <w:rFonts w:cs="Times New Roman"/>
        </w:rPr>
        <w:t>obtained the</w:t>
      </w:r>
      <w:r w:rsidR="004032AD" w:rsidRPr="008A07C9">
        <w:rPr>
          <w:rFonts w:cs="Times New Roman"/>
        </w:rPr>
        <w:t xml:space="preserve"> TAZ level flows for every time period</w:t>
      </w:r>
      <w:r w:rsidR="001D7797" w:rsidRPr="008A07C9">
        <w:rPr>
          <w:rFonts w:cs="Times New Roman"/>
        </w:rPr>
        <w:t>. BIXI stations are spatially located in 235 TAZ</w:t>
      </w:r>
      <w:r w:rsidR="004734A7" w:rsidRPr="008A07C9">
        <w:rPr>
          <w:rFonts w:cs="Times New Roman"/>
        </w:rPr>
        <w:t>s</w:t>
      </w:r>
      <w:r w:rsidR="001D7797" w:rsidRPr="008A07C9">
        <w:rPr>
          <w:rFonts w:cs="Times New Roman"/>
        </w:rPr>
        <w:t xml:space="preserve"> in Montreal. </w:t>
      </w:r>
      <w:r w:rsidR="00611284" w:rsidRPr="008A07C9">
        <w:rPr>
          <w:rFonts w:cs="Times New Roman"/>
        </w:rPr>
        <w:t>To retain a manageable data sample</w:t>
      </w:r>
      <w:r w:rsidR="001D7797" w:rsidRPr="008A07C9">
        <w:rPr>
          <w:rFonts w:cs="Times New Roman"/>
        </w:rPr>
        <w:t>, we randomly select</w:t>
      </w:r>
      <w:r w:rsidR="005C6A01" w:rsidRPr="008A07C9">
        <w:rPr>
          <w:rFonts w:cs="Times New Roman"/>
        </w:rPr>
        <w:t>ed</w:t>
      </w:r>
      <w:r w:rsidR="001D7797" w:rsidRPr="008A07C9">
        <w:rPr>
          <w:rFonts w:cs="Times New Roman"/>
        </w:rPr>
        <w:t xml:space="preserve"> </w:t>
      </w:r>
      <w:r w:rsidR="001D7797" w:rsidRPr="00F62E75">
        <w:rPr>
          <w:rFonts w:cs="Times New Roman"/>
          <w:i/>
          <w:u w:val="single"/>
        </w:rPr>
        <w:t>seven consecutive</w:t>
      </w:r>
      <w:r w:rsidR="001D7797" w:rsidRPr="008A07C9">
        <w:rPr>
          <w:rFonts w:cs="Times New Roman"/>
        </w:rPr>
        <w:t xml:space="preserve"> days for every TAZ in our database</w:t>
      </w:r>
      <w:r w:rsidR="00377DE3">
        <w:rPr>
          <w:rFonts w:cs="Times New Roman"/>
        </w:rPr>
        <w:t xml:space="preserve"> </w:t>
      </w:r>
      <w:r w:rsidR="00377DE3" w:rsidRPr="00884D67">
        <w:rPr>
          <w:rFonts w:cs="Times New Roman"/>
          <w:bCs/>
          <w:iCs/>
          <w:szCs w:val="24"/>
        </w:rPr>
        <w:t>(distinct set of 7 consecutive days for each TAZ).</w:t>
      </w:r>
      <w:r w:rsidR="005C6A01" w:rsidRPr="00884D67">
        <w:rPr>
          <w:rFonts w:cs="Times New Roman"/>
          <w:iCs/>
        </w:rPr>
        <w:t xml:space="preserve"> </w:t>
      </w:r>
      <w:r w:rsidR="00C95319" w:rsidRPr="00884D67">
        <w:rPr>
          <w:rFonts w:cs="Times New Roman"/>
          <w:iCs/>
        </w:rPr>
        <w:t>This sa</w:t>
      </w:r>
      <w:r w:rsidR="00C95319">
        <w:rPr>
          <w:rFonts w:cs="Times New Roman"/>
        </w:rPr>
        <w:t xml:space="preserve">mpling process provides reasonable coverage of </w:t>
      </w:r>
      <w:r w:rsidR="0014184A">
        <w:rPr>
          <w:rFonts w:cs="Times New Roman"/>
        </w:rPr>
        <w:t xml:space="preserve">data from May </w:t>
      </w:r>
      <w:r w:rsidR="0050687A">
        <w:rPr>
          <w:rFonts w:cs="Times New Roman"/>
        </w:rPr>
        <w:t>through</w:t>
      </w:r>
      <w:r w:rsidR="0014184A">
        <w:rPr>
          <w:rFonts w:cs="Times New Roman"/>
        </w:rPr>
        <w:t xml:space="preserve"> August</w:t>
      </w:r>
      <w:r w:rsidR="00C95319">
        <w:rPr>
          <w:rFonts w:cs="Times New Roman"/>
        </w:rPr>
        <w:t xml:space="preserve">. </w:t>
      </w:r>
      <w:r w:rsidR="005C6A01" w:rsidRPr="008A07C9">
        <w:rPr>
          <w:rFonts w:cs="Times New Roman"/>
        </w:rPr>
        <w:t>The final sample consists</w:t>
      </w:r>
      <w:r w:rsidR="001D7797" w:rsidRPr="008A07C9">
        <w:rPr>
          <w:rFonts w:cs="Times New Roman"/>
        </w:rPr>
        <w:t xml:space="preserve"> of 8225 records (5 </w:t>
      </w:r>
      <w:r>
        <w:rPr>
          <w:rFonts w:cs="Times New Roman"/>
        </w:rPr>
        <w:t xml:space="preserve">time </w:t>
      </w:r>
      <w:r w:rsidR="001D7797" w:rsidRPr="008A07C9">
        <w:rPr>
          <w:rFonts w:cs="Times New Roman"/>
        </w:rPr>
        <w:t>periods * 7 day</w:t>
      </w:r>
      <w:r w:rsidR="005C6A01" w:rsidRPr="008A07C9">
        <w:rPr>
          <w:rFonts w:cs="Times New Roman"/>
        </w:rPr>
        <w:t>s</w:t>
      </w:r>
      <w:r w:rsidR="001D7797" w:rsidRPr="008A07C9">
        <w:rPr>
          <w:rFonts w:cs="Times New Roman"/>
        </w:rPr>
        <w:t xml:space="preserve"> * 235 TAZ</w:t>
      </w:r>
      <w:r w:rsidR="005C6A01" w:rsidRPr="008A07C9">
        <w:rPr>
          <w:rFonts w:cs="Times New Roman"/>
        </w:rPr>
        <w:t>s</w:t>
      </w:r>
      <w:r w:rsidR="001D7797" w:rsidRPr="008A07C9">
        <w:rPr>
          <w:rFonts w:cs="Times New Roman"/>
        </w:rPr>
        <w:t xml:space="preserve">) of arrival and departure rates at a TAZ level. </w:t>
      </w:r>
    </w:p>
    <w:p w14:paraId="0216BA55" w14:textId="035C4A51" w:rsidR="00F07EFA" w:rsidRDefault="00C062B4" w:rsidP="00606B26">
      <w:pPr>
        <w:ind w:firstLine="720"/>
        <w:rPr>
          <w:rFonts w:cs="Times New Roman"/>
        </w:rPr>
      </w:pPr>
      <w:r w:rsidRPr="008A07C9">
        <w:rPr>
          <w:rFonts w:cs="Times New Roman"/>
        </w:rPr>
        <w:t xml:space="preserve">The three </w:t>
      </w:r>
      <w:r w:rsidR="009B5FA7" w:rsidRPr="008A07C9">
        <w:rPr>
          <w:rFonts w:cs="Times New Roman"/>
        </w:rPr>
        <w:t xml:space="preserve">dependent variables </w:t>
      </w:r>
      <w:r w:rsidR="00426F1E" w:rsidRPr="008A07C9">
        <w:rPr>
          <w:rFonts w:cs="Times New Roman"/>
        </w:rPr>
        <w:t>employed in our study -</w:t>
      </w:r>
      <w:r w:rsidR="007B3606" w:rsidRPr="008A07C9">
        <w:rPr>
          <w:rFonts w:cs="Times New Roman"/>
        </w:rPr>
        <w:t xml:space="preserve"> B</w:t>
      </w:r>
      <w:r w:rsidR="004032AD" w:rsidRPr="008A07C9">
        <w:rPr>
          <w:rFonts w:cs="Times New Roman"/>
        </w:rPr>
        <w:t>SS</w:t>
      </w:r>
      <w:r w:rsidR="007B3606" w:rsidRPr="008A07C9">
        <w:rPr>
          <w:rFonts w:cs="Times New Roman"/>
        </w:rPr>
        <w:t xml:space="preserve">I, arrivals and </w:t>
      </w:r>
      <w:r w:rsidR="00A31730" w:rsidRPr="008A07C9">
        <w:rPr>
          <w:rFonts w:cs="Times New Roman"/>
        </w:rPr>
        <w:t>departures</w:t>
      </w:r>
      <w:r w:rsidR="00426F1E" w:rsidRPr="008A07C9">
        <w:rPr>
          <w:rFonts w:cs="Times New Roman"/>
        </w:rPr>
        <w:t xml:space="preserve"> -</w:t>
      </w:r>
      <w:r w:rsidR="00A31730" w:rsidRPr="008A07C9">
        <w:rPr>
          <w:rFonts w:cs="Times New Roman"/>
        </w:rPr>
        <w:t xml:space="preserve"> are categorized as three ordered variables</w:t>
      </w:r>
      <w:r w:rsidR="00400472" w:rsidRPr="008A07C9">
        <w:rPr>
          <w:rFonts w:cs="Times New Roman"/>
        </w:rPr>
        <w:t xml:space="preserve">. </w:t>
      </w:r>
      <w:r w:rsidR="009432A5" w:rsidRPr="008A07C9">
        <w:rPr>
          <w:rFonts w:cs="Times New Roman"/>
        </w:rPr>
        <w:t>The B</w:t>
      </w:r>
      <w:r w:rsidR="004032AD" w:rsidRPr="008A07C9">
        <w:rPr>
          <w:rFonts w:cs="Times New Roman"/>
        </w:rPr>
        <w:t>SS</w:t>
      </w:r>
      <w:r w:rsidR="009432A5" w:rsidRPr="008A07C9">
        <w:rPr>
          <w:rFonts w:cs="Times New Roman"/>
        </w:rPr>
        <w:t>I categories considered in our analysis</w:t>
      </w:r>
      <w:r w:rsidR="009B5B8B" w:rsidRPr="008A07C9">
        <w:rPr>
          <w:rFonts w:cs="Times New Roman"/>
        </w:rPr>
        <w:t xml:space="preserve"> (and sample shares)</w:t>
      </w:r>
      <w:r w:rsidR="009432A5" w:rsidRPr="008A07C9">
        <w:rPr>
          <w:rFonts w:cs="Times New Roman"/>
        </w:rPr>
        <w:t xml:space="preserve"> are </w:t>
      </w:r>
      <w:r w:rsidR="00115740" w:rsidRPr="008A07C9">
        <w:rPr>
          <w:rFonts w:cs="Times New Roman"/>
        </w:rPr>
        <w:t>≤</w:t>
      </w:r>
      <w:r w:rsidR="009432A5" w:rsidRPr="008A07C9">
        <w:rPr>
          <w:rFonts w:cs="Times New Roman"/>
        </w:rPr>
        <w:t>0</w:t>
      </w:r>
      <w:r w:rsidR="009B5B8B" w:rsidRPr="008A07C9">
        <w:rPr>
          <w:rFonts w:cs="Times New Roman"/>
        </w:rPr>
        <w:t xml:space="preserve"> (16.2%)</w:t>
      </w:r>
      <w:r w:rsidR="009432A5" w:rsidRPr="008A07C9">
        <w:rPr>
          <w:rFonts w:cs="Times New Roman"/>
        </w:rPr>
        <w:t>, 0-1</w:t>
      </w:r>
      <w:r w:rsidR="009B5B8B" w:rsidRPr="008A07C9">
        <w:rPr>
          <w:rFonts w:cs="Times New Roman"/>
        </w:rPr>
        <w:t xml:space="preserve"> (25.5</w:t>
      </w:r>
      <w:r w:rsidR="00426F1E" w:rsidRPr="008A07C9">
        <w:rPr>
          <w:rFonts w:cs="Times New Roman"/>
        </w:rPr>
        <w:t>%</w:t>
      </w:r>
      <w:r w:rsidR="009B5B8B" w:rsidRPr="008A07C9">
        <w:rPr>
          <w:rFonts w:cs="Times New Roman"/>
        </w:rPr>
        <w:t>)</w:t>
      </w:r>
      <w:r w:rsidR="009432A5" w:rsidRPr="008A07C9">
        <w:rPr>
          <w:rFonts w:cs="Times New Roman"/>
        </w:rPr>
        <w:t>, 1-2</w:t>
      </w:r>
      <w:r w:rsidR="009B5B8B" w:rsidRPr="008A07C9">
        <w:rPr>
          <w:rFonts w:cs="Times New Roman"/>
        </w:rPr>
        <w:t xml:space="preserve"> (26.8</w:t>
      </w:r>
      <w:r w:rsidR="00426F1E" w:rsidRPr="008A07C9">
        <w:rPr>
          <w:rFonts w:cs="Times New Roman"/>
        </w:rPr>
        <w:t>%</w:t>
      </w:r>
      <w:r w:rsidR="009B5B8B" w:rsidRPr="008A07C9">
        <w:rPr>
          <w:rFonts w:cs="Times New Roman"/>
        </w:rPr>
        <w:t>)</w:t>
      </w:r>
      <w:r w:rsidR="009432A5" w:rsidRPr="008A07C9">
        <w:rPr>
          <w:rFonts w:cs="Times New Roman"/>
        </w:rPr>
        <w:t>, 2-3</w:t>
      </w:r>
      <w:r w:rsidR="009B5B8B" w:rsidRPr="008A07C9">
        <w:rPr>
          <w:rFonts w:cs="Times New Roman"/>
        </w:rPr>
        <w:t xml:space="preserve"> (20.4</w:t>
      </w:r>
      <w:r w:rsidR="00426F1E" w:rsidRPr="008A07C9">
        <w:rPr>
          <w:rFonts w:cs="Times New Roman"/>
        </w:rPr>
        <w:t>%</w:t>
      </w:r>
      <w:r w:rsidR="009B5B8B" w:rsidRPr="008A07C9">
        <w:rPr>
          <w:rFonts w:cs="Times New Roman"/>
        </w:rPr>
        <w:t>)</w:t>
      </w:r>
      <w:r w:rsidR="009432A5" w:rsidRPr="008A07C9">
        <w:rPr>
          <w:rFonts w:cs="Times New Roman"/>
        </w:rPr>
        <w:t>, &gt;3</w:t>
      </w:r>
      <w:r w:rsidR="009B5B8B" w:rsidRPr="008A07C9">
        <w:rPr>
          <w:rFonts w:cs="Times New Roman"/>
        </w:rPr>
        <w:t xml:space="preserve"> (11.1</w:t>
      </w:r>
      <w:r w:rsidR="009B672A" w:rsidRPr="008A07C9">
        <w:rPr>
          <w:rFonts w:cs="Times New Roman"/>
        </w:rPr>
        <w:t>%</w:t>
      </w:r>
      <w:r w:rsidR="009B5B8B" w:rsidRPr="008A07C9">
        <w:rPr>
          <w:rFonts w:cs="Times New Roman"/>
        </w:rPr>
        <w:t>).</w:t>
      </w:r>
      <w:r w:rsidR="006729AF" w:rsidRPr="008A07C9">
        <w:rPr>
          <w:rFonts w:cs="Times New Roman"/>
        </w:rPr>
        <w:t xml:space="preserve"> </w:t>
      </w:r>
      <w:r w:rsidR="009432A5" w:rsidRPr="008A07C9">
        <w:rPr>
          <w:rFonts w:cs="Times New Roman"/>
        </w:rPr>
        <w:t>T</w:t>
      </w:r>
      <w:r w:rsidR="00E9488E" w:rsidRPr="008A07C9">
        <w:rPr>
          <w:rFonts w:cs="Times New Roman"/>
        </w:rPr>
        <w:t xml:space="preserve">he </w:t>
      </w:r>
      <w:r w:rsidR="00861459" w:rsidRPr="008A07C9">
        <w:rPr>
          <w:rFonts w:cs="Times New Roman"/>
        </w:rPr>
        <w:t>arrival</w:t>
      </w:r>
      <w:r w:rsidR="009B672A" w:rsidRPr="008A07C9">
        <w:rPr>
          <w:rFonts w:cs="Times New Roman"/>
        </w:rPr>
        <w:t>s and departures are categorized</w:t>
      </w:r>
      <w:r w:rsidR="00861459" w:rsidRPr="008A07C9">
        <w:rPr>
          <w:rFonts w:cs="Times New Roman"/>
        </w:rPr>
        <w:t xml:space="preserve"> in four</w:t>
      </w:r>
      <w:r w:rsidR="009B672A" w:rsidRPr="008A07C9">
        <w:rPr>
          <w:rFonts w:cs="Times New Roman"/>
        </w:rPr>
        <w:t xml:space="preserve"> groups</w:t>
      </w:r>
      <w:r w:rsidR="00861459" w:rsidRPr="008A07C9">
        <w:rPr>
          <w:rFonts w:cs="Times New Roman"/>
        </w:rPr>
        <w:t xml:space="preserve">: </w:t>
      </w:r>
      <w:r w:rsidR="00C12F1A" w:rsidRPr="008A07C9">
        <w:rPr>
          <w:rFonts w:cs="Times New Roman"/>
        </w:rPr>
        <w:t>very low-rate (&lt;1 bicycle per hour)</w:t>
      </w:r>
      <w:r w:rsidR="00861459" w:rsidRPr="008A07C9">
        <w:rPr>
          <w:rFonts w:cs="Times New Roman"/>
        </w:rPr>
        <w:t>, low</w:t>
      </w:r>
      <w:r w:rsidR="009432A5" w:rsidRPr="008A07C9">
        <w:rPr>
          <w:rFonts w:cs="Times New Roman"/>
        </w:rPr>
        <w:t>-rate</w:t>
      </w:r>
      <w:r w:rsidR="00861459" w:rsidRPr="008A07C9">
        <w:rPr>
          <w:rFonts w:cs="Times New Roman"/>
        </w:rPr>
        <w:t xml:space="preserve"> (1-5 bicycles per hour), medium</w:t>
      </w:r>
      <w:r w:rsidR="009432A5" w:rsidRPr="008A07C9">
        <w:rPr>
          <w:rFonts w:cs="Times New Roman"/>
        </w:rPr>
        <w:t xml:space="preserve">-rate </w:t>
      </w:r>
      <w:r w:rsidR="00861459" w:rsidRPr="008A07C9">
        <w:rPr>
          <w:rFonts w:cs="Times New Roman"/>
        </w:rPr>
        <w:t xml:space="preserve">(6-10 bicycles per hour), and </w:t>
      </w:r>
      <w:r w:rsidR="009432A5" w:rsidRPr="008A07C9">
        <w:rPr>
          <w:rFonts w:cs="Times New Roman"/>
        </w:rPr>
        <w:t>hi</w:t>
      </w:r>
      <w:r w:rsidR="00775DE1" w:rsidRPr="008A07C9">
        <w:rPr>
          <w:rFonts w:cs="Times New Roman"/>
        </w:rPr>
        <w:t>gh-rate (10+ bicycles per hour)</w:t>
      </w:r>
      <w:r w:rsidR="00400472" w:rsidRPr="008A07C9">
        <w:rPr>
          <w:rFonts w:cs="Times New Roman"/>
        </w:rPr>
        <w:t xml:space="preserve">. </w:t>
      </w:r>
      <w:r w:rsidR="009B5B8B" w:rsidRPr="008A07C9">
        <w:rPr>
          <w:rFonts w:cs="Times New Roman"/>
        </w:rPr>
        <w:t>The proportion of arriv</w:t>
      </w:r>
      <w:r w:rsidR="009B672A" w:rsidRPr="008A07C9">
        <w:rPr>
          <w:rFonts w:cs="Times New Roman"/>
        </w:rPr>
        <w:t>als and departures categories a</w:t>
      </w:r>
      <w:r w:rsidR="009B5B8B" w:rsidRPr="008A07C9">
        <w:rPr>
          <w:rFonts w:cs="Times New Roman"/>
        </w:rPr>
        <w:t>re as follows</w:t>
      </w:r>
      <w:r w:rsidR="009B672A" w:rsidRPr="008A07C9">
        <w:rPr>
          <w:rFonts w:cs="Times New Roman"/>
        </w:rPr>
        <w:t>,</w:t>
      </w:r>
      <w:r w:rsidR="009B5B8B" w:rsidRPr="008A07C9">
        <w:rPr>
          <w:rFonts w:cs="Times New Roman"/>
        </w:rPr>
        <w:t xml:space="preserve"> respectively: </w:t>
      </w:r>
      <w:r w:rsidR="005514BF" w:rsidRPr="008A07C9">
        <w:rPr>
          <w:rFonts w:cs="Times New Roman"/>
        </w:rPr>
        <w:t xml:space="preserve">very low-rate </w:t>
      </w:r>
      <w:r w:rsidR="009B5B8B" w:rsidRPr="008A07C9">
        <w:rPr>
          <w:rFonts w:cs="Times New Roman"/>
        </w:rPr>
        <w:t xml:space="preserve">(31.4%, 32.1%), low-rate (47.3%, 45.6%), medium-rate (11.7%, 12.4%), and high-rate (9.6%, 9.9%). </w:t>
      </w:r>
    </w:p>
    <w:p w14:paraId="697D8C1A" w14:textId="77777777" w:rsidR="003C389D" w:rsidRPr="00390C65" w:rsidRDefault="003C389D" w:rsidP="00B509E6">
      <w:pPr>
        <w:pStyle w:val="Heading2"/>
      </w:pPr>
      <w:r w:rsidRPr="00390C65">
        <w:t>Independent Variables Considered</w:t>
      </w:r>
    </w:p>
    <w:p w14:paraId="242C72F6" w14:textId="73227F51" w:rsidR="003C389D" w:rsidRDefault="003C389D" w:rsidP="00D3607A">
      <w:pPr>
        <w:rPr>
          <w:rFonts w:cs="Times New Roman"/>
          <w:szCs w:val="24"/>
        </w:rPr>
      </w:pPr>
      <w:r w:rsidRPr="008A07C9">
        <w:rPr>
          <w:rFonts w:cs="Times New Roman"/>
          <w:szCs w:val="24"/>
        </w:rPr>
        <w:t>Various independent variables are used to examine the determinants of bicycle usage for each TAZ</w:t>
      </w:r>
      <w:r w:rsidR="00E27A8B">
        <w:rPr>
          <w:rFonts w:cs="Times New Roman"/>
          <w:szCs w:val="24"/>
        </w:rPr>
        <w:t>.</w:t>
      </w:r>
      <w:r w:rsidRPr="008A07C9">
        <w:rPr>
          <w:rFonts w:cs="Times New Roman"/>
          <w:szCs w:val="24"/>
        </w:rPr>
        <w:t xml:space="preserve"> We controlled for </w:t>
      </w:r>
      <w:r w:rsidRPr="008A07C9">
        <w:rPr>
          <w:rFonts w:cs="Times New Roman"/>
          <w:szCs w:val="24"/>
          <w:u w:val="single"/>
        </w:rPr>
        <w:t>weather and temporal variables</w:t>
      </w:r>
      <w:r w:rsidRPr="008A07C9">
        <w:rPr>
          <w:rFonts w:cs="Times New Roman"/>
          <w:szCs w:val="24"/>
        </w:rPr>
        <w:t xml:space="preserve"> to better capture determinants of </w:t>
      </w:r>
      <w:r w:rsidR="00340B7A">
        <w:rPr>
          <w:rFonts w:cs="Times New Roman"/>
          <w:szCs w:val="24"/>
        </w:rPr>
        <w:t>BSS usage</w:t>
      </w:r>
      <w:r w:rsidRPr="008A07C9">
        <w:rPr>
          <w:rFonts w:cs="Times New Roman"/>
          <w:szCs w:val="24"/>
        </w:rPr>
        <w:t xml:space="preserve"> of every TAZ in our analysis. Weather variables include average temperature and </w:t>
      </w:r>
      <w:r>
        <w:rPr>
          <w:rFonts w:cs="Times New Roman"/>
          <w:szCs w:val="24"/>
        </w:rPr>
        <w:t xml:space="preserve">average </w:t>
      </w:r>
      <w:r w:rsidRPr="008A07C9">
        <w:rPr>
          <w:rFonts w:cs="Times New Roman"/>
          <w:szCs w:val="24"/>
        </w:rPr>
        <w:t>relative humidity</w:t>
      </w:r>
      <w:r w:rsidRPr="00594AA0">
        <w:rPr>
          <w:rFonts w:cs="Times New Roman"/>
          <w:szCs w:val="24"/>
        </w:rPr>
        <w:t xml:space="preserve"> </w:t>
      </w:r>
      <w:r w:rsidRPr="008A07C9">
        <w:rPr>
          <w:rFonts w:cs="Times New Roman"/>
          <w:szCs w:val="24"/>
        </w:rPr>
        <w:t>for every time period</w:t>
      </w:r>
      <w:r>
        <w:rPr>
          <w:rFonts w:cs="Times New Roman"/>
          <w:szCs w:val="24"/>
        </w:rPr>
        <w:t>. Also,</w:t>
      </w:r>
      <w:r w:rsidRPr="008A07C9">
        <w:rPr>
          <w:rFonts w:cs="Times New Roman"/>
          <w:szCs w:val="24"/>
        </w:rPr>
        <w:t xml:space="preserve"> weather condition </w:t>
      </w:r>
      <w:r>
        <w:rPr>
          <w:rFonts w:cs="Times New Roman"/>
          <w:szCs w:val="24"/>
        </w:rPr>
        <w:t xml:space="preserve">is </w:t>
      </w:r>
      <w:r w:rsidRPr="008A07C9">
        <w:rPr>
          <w:rFonts w:cs="Times New Roman"/>
          <w:szCs w:val="24"/>
        </w:rPr>
        <w:t xml:space="preserve">represented as a categorical variable </w:t>
      </w:r>
      <w:r>
        <w:rPr>
          <w:rFonts w:cs="Times New Roman"/>
          <w:szCs w:val="24"/>
        </w:rPr>
        <w:t xml:space="preserve">- </w:t>
      </w:r>
      <w:r w:rsidRPr="008A07C9">
        <w:rPr>
          <w:rFonts w:cs="Times New Roman"/>
          <w:szCs w:val="24"/>
        </w:rPr>
        <w:t xml:space="preserve">whether it </w:t>
      </w:r>
      <w:r>
        <w:rPr>
          <w:rFonts w:cs="Times New Roman"/>
          <w:szCs w:val="24"/>
        </w:rPr>
        <w:t xml:space="preserve">rained </w:t>
      </w:r>
      <w:r w:rsidRPr="008A07C9">
        <w:rPr>
          <w:rFonts w:cs="Times New Roman"/>
          <w:szCs w:val="24"/>
        </w:rPr>
        <w:t xml:space="preserve">or not for every time period. Temporal variables considered include time of the day and day of the week effects. The influence of weekend and weekday were also accounted for. </w:t>
      </w:r>
      <w:r w:rsidRPr="008A07C9">
        <w:rPr>
          <w:rFonts w:cs="Times New Roman"/>
          <w:szCs w:val="24"/>
          <w:u w:val="single"/>
        </w:rPr>
        <w:t>Land-use and built environment characteristics</w:t>
      </w:r>
      <w:r w:rsidRPr="008A07C9">
        <w:rPr>
          <w:rFonts w:cs="Times New Roman"/>
          <w:szCs w:val="24"/>
        </w:rPr>
        <w:t xml:space="preserve"> considered include </w:t>
      </w:r>
      <w:r w:rsidR="0023353D">
        <w:rPr>
          <w:rFonts w:cs="Times New Roman"/>
          <w:szCs w:val="24"/>
        </w:rPr>
        <w:t xml:space="preserve">the </w:t>
      </w:r>
      <w:r w:rsidRPr="008A07C9">
        <w:rPr>
          <w:rFonts w:cs="Times New Roman"/>
          <w:szCs w:val="24"/>
        </w:rPr>
        <w:t>distance from central business district (CBD)</w:t>
      </w:r>
      <w:r w:rsidR="00E27A8B">
        <w:rPr>
          <w:rFonts w:cs="Times New Roman"/>
          <w:szCs w:val="24"/>
        </w:rPr>
        <w:t>,</w:t>
      </w:r>
      <w:r w:rsidR="0023353D">
        <w:rPr>
          <w:rFonts w:cs="Times New Roman"/>
          <w:szCs w:val="24"/>
        </w:rPr>
        <w:t xml:space="preserve"> an</w:t>
      </w:r>
      <w:r w:rsidR="00E27A8B">
        <w:rPr>
          <w:rFonts w:cs="Times New Roman"/>
          <w:szCs w:val="24"/>
        </w:rPr>
        <w:t xml:space="preserve"> indicator for TAZs in </w:t>
      </w:r>
      <w:r w:rsidR="0023353D">
        <w:rPr>
          <w:rFonts w:cs="Times New Roman"/>
          <w:szCs w:val="24"/>
        </w:rPr>
        <w:t xml:space="preserve">the </w:t>
      </w:r>
      <w:r w:rsidR="00E27A8B">
        <w:rPr>
          <w:rFonts w:cs="Times New Roman"/>
          <w:szCs w:val="24"/>
        </w:rPr>
        <w:t>downtown area</w:t>
      </w:r>
      <w:r w:rsidRPr="008A07C9">
        <w:rPr>
          <w:rFonts w:cs="Times New Roman"/>
          <w:szCs w:val="24"/>
        </w:rPr>
        <w:t>,</w:t>
      </w:r>
      <w:r w:rsidR="0023353D">
        <w:rPr>
          <w:rFonts w:cs="Times New Roman"/>
          <w:szCs w:val="24"/>
        </w:rPr>
        <w:t xml:space="preserve"> the</w:t>
      </w:r>
      <w:r w:rsidRPr="008A07C9">
        <w:rPr>
          <w:rFonts w:cs="Times New Roman"/>
          <w:szCs w:val="24"/>
        </w:rPr>
        <w:t xml:space="preserve"> presence of transit in the TAZ, various points of intere</w:t>
      </w:r>
      <w:r>
        <w:rPr>
          <w:rFonts w:cs="Times New Roman"/>
          <w:szCs w:val="24"/>
        </w:rPr>
        <w:t xml:space="preserve">st, </w:t>
      </w:r>
      <w:r w:rsidR="0023353D">
        <w:rPr>
          <w:rFonts w:cs="Times New Roman"/>
          <w:szCs w:val="24"/>
        </w:rPr>
        <w:t xml:space="preserve">and </w:t>
      </w:r>
      <w:r>
        <w:rPr>
          <w:rFonts w:cs="Times New Roman"/>
          <w:szCs w:val="24"/>
        </w:rPr>
        <w:t xml:space="preserve">job and population density. </w:t>
      </w:r>
      <w:r w:rsidRPr="008A07C9">
        <w:rPr>
          <w:rFonts w:cs="Times New Roman"/>
          <w:szCs w:val="24"/>
        </w:rPr>
        <w:t>The size of TAZ is</w:t>
      </w:r>
      <w:r w:rsidR="006346C0">
        <w:rPr>
          <w:rFonts w:cs="Times New Roman"/>
          <w:szCs w:val="24"/>
        </w:rPr>
        <w:t xml:space="preserve"> considered</w:t>
      </w:r>
      <w:r w:rsidRPr="008A07C9">
        <w:rPr>
          <w:rFonts w:cs="Times New Roman"/>
          <w:szCs w:val="24"/>
        </w:rPr>
        <w:t xml:space="preserve"> by normalizing the spatial variables with respect to the TAZ’s area.</w:t>
      </w:r>
      <w:r w:rsidR="00E27A8B">
        <w:rPr>
          <w:rFonts w:cs="Times New Roman"/>
          <w:szCs w:val="24"/>
        </w:rPr>
        <w:t xml:space="preserve"> The length of transportation network including major and minor roads and </w:t>
      </w:r>
      <w:r w:rsidR="00E27A8B" w:rsidRPr="008A07C9">
        <w:rPr>
          <w:rFonts w:cs="Times New Roman"/>
          <w:szCs w:val="24"/>
        </w:rPr>
        <w:t>bicycle facilities (</w:t>
      </w:r>
      <w:r w:rsidR="00E27A8B">
        <w:rPr>
          <w:rFonts w:cs="Times New Roman"/>
          <w:szCs w:val="24"/>
        </w:rPr>
        <w:t>such as bicycle lanes, bicycle paths</w:t>
      </w:r>
      <w:r w:rsidR="00E27A8B" w:rsidRPr="008A07C9">
        <w:rPr>
          <w:rFonts w:cs="Times New Roman"/>
          <w:szCs w:val="24"/>
        </w:rPr>
        <w:t>)</w:t>
      </w:r>
      <w:r w:rsidR="00E27A8B">
        <w:rPr>
          <w:rFonts w:cs="Times New Roman"/>
          <w:szCs w:val="24"/>
        </w:rPr>
        <w:t xml:space="preserve"> </w:t>
      </w:r>
      <w:r w:rsidR="00E27A8B" w:rsidRPr="008A07C9">
        <w:rPr>
          <w:rFonts w:cs="Times New Roman"/>
          <w:szCs w:val="24"/>
        </w:rPr>
        <w:t>is considered</w:t>
      </w:r>
      <w:r w:rsidR="00E27A8B">
        <w:rPr>
          <w:rFonts w:cs="Times New Roman"/>
          <w:szCs w:val="24"/>
        </w:rPr>
        <w:t xml:space="preserve"> </w:t>
      </w:r>
      <w:r w:rsidR="00E27A8B" w:rsidRPr="008A07C9">
        <w:rPr>
          <w:rFonts w:cs="Times New Roman"/>
          <w:szCs w:val="24"/>
        </w:rPr>
        <w:t>to identify cyclist preference of routes</w:t>
      </w:r>
      <w:r w:rsidR="00E27A8B">
        <w:rPr>
          <w:rFonts w:cs="Times New Roman"/>
          <w:szCs w:val="24"/>
        </w:rPr>
        <w:t xml:space="preserve">. The bicycle-sharing infrastructure is taken into account by using our proposed BSSI measure. </w:t>
      </w:r>
      <w:r w:rsidRPr="008A07C9">
        <w:rPr>
          <w:rFonts w:cs="Times New Roman"/>
          <w:szCs w:val="24"/>
        </w:rPr>
        <w:t>To provide an illustration of the data compiled, a descriptive analysis of the sample is presented in Table 1.</w:t>
      </w:r>
    </w:p>
    <w:p w14:paraId="1CA981A0" w14:textId="77777777" w:rsidR="00D85D8C" w:rsidRPr="008A07C9" w:rsidRDefault="00D85D8C" w:rsidP="006316BD">
      <w:pPr>
        <w:rPr>
          <w:rFonts w:cs="Times New Roman"/>
        </w:rPr>
      </w:pPr>
    </w:p>
    <w:p w14:paraId="2DDEA008" w14:textId="77777777" w:rsidR="003C62D5" w:rsidRPr="008A07C9" w:rsidRDefault="007827EE" w:rsidP="003C62D5">
      <w:pPr>
        <w:pStyle w:val="Heading1"/>
        <w:rPr>
          <w:rFonts w:cs="Times New Roman"/>
        </w:rPr>
      </w:pPr>
      <w:r w:rsidRPr="008A07C9">
        <w:rPr>
          <w:rFonts w:cs="Times New Roman"/>
        </w:rPr>
        <w:t>Empirical Analysis</w:t>
      </w:r>
    </w:p>
    <w:p w14:paraId="325C5D76" w14:textId="069BAFD7" w:rsidR="00B7123C" w:rsidRDefault="00360D88" w:rsidP="0029064A">
      <w:pPr>
        <w:rPr>
          <w:rFonts w:cs="Times New Roman"/>
        </w:rPr>
      </w:pPr>
      <w:r>
        <w:rPr>
          <w:rFonts w:cs="Times New Roman"/>
        </w:rPr>
        <w:lastRenderedPageBreak/>
        <w:t xml:space="preserve">As part of the model estimation exercise, </w:t>
      </w:r>
      <w:r w:rsidR="00E92F2C">
        <w:rPr>
          <w:rFonts w:cs="Times New Roman"/>
        </w:rPr>
        <w:t xml:space="preserve">four </w:t>
      </w:r>
      <w:r>
        <w:rPr>
          <w:rFonts w:cs="Times New Roman"/>
        </w:rPr>
        <w:t xml:space="preserve">model structures are estimated: </w:t>
      </w:r>
      <w:r w:rsidR="00E92F2C">
        <w:rPr>
          <w:rFonts w:cs="Times New Roman"/>
        </w:rPr>
        <w:t>(</w:t>
      </w:r>
      <w:r>
        <w:rPr>
          <w:rFonts w:cs="Times New Roman"/>
        </w:rPr>
        <w:t xml:space="preserve">1) </w:t>
      </w:r>
      <w:r w:rsidR="00135562" w:rsidRPr="008A07C9">
        <w:rPr>
          <w:rFonts w:eastAsiaTheme="minorEastAsia" w:cs="Times New Roman"/>
        </w:rPr>
        <w:t>three simple ordered logit model</w:t>
      </w:r>
      <w:r w:rsidR="00135562">
        <w:rPr>
          <w:rFonts w:eastAsiaTheme="minorEastAsia" w:cs="Times New Roman"/>
        </w:rPr>
        <w:t>s (</w:t>
      </w:r>
      <w:r>
        <w:rPr>
          <w:rFonts w:cs="Times New Roman"/>
        </w:rPr>
        <w:t>3OL</w:t>
      </w:r>
      <w:r w:rsidR="00135562">
        <w:rPr>
          <w:rFonts w:cs="Times New Roman"/>
        </w:rPr>
        <w:t>)</w:t>
      </w:r>
      <w:r>
        <w:rPr>
          <w:rFonts w:cs="Times New Roman"/>
        </w:rPr>
        <w:t xml:space="preserve"> model, (2) </w:t>
      </w:r>
      <w:r w:rsidR="00135562">
        <w:rPr>
          <w:rFonts w:eastAsiaTheme="minorEastAsia" w:cs="Times New Roman"/>
        </w:rPr>
        <w:t xml:space="preserve">two dependent variable panel mixed ordered logit (2PMOL) model </w:t>
      </w:r>
      <w:r w:rsidR="00E92F2C">
        <w:rPr>
          <w:rFonts w:cs="Times New Roman"/>
        </w:rPr>
        <w:t xml:space="preserve"> which only</w:t>
      </w:r>
      <w:r>
        <w:rPr>
          <w:rFonts w:cs="Times New Roman"/>
        </w:rPr>
        <w:t xml:space="preserve"> </w:t>
      </w:r>
      <w:r w:rsidR="00E92F2C">
        <w:rPr>
          <w:rFonts w:cs="Times New Roman"/>
        </w:rPr>
        <w:t>has TAZ level unobserved component</w:t>
      </w:r>
      <w:r w:rsidR="00135562">
        <w:rPr>
          <w:rFonts w:cs="Times New Roman"/>
        </w:rPr>
        <w:t>s</w:t>
      </w:r>
      <w:r w:rsidR="00E92F2C" w:rsidRPr="0014303E">
        <w:rPr>
          <w:rFonts w:eastAsiaTheme="minorEastAsia" w:cs="Times New Roman"/>
        </w:rPr>
        <w:t xml:space="preserve"> </w:t>
      </w:r>
      <w:r w:rsidR="00E92F2C">
        <w:rPr>
          <w:rFonts w:eastAsiaTheme="minorEastAsia" w:cs="Times New Roman"/>
        </w:rPr>
        <w:t>(</w:t>
      </w:r>
      <w:r w:rsidR="00963F4E">
        <w:rPr>
          <w:rFonts w:eastAsiaTheme="minorEastAsia" w:cs="Times New Roman"/>
        </w:rPr>
        <w:t>3</w:t>
      </w:r>
      <w:r w:rsidR="00E92F2C">
        <w:rPr>
          <w:rFonts w:eastAsiaTheme="minorEastAsia" w:cs="Times New Roman"/>
        </w:rPr>
        <w:t xml:space="preserve">) </w:t>
      </w:r>
      <w:r w:rsidR="00135562" w:rsidRPr="008A07C9">
        <w:rPr>
          <w:rFonts w:eastAsiaTheme="minorEastAsia" w:cs="Times New Roman"/>
        </w:rPr>
        <w:t xml:space="preserve">two dependent variable panel mixed </w:t>
      </w:r>
      <w:r w:rsidR="00135562">
        <w:rPr>
          <w:rFonts w:eastAsiaTheme="minorEastAsia" w:cs="Times New Roman"/>
        </w:rPr>
        <w:t xml:space="preserve">multi-level </w:t>
      </w:r>
      <w:r w:rsidR="00135562" w:rsidRPr="008A07C9">
        <w:rPr>
          <w:rFonts w:eastAsiaTheme="minorEastAsia" w:cs="Times New Roman"/>
        </w:rPr>
        <w:t xml:space="preserve">ordered logit </w:t>
      </w:r>
      <w:r w:rsidR="00135562">
        <w:rPr>
          <w:rFonts w:eastAsiaTheme="minorEastAsia" w:cs="Times New Roman"/>
        </w:rPr>
        <w:t>(</w:t>
      </w:r>
      <w:r w:rsidR="00E92F2C">
        <w:rPr>
          <w:rFonts w:cs="Times New Roman"/>
        </w:rPr>
        <w:t>2P</w:t>
      </w:r>
      <w:r w:rsidR="008224A5">
        <w:rPr>
          <w:rFonts w:cs="Times New Roman"/>
        </w:rPr>
        <w:t>M</w:t>
      </w:r>
      <w:r w:rsidR="00E92F2C">
        <w:rPr>
          <w:rFonts w:cs="Times New Roman"/>
        </w:rPr>
        <w:t>MOL</w:t>
      </w:r>
      <w:r w:rsidR="00135562">
        <w:rPr>
          <w:rFonts w:cs="Times New Roman"/>
        </w:rPr>
        <w:t xml:space="preserve">) </w:t>
      </w:r>
      <w:r w:rsidR="00135562">
        <w:rPr>
          <w:rFonts w:eastAsiaTheme="minorEastAsia" w:cs="Times New Roman"/>
        </w:rPr>
        <w:t>model</w:t>
      </w:r>
      <w:r w:rsidR="00E92F2C">
        <w:rPr>
          <w:rFonts w:cs="Times New Roman"/>
        </w:rPr>
        <w:t xml:space="preserve"> which has all the three level unobserved components</w:t>
      </w:r>
      <w:r w:rsidR="00135562">
        <w:rPr>
          <w:rFonts w:cs="Times New Roman"/>
        </w:rPr>
        <w:t xml:space="preserve"> and</w:t>
      </w:r>
      <w:r w:rsidR="00E92F2C" w:rsidRPr="00A84EBB">
        <w:rPr>
          <w:rFonts w:cs="Times New Roman"/>
        </w:rPr>
        <w:t xml:space="preserve"> </w:t>
      </w:r>
      <w:r>
        <w:rPr>
          <w:rFonts w:cs="Times New Roman"/>
        </w:rPr>
        <w:t>(</w:t>
      </w:r>
      <w:r w:rsidR="00E92F2C">
        <w:rPr>
          <w:rFonts w:cs="Times New Roman"/>
        </w:rPr>
        <w:t>4</w:t>
      </w:r>
      <w:r>
        <w:rPr>
          <w:rFonts w:cs="Times New Roman"/>
        </w:rPr>
        <w:t xml:space="preserve">) </w:t>
      </w:r>
      <w:r w:rsidR="00135562" w:rsidRPr="008A07C9">
        <w:rPr>
          <w:rFonts w:cs="Times New Roman"/>
        </w:rPr>
        <w:t xml:space="preserve">three dimensional </w:t>
      </w:r>
      <w:r w:rsidR="00135562" w:rsidRPr="008A07C9">
        <w:rPr>
          <w:rFonts w:cs="Times New Roman"/>
          <w:szCs w:val="24"/>
        </w:rPr>
        <w:t xml:space="preserve">panel mixed </w:t>
      </w:r>
      <w:r w:rsidR="00135562">
        <w:rPr>
          <w:rFonts w:cs="Times New Roman"/>
          <w:szCs w:val="24"/>
        </w:rPr>
        <w:t xml:space="preserve">multi-level </w:t>
      </w:r>
      <w:r w:rsidR="00135562" w:rsidRPr="008A07C9">
        <w:rPr>
          <w:rFonts w:cs="Times New Roman"/>
          <w:szCs w:val="24"/>
        </w:rPr>
        <w:t>ordered logit (3PM</w:t>
      </w:r>
      <w:r w:rsidR="00135562">
        <w:rPr>
          <w:rFonts w:cs="Times New Roman"/>
          <w:szCs w:val="24"/>
        </w:rPr>
        <w:t xml:space="preserve">MOL) </w:t>
      </w:r>
      <w:r>
        <w:rPr>
          <w:rFonts w:cs="Times New Roman"/>
        </w:rPr>
        <w:t>model</w:t>
      </w:r>
      <w:r w:rsidR="00E92F2C">
        <w:rPr>
          <w:rFonts w:cs="Times New Roman"/>
        </w:rPr>
        <w:t xml:space="preserve"> which has </w:t>
      </w:r>
      <w:r w:rsidR="00B509E6">
        <w:rPr>
          <w:rFonts w:cs="Times New Roman"/>
        </w:rPr>
        <w:t>the</w:t>
      </w:r>
      <w:r w:rsidR="00E92F2C">
        <w:rPr>
          <w:rFonts w:cs="Times New Roman"/>
        </w:rPr>
        <w:t xml:space="preserve"> three level unobserved components and</w:t>
      </w:r>
      <w:r w:rsidR="00DF6734">
        <w:rPr>
          <w:rFonts w:cs="Times New Roman"/>
        </w:rPr>
        <w:t xml:space="preserve"> the</w:t>
      </w:r>
      <w:r w:rsidR="00E92F2C">
        <w:rPr>
          <w:rFonts w:cs="Times New Roman"/>
        </w:rPr>
        <w:t xml:space="preserve"> endogeneity parameter.</w:t>
      </w:r>
      <w:r>
        <w:rPr>
          <w:rFonts w:cs="Times New Roman"/>
        </w:rPr>
        <w:t xml:space="preserve"> </w:t>
      </w:r>
      <w:r w:rsidRPr="008A07C9">
        <w:rPr>
          <w:rFonts w:cs="Times New Roman"/>
        </w:rPr>
        <w:t xml:space="preserve">The final specification </w:t>
      </w:r>
      <w:r>
        <w:rPr>
          <w:rFonts w:cs="Times New Roman"/>
        </w:rPr>
        <w:t xml:space="preserve">of each of these models </w:t>
      </w:r>
      <w:r w:rsidRPr="008A07C9">
        <w:rPr>
          <w:rFonts w:cs="Times New Roman"/>
        </w:rPr>
        <w:t xml:space="preserve">is </w:t>
      </w:r>
      <w:r>
        <w:rPr>
          <w:rFonts w:cs="Times New Roman"/>
        </w:rPr>
        <w:t xml:space="preserve">obtained </w:t>
      </w:r>
      <w:r w:rsidRPr="008A07C9">
        <w:rPr>
          <w:rFonts w:cs="Times New Roman"/>
        </w:rPr>
        <w:t>based on a systematic process of removing statistically insignificant variables guided by prior research, intuitiveness and parsimony considerations.</w:t>
      </w:r>
      <w:r w:rsidR="00A84EBB">
        <w:rPr>
          <w:rFonts w:cs="Times New Roman"/>
        </w:rPr>
        <w:t xml:space="preserve"> </w:t>
      </w:r>
    </w:p>
    <w:p w14:paraId="1C7A4220" w14:textId="77777777" w:rsidR="00266122" w:rsidRPr="00A76E89" w:rsidRDefault="00266122" w:rsidP="00266122">
      <w:pPr>
        <w:pStyle w:val="Heading2"/>
      </w:pPr>
      <w:r w:rsidRPr="00A76E89">
        <w:t>Model ﬁt measures</w:t>
      </w:r>
    </w:p>
    <w:p w14:paraId="1A9411F6" w14:textId="207C9F0E" w:rsidR="009B04F4" w:rsidRDefault="00360D88" w:rsidP="00F07EFA">
      <w:pPr>
        <w:rPr>
          <w:rFonts w:cs="Times New Roman"/>
        </w:rPr>
      </w:pPr>
      <w:r>
        <w:rPr>
          <w:rFonts w:cs="Times New Roman"/>
        </w:rPr>
        <w:t xml:space="preserve">To compare these </w:t>
      </w:r>
      <w:r w:rsidR="008538A9">
        <w:rPr>
          <w:rFonts w:cs="Times New Roman"/>
        </w:rPr>
        <w:t xml:space="preserve">four </w:t>
      </w:r>
      <w:r w:rsidR="0052581B">
        <w:rPr>
          <w:rFonts w:cs="Times New Roman"/>
        </w:rPr>
        <w:t xml:space="preserve">model </w:t>
      </w:r>
      <w:r w:rsidR="0029064A">
        <w:rPr>
          <w:rFonts w:cs="Times New Roman"/>
        </w:rPr>
        <w:t>frameworks,</w:t>
      </w:r>
      <w:r w:rsidR="0052581B">
        <w:rPr>
          <w:rFonts w:cs="Times New Roman"/>
        </w:rPr>
        <w:t xml:space="preserve"> we employ three</w:t>
      </w:r>
      <w:r>
        <w:rPr>
          <w:rFonts w:cs="Times New Roman"/>
        </w:rPr>
        <w:t xml:space="preserve"> statistical measures: (1) Log-likelihood ratio test, </w:t>
      </w:r>
      <w:r w:rsidR="0052581B">
        <w:rPr>
          <w:rFonts w:cs="Times New Roman"/>
        </w:rPr>
        <w:t>(</w:t>
      </w:r>
      <w:r>
        <w:rPr>
          <w:rFonts w:cs="Times New Roman"/>
        </w:rPr>
        <w:t xml:space="preserve">2) Akaike Information </w:t>
      </w:r>
      <w:r w:rsidR="001757E5">
        <w:rPr>
          <w:rFonts w:cs="Times New Roman"/>
        </w:rPr>
        <w:t>Criterion</w:t>
      </w:r>
      <w:r>
        <w:rPr>
          <w:rFonts w:cs="Times New Roman"/>
        </w:rPr>
        <w:t xml:space="preserve"> (AIC) and (3)</w:t>
      </w:r>
      <w:r w:rsidR="001757E5">
        <w:rPr>
          <w:rFonts w:cs="Times New Roman"/>
        </w:rPr>
        <w:t xml:space="preserve"> Bayesian I</w:t>
      </w:r>
      <w:r>
        <w:rPr>
          <w:rFonts w:cs="Times New Roman"/>
        </w:rPr>
        <w:t xml:space="preserve">nformation </w:t>
      </w:r>
      <w:r w:rsidR="001757E5">
        <w:rPr>
          <w:rFonts w:cs="Times New Roman"/>
        </w:rPr>
        <w:t>C</w:t>
      </w:r>
      <w:r>
        <w:rPr>
          <w:rFonts w:cs="Times New Roman"/>
        </w:rPr>
        <w:t xml:space="preserve">riterion (BIC). </w:t>
      </w:r>
      <w:r w:rsidR="009B04F4">
        <w:rPr>
          <w:rFonts w:eastAsiaTheme="minorEastAsia" w:cs="Times New Roman"/>
        </w:rPr>
        <w:t xml:space="preserve">The </w:t>
      </w:r>
      <w:r w:rsidR="009B04F4">
        <w:rPr>
          <w:rFonts w:cs="Times New Roman"/>
        </w:rPr>
        <w:t>AIC</w:t>
      </w:r>
      <w:r w:rsidR="009B04F4">
        <w:rPr>
          <w:rFonts w:eastAsiaTheme="minorEastAsia" w:cs="Times New Roman"/>
        </w:rPr>
        <w:t xml:space="preserve"> and </w:t>
      </w:r>
      <w:r w:rsidR="009B04F4">
        <w:rPr>
          <w:rFonts w:cs="Times New Roman"/>
        </w:rPr>
        <w:t>BIC penalize the modelling frameworks for additional parameters. F</w:t>
      </w:r>
      <w:r w:rsidR="009B04F4">
        <w:rPr>
          <w:rFonts w:eastAsiaTheme="minorEastAsia" w:cs="Times New Roman"/>
        </w:rPr>
        <w:t xml:space="preserve">or a given empirical model, </w:t>
      </w:r>
      <m:oMath>
        <m:r>
          <w:rPr>
            <w:rFonts w:ascii="Cambria Math" w:hAnsi="Cambria Math" w:cs="Times New Roman"/>
          </w:rPr>
          <m:t>AIC = 2K - 2ln(L)</m:t>
        </m:r>
      </m:oMath>
      <w:r w:rsidR="009B04F4">
        <w:rPr>
          <w:rFonts w:eastAsiaTheme="minorEastAsia" w:cs="Times New Roman"/>
        </w:rPr>
        <w:t xml:space="preserve"> w</w:t>
      </w:r>
      <w:r w:rsidR="009B04F4" w:rsidRPr="00B223F0">
        <w:rPr>
          <w:rFonts w:eastAsiaTheme="minorEastAsia" w:cs="Times New Roman"/>
        </w:rPr>
        <w:t xml:space="preserve">here </w:t>
      </w:r>
      <w:r w:rsidR="009B04F4" w:rsidRPr="003B7C4B">
        <w:rPr>
          <w:rFonts w:eastAsiaTheme="minorEastAsia" w:cs="Times New Roman"/>
          <w:i/>
          <w:iCs/>
        </w:rPr>
        <w:t>K</w:t>
      </w:r>
      <w:r w:rsidR="009B04F4" w:rsidRPr="00B223F0">
        <w:rPr>
          <w:rFonts w:eastAsiaTheme="minorEastAsia" w:cs="Times New Roman"/>
        </w:rPr>
        <w:t xml:space="preserve"> is the number of parameters </w:t>
      </w:r>
      <w:r w:rsidR="009B04F4">
        <w:rPr>
          <w:rFonts w:eastAsiaTheme="minorEastAsia" w:cs="Times New Roman"/>
        </w:rPr>
        <w:t xml:space="preserve">and </w:t>
      </w:r>
      <w:r w:rsidR="009B04F4" w:rsidRPr="003B7C4B">
        <w:rPr>
          <w:rFonts w:eastAsiaTheme="minorEastAsia" w:cs="Times New Roman"/>
          <w:i/>
          <w:iCs/>
        </w:rPr>
        <w:t>ln(L)</w:t>
      </w:r>
      <w:r w:rsidR="009B04F4" w:rsidRPr="00B223F0">
        <w:rPr>
          <w:rFonts w:eastAsiaTheme="minorEastAsia" w:cs="Times New Roman"/>
        </w:rPr>
        <w:t xml:space="preserve"> is the log–likelihood value at convergence</w:t>
      </w:r>
      <w:r w:rsidR="009B04F4">
        <w:rPr>
          <w:rFonts w:eastAsiaTheme="minorEastAsia" w:cs="Times New Roman"/>
        </w:rPr>
        <w:t>.</w:t>
      </w:r>
      <w:r w:rsidR="009B04F4" w:rsidRPr="00380CAA">
        <w:rPr>
          <w:rFonts w:eastAsiaTheme="minorEastAsia" w:cs="Times New Roman"/>
        </w:rPr>
        <w:t xml:space="preserve"> </w:t>
      </w:r>
      <w:r w:rsidR="009B04F4" w:rsidRPr="003B7C4B">
        <w:rPr>
          <w:rFonts w:eastAsiaTheme="minorEastAsia" w:cs="Times New Roman"/>
        </w:rPr>
        <w:t xml:space="preserve">The </w:t>
      </w:r>
      <w:r w:rsidR="009B04F4">
        <w:rPr>
          <w:rFonts w:eastAsiaTheme="minorEastAsia" w:cs="Times New Roman"/>
        </w:rPr>
        <w:t>model with the lowest value of A</w:t>
      </w:r>
      <w:r w:rsidR="009B04F4" w:rsidRPr="003B7C4B">
        <w:rPr>
          <w:rFonts w:eastAsiaTheme="minorEastAsia" w:cs="Times New Roman"/>
        </w:rPr>
        <w:t>IC is preferred.</w:t>
      </w:r>
      <w:r w:rsidR="009B04F4">
        <w:rPr>
          <w:rFonts w:eastAsiaTheme="minorEastAsia" w:cs="Times New Roman"/>
        </w:rPr>
        <w:t xml:space="preserve"> </w:t>
      </w:r>
      <w:r w:rsidR="009B04F4">
        <w:rPr>
          <w:rFonts w:cs="Times New Roman"/>
        </w:rPr>
        <w:t>F</w:t>
      </w:r>
      <w:r w:rsidR="009B04F4">
        <w:rPr>
          <w:rFonts w:eastAsiaTheme="minorEastAsia" w:cs="Times New Roman"/>
        </w:rPr>
        <w:t xml:space="preserve">or a given empirical model, </w:t>
      </w:r>
      <m:oMath>
        <m:r>
          <w:rPr>
            <w:rFonts w:ascii="Cambria Math" w:hAnsi="Cambria Math" w:cs="Times New Roman"/>
          </w:rPr>
          <m:t>BIC=-2ln</m:t>
        </m:r>
        <m:d>
          <m:dPr>
            <m:ctrlPr>
              <w:rPr>
                <w:rFonts w:ascii="Cambria Math" w:hAnsi="Cambria Math" w:cs="Times New Roman"/>
                <w:i/>
              </w:rPr>
            </m:ctrlPr>
          </m:dPr>
          <m:e>
            <m:r>
              <w:rPr>
                <w:rFonts w:ascii="Cambria Math" w:hAnsi="Cambria Math" w:cs="Times New Roman"/>
              </w:rPr>
              <m:t>L</m:t>
            </m:r>
          </m:e>
        </m:d>
        <m:r>
          <w:rPr>
            <w:rFonts w:ascii="Cambria Math" w:hAnsi="Cambria Math" w:cs="Times New Roman"/>
          </w:rPr>
          <m:t>+Kln</m:t>
        </m:r>
        <m:d>
          <m:dPr>
            <m:ctrlPr>
              <w:rPr>
                <w:rFonts w:ascii="Cambria Math" w:hAnsi="Cambria Math" w:cs="Times New Roman"/>
                <w:i/>
              </w:rPr>
            </m:ctrlPr>
          </m:dPr>
          <m:e>
            <m:r>
              <w:rPr>
                <w:rFonts w:ascii="Cambria Math" w:hAnsi="Cambria Math" w:cs="Times New Roman"/>
              </w:rPr>
              <m:t>Q</m:t>
            </m:r>
          </m:e>
        </m:d>
      </m:oMath>
      <w:r w:rsidR="009B04F4">
        <w:rPr>
          <w:rFonts w:eastAsiaTheme="minorEastAsia" w:cs="Times New Roman"/>
        </w:rPr>
        <w:t xml:space="preserve"> w</w:t>
      </w:r>
      <w:r w:rsidR="009B04F4" w:rsidRPr="00B223F0">
        <w:rPr>
          <w:rFonts w:eastAsiaTheme="minorEastAsia" w:cs="Times New Roman"/>
        </w:rPr>
        <w:t xml:space="preserve">here </w:t>
      </w:r>
      <w:r w:rsidR="009B04F4" w:rsidRPr="003B7C4B">
        <w:rPr>
          <w:rFonts w:eastAsiaTheme="minorEastAsia" w:cs="Times New Roman"/>
          <w:i/>
          <w:iCs/>
        </w:rPr>
        <w:t>Q</w:t>
      </w:r>
      <w:r w:rsidR="009B04F4" w:rsidRPr="00B223F0">
        <w:rPr>
          <w:rFonts w:eastAsiaTheme="minorEastAsia" w:cs="Times New Roman"/>
        </w:rPr>
        <w:t xml:space="preserve"> is the number of</w:t>
      </w:r>
      <w:r w:rsidR="009B04F4">
        <w:rPr>
          <w:rFonts w:eastAsiaTheme="minorEastAsia" w:cs="Times New Roman"/>
        </w:rPr>
        <w:t xml:space="preserve"> </w:t>
      </w:r>
      <w:r w:rsidR="009B04F4" w:rsidRPr="00B223F0">
        <w:rPr>
          <w:rFonts w:eastAsiaTheme="minorEastAsia" w:cs="Times New Roman"/>
        </w:rPr>
        <w:t>observations</w:t>
      </w:r>
      <w:r w:rsidR="009B04F4">
        <w:rPr>
          <w:rFonts w:eastAsiaTheme="minorEastAsia" w:cs="Times New Roman"/>
        </w:rPr>
        <w:t xml:space="preserve">. </w:t>
      </w:r>
      <w:r w:rsidR="009B04F4">
        <w:rPr>
          <w:rFonts w:cs="Times New Roman"/>
        </w:rPr>
        <w:t xml:space="preserve">The BIC imposes higher penalty than AIC for over-fitting. </w:t>
      </w:r>
      <w:r w:rsidR="009B04F4">
        <w:rPr>
          <w:rFonts w:eastAsiaTheme="minorEastAsia" w:cs="Times New Roman"/>
        </w:rPr>
        <w:t>The model with the lowest BIC values is the best model in terms of goodness of fit.</w:t>
      </w:r>
      <w:r w:rsidR="001D6E67">
        <w:rPr>
          <w:rFonts w:eastAsiaTheme="minorEastAsia" w:cs="Times New Roman"/>
        </w:rPr>
        <w:t xml:space="preserve"> Model fit measures are summarized in Table 2.</w:t>
      </w:r>
    </w:p>
    <w:p w14:paraId="398A2908" w14:textId="13B1B4CD" w:rsidR="009B60DC" w:rsidRPr="008A07C9" w:rsidRDefault="003B7C4B" w:rsidP="00606B26">
      <w:pPr>
        <w:ind w:firstLine="720"/>
        <w:rPr>
          <w:rFonts w:cs="Times New Roman"/>
        </w:rPr>
      </w:pPr>
      <w:r>
        <w:rPr>
          <w:rFonts w:cs="Times New Roman"/>
        </w:rPr>
        <w:t>All the statistical measures employed</w:t>
      </w:r>
      <w:r w:rsidR="00961E5F">
        <w:rPr>
          <w:rFonts w:cs="Times New Roman"/>
        </w:rPr>
        <w:t xml:space="preserve"> -</w:t>
      </w:r>
      <w:r w:rsidR="005869A2">
        <w:rPr>
          <w:rFonts w:cs="Times New Roman"/>
        </w:rPr>
        <w:t xml:space="preserve"> Log-likelihood ratio test, AIC, and BIC</w:t>
      </w:r>
      <w:r w:rsidR="00961E5F">
        <w:rPr>
          <w:rFonts w:cs="Times New Roman"/>
        </w:rPr>
        <w:t xml:space="preserve"> -</w:t>
      </w:r>
      <w:r>
        <w:rPr>
          <w:rFonts w:cs="Times New Roman"/>
        </w:rPr>
        <w:t xml:space="preserve"> </w:t>
      </w:r>
      <w:r w:rsidRPr="008A07C9">
        <w:rPr>
          <w:rFonts w:cs="Times New Roman"/>
        </w:rPr>
        <w:t xml:space="preserve">clearly </w:t>
      </w:r>
      <w:r w:rsidRPr="001F0B08">
        <w:rPr>
          <w:rFonts w:eastAsiaTheme="minorEastAsia" w:cs="Times New Roman"/>
        </w:rPr>
        <w:t>illustrate</w:t>
      </w:r>
      <w:r w:rsidRPr="008A07C9">
        <w:rPr>
          <w:rFonts w:cs="Times New Roman"/>
        </w:rPr>
        <w:t xml:space="preserve"> the superiority of the 3PM</w:t>
      </w:r>
      <w:r w:rsidR="008224A5">
        <w:rPr>
          <w:rFonts w:cs="Times New Roman"/>
        </w:rPr>
        <w:t>M</w:t>
      </w:r>
      <w:r w:rsidRPr="008A07C9">
        <w:rPr>
          <w:rFonts w:cs="Times New Roman"/>
        </w:rPr>
        <w:t>OL model</w:t>
      </w:r>
      <w:r w:rsidR="00B7123C">
        <w:rPr>
          <w:rFonts w:cs="Times New Roman"/>
        </w:rPr>
        <w:t xml:space="preserve"> in terms of </w:t>
      </w:r>
      <w:r w:rsidR="009B60DC">
        <w:rPr>
          <w:rFonts w:cs="Times New Roman"/>
        </w:rPr>
        <w:t xml:space="preserve">data </w:t>
      </w:r>
      <w:r w:rsidR="00B7123C">
        <w:rPr>
          <w:rFonts w:cs="Times New Roman"/>
        </w:rPr>
        <w:t>fit</w:t>
      </w:r>
      <w:r w:rsidRPr="008A07C9">
        <w:rPr>
          <w:rFonts w:cs="Times New Roman"/>
        </w:rPr>
        <w:t>.</w:t>
      </w:r>
      <w:r w:rsidR="00F6235B">
        <w:rPr>
          <w:rFonts w:cs="Times New Roman"/>
        </w:rPr>
        <w:t xml:space="preserve"> </w:t>
      </w:r>
      <w:r w:rsidR="00BB231A" w:rsidRPr="008A07C9">
        <w:rPr>
          <w:rFonts w:cs="Times New Roman"/>
        </w:rPr>
        <w:t xml:space="preserve">This comparison provides strong evidence in support of </w:t>
      </w:r>
      <w:r w:rsidR="009B097C">
        <w:rPr>
          <w:rFonts w:eastAsiaTheme="minorEastAsia" w:cs="Times New Roman"/>
        </w:rPr>
        <w:t>our hypothesis that model incorporating the common unobserved fa</w:t>
      </w:r>
      <w:r w:rsidR="000954A5">
        <w:rPr>
          <w:rFonts w:eastAsiaTheme="minorEastAsia" w:cs="Times New Roman"/>
        </w:rPr>
        <w:t xml:space="preserve">ctors and </w:t>
      </w:r>
      <w:r w:rsidR="00DF6734">
        <w:rPr>
          <w:rFonts w:eastAsiaTheme="minorEastAsia" w:cs="Times New Roman"/>
        </w:rPr>
        <w:t>endogeneity</w:t>
      </w:r>
      <w:r w:rsidR="000954A5">
        <w:rPr>
          <w:rFonts w:eastAsiaTheme="minorEastAsia" w:cs="Times New Roman"/>
        </w:rPr>
        <w:t xml:space="preserve"> effect</w:t>
      </w:r>
      <w:r w:rsidR="009B097C">
        <w:rPr>
          <w:rFonts w:eastAsiaTheme="minorEastAsia" w:cs="Times New Roman"/>
        </w:rPr>
        <w:t xml:space="preserve"> in the </w:t>
      </w:r>
      <w:r w:rsidR="000954A5">
        <w:rPr>
          <w:rFonts w:eastAsiaTheme="minorEastAsia" w:cs="Times New Roman"/>
        </w:rPr>
        <w:t>modelling</w:t>
      </w:r>
      <w:r w:rsidR="009B097C">
        <w:rPr>
          <w:rFonts w:eastAsiaTheme="minorEastAsia" w:cs="Times New Roman"/>
        </w:rPr>
        <w:t xml:space="preserve"> of BSS usage</w:t>
      </w:r>
      <w:r w:rsidR="009B097C">
        <w:rPr>
          <w:rFonts w:cs="Times New Roman"/>
        </w:rPr>
        <w:t xml:space="preserve"> offers a </w:t>
      </w:r>
      <w:r w:rsidR="0018451B">
        <w:rPr>
          <w:rFonts w:cs="Times New Roman"/>
        </w:rPr>
        <w:t>enhanced</w:t>
      </w:r>
      <w:r w:rsidR="009B097C">
        <w:rPr>
          <w:rFonts w:cs="Times New Roman"/>
        </w:rPr>
        <w:t xml:space="preserve"> </w:t>
      </w:r>
      <w:r w:rsidR="000954A5">
        <w:rPr>
          <w:rFonts w:cs="Times New Roman"/>
        </w:rPr>
        <w:t>estimation framework</w:t>
      </w:r>
      <w:r w:rsidR="00D3607A">
        <w:rPr>
          <w:rStyle w:val="FootnoteReference"/>
          <w:rFonts w:cs="Times New Roman"/>
        </w:rPr>
        <w:footnoteReference w:id="4"/>
      </w:r>
      <w:r w:rsidR="00BB231A" w:rsidRPr="008A07C9">
        <w:rPr>
          <w:rFonts w:cs="Times New Roman"/>
        </w:rPr>
        <w:t xml:space="preserve">. </w:t>
      </w:r>
      <w:r w:rsidR="00C54549" w:rsidRPr="008A07C9">
        <w:rPr>
          <w:rFonts w:cs="Times New Roman"/>
        </w:rPr>
        <w:t xml:space="preserve">For the sake of brevity, only the </w:t>
      </w:r>
      <w:r w:rsidR="004B6B71" w:rsidRPr="008A07C9">
        <w:rPr>
          <w:rFonts w:cs="Times New Roman"/>
        </w:rPr>
        <w:t>3PM</w:t>
      </w:r>
      <w:r w:rsidR="008224A5">
        <w:rPr>
          <w:rFonts w:cs="Times New Roman"/>
        </w:rPr>
        <w:t>M</w:t>
      </w:r>
      <w:r w:rsidR="004B6B71" w:rsidRPr="008A07C9">
        <w:rPr>
          <w:rFonts w:cs="Times New Roman"/>
        </w:rPr>
        <w:t>OL</w:t>
      </w:r>
      <w:r w:rsidR="00C54549" w:rsidRPr="008A07C9">
        <w:rPr>
          <w:rFonts w:cs="Times New Roman"/>
        </w:rPr>
        <w:t xml:space="preserve"> model estimation results </w:t>
      </w:r>
      <w:r w:rsidR="0013542F" w:rsidRPr="008A07C9">
        <w:rPr>
          <w:rFonts w:cs="Times New Roman"/>
        </w:rPr>
        <w:t>are</w:t>
      </w:r>
      <w:r w:rsidR="00C54549" w:rsidRPr="008A07C9">
        <w:rPr>
          <w:rFonts w:cs="Times New Roman"/>
        </w:rPr>
        <w:t xml:space="preserve"> discussed in this section</w:t>
      </w:r>
      <w:r w:rsidR="006E4E2A" w:rsidRPr="008A07C9">
        <w:rPr>
          <w:rFonts w:cs="Times New Roman"/>
        </w:rPr>
        <w:t xml:space="preserve"> and presented in Table </w:t>
      </w:r>
      <w:r w:rsidR="0029064A">
        <w:rPr>
          <w:rFonts w:cs="Times New Roman"/>
        </w:rPr>
        <w:t>3</w:t>
      </w:r>
      <w:r w:rsidR="00C54549" w:rsidRPr="008A07C9">
        <w:rPr>
          <w:rFonts w:cs="Times New Roman"/>
        </w:rPr>
        <w:t>.</w:t>
      </w:r>
    </w:p>
    <w:p w14:paraId="0454F2CC" w14:textId="77777777" w:rsidR="00AF235F" w:rsidRPr="00D93020" w:rsidRDefault="00961E5F" w:rsidP="00B509E6">
      <w:pPr>
        <w:pStyle w:val="Heading2"/>
      </w:pPr>
      <w:r w:rsidRPr="00D93020">
        <w:t>Bicycle-</w:t>
      </w:r>
      <w:r w:rsidRPr="001F0B08">
        <w:t>sharing</w:t>
      </w:r>
      <w:r w:rsidRPr="00D93020">
        <w:t xml:space="preserve"> infrastructure </w:t>
      </w:r>
      <w:r w:rsidR="00682BE9" w:rsidRPr="00D93020">
        <w:t xml:space="preserve">installation </w:t>
      </w:r>
      <w:r w:rsidRPr="00D93020">
        <w:t>model</w:t>
      </w:r>
    </w:p>
    <w:p w14:paraId="49F33C3F" w14:textId="15873F72" w:rsidR="00A678A6" w:rsidRDefault="00AF235F" w:rsidP="001F0B08">
      <w:pPr>
        <w:rPr>
          <w:rFonts w:cs="Times New Roman"/>
        </w:rPr>
      </w:pPr>
      <w:r w:rsidRPr="008A07C9">
        <w:rPr>
          <w:rFonts w:cs="Times New Roman"/>
        </w:rPr>
        <w:t xml:space="preserve">As expected, bicycle facility density has </w:t>
      </w:r>
      <w:r w:rsidR="007B1A27">
        <w:rPr>
          <w:rFonts w:cs="Times New Roman"/>
        </w:rPr>
        <w:t xml:space="preserve">a </w:t>
      </w:r>
      <w:r w:rsidRPr="008A07C9">
        <w:rPr>
          <w:rFonts w:cs="Times New Roman"/>
        </w:rPr>
        <w:t>positive impact on</w:t>
      </w:r>
      <w:r w:rsidR="00D8366D">
        <w:rPr>
          <w:rFonts w:cs="Times New Roman"/>
        </w:rPr>
        <w:t xml:space="preserve"> the</w:t>
      </w:r>
      <w:r w:rsidRPr="008A07C9">
        <w:rPr>
          <w:rFonts w:cs="Times New Roman"/>
        </w:rPr>
        <w:t xml:space="preserve"> propensity of bicycle-sharing infrastructure </w:t>
      </w:r>
      <w:r w:rsidR="00D8366D">
        <w:rPr>
          <w:rFonts w:cs="Times New Roman"/>
        </w:rPr>
        <w:t xml:space="preserve">installation </w:t>
      </w:r>
      <w:r w:rsidRPr="008A07C9">
        <w:rPr>
          <w:rFonts w:cs="Times New Roman"/>
        </w:rPr>
        <w:t xml:space="preserve">in a TAZ. On the contrary, </w:t>
      </w:r>
      <w:r w:rsidR="0023353D">
        <w:rPr>
          <w:rFonts w:cs="Times New Roman"/>
        </w:rPr>
        <w:t xml:space="preserve">the </w:t>
      </w:r>
      <w:r w:rsidRPr="008A07C9">
        <w:rPr>
          <w:rFonts w:cs="Times New Roman"/>
        </w:rPr>
        <w:t xml:space="preserve">propensity of installing BIXI </w:t>
      </w:r>
      <w:r w:rsidR="0013542F" w:rsidRPr="008A07C9">
        <w:rPr>
          <w:rFonts w:cs="Times New Roman"/>
        </w:rPr>
        <w:t>infrastructure</w:t>
      </w:r>
      <w:r w:rsidRPr="008A07C9">
        <w:rPr>
          <w:rFonts w:cs="Times New Roman"/>
        </w:rPr>
        <w:t xml:space="preserve"> decreases as </w:t>
      </w:r>
      <w:r w:rsidR="0013542F" w:rsidRPr="008A07C9">
        <w:rPr>
          <w:rFonts w:cs="Times New Roman"/>
        </w:rPr>
        <w:t>highway</w:t>
      </w:r>
      <w:r w:rsidRPr="008A07C9">
        <w:rPr>
          <w:rFonts w:cs="Times New Roman"/>
        </w:rPr>
        <w:t xml:space="preserve"> density and rail length increase. </w:t>
      </w:r>
      <w:r w:rsidR="0013542F" w:rsidRPr="008A07C9">
        <w:rPr>
          <w:rFonts w:cs="Times New Roman"/>
        </w:rPr>
        <w:t>Highway</w:t>
      </w:r>
      <w:r w:rsidRPr="008A07C9">
        <w:rPr>
          <w:rFonts w:cs="Times New Roman"/>
        </w:rPr>
        <w:t xml:space="preserve"> and rail</w:t>
      </w:r>
      <w:r w:rsidR="0013542F" w:rsidRPr="008A07C9">
        <w:rPr>
          <w:rFonts w:cs="Times New Roman"/>
        </w:rPr>
        <w:t>way</w:t>
      </w:r>
      <w:r w:rsidR="00D32310" w:rsidRPr="008A07C9">
        <w:rPr>
          <w:rFonts w:cs="Times New Roman"/>
        </w:rPr>
        <w:t xml:space="preserve"> reflect locations that hinder </w:t>
      </w:r>
      <w:r w:rsidRPr="008A07C9">
        <w:rPr>
          <w:rFonts w:cs="Times New Roman"/>
        </w:rPr>
        <w:t>cyclist</w:t>
      </w:r>
      <w:r w:rsidR="004878DC" w:rsidRPr="008A07C9">
        <w:rPr>
          <w:rFonts w:cs="Times New Roman"/>
        </w:rPr>
        <w:t>’s</w:t>
      </w:r>
      <w:r w:rsidRPr="008A07C9">
        <w:rPr>
          <w:rFonts w:cs="Times New Roman"/>
        </w:rPr>
        <w:t xml:space="preserve"> movement</w:t>
      </w:r>
      <w:r w:rsidR="004878DC" w:rsidRPr="008A07C9">
        <w:rPr>
          <w:rFonts w:cs="Times New Roman"/>
        </w:rPr>
        <w:t>s</w:t>
      </w:r>
      <w:r w:rsidRPr="008A07C9">
        <w:rPr>
          <w:rFonts w:cs="Times New Roman"/>
        </w:rPr>
        <w:t xml:space="preserve">. Thus, it is expected that bicycle-sharing operators </w:t>
      </w:r>
      <w:r w:rsidR="0013542F" w:rsidRPr="008A07C9">
        <w:rPr>
          <w:rFonts w:cs="Times New Roman"/>
        </w:rPr>
        <w:t xml:space="preserve">allocate stations away from </w:t>
      </w:r>
      <w:r w:rsidR="00D32310" w:rsidRPr="008A07C9">
        <w:rPr>
          <w:rFonts w:cs="Times New Roman"/>
        </w:rPr>
        <w:t xml:space="preserve">such </w:t>
      </w:r>
      <w:r w:rsidR="00B7171E" w:rsidRPr="008A07C9">
        <w:rPr>
          <w:rFonts w:cs="Times New Roman"/>
        </w:rPr>
        <w:t>infrastructure</w:t>
      </w:r>
      <w:r w:rsidR="0013542F" w:rsidRPr="008A07C9">
        <w:rPr>
          <w:rFonts w:cs="Times New Roman"/>
        </w:rPr>
        <w:t xml:space="preserve">. </w:t>
      </w:r>
      <w:r w:rsidRPr="008A07C9">
        <w:rPr>
          <w:rFonts w:cs="Times New Roman"/>
        </w:rPr>
        <w:t>Moreover, distance to CBD negatively influences the propensity of BS</w:t>
      </w:r>
      <w:r w:rsidR="00666131" w:rsidRPr="008A07C9">
        <w:rPr>
          <w:rFonts w:cs="Times New Roman"/>
        </w:rPr>
        <w:t>S</w:t>
      </w:r>
      <w:r w:rsidRPr="008A07C9">
        <w:rPr>
          <w:rFonts w:cs="Times New Roman"/>
        </w:rPr>
        <w:t xml:space="preserve"> infrastructure installation while</w:t>
      </w:r>
      <w:r w:rsidR="00666131" w:rsidRPr="008A07C9">
        <w:rPr>
          <w:rFonts w:cs="Times New Roman"/>
        </w:rPr>
        <w:t xml:space="preserve"> TAZs in </w:t>
      </w:r>
      <w:r w:rsidR="0023353D">
        <w:rPr>
          <w:rFonts w:cs="Times New Roman"/>
        </w:rPr>
        <w:t xml:space="preserve">the </w:t>
      </w:r>
      <w:r w:rsidR="00666131" w:rsidRPr="008A07C9">
        <w:rPr>
          <w:rFonts w:cs="Times New Roman"/>
        </w:rPr>
        <w:t>downtown area are more likely to have higher BSSI. P</w:t>
      </w:r>
      <w:r w:rsidRPr="008A07C9">
        <w:rPr>
          <w:rFonts w:cs="Times New Roman"/>
        </w:rPr>
        <w:t>opula</w:t>
      </w:r>
      <w:r w:rsidR="00D8366D">
        <w:rPr>
          <w:rFonts w:cs="Times New Roman"/>
        </w:rPr>
        <w:t>tion density has</w:t>
      </w:r>
      <w:r w:rsidR="0023353D">
        <w:rPr>
          <w:rFonts w:cs="Times New Roman"/>
        </w:rPr>
        <w:t xml:space="preserve"> a</w:t>
      </w:r>
      <w:r w:rsidRPr="008A07C9">
        <w:rPr>
          <w:rFonts w:cs="Times New Roman"/>
        </w:rPr>
        <w:t xml:space="preserve"> </w:t>
      </w:r>
      <w:r w:rsidR="00666131" w:rsidRPr="008A07C9">
        <w:rPr>
          <w:rFonts w:cs="Times New Roman"/>
        </w:rPr>
        <w:t xml:space="preserve">positive </w:t>
      </w:r>
      <w:r w:rsidRPr="008A07C9">
        <w:rPr>
          <w:rFonts w:cs="Times New Roman"/>
        </w:rPr>
        <w:t>impact</w:t>
      </w:r>
      <w:r w:rsidR="00666131" w:rsidRPr="008A07C9">
        <w:rPr>
          <w:rFonts w:cs="Times New Roman"/>
        </w:rPr>
        <w:t xml:space="preserve"> on bicycle-sharing infrastructure installation</w:t>
      </w:r>
      <w:r w:rsidR="00D8366D">
        <w:rPr>
          <w:rFonts w:cs="Times New Roman"/>
        </w:rPr>
        <w:t xml:space="preserve"> which is expected as the </w:t>
      </w:r>
      <w:r w:rsidR="00D8366D" w:rsidRPr="008A07C9">
        <w:rPr>
          <w:rFonts w:cs="Times New Roman"/>
        </w:rPr>
        <w:t>bicycle-sharing operators</w:t>
      </w:r>
      <w:r w:rsidR="00D8366D">
        <w:rPr>
          <w:rFonts w:cs="Times New Roman"/>
        </w:rPr>
        <w:t xml:space="preserve"> provide more station</w:t>
      </w:r>
      <w:r w:rsidR="007A6B89">
        <w:rPr>
          <w:rFonts w:cs="Times New Roman"/>
        </w:rPr>
        <w:t>s</w:t>
      </w:r>
      <w:r w:rsidR="00D8366D">
        <w:rPr>
          <w:rFonts w:cs="Times New Roman"/>
        </w:rPr>
        <w:t xml:space="preserve"> and capacity where more people </w:t>
      </w:r>
      <w:r w:rsidR="00682BE9">
        <w:rPr>
          <w:rFonts w:cs="Times New Roman"/>
        </w:rPr>
        <w:t>reside</w:t>
      </w:r>
      <w:r w:rsidR="00D8366D">
        <w:rPr>
          <w:rFonts w:cs="Times New Roman"/>
        </w:rPr>
        <w:t xml:space="preserve">. The positive impact of </w:t>
      </w:r>
      <w:r w:rsidR="00D8366D" w:rsidRPr="008A07C9">
        <w:rPr>
          <w:rFonts w:cs="Times New Roman"/>
        </w:rPr>
        <w:t>job density and</w:t>
      </w:r>
      <w:r w:rsidR="0023353D">
        <w:rPr>
          <w:rFonts w:cs="Times New Roman"/>
        </w:rPr>
        <w:t xml:space="preserve"> the</w:t>
      </w:r>
      <w:r w:rsidR="00D8366D" w:rsidRPr="008A07C9">
        <w:rPr>
          <w:rFonts w:cs="Times New Roman"/>
        </w:rPr>
        <w:t xml:space="preserve"> number of restaurants in a TAZ</w:t>
      </w:r>
      <w:r w:rsidR="00D8366D">
        <w:rPr>
          <w:rFonts w:cs="Times New Roman"/>
        </w:rPr>
        <w:t xml:space="preserve"> on the </w:t>
      </w:r>
      <w:r w:rsidR="00D8366D" w:rsidRPr="008A07C9">
        <w:rPr>
          <w:rFonts w:cs="Times New Roman"/>
        </w:rPr>
        <w:t xml:space="preserve">propensity of BSS infrastructure installation </w:t>
      </w:r>
      <w:r w:rsidR="00D8366D">
        <w:rPr>
          <w:rFonts w:cs="Times New Roman"/>
        </w:rPr>
        <w:t xml:space="preserve">illustrate that bicycle-sharing operators are likely to consider not only where people </w:t>
      </w:r>
      <w:r w:rsidR="00682BE9">
        <w:rPr>
          <w:rFonts w:cs="Times New Roman"/>
        </w:rPr>
        <w:t>reside</w:t>
      </w:r>
      <w:r w:rsidR="00D8366D">
        <w:rPr>
          <w:rFonts w:cs="Times New Roman"/>
        </w:rPr>
        <w:t xml:space="preserve"> but also </w:t>
      </w:r>
      <w:r w:rsidR="00682BE9">
        <w:rPr>
          <w:rFonts w:cs="Times New Roman"/>
        </w:rPr>
        <w:t>on activity opportunities in their decision process</w:t>
      </w:r>
      <w:r w:rsidR="00D8366D">
        <w:rPr>
          <w:rFonts w:cs="Times New Roman"/>
        </w:rPr>
        <w:t xml:space="preserve">. </w:t>
      </w:r>
    </w:p>
    <w:p w14:paraId="135B2950" w14:textId="77777777" w:rsidR="00E06AA2" w:rsidRDefault="009C074F" w:rsidP="001F0B08">
      <w:pPr>
        <w:ind w:firstLine="720"/>
        <w:rPr>
          <w:rFonts w:cs="Times New Roman"/>
        </w:rPr>
      </w:pPr>
      <w:r w:rsidRPr="008A07C9">
        <w:rPr>
          <w:rFonts w:cs="Times New Roman"/>
        </w:rPr>
        <w:lastRenderedPageBreak/>
        <w:t xml:space="preserve">The results </w:t>
      </w:r>
      <w:r w:rsidR="005514BF" w:rsidRPr="008A07C9">
        <w:rPr>
          <w:rFonts w:cs="Times New Roman"/>
        </w:rPr>
        <w:t>evidently</w:t>
      </w:r>
      <w:r w:rsidRPr="008A07C9">
        <w:rPr>
          <w:rFonts w:cs="Times New Roman"/>
        </w:rPr>
        <w:t xml:space="preserve"> indicate that bicycle-sharing infrastructure is not randomly allocated in </w:t>
      </w:r>
      <w:r w:rsidR="00682BE9">
        <w:rPr>
          <w:rFonts w:cs="Times New Roman"/>
        </w:rPr>
        <w:t>the urban region</w:t>
      </w:r>
      <w:r w:rsidRPr="008A07C9">
        <w:rPr>
          <w:rFonts w:cs="Times New Roman"/>
        </w:rPr>
        <w:t>. Considering Montreal</w:t>
      </w:r>
      <w:r w:rsidR="004878DC" w:rsidRPr="008A07C9">
        <w:rPr>
          <w:rFonts w:cs="Times New Roman"/>
        </w:rPr>
        <w:t>’s</w:t>
      </w:r>
      <w:r w:rsidRPr="008A07C9">
        <w:rPr>
          <w:rFonts w:cs="Times New Roman"/>
        </w:rPr>
        <w:t xml:space="preserve"> BIXI system as a mature </w:t>
      </w:r>
      <w:r w:rsidR="004878DC" w:rsidRPr="008A07C9">
        <w:rPr>
          <w:rFonts w:cs="Times New Roman"/>
        </w:rPr>
        <w:t xml:space="preserve">system </w:t>
      </w:r>
      <w:r w:rsidRPr="008A07C9">
        <w:rPr>
          <w:rFonts w:cs="Times New Roman"/>
        </w:rPr>
        <w:t xml:space="preserve">with </w:t>
      </w:r>
      <w:r w:rsidR="00682BE9">
        <w:rPr>
          <w:rFonts w:cs="Times New Roman"/>
        </w:rPr>
        <w:t xml:space="preserve">reasonable </w:t>
      </w:r>
      <w:r w:rsidR="00D32310" w:rsidRPr="008A07C9">
        <w:rPr>
          <w:rFonts w:cs="Times New Roman"/>
        </w:rPr>
        <w:t>success</w:t>
      </w:r>
      <w:r w:rsidR="004878DC" w:rsidRPr="008A07C9">
        <w:rPr>
          <w:rFonts w:cs="Times New Roman"/>
        </w:rPr>
        <w:t>, the estimated</w:t>
      </w:r>
      <w:r w:rsidRPr="008A07C9">
        <w:rPr>
          <w:rFonts w:cs="Times New Roman"/>
        </w:rPr>
        <w:t xml:space="preserve"> </w:t>
      </w:r>
      <w:r w:rsidR="00D32310" w:rsidRPr="008A07C9">
        <w:rPr>
          <w:rFonts w:cs="Times New Roman"/>
        </w:rPr>
        <w:t xml:space="preserve">BSS installation model </w:t>
      </w:r>
      <w:r w:rsidRPr="008A07C9">
        <w:rPr>
          <w:rFonts w:cs="Times New Roman"/>
        </w:rPr>
        <w:t xml:space="preserve">results </w:t>
      </w:r>
      <w:r w:rsidR="00D32310" w:rsidRPr="008A07C9">
        <w:rPr>
          <w:rFonts w:cs="Times New Roman"/>
        </w:rPr>
        <w:t xml:space="preserve">provide a guiding template for transportation planners and engineers across the world to model their installation decisions </w:t>
      </w:r>
      <w:r w:rsidR="004D74E8" w:rsidRPr="008A07C9">
        <w:rPr>
          <w:rFonts w:cs="Times New Roman"/>
        </w:rPr>
        <w:t>for a TAZ (</w:t>
      </w:r>
      <w:r w:rsidR="00CF73F4">
        <w:rPr>
          <w:rFonts w:cs="Times New Roman"/>
        </w:rPr>
        <w:t xml:space="preserve">or </w:t>
      </w:r>
      <w:r w:rsidR="004D74E8" w:rsidRPr="008A07C9">
        <w:rPr>
          <w:rFonts w:cs="Times New Roman"/>
        </w:rPr>
        <w:t xml:space="preserve">neighbourhood) </w:t>
      </w:r>
      <w:r w:rsidR="00D32310" w:rsidRPr="008A07C9">
        <w:rPr>
          <w:rFonts w:cs="Times New Roman"/>
        </w:rPr>
        <w:t>as a function of existing</w:t>
      </w:r>
      <w:r w:rsidR="004D74E8" w:rsidRPr="008A07C9">
        <w:rPr>
          <w:rFonts w:cs="Times New Roman"/>
        </w:rPr>
        <w:t xml:space="preserve"> land-use</w:t>
      </w:r>
      <w:r w:rsidR="00B30B19">
        <w:rPr>
          <w:rFonts w:cs="Times New Roman"/>
        </w:rPr>
        <w:t>,</w:t>
      </w:r>
      <w:r w:rsidR="004D74E8" w:rsidRPr="008A07C9">
        <w:rPr>
          <w:rFonts w:cs="Times New Roman"/>
        </w:rPr>
        <w:t xml:space="preserve"> built environment </w:t>
      </w:r>
      <w:r w:rsidR="00B30B19">
        <w:rPr>
          <w:rFonts w:cs="Times New Roman"/>
        </w:rPr>
        <w:t xml:space="preserve">and bicycle infrastructure </w:t>
      </w:r>
      <w:r w:rsidR="004D74E8" w:rsidRPr="008A07C9">
        <w:rPr>
          <w:rFonts w:cs="Times New Roman"/>
        </w:rPr>
        <w:t>attributes.</w:t>
      </w:r>
    </w:p>
    <w:p w14:paraId="331D4BCC" w14:textId="77777777" w:rsidR="00AF235F" w:rsidRPr="00D93020" w:rsidRDefault="00961E5F" w:rsidP="00B509E6">
      <w:pPr>
        <w:pStyle w:val="Heading2"/>
      </w:pPr>
      <w:r w:rsidRPr="00D93020">
        <w:t>Arrivals and departures m</w:t>
      </w:r>
      <w:r w:rsidR="00AF235F" w:rsidRPr="00D93020">
        <w:t>odel</w:t>
      </w:r>
    </w:p>
    <w:p w14:paraId="05F1AF86" w14:textId="04125336" w:rsidR="002E7C7C" w:rsidRPr="002E7C7C" w:rsidRDefault="002E7C7C">
      <w:pPr>
        <w:rPr>
          <w:rFonts w:cs="Times New Roman"/>
          <w:iCs/>
        </w:rPr>
      </w:pPr>
      <w:r w:rsidRPr="002E7C7C">
        <w:rPr>
          <w:rFonts w:cs="Times New Roman"/>
          <w:iCs/>
        </w:rPr>
        <w:t xml:space="preserve">Prior to discussing the </w:t>
      </w:r>
      <w:r>
        <w:rPr>
          <w:rFonts w:cs="Times New Roman"/>
          <w:iCs/>
        </w:rPr>
        <w:t>arrival and departure models</w:t>
      </w:r>
      <w:r w:rsidR="0023353D">
        <w:rPr>
          <w:rFonts w:cs="Times New Roman"/>
          <w:iCs/>
        </w:rPr>
        <w:t>,</w:t>
      </w:r>
      <w:r>
        <w:rPr>
          <w:rFonts w:cs="Times New Roman"/>
          <w:iCs/>
        </w:rPr>
        <w:t xml:space="preserve"> it is important to recognize that several possible specifications were tested in model development. Specifically, the variables were considered to have distinct effects on arrivals (</w:t>
      </w:r>
      <w:r w:rsidRPr="002E7C7C">
        <w:rPr>
          <w:rFonts w:cs="Times New Roman"/>
          <w:i/>
          <w:iCs/>
        </w:rPr>
        <w:t>f</w:t>
      </w:r>
      <w:r>
        <w:rPr>
          <w:rFonts w:cs="Times New Roman"/>
          <w:iCs/>
        </w:rPr>
        <w:t xml:space="preserve"> matrix from Equation (3)) and departures (</w:t>
      </w:r>
      <w:r w:rsidRPr="002E7C7C">
        <w:rPr>
          <w:rFonts w:cs="Times New Roman"/>
          <w:i/>
          <w:iCs/>
        </w:rPr>
        <w:t>h</w:t>
      </w:r>
      <w:r>
        <w:rPr>
          <w:rFonts w:cs="Times New Roman"/>
          <w:iCs/>
        </w:rPr>
        <w:t xml:space="preserve"> </w:t>
      </w:r>
      <w:r w:rsidR="00E0111E">
        <w:rPr>
          <w:rFonts w:cs="Times New Roman"/>
          <w:iCs/>
        </w:rPr>
        <w:t xml:space="preserve">matrix </w:t>
      </w:r>
      <w:r>
        <w:rPr>
          <w:rFonts w:cs="Times New Roman"/>
          <w:iCs/>
        </w:rPr>
        <w:t xml:space="preserve">from Equation (4)). </w:t>
      </w:r>
      <w:r w:rsidR="00AB776F">
        <w:rPr>
          <w:rFonts w:cs="Times New Roman"/>
          <w:iCs/>
        </w:rPr>
        <w:t>In cases where</w:t>
      </w:r>
      <w:r>
        <w:rPr>
          <w:rFonts w:cs="Times New Roman"/>
          <w:iCs/>
        </w:rPr>
        <w:t xml:space="preserve"> the mean parameter impacts across the two equations were not different a model </w:t>
      </w:r>
      <w:r w:rsidR="001535CE">
        <w:rPr>
          <w:rFonts w:cs="Times New Roman"/>
          <w:iCs/>
        </w:rPr>
        <w:t xml:space="preserve">that constrains the impact to be same across the two models </w:t>
      </w:r>
      <w:r>
        <w:rPr>
          <w:rFonts w:cs="Times New Roman"/>
          <w:iCs/>
        </w:rPr>
        <w:t xml:space="preserve">was estimated (based on </w:t>
      </w:r>
      <w:r w:rsidRPr="002E7C7C">
        <w:rPr>
          <w:rFonts w:cs="Times New Roman"/>
          <w:i/>
          <w:iCs/>
        </w:rPr>
        <w:t>g</w:t>
      </w:r>
      <w:r>
        <w:rPr>
          <w:rFonts w:cs="Times New Roman"/>
          <w:iCs/>
        </w:rPr>
        <w:t xml:space="preserve"> </w:t>
      </w:r>
      <w:r w:rsidR="00E0111E">
        <w:rPr>
          <w:rFonts w:cs="Times New Roman"/>
          <w:iCs/>
        </w:rPr>
        <w:t xml:space="preserve">matrix </w:t>
      </w:r>
      <w:r>
        <w:rPr>
          <w:rFonts w:cs="Times New Roman"/>
          <w:iCs/>
        </w:rPr>
        <w:t>in Equation (3) and (4))</w:t>
      </w:r>
      <w:r w:rsidR="00AB776F">
        <w:rPr>
          <w:rFonts w:cs="Times New Roman"/>
          <w:iCs/>
        </w:rPr>
        <w:t>.</w:t>
      </w:r>
      <w:r>
        <w:rPr>
          <w:rFonts w:cs="Times New Roman"/>
          <w:iCs/>
        </w:rPr>
        <w:t xml:space="preserve"> The final estimation results clearly show variable impacts from </w:t>
      </w:r>
      <w:r w:rsidRPr="002E7C7C">
        <w:rPr>
          <w:rFonts w:cs="Times New Roman"/>
          <w:i/>
          <w:iCs/>
        </w:rPr>
        <w:t xml:space="preserve">f, g </w:t>
      </w:r>
      <w:r w:rsidRPr="002E7C7C">
        <w:rPr>
          <w:rFonts w:cs="Times New Roman"/>
          <w:iCs/>
        </w:rPr>
        <w:t>and</w:t>
      </w:r>
      <w:r w:rsidRPr="002E7C7C">
        <w:rPr>
          <w:rFonts w:cs="Times New Roman"/>
          <w:i/>
          <w:iCs/>
        </w:rPr>
        <w:t xml:space="preserve"> h</w:t>
      </w:r>
      <w:r>
        <w:rPr>
          <w:rFonts w:cs="Times New Roman"/>
          <w:iCs/>
        </w:rPr>
        <w:t xml:space="preserve"> matrices. </w:t>
      </w:r>
      <w:r w:rsidR="00EF49BD">
        <w:rPr>
          <w:rFonts w:cs="Times New Roman"/>
          <w:iCs/>
        </w:rPr>
        <w:t xml:space="preserve">The same approach was employed for estimation of random parameters. </w:t>
      </w:r>
    </w:p>
    <w:p w14:paraId="23E75610" w14:textId="5DD184D9" w:rsidR="00A678A6" w:rsidRDefault="00594AA0" w:rsidP="00FD13D6">
      <w:pPr>
        <w:ind w:firstLine="720"/>
        <w:rPr>
          <w:rFonts w:cs="Times New Roman"/>
        </w:rPr>
      </w:pPr>
      <w:r>
        <w:rPr>
          <w:rFonts w:cs="Times New Roman"/>
          <w:i/>
          <w:iCs/>
          <w:u w:val="single"/>
        </w:rPr>
        <w:t>Weather</w:t>
      </w:r>
      <w:r w:rsidR="00A90080" w:rsidRPr="008A07C9">
        <w:rPr>
          <w:rFonts w:cs="Times New Roman"/>
          <w:i/>
          <w:iCs/>
          <w:u w:val="single"/>
        </w:rPr>
        <w:t xml:space="preserve"> and </w:t>
      </w:r>
      <w:r>
        <w:rPr>
          <w:rFonts w:cs="Times New Roman"/>
          <w:i/>
          <w:iCs/>
          <w:u w:val="single"/>
        </w:rPr>
        <w:t xml:space="preserve">Temporal </w:t>
      </w:r>
      <w:r w:rsidR="00A90080" w:rsidRPr="008A07C9">
        <w:rPr>
          <w:rFonts w:cs="Times New Roman"/>
          <w:i/>
          <w:iCs/>
          <w:u w:val="single"/>
        </w:rPr>
        <w:t>variables</w:t>
      </w:r>
      <w:r w:rsidR="00A90080" w:rsidRPr="008A07C9">
        <w:rPr>
          <w:rFonts w:cs="Times New Roman"/>
        </w:rPr>
        <w:t xml:space="preserve">: </w:t>
      </w:r>
      <w:r w:rsidR="00AF235F" w:rsidRPr="008A07C9">
        <w:rPr>
          <w:rFonts w:cs="Times New Roman"/>
        </w:rPr>
        <w:t xml:space="preserve">There is a positive correlation between temperature and </w:t>
      </w:r>
      <w:r w:rsidR="00666131" w:rsidRPr="008A07C9">
        <w:rPr>
          <w:rFonts w:cs="Times New Roman"/>
        </w:rPr>
        <w:t>BSS usage</w:t>
      </w:r>
      <w:r w:rsidR="00AF235F" w:rsidRPr="008A07C9">
        <w:rPr>
          <w:rFonts w:cs="Times New Roman"/>
        </w:rPr>
        <w:t xml:space="preserve">. On the other hand, </w:t>
      </w:r>
      <w:r w:rsidR="00666131" w:rsidRPr="008A07C9">
        <w:rPr>
          <w:rFonts w:cs="Times New Roman"/>
        </w:rPr>
        <w:t>rainy weather condition</w:t>
      </w:r>
      <w:r w:rsidR="004878DC" w:rsidRPr="008A07C9">
        <w:rPr>
          <w:rFonts w:cs="Times New Roman"/>
        </w:rPr>
        <w:t>s</w:t>
      </w:r>
      <w:r w:rsidR="00666131" w:rsidRPr="008A07C9">
        <w:rPr>
          <w:rFonts w:cs="Times New Roman"/>
        </w:rPr>
        <w:t xml:space="preserve"> and humidity have</w:t>
      </w:r>
      <w:r w:rsidR="00AF235F" w:rsidRPr="008A07C9">
        <w:rPr>
          <w:rFonts w:cs="Times New Roman"/>
        </w:rPr>
        <w:t xml:space="preserve"> negative impact</w:t>
      </w:r>
      <w:r w:rsidR="00A075C5">
        <w:rPr>
          <w:rFonts w:cs="Times New Roman"/>
        </w:rPr>
        <w:t>s</w:t>
      </w:r>
      <w:r w:rsidR="00AF235F" w:rsidRPr="008A07C9">
        <w:rPr>
          <w:rFonts w:cs="Times New Roman"/>
        </w:rPr>
        <w:t xml:space="preserve"> on arrival and departure rates</w:t>
      </w:r>
      <w:r w:rsidR="00D8366D">
        <w:rPr>
          <w:rFonts w:cs="Times New Roman"/>
        </w:rPr>
        <w:t>, expectedly</w:t>
      </w:r>
      <w:r w:rsidR="00AF235F" w:rsidRPr="008A07C9">
        <w:rPr>
          <w:rFonts w:cs="Times New Roman"/>
        </w:rPr>
        <w:t>. People tend to bicycle more on weekdays than weekends as highlighted by the negative coefficient of the weekend variable</w:t>
      </w:r>
      <w:r w:rsidR="00E06AA2">
        <w:rPr>
          <w:rFonts w:cs="Times New Roman"/>
        </w:rPr>
        <w:t>. The result</w:t>
      </w:r>
      <w:r w:rsidR="00D8366D">
        <w:rPr>
          <w:rFonts w:cs="Times New Roman"/>
        </w:rPr>
        <w:t xml:space="preserve"> indicate</w:t>
      </w:r>
      <w:r w:rsidR="00E06AA2">
        <w:rPr>
          <w:rFonts w:cs="Times New Roman"/>
        </w:rPr>
        <w:t>s</w:t>
      </w:r>
      <w:r w:rsidR="00D8366D">
        <w:rPr>
          <w:rFonts w:cs="Times New Roman"/>
        </w:rPr>
        <w:t xml:space="preserve"> that bicycle-sharing system is used more for daily activities than weekend leisure activities</w:t>
      </w:r>
      <w:r w:rsidR="00AF235F" w:rsidRPr="008A07C9">
        <w:rPr>
          <w:rFonts w:cs="Times New Roman"/>
        </w:rPr>
        <w:t>. The interpretatio</w:t>
      </w:r>
      <w:r w:rsidR="00BC49A9">
        <w:rPr>
          <w:rFonts w:cs="Times New Roman"/>
        </w:rPr>
        <w:t>n of time of day variables needs</w:t>
      </w:r>
      <w:r w:rsidR="00AF235F" w:rsidRPr="008A07C9">
        <w:rPr>
          <w:rFonts w:cs="Times New Roman"/>
        </w:rPr>
        <w:t xml:space="preserve"> to be judiciously undertaken due to the presence of interaction effects with population</w:t>
      </w:r>
      <w:r w:rsidR="00666131" w:rsidRPr="008A07C9">
        <w:rPr>
          <w:rFonts w:cs="Times New Roman"/>
        </w:rPr>
        <w:t xml:space="preserve"> </w:t>
      </w:r>
      <w:r w:rsidR="00776620" w:rsidRPr="008A07C9">
        <w:rPr>
          <w:rFonts w:cs="Times New Roman"/>
        </w:rPr>
        <w:t xml:space="preserve">density, </w:t>
      </w:r>
      <w:r w:rsidR="00666131" w:rsidRPr="008A07C9">
        <w:rPr>
          <w:rFonts w:cs="Times New Roman"/>
        </w:rPr>
        <w:t>job</w:t>
      </w:r>
      <w:r w:rsidR="00AF235F" w:rsidRPr="008A07C9">
        <w:rPr>
          <w:rFonts w:cs="Times New Roman"/>
        </w:rPr>
        <w:t xml:space="preserve"> density</w:t>
      </w:r>
      <w:r w:rsidR="00A075C5">
        <w:rPr>
          <w:rFonts w:cs="Times New Roman"/>
        </w:rPr>
        <w:t>,</w:t>
      </w:r>
      <w:r w:rsidR="00AF235F" w:rsidRPr="008A07C9">
        <w:rPr>
          <w:rFonts w:cs="Times New Roman"/>
        </w:rPr>
        <w:t xml:space="preserve"> and university variables. Nevertheless, we clearly observe that BIXI system is predominantly used during the PM and </w:t>
      </w:r>
      <w:r w:rsidR="00666131" w:rsidRPr="008A07C9">
        <w:rPr>
          <w:rFonts w:cs="Times New Roman"/>
        </w:rPr>
        <w:t xml:space="preserve">less during night </w:t>
      </w:r>
      <w:r w:rsidR="00AF235F" w:rsidRPr="008A07C9">
        <w:rPr>
          <w:rFonts w:cs="Times New Roman"/>
        </w:rPr>
        <w:t xml:space="preserve">period </w:t>
      </w:r>
      <w:r w:rsidR="00E06AA2">
        <w:rPr>
          <w:rFonts w:cs="Times New Roman"/>
        </w:rPr>
        <w:t>relative to</w:t>
      </w:r>
      <w:r w:rsidR="00E06AA2" w:rsidRPr="008A07C9">
        <w:rPr>
          <w:rFonts w:cs="Times New Roman"/>
        </w:rPr>
        <w:t xml:space="preserve"> </w:t>
      </w:r>
      <w:r w:rsidR="00AF235F" w:rsidRPr="008A07C9">
        <w:rPr>
          <w:rFonts w:cs="Times New Roman"/>
        </w:rPr>
        <w:t>other times of the day.</w:t>
      </w:r>
      <w:r w:rsidR="0053110A">
        <w:rPr>
          <w:rFonts w:cs="Times New Roman"/>
        </w:rPr>
        <w:t xml:space="preserve"> </w:t>
      </w:r>
      <w:r w:rsidR="0053110A" w:rsidRPr="0053110A">
        <w:rPr>
          <w:rFonts w:cs="Times New Roman"/>
        </w:rPr>
        <w:t>One plausible explanation for</w:t>
      </w:r>
      <w:r w:rsidR="0053110A">
        <w:rPr>
          <w:rFonts w:cs="Times New Roman"/>
        </w:rPr>
        <w:t xml:space="preserve"> higher usage of the system in PM</w:t>
      </w:r>
      <w:r w:rsidR="0053110A" w:rsidRPr="0053110A">
        <w:rPr>
          <w:rFonts w:cs="Times New Roman"/>
        </w:rPr>
        <w:t xml:space="preserve"> is that employed</w:t>
      </w:r>
      <w:r w:rsidR="0053110A">
        <w:rPr>
          <w:rFonts w:cs="Times New Roman"/>
        </w:rPr>
        <w:t xml:space="preserve"> </w:t>
      </w:r>
      <w:r w:rsidR="0053110A" w:rsidRPr="0053110A">
        <w:rPr>
          <w:rFonts w:cs="Times New Roman"/>
        </w:rPr>
        <w:t xml:space="preserve">people might also consider riding the BIXI as a useful exercise after work or might make short trips within the </w:t>
      </w:r>
      <w:r w:rsidR="0053110A">
        <w:rPr>
          <w:rFonts w:cs="Times New Roman"/>
        </w:rPr>
        <w:t>system area</w:t>
      </w:r>
      <w:r w:rsidR="0053110A" w:rsidRPr="0053110A">
        <w:rPr>
          <w:rFonts w:cs="Times New Roman"/>
        </w:rPr>
        <w:t xml:space="preserve"> — for instance, going from work to a restaurant. Furthermore, </w:t>
      </w:r>
      <w:r w:rsidR="0053110A">
        <w:rPr>
          <w:rFonts w:cs="Times New Roman"/>
        </w:rPr>
        <w:t>i</w:t>
      </w:r>
      <w:r w:rsidR="0053110A" w:rsidRPr="0053110A">
        <w:rPr>
          <w:rFonts w:cs="Times New Roman"/>
        </w:rPr>
        <w:t>t is also possible that during the evening peak hour the population using BIXI includes</w:t>
      </w:r>
      <w:r w:rsidR="0053110A">
        <w:rPr>
          <w:rFonts w:cs="Times New Roman"/>
        </w:rPr>
        <w:t xml:space="preserve"> tourists, non-member users and other individuals without </w:t>
      </w:r>
      <w:r w:rsidR="0053110A" w:rsidRPr="0053110A">
        <w:rPr>
          <w:rFonts w:cs="Times New Roman"/>
        </w:rPr>
        <w:t>the typical</w:t>
      </w:r>
      <w:r w:rsidR="0053110A">
        <w:rPr>
          <w:rFonts w:cs="Times New Roman"/>
        </w:rPr>
        <w:t xml:space="preserve"> work</w:t>
      </w:r>
      <w:r w:rsidR="0053110A" w:rsidRPr="0053110A">
        <w:rPr>
          <w:rFonts w:cs="Times New Roman"/>
        </w:rPr>
        <w:t xml:space="preserve"> schedule (e.g.,</w:t>
      </w:r>
      <w:r w:rsidR="0053110A">
        <w:rPr>
          <w:rFonts w:cs="Times New Roman"/>
        </w:rPr>
        <w:t xml:space="preserve"> students). </w:t>
      </w:r>
    </w:p>
    <w:p w14:paraId="7CDD67FE" w14:textId="2A5B39D8" w:rsidR="00A678A6" w:rsidRDefault="00A90080" w:rsidP="001F0B08">
      <w:pPr>
        <w:ind w:firstLine="720"/>
        <w:rPr>
          <w:rFonts w:cs="Times New Roman"/>
        </w:rPr>
      </w:pPr>
      <w:r w:rsidRPr="008A07C9">
        <w:rPr>
          <w:rFonts w:cs="Times New Roman"/>
          <w:i/>
          <w:iCs/>
          <w:szCs w:val="24"/>
          <w:u w:val="single"/>
        </w:rPr>
        <w:t>Land-use and built environment characteristics</w:t>
      </w:r>
      <w:r w:rsidRPr="008A07C9">
        <w:rPr>
          <w:rFonts w:cs="Times New Roman"/>
          <w:szCs w:val="24"/>
        </w:rPr>
        <w:t xml:space="preserve">: </w:t>
      </w:r>
      <w:r w:rsidRPr="008A07C9">
        <w:rPr>
          <w:rFonts w:cs="Times New Roman"/>
        </w:rPr>
        <w:t>It is expected that the arrival and departure rates decrease when the station location is farther from CBD as highlighted by the negative coefficient of distance to CBD variable. The positive coefficient of</w:t>
      </w:r>
      <w:r w:rsidR="00A075C5">
        <w:rPr>
          <w:rFonts w:cs="Times New Roman"/>
        </w:rPr>
        <w:t xml:space="preserve"> the</w:t>
      </w:r>
      <w:r w:rsidRPr="008A07C9">
        <w:rPr>
          <w:rFonts w:cs="Times New Roman"/>
        </w:rPr>
        <w:t xml:space="preserve"> presence of metro station variable indicates that BIXI stations near metro system are more likely to have higher usage; a strong evidence in favour of the bicycle-sharing systems support of multimodal transport. </w:t>
      </w:r>
      <w:r w:rsidR="00E06AA2">
        <w:rPr>
          <w:rFonts w:cs="Times New Roman"/>
        </w:rPr>
        <w:t>The n</w:t>
      </w:r>
      <w:r w:rsidRPr="008A07C9">
        <w:rPr>
          <w:rFonts w:cs="Times New Roman"/>
        </w:rPr>
        <w:t xml:space="preserve">umber of restaurants in a TAZ is associated with </w:t>
      </w:r>
      <w:r w:rsidR="00A075C5">
        <w:rPr>
          <w:rFonts w:cs="Times New Roman"/>
        </w:rPr>
        <w:t xml:space="preserve">a </w:t>
      </w:r>
      <w:r w:rsidRPr="008A07C9">
        <w:rPr>
          <w:rFonts w:cs="Times New Roman"/>
        </w:rPr>
        <w:t xml:space="preserve">positive impact on usage of BIXI system. The coefficients for the presence of university in a TAZ show interesting results. In AM period, </w:t>
      </w:r>
      <w:r w:rsidR="00A075C5">
        <w:rPr>
          <w:rFonts w:cs="Times New Roman"/>
        </w:rPr>
        <w:t xml:space="preserve">the </w:t>
      </w:r>
      <w:r w:rsidRPr="008A07C9">
        <w:rPr>
          <w:rFonts w:cs="Times New Roman"/>
        </w:rPr>
        <w:t xml:space="preserve">presence of university in a TAZ has </w:t>
      </w:r>
      <w:r w:rsidR="00A075C5">
        <w:rPr>
          <w:rFonts w:cs="Times New Roman"/>
        </w:rPr>
        <w:t xml:space="preserve">a </w:t>
      </w:r>
      <w:r w:rsidRPr="008A07C9">
        <w:rPr>
          <w:rFonts w:cs="Times New Roman"/>
        </w:rPr>
        <w:t xml:space="preserve">positive impact on arrivals while </w:t>
      </w:r>
      <w:r w:rsidR="00A075C5">
        <w:rPr>
          <w:rFonts w:cs="Times New Roman"/>
        </w:rPr>
        <w:t xml:space="preserve">a </w:t>
      </w:r>
      <w:r w:rsidRPr="008A07C9">
        <w:rPr>
          <w:rFonts w:cs="Times New Roman"/>
        </w:rPr>
        <w:t xml:space="preserve">negative impact on departures propensity. On the </w:t>
      </w:r>
      <w:r w:rsidR="00E06AA2">
        <w:rPr>
          <w:rFonts w:cs="Times New Roman"/>
        </w:rPr>
        <w:t>other hand</w:t>
      </w:r>
      <w:r w:rsidRPr="008A07C9">
        <w:rPr>
          <w:rFonts w:cs="Times New Roman"/>
        </w:rPr>
        <w:t xml:space="preserve">, it has a negative impact on arrivals and </w:t>
      </w:r>
      <w:r w:rsidR="00A075C5">
        <w:rPr>
          <w:rFonts w:cs="Times New Roman"/>
        </w:rPr>
        <w:t xml:space="preserve">a </w:t>
      </w:r>
      <w:r w:rsidRPr="008A07C9">
        <w:rPr>
          <w:rFonts w:cs="Times New Roman"/>
        </w:rPr>
        <w:t>positive impact on departure propensity in PM period. These findings evidently demonstrate the use of BIXI system for commuting to/from universities. A similar pattern also can be observed from</w:t>
      </w:r>
      <w:r w:rsidR="00A075C5">
        <w:rPr>
          <w:rFonts w:cs="Times New Roman"/>
        </w:rPr>
        <w:t xml:space="preserve"> the</w:t>
      </w:r>
      <w:r w:rsidRPr="008A07C9">
        <w:rPr>
          <w:rFonts w:cs="Times New Roman"/>
        </w:rPr>
        <w:t xml:space="preserve"> interaction of population and job density variables with time periods. TAZs with higher population density tend to have higher departure and lower arrival rates in the AM and higher arrival rates in the PM. People use BIXI service as commute mode to their work in the morning peak hour which is recognized by the coefficient of TAZ job density in AM period.</w:t>
      </w:r>
    </w:p>
    <w:p w14:paraId="54EB86B7" w14:textId="77777777" w:rsidR="00AF235F" w:rsidRDefault="00A90080" w:rsidP="001F0B08">
      <w:pPr>
        <w:ind w:firstLine="720"/>
        <w:rPr>
          <w:rFonts w:cs="Times New Roman"/>
        </w:rPr>
      </w:pPr>
      <w:r w:rsidRPr="008A07C9">
        <w:rPr>
          <w:rFonts w:cs="Times New Roman"/>
          <w:i/>
          <w:iCs/>
        </w:rPr>
        <w:lastRenderedPageBreak/>
        <w:t xml:space="preserve"> </w:t>
      </w:r>
      <w:r w:rsidRPr="008A07C9">
        <w:rPr>
          <w:rFonts w:cs="Times New Roman"/>
          <w:i/>
          <w:iCs/>
          <w:szCs w:val="24"/>
          <w:u w:val="single"/>
        </w:rPr>
        <w:t>Bicycle infrastructure variables:</w:t>
      </w:r>
      <w:r w:rsidRPr="008A07C9">
        <w:rPr>
          <w:rFonts w:cs="Times New Roman"/>
          <w:szCs w:val="24"/>
        </w:rPr>
        <w:t xml:space="preserve"> </w:t>
      </w:r>
      <w:r w:rsidR="00FD13D6" w:rsidRPr="008A07C9">
        <w:rPr>
          <w:rFonts w:cs="Times New Roman"/>
        </w:rPr>
        <w:t xml:space="preserve">Bicycle-sharing infrastructure variables </w:t>
      </w:r>
      <w:r w:rsidR="00FD13D6">
        <w:rPr>
          <w:rFonts w:cs="Times New Roman"/>
        </w:rPr>
        <w:t>are introduced as the following dummy variables: Low BSS (BSSI&lt;1), M</w:t>
      </w:r>
      <w:r w:rsidR="00FD13D6" w:rsidRPr="008A07C9">
        <w:rPr>
          <w:rFonts w:cs="Times New Roman"/>
        </w:rPr>
        <w:t>edium BSS</w:t>
      </w:r>
      <w:r w:rsidR="00FD13D6">
        <w:rPr>
          <w:rFonts w:cs="Times New Roman"/>
        </w:rPr>
        <w:t xml:space="preserve"> (1</w:t>
      </w:r>
      <w:r w:rsidR="00FD13D6">
        <w:rPr>
          <w:rFonts w:ascii="Bookman Old Style" w:hAnsi="Bookman Old Style" w:cs="Times New Roman"/>
        </w:rPr>
        <w:t>≤</w:t>
      </w:r>
      <w:r w:rsidR="00FD13D6">
        <w:rPr>
          <w:rFonts w:cs="Times New Roman"/>
        </w:rPr>
        <w:t>BSSI</w:t>
      </w:r>
      <w:r w:rsidR="00FD13D6">
        <w:rPr>
          <w:rFonts w:ascii="Bookman Old Style" w:hAnsi="Bookman Old Style" w:cs="Times New Roman"/>
        </w:rPr>
        <w:t>&lt;2)</w:t>
      </w:r>
      <w:r w:rsidR="00FD13D6" w:rsidRPr="008A07C9">
        <w:rPr>
          <w:rFonts w:cs="Times New Roman"/>
        </w:rPr>
        <w:t xml:space="preserve"> and </w:t>
      </w:r>
      <w:r w:rsidR="00FD13D6">
        <w:rPr>
          <w:rFonts w:cs="Times New Roman"/>
        </w:rPr>
        <w:t>H</w:t>
      </w:r>
      <w:r w:rsidR="00FD13D6" w:rsidRPr="008A07C9">
        <w:rPr>
          <w:rFonts w:cs="Times New Roman"/>
        </w:rPr>
        <w:t>igh BSS</w:t>
      </w:r>
      <w:r w:rsidR="00FD13D6">
        <w:rPr>
          <w:rFonts w:cs="Times New Roman"/>
        </w:rPr>
        <w:t xml:space="preserve"> (2</w:t>
      </w:r>
      <w:r w:rsidR="00FD13D6">
        <w:rPr>
          <w:rFonts w:ascii="Bookman Old Style" w:hAnsi="Bookman Old Style" w:cs="Times New Roman"/>
        </w:rPr>
        <w:t>≤</w:t>
      </w:r>
      <w:r w:rsidR="00FD13D6">
        <w:rPr>
          <w:rFonts w:cs="Times New Roman"/>
        </w:rPr>
        <w:t xml:space="preserve">BSSI). As expected, the medium and high BSS variables </w:t>
      </w:r>
      <w:r w:rsidR="00FD13D6" w:rsidRPr="008A07C9">
        <w:rPr>
          <w:rFonts w:cs="Times New Roman"/>
        </w:rPr>
        <w:t xml:space="preserve">have </w:t>
      </w:r>
      <w:r w:rsidR="00FD13D6">
        <w:rPr>
          <w:rFonts w:cs="Times New Roman"/>
        </w:rPr>
        <w:t xml:space="preserve">a significant </w:t>
      </w:r>
      <w:r w:rsidR="00FD13D6" w:rsidRPr="008A07C9">
        <w:rPr>
          <w:rFonts w:cs="Times New Roman"/>
        </w:rPr>
        <w:t xml:space="preserve">positive effect on arrivals and departures propensity. </w:t>
      </w:r>
      <w:r w:rsidR="00FD13D6">
        <w:rPr>
          <w:rFonts w:cs="Times New Roman"/>
          <w:szCs w:val="24"/>
        </w:rPr>
        <w:t xml:space="preserve">As expected, </w:t>
      </w:r>
      <w:r w:rsidR="0053110A">
        <w:rPr>
          <w:rFonts w:cs="Times New Roman"/>
        </w:rPr>
        <w:t>t</w:t>
      </w:r>
      <w:r w:rsidR="00AF235F" w:rsidRPr="008A07C9">
        <w:rPr>
          <w:rFonts w:cs="Times New Roman"/>
        </w:rPr>
        <w:t>he propensity of arriv</w:t>
      </w:r>
      <w:r w:rsidR="00776620" w:rsidRPr="008A07C9">
        <w:rPr>
          <w:rFonts w:cs="Times New Roman"/>
        </w:rPr>
        <w:t>als and departures increase</w:t>
      </w:r>
      <w:r w:rsidR="00FD13D6">
        <w:rPr>
          <w:rFonts w:cs="Times New Roman"/>
        </w:rPr>
        <w:t xml:space="preserve"> in zones with higher</w:t>
      </w:r>
      <w:r w:rsidR="00AF235F" w:rsidRPr="008A07C9">
        <w:rPr>
          <w:rFonts w:cs="Times New Roman"/>
        </w:rPr>
        <w:t xml:space="preserve"> bicycle facilities (bicycle lanes, bicycle paths</w:t>
      </w:r>
      <w:r w:rsidR="00CB7837" w:rsidRPr="008A07C9">
        <w:rPr>
          <w:rFonts w:cs="Times New Roman"/>
        </w:rPr>
        <w:t>,</w:t>
      </w:r>
      <w:r w:rsidR="00AF235F" w:rsidRPr="008A07C9">
        <w:rPr>
          <w:rFonts w:cs="Times New Roman"/>
        </w:rPr>
        <w:t xml:space="preserve"> etc.) while the density of highways</w:t>
      </w:r>
      <w:r w:rsidR="00230C56" w:rsidRPr="008A07C9">
        <w:rPr>
          <w:rFonts w:cs="Times New Roman"/>
        </w:rPr>
        <w:t xml:space="preserve"> in TAZ</w:t>
      </w:r>
      <w:r w:rsidR="00CB7837" w:rsidRPr="008A07C9">
        <w:rPr>
          <w:rFonts w:cs="Times New Roman"/>
        </w:rPr>
        <w:t xml:space="preserve"> has a negative impact</w:t>
      </w:r>
      <w:r w:rsidR="00AF235F" w:rsidRPr="008A07C9">
        <w:rPr>
          <w:rFonts w:cs="Times New Roman"/>
        </w:rPr>
        <w:t xml:space="preserve"> on arrivals and departures.</w:t>
      </w:r>
      <w:r w:rsidRPr="008A07C9">
        <w:rPr>
          <w:rFonts w:cs="Times New Roman"/>
        </w:rPr>
        <w:t xml:space="preserve"> </w:t>
      </w:r>
    </w:p>
    <w:p w14:paraId="6A9BF5AA" w14:textId="77777777" w:rsidR="00E06AA2" w:rsidRDefault="00E06AA2" w:rsidP="00A678A6">
      <w:pPr>
        <w:ind w:firstLine="360"/>
        <w:rPr>
          <w:rFonts w:cs="Times New Roman"/>
        </w:rPr>
      </w:pPr>
    </w:p>
    <w:p w14:paraId="7C2C7D21" w14:textId="77777777" w:rsidR="00F6235B" w:rsidRPr="001F0B08" w:rsidRDefault="00F862FB" w:rsidP="00B509E6">
      <w:pPr>
        <w:pStyle w:val="Heading2"/>
      </w:pPr>
      <w:r w:rsidRPr="00D93020">
        <w:t xml:space="preserve">Endogeneity and Unobserved </w:t>
      </w:r>
      <w:r w:rsidR="00D03A54">
        <w:t>Heterogeneity</w:t>
      </w:r>
    </w:p>
    <w:p w14:paraId="51C95D4A" w14:textId="32EF84C6" w:rsidR="00D93077" w:rsidRDefault="00D93077" w:rsidP="0029064A">
      <w:pPr>
        <w:rPr>
          <w:rFonts w:cs="Times New Roman"/>
        </w:rPr>
      </w:pPr>
      <w:r w:rsidRPr="00D93077">
        <w:rPr>
          <w:rFonts w:cs="Times New Roman"/>
        </w:rPr>
        <w:t xml:space="preserve">The </w:t>
      </w:r>
      <w:r w:rsidR="00CC1B0B">
        <w:rPr>
          <w:rFonts w:cs="Times New Roman"/>
        </w:rPr>
        <w:t xml:space="preserve">estimated standard deviation </w:t>
      </w:r>
      <w:r w:rsidRPr="00D93077">
        <w:rPr>
          <w:rFonts w:cs="Times New Roman"/>
        </w:rPr>
        <w:t xml:space="preserve">results for </w:t>
      </w:r>
      <w:r w:rsidR="00D03A54">
        <w:rPr>
          <w:rFonts w:cs="Times New Roman"/>
        </w:rPr>
        <w:t>unobserved heterogeneity</w:t>
      </w:r>
      <w:r w:rsidRPr="00D93077">
        <w:rPr>
          <w:rFonts w:cs="Times New Roman"/>
        </w:rPr>
        <w:t xml:space="preserve"> </w:t>
      </w:r>
      <w:r w:rsidR="00733B35">
        <w:rPr>
          <w:rFonts w:cs="Times New Roman"/>
        </w:rPr>
        <w:t>as well as</w:t>
      </w:r>
      <w:r w:rsidR="00733B35" w:rsidRPr="00D93077">
        <w:rPr>
          <w:rFonts w:cs="Times New Roman"/>
        </w:rPr>
        <w:t xml:space="preserve"> </w:t>
      </w:r>
      <w:r w:rsidRPr="00D93077">
        <w:rPr>
          <w:rFonts w:cs="Times New Roman"/>
        </w:rPr>
        <w:t xml:space="preserve">endogeneity are presented at the bottom part of Table </w:t>
      </w:r>
      <w:r w:rsidR="0029064A">
        <w:rPr>
          <w:rFonts w:cs="Times New Roman"/>
        </w:rPr>
        <w:t>3</w:t>
      </w:r>
      <w:r w:rsidRPr="00D93077">
        <w:rPr>
          <w:rFonts w:cs="Times New Roman"/>
        </w:rPr>
        <w:t>.</w:t>
      </w:r>
      <w:r w:rsidR="00CC1B0B">
        <w:rPr>
          <w:rFonts w:cs="Times New Roman"/>
        </w:rPr>
        <w:t xml:space="preserve"> </w:t>
      </w:r>
      <w:r w:rsidRPr="00D93077">
        <w:rPr>
          <w:rFonts w:cs="Times New Roman"/>
        </w:rPr>
        <w:t xml:space="preserve">In the model estimation exercise, several alternative specifications have been examined </w:t>
      </w:r>
      <w:r w:rsidR="00CC1B0B">
        <w:rPr>
          <w:rFonts w:cs="Times New Roman"/>
        </w:rPr>
        <w:t xml:space="preserve">for the </w:t>
      </w:r>
      <w:r w:rsidRPr="00D93077">
        <w:rPr>
          <w:rFonts w:cs="Times New Roman"/>
        </w:rPr>
        <w:t>unobserved</w:t>
      </w:r>
      <w:r w:rsidR="00CC1B0B">
        <w:rPr>
          <w:rFonts w:cs="Times New Roman"/>
        </w:rPr>
        <w:t xml:space="preserve"> effect</w:t>
      </w:r>
      <w:r w:rsidRPr="00D93077">
        <w:rPr>
          <w:rFonts w:cs="Times New Roman"/>
        </w:rPr>
        <w:t xml:space="preserve"> variables </w:t>
      </w:r>
      <w:r>
        <w:rPr>
          <w:rFonts w:cs="Times New Roman"/>
        </w:rPr>
        <w:t>(</w:t>
      </w:r>
      <m:oMath>
        <m:r>
          <w:rPr>
            <w:rFonts w:ascii="Cambria Math" w:hAnsi="Cambria Math" w:cs="Times New Roman"/>
          </w:rPr>
          <m:t>γ,δ,λ</m:t>
        </m:r>
      </m:oMath>
      <w:r w:rsidR="007644E9">
        <w:rPr>
          <w:rFonts w:eastAsiaTheme="minorEastAsia" w:cs="Times New Roman"/>
        </w:rPr>
        <w:t>,</w:t>
      </w:r>
      <w:r w:rsidR="00CC1B0B" w:rsidRPr="008A07C9">
        <w:rPr>
          <w:rFonts w:eastAsiaTheme="minorEastAsia" w:cs="Times New Roman"/>
        </w:rPr>
        <w:t xml:space="preserve"> </w:t>
      </w:r>
      <w:r w:rsidR="007644E9">
        <w:rPr>
          <w:rFonts w:eastAsiaTheme="minorEastAsia" w:cs="Times New Roman"/>
        </w:rPr>
        <w:t xml:space="preserve">and </w:t>
      </w:r>
      <m:oMath>
        <m:r>
          <w:rPr>
            <w:rFonts w:ascii="Cambria Math" w:hAnsi="Cambria Math" w:cs="Times New Roman"/>
          </w:rPr>
          <m:t>μ</m:t>
        </m:r>
      </m:oMath>
      <w:r>
        <w:rPr>
          <w:rFonts w:cs="Times New Roman"/>
        </w:rPr>
        <w:t>)</w:t>
      </w:r>
      <w:r w:rsidR="00CC1B0B">
        <w:rPr>
          <w:rFonts w:cs="Times New Roman"/>
        </w:rPr>
        <w:t xml:space="preserve"> at the three level of variations.</w:t>
      </w:r>
      <w:r>
        <w:rPr>
          <w:rFonts w:cs="Times New Roman"/>
        </w:rPr>
        <w:t xml:space="preserve"> </w:t>
      </w:r>
      <w:r w:rsidRPr="00D93077">
        <w:rPr>
          <w:rFonts w:cs="Times New Roman"/>
        </w:rPr>
        <w:t>The specification that offered superior fit was retained</w:t>
      </w:r>
      <w:r w:rsidR="007644E9">
        <w:rPr>
          <w:rFonts w:cs="Times New Roman"/>
        </w:rPr>
        <w:t>; i.e. 10 parameters capturing common unobserved effects</w:t>
      </w:r>
      <w:r w:rsidR="00733B35">
        <w:rPr>
          <w:rFonts w:cs="Times New Roman"/>
        </w:rPr>
        <w:t xml:space="preserve"> between usage dimensions</w:t>
      </w:r>
      <w:r w:rsidR="007644E9">
        <w:rPr>
          <w:rFonts w:cs="Times New Roman"/>
        </w:rPr>
        <w:t>, and the endogeneity parameter recognizing the BSS installation impact on usage</w:t>
      </w:r>
      <w:r w:rsidRPr="00D93077">
        <w:rPr>
          <w:rFonts w:cs="Times New Roman"/>
        </w:rPr>
        <w:t>.</w:t>
      </w:r>
      <w:r w:rsidR="00CC1B0B">
        <w:rPr>
          <w:rFonts w:cs="Times New Roman"/>
        </w:rPr>
        <w:t xml:space="preserve"> The final specification has 5</w:t>
      </w:r>
      <w:r w:rsidR="007644E9">
        <w:rPr>
          <w:rFonts w:cs="Times New Roman"/>
        </w:rPr>
        <w:t xml:space="preserve"> common</w:t>
      </w:r>
      <w:r w:rsidR="00CC1B0B">
        <w:rPr>
          <w:rFonts w:cs="Times New Roman"/>
        </w:rPr>
        <w:t xml:space="preserve"> </w:t>
      </w:r>
      <w:r w:rsidR="007644E9">
        <w:rPr>
          <w:rFonts w:cs="Times New Roman"/>
        </w:rPr>
        <w:t xml:space="preserve">unobserved effect </w:t>
      </w:r>
      <w:r w:rsidR="00CC1B0B">
        <w:rPr>
          <w:rFonts w:cs="Times New Roman"/>
        </w:rPr>
        <w:t xml:space="preserve">parameters </w:t>
      </w:r>
      <w:r w:rsidR="007644E9">
        <w:rPr>
          <w:rFonts w:cs="Times New Roman"/>
        </w:rPr>
        <w:t>estimated</w:t>
      </w:r>
      <w:r w:rsidR="00733B35">
        <w:rPr>
          <w:rFonts w:cs="Times New Roman"/>
        </w:rPr>
        <w:t xml:space="preserve"> influencing arrivals and departures</w:t>
      </w:r>
      <w:r w:rsidR="007644E9">
        <w:rPr>
          <w:rFonts w:cs="Times New Roman"/>
        </w:rPr>
        <w:t xml:space="preserve"> </w:t>
      </w:r>
      <w:r w:rsidR="00CC1B0B">
        <w:rPr>
          <w:rFonts w:cs="Times New Roman"/>
        </w:rPr>
        <w:t>at</w:t>
      </w:r>
      <w:r w:rsidR="007644E9">
        <w:rPr>
          <w:rFonts w:cs="Times New Roman"/>
        </w:rPr>
        <w:t xml:space="preserve"> TAZ level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q</m:t>
            </m:r>
          </m:sub>
        </m:sSub>
        <m:r>
          <w:rPr>
            <w:rFonts w:ascii="Cambria Math" w:hAnsi="Cambria Math" w:cs="Times New Roman"/>
          </w:rPr>
          <m:t>)</m:t>
        </m:r>
      </m:oMath>
      <w:r w:rsidR="00733B35">
        <w:rPr>
          <w:rFonts w:cs="Times New Roman"/>
        </w:rPr>
        <w:t xml:space="preserve">, 2 at </w:t>
      </w:r>
      <w:r w:rsidR="00FD13D6">
        <w:rPr>
          <w:rFonts w:cs="Times New Roman"/>
        </w:rPr>
        <w:t xml:space="preserve">the TAZ - </w:t>
      </w:r>
      <w:r w:rsidR="00892A34">
        <w:rPr>
          <w:rFonts w:cs="Times New Roman"/>
        </w:rPr>
        <w:t xml:space="preserve">Day </w:t>
      </w:r>
      <w:r w:rsidR="007644E9">
        <w:rPr>
          <w:rFonts w:cs="Times New Roman"/>
        </w:rPr>
        <w:t xml:space="preserve">level </w:t>
      </w:r>
      <w:r w:rsidR="007644E9">
        <w:rPr>
          <w:rFonts w:eastAsiaTheme="minorEastAsia" w:cs="Times New Roman"/>
        </w:rPr>
        <w:t>(</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qd</m:t>
            </m:r>
          </m:sub>
        </m:sSub>
      </m:oMath>
      <w:r w:rsidR="007644E9">
        <w:rPr>
          <w:rFonts w:eastAsiaTheme="minorEastAsia" w:cs="Times New Roman"/>
        </w:rPr>
        <w:t>)</w:t>
      </w:r>
      <w:r w:rsidR="007644E9">
        <w:rPr>
          <w:rFonts w:cs="Times New Roman"/>
        </w:rPr>
        <w:t>, and 3 at</w:t>
      </w:r>
      <w:r w:rsidR="00FD13D6">
        <w:rPr>
          <w:rFonts w:cs="Times New Roman"/>
        </w:rPr>
        <w:t xml:space="preserve"> TAZ – </w:t>
      </w:r>
      <w:r w:rsidR="00892A34">
        <w:rPr>
          <w:rFonts w:cs="Times New Roman"/>
        </w:rPr>
        <w:t xml:space="preserve">Day </w:t>
      </w:r>
      <w:r w:rsidR="00FD13D6">
        <w:rPr>
          <w:rFonts w:cs="Times New Roman"/>
        </w:rPr>
        <w:t>-</w:t>
      </w:r>
      <w:r w:rsidR="007644E9">
        <w:rPr>
          <w:rFonts w:cs="Times New Roman"/>
        </w:rPr>
        <w:t xml:space="preserve"> </w:t>
      </w:r>
      <w:r w:rsidR="00892A34">
        <w:rPr>
          <w:rFonts w:cs="Times New Roman"/>
        </w:rPr>
        <w:t xml:space="preserve">Time </w:t>
      </w:r>
      <w:r w:rsidR="00733B35">
        <w:rPr>
          <w:rFonts w:cs="Times New Roman"/>
        </w:rPr>
        <w:t>period</w:t>
      </w:r>
      <w:r w:rsidR="007644E9">
        <w:rPr>
          <w:rFonts w:cs="Times New Roman"/>
        </w:rPr>
        <w:t xml:space="preserve"> level </w:t>
      </w:r>
      <w:r w:rsidR="007644E9">
        <w:rPr>
          <w:rFonts w:eastAsiaTheme="minorEastAsia" w:cs="Times New Roman"/>
        </w:rPr>
        <w:t>(</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qdt</m:t>
            </m:r>
          </m:sub>
        </m:sSub>
      </m:oMath>
      <w:r w:rsidR="007644E9">
        <w:rPr>
          <w:rFonts w:eastAsiaTheme="minorEastAsia" w:cs="Times New Roman"/>
        </w:rPr>
        <w:t>)</w:t>
      </w:r>
      <w:r w:rsidR="007644E9">
        <w:rPr>
          <w:rFonts w:cs="Times New Roman"/>
        </w:rPr>
        <w:t xml:space="preserve">. </w:t>
      </w:r>
    </w:p>
    <w:p w14:paraId="350CB4ED" w14:textId="43B48D4B" w:rsidR="00006618" w:rsidRDefault="00330C25" w:rsidP="00A90080">
      <w:pPr>
        <w:ind w:firstLine="720"/>
        <w:rPr>
          <w:rFonts w:cs="Times New Roman"/>
        </w:rPr>
      </w:pPr>
      <w:r w:rsidRPr="00330C25">
        <w:rPr>
          <w:rFonts w:cs="Times New Roman"/>
          <w:i/>
          <w:u w:val="single"/>
        </w:rPr>
        <w:t>TAZ level estimates:</w:t>
      </w:r>
      <w:r>
        <w:rPr>
          <w:rFonts w:cs="Times New Roman"/>
        </w:rPr>
        <w:t xml:space="preserve"> </w:t>
      </w:r>
      <w:r w:rsidR="00BD6C23">
        <w:rPr>
          <w:rFonts w:cs="Times New Roman"/>
        </w:rPr>
        <w:t xml:space="preserve">The </w:t>
      </w:r>
      <w:r>
        <w:rPr>
          <w:rFonts w:cs="Times New Roman"/>
        </w:rPr>
        <w:t>estimates</w:t>
      </w:r>
      <w:r w:rsidR="00BD6C23">
        <w:rPr>
          <w:rFonts w:cs="Times New Roman"/>
        </w:rPr>
        <w:t xml:space="preserve"> for </w:t>
      </w:r>
      <w:r w:rsidR="00A075C5">
        <w:rPr>
          <w:rFonts w:cs="Times New Roman"/>
        </w:rPr>
        <w:t xml:space="preserve">the </w:t>
      </w:r>
      <w:r w:rsidR="00BD6C23">
        <w:rPr>
          <w:rFonts w:cs="Times New Roman"/>
        </w:rPr>
        <w:t xml:space="preserve">standard deviation of unobserved factors </w:t>
      </w:r>
      <w:r w:rsidR="00006618">
        <w:rPr>
          <w:rFonts w:cs="Times New Roman"/>
        </w:rPr>
        <w:t>exhibit significant variability across the various TAZs in impacting usage</w:t>
      </w:r>
      <w:r w:rsidR="00BD6C23">
        <w:rPr>
          <w:rFonts w:cs="Times New Roman"/>
        </w:rPr>
        <w:t xml:space="preserve"> for several exogenous variables</w:t>
      </w:r>
      <w:r w:rsidR="00006618">
        <w:rPr>
          <w:rFonts w:cs="Times New Roman"/>
        </w:rPr>
        <w:t xml:space="preserve">. The BSSI levels (Low, Medium and High) exhibit reasonably varied impact across the region. For example, while the mean impact of BSSI Low category is 0 the parameter estimate in the unobserved heterogeneity component indicates the existence of a substantial variance of the BSSI low variable across the Montreal region. Similarly, BSSI Medium and High categories also exhibit variation across the region. </w:t>
      </w:r>
      <w:r w:rsidR="00BC49A9">
        <w:rPr>
          <w:rFonts w:cs="Times New Roman"/>
        </w:rPr>
        <w:t xml:space="preserve">It is important to note while there exists substantial variability across the three BSSI levels, the distribution </w:t>
      </w:r>
      <w:r w:rsidR="00B509E6">
        <w:rPr>
          <w:rFonts w:cs="Times New Roman"/>
        </w:rPr>
        <w:t xml:space="preserve">of </w:t>
      </w:r>
      <w:r w:rsidR="00BC49A9">
        <w:rPr>
          <w:rFonts w:cs="Times New Roman"/>
        </w:rPr>
        <w:t>parameters (mean and standard deviation) are such that for a large number of cases the relationship between three levels is along expected lines (BSSI High &gt; BSSI Med</w:t>
      </w:r>
      <w:r w:rsidR="0064058A">
        <w:rPr>
          <w:rFonts w:cs="Times New Roman"/>
        </w:rPr>
        <w:t>ium</w:t>
      </w:r>
      <w:r w:rsidR="00BC49A9">
        <w:rPr>
          <w:rFonts w:cs="Times New Roman"/>
        </w:rPr>
        <w:t xml:space="preserve"> &gt; BSSI Low)</w:t>
      </w:r>
      <w:r w:rsidR="00DD5EFF">
        <w:rPr>
          <w:rFonts w:cs="Times New Roman"/>
        </w:rPr>
        <w:t>.</w:t>
      </w:r>
      <w:r w:rsidR="00BC49A9">
        <w:rPr>
          <w:rFonts w:cs="Times New Roman"/>
        </w:rPr>
        <w:t xml:space="preserve"> </w:t>
      </w:r>
      <w:r w:rsidR="00006618">
        <w:rPr>
          <w:rFonts w:cs="Times New Roman"/>
        </w:rPr>
        <w:t xml:space="preserve">The results also indicate significant variation temporally across the TAZs. Specifically, the Night time period and Peak periods (AM and PM) exhibit large variations across the TAZs. </w:t>
      </w:r>
      <w:r w:rsidR="00762DD2">
        <w:rPr>
          <w:rFonts w:cs="Times New Roman"/>
        </w:rPr>
        <w:t xml:space="preserve">These parameter estimates confirm the presence of unobserved factors that jointly affect arrivals and departures at a TAZ level. </w:t>
      </w:r>
    </w:p>
    <w:p w14:paraId="4385C828" w14:textId="77777777" w:rsidR="00330C25" w:rsidRDefault="00330C25" w:rsidP="00912E7D">
      <w:pPr>
        <w:ind w:firstLine="720"/>
        <w:rPr>
          <w:rFonts w:cs="Times New Roman"/>
        </w:rPr>
      </w:pPr>
      <w:r w:rsidRPr="00330C25">
        <w:rPr>
          <w:rFonts w:cs="Times New Roman"/>
          <w:i/>
          <w:u w:val="single"/>
        </w:rPr>
        <w:t xml:space="preserve">TAZ – </w:t>
      </w:r>
      <w:r w:rsidR="00892A34">
        <w:rPr>
          <w:rFonts w:cs="Times New Roman"/>
          <w:i/>
          <w:u w:val="single"/>
        </w:rPr>
        <w:t>D</w:t>
      </w:r>
      <w:r w:rsidR="00892A34" w:rsidRPr="00330C25">
        <w:rPr>
          <w:rFonts w:cs="Times New Roman"/>
          <w:i/>
          <w:u w:val="single"/>
        </w:rPr>
        <w:t xml:space="preserve">ay </w:t>
      </w:r>
      <w:r w:rsidRPr="00330C25">
        <w:rPr>
          <w:rFonts w:cs="Times New Roman"/>
          <w:i/>
          <w:u w:val="single"/>
        </w:rPr>
        <w:t>level estimates:</w:t>
      </w:r>
      <w:r w:rsidRPr="00330C25">
        <w:rPr>
          <w:rFonts w:cs="Times New Roman"/>
        </w:rPr>
        <w:t xml:space="preserve"> </w:t>
      </w:r>
      <w:r>
        <w:rPr>
          <w:rFonts w:cs="Times New Roman"/>
        </w:rPr>
        <w:t>W</w:t>
      </w:r>
      <w:r w:rsidR="0008042B">
        <w:rPr>
          <w:rFonts w:cs="Times New Roman"/>
        </w:rPr>
        <w:t xml:space="preserve">e observe significant variability in the usage </w:t>
      </w:r>
      <w:r>
        <w:rPr>
          <w:rFonts w:cs="Times New Roman"/>
        </w:rPr>
        <w:t>for</w:t>
      </w:r>
      <w:r w:rsidR="0008042B">
        <w:rPr>
          <w:rFonts w:cs="Times New Roman"/>
        </w:rPr>
        <w:t xml:space="preserve"> each day</w:t>
      </w:r>
      <w:r w:rsidR="00942096">
        <w:rPr>
          <w:rFonts w:cs="Times New Roman"/>
        </w:rPr>
        <w:t xml:space="preserve"> across the TAZs highlight</w:t>
      </w:r>
      <w:r>
        <w:rPr>
          <w:rFonts w:cs="Times New Roman"/>
        </w:rPr>
        <w:t>ed</w:t>
      </w:r>
      <w:r w:rsidR="00942096">
        <w:rPr>
          <w:rFonts w:cs="Times New Roman"/>
        </w:rPr>
        <w:t xml:space="preserve"> by </w:t>
      </w:r>
      <w:r>
        <w:rPr>
          <w:rFonts w:cs="Times New Roman"/>
        </w:rPr>
        <w:t xml:space="preserve">the unobserved effect for a </w:t>
      </w:r>
      <w:r w:rsidR="00942096">
        <w:rPr>
          <w:rFonts w:cs="Times New Roman"/>
        </w:rPr>
        <w:t xml:space="preserve">constant </w:t>
      </w:r>
      <w:r>
        <w:rPr>
          <w:rFonts w:cs="Times New Roman"/>
        </w:rPr>
        <w:t xml:space="preserve">term </w:t>
      </w:r>
      <w:r w:rsidR="00942096">
        <w:rPr>
          <w:rFonts w:cs="Times New Roman"/>
        </w:rPr>
        <w:t>at the day level. The results also demonstrate significant variation in the impact of bicycle facility density variable.</w:t>
      </w:r>
      <w:r w:rsidR="001F7B54">
        <w:rPr>
          <w:rFonts w:cs="Times New Roman"/>
        </w:rPr>
        <w:t xml:space="preserve"> </w:t>
      </w:r>
      <w:r w:rsidR="008C20C4">
        <w:rPr>
          <w:rFonts w:cs="Times New Roman"/>
        </w:rPr>
        <w:t xml:space="preserve">While the bicycle facility density variable is a TAZ specific variable, the random parameter is significant for the </w:t>
      </w:r>
      <w:r w:rsidR="00BC45DF" w:rsidRPr="00BC45DF">
        <w:rPr>
          <w:rFonts w:cs="Times New Roman"/>
        </w:rPr>
        <w:t xml:space="preserve">TAZ – </w:t>
      </w:r>
      <w:r w:rsidR="00892A34">
        <w:rPr>
          <w:rFonts w:cs="Times New Roman"/>
        </w:rPr>
        <w:t>D</w:t>
      </w:r>
      <w:r w:rsidR="00892A34" w:rsidRPr="00BC45DF">
        <w:rPr>
          <w:rFonts w:cs="Times New Roman"/>
        </w:rPr>
        <w:t xml:space="preserve">ay </w:t>
      </w:r>
      <w:r w:rsidR="00BC45DF" w:rsidRPr="00BC45DF">
        <w:rPr>
          <w:rFonts w:cs="Times New Roman"/>
        </w:rPr>
        <w:t>level</w:t>
      </w:r>
      <w:r w:rsidR="00BC45DF">
        <w:rPr>
          <w:rFonts w:cs="Times New Roman"/>
        </w:rPr>
        <w:t xml:space="preserve"> highlighting how the unobserved heterogeneity of exogenous variable can be at a different resolution.</w:t>
      </w:r>
    </w:p>
    <w:p w14:paraId="7E5C7B1F" w14:textId="50D8CF3D" w:rsidR="0008042B" w:rsidRDefault="00330C25" w:rsidP="00912E7D">
      <w:pPr>
        <w:ind w:firstLine="720"/>
        <w:rPr>
          <w:rFonts w:cs="Times New Roman"/>
        </w:rPr>
      </w:pPr>
      <w:r w:rsidRPr="00330C25">
        <w:rPr>
          <w:rFonts w:cs="Times New Roman"/>
          <w:i/>
          <w:u w:val="single"/>
        </w:rPr>
        <w:t xml:space="preserve">TAZ – </w:t>
      </w:r>
      <w:r w:rsidR="00892A34">
        <w:rPr>
          <w:rFonts w:cs="Times New Roman"/>
          <w:i/>
          <w:u w:val="single"/>
        </w:rPr>
        <w:t>D</w:t>
      </w:r>
      <w:r w:rsidR="00892A34" w:rsidRPr="00330C25">
        <w:rPr>
          <w:rFonts w:cs="Times New Roman"/>
          <w:i/>
          <w:u w:val="single"/>
        </w:rPr>
        <w:t xml:space="preserve">ay </w:t>
      </w:r>
      <w:r>
        <w:rPr>
          <w:rFonts w:cs="Times New Roman"/>
          <w:i/>
          <w:u w:val="single"/>
        </w:rPr>
        <w:t xml:space="preserve">– </w:t>
      </w:r>
      <w:r w:rsidR="00892A34">
        <w:rPr>
          <w:rFonts w:cs="Times New Roman"/>
          <w:i/>
          <w:u w:val="single"/>
        </w:rPr>
        <w:t xml:space="preserve">Time </w:t>
      </w:r>
      <w:r>
        <w:rPr>
          <w:rFonts w:cs="Times New Roman"/>
          <w:i/>
          <w:u w:val="single"/>
        </w:rPr>
        <w:t xml:space="preserve">period </w:t>
      </w:r>
      <w:r w:rsidRPr="00330C25">
        <w:rPr>
          <w:rFonts w:cs="Times New Roman"/>
          <w:i/>
          <w:u w:val="single"/>
        </w:rPr>
        <w:t>level estimates:</w:t>
      </w:r>
      <w:r w:rsidRPr="00330C25">
        <w:rPr>
          <w:rFonts w:cs="Times New Roman"/>
        </w:rPr>
        <w:t xml:space="preserve"> </w:t>
      </w:r>
      <w:r>
        <w:rPr>
          <w:rFonts w:cs="Times New Roman"/>
        </w:rPr>
        <w:t>T</w:t>
      </w:r>
      <w:r w:rsidR="001F7B54">
        <w:rPr>
          <w:rFonts w:cs="Times New Roman"/>
        </w:rPr>
        <w:t xml:space="preserve">he results </w:t>
      </w:r>
      <w:r>
        <w:rPr>
          <w:rFonts w:cs="Times New Roman"/>
        </w:rPr>
        <w:t xml:space="preserve">for model estimation at the finest resolution indicate the presence of </w:t>
      </w:r>
      <w:r w:rsidR="001F7B54">
        <w:rPr>
          <w:rFonts w:cs="Times New Roman"/>
        </w:rPr>
        <w:t xml:space="preserve">significant variations across </w:t>
      </w:r>
      <w:r>
        <w:rPr>
          <w:rFonts w:cs="Times New Roman"/>
        </w:rPr>
        <w:t>time periods. There is an overall unobserved effect captured by the constant term</w:t>
      </w:r>
      <w:r w:rsidR="001F7B54">
        <w:rPr>
          <w:rFonts w:cs="Times New Roman"/>
        </w:rPr>
        <w:t>.</w:t>
      </w:r>
      <w:r>
        <w:rPr>
          <w:rFonts w:cs="Times New Roman"/>
        </w:rPr>
        <w:t xml:space="preserve"> Further, t</w:t>
      </w:r>
      <w:r w:rsidR="001F7B54">
        <w:rPr>
          <w:rFonts w:cs="Times New Roman"/>
        </w:rPr>
        <w:t>he population and job density variables also revea</w:t>
      </w:r>
      <w:r>
        <w:rPr>
          <w:rFonts w:cs="Times New Roman"/>
        </w:rPr>
        <w:t>l substantial variability at this resolution</w:t>
      </w:r>
      <w:r w:rsidR="001F7B54">
        <w:rPr>
          <w:rFonts w:cs="Times New Roman"/>
        </w:rPr>
        <w:t xml:space="preserve">. </w:t>
      </w:r>
      <w:r>
        <w:rPr>
          <w:rFonts w:cs="Times New Roman"/>
        </w:rPr>
        <w:t>The results indicate that although population and job density variables are time invariant variable</w:t>
      </w:r>
      <w:r w:rsidR="00B509E6">
        <w:rPr>
          <w:rFonts w:cs="Times New Roman"/>
        </w:rPr>
        <w:t>s</w:t>
      </w:r>
      <w:r>
        <w:rPr>
          <w:rFonts w:cs="Times New Roman"/>
        </w:rPr>
        <w:t xml:space="preserve">, their effects vary for every time period; thus highlighting how the influence of population and job density can be affected by time period. </w:t>
      </w:r>
      <w:r w:rsidR="001F7B54">
        <w:rPr>
          <w:rFonts w:cs="Times New Roman"/>
        </w:rPr>
        <w:t xml:space="preserve">The existence of </w:t>
      </w:r>
      <w:r>
        <w:rPr>
          <w:rFonts w:cs="Times New Roman"/>
        </w:rPr>
        <w:t xml:space="preserve">such multi-level </w:t>
      </w:r>
      <w:r w:rsidR="001F7B54">
        <w:rPr>
          <w:rFonts w:cs="Times New Roman"/>
        </w:rPr>
        <w:t>variation</w:t>
      </w:r>
      <w:r>
        <w:rPr>
          <w:rFonts w:cs="Times New Roman"/>
        </w:rPr>
        <w:t>s</w:t>
      </w:r>
      <w:r w:rsidR="001F7B54">
        <w:rPr>
          <w:rFonts w:cs="Times New Roman"/>
        </w:rPr>
        <w:t xml:space="preserve"> support</w:t>
      </w:r>
      <w:r>
        <w:rPr>
          <w:rFonts w:cs="Times New Roman"/>
        </w:rPr>
        <w:t xml:space="preserve">s our hypothesis that </w:t>
      </w:r>
      <w:r w:rsidR="001F7B54">
        <w:rPr>
          <w:rFonts w:cs="Times New Roman"/>
        </w:rPr>
        <w:t>decomposing the unobserved effects</w:t>
      </w:r>
      <w:r w:rsidR="00346B15">
        <w:rPr>
          <w:rFonts w:cs="Times New Roman"/>
        </w:rPr>
        <w:t xml:space="preserve"> </w:t>
      </w:r>
      <w:r>
        <w:rPr>
          <w:rFonts w:cs="Times New Roman"/>
        </w:rPr>
        <w:t>is beneficial</w:t>
      </w:r>
      <w:r w:rsidR="00346B15">
        <w:rPr>
          <w:rFonts w:cs="Times New Roman"/>
        </w:rPr>
        <w:t>. The population, job, or bicycle facility density variables did not have significant variation when we consider</w:t>
      </w:r>
      <w:r>
        <w:rPr>
          <w:rFonts w:cs="Times New Roman"/>
        </w:rPr>
        <w:t>ed</w:t>
      </w:r>
      <w:r w:rsidR="00346B15">
        <w:rPr>
          <w:rFonts w:cs="Times New Roman"/>
        </w:rPr>
        <w:t xml:space="preserve"> them at the TAZ level variation. However, by employing </w:t>
      </w:r>
      <w:r w:rsidR="00346B15">
        <w:rPr>
          <w:rFonts w:cs="Times New Roman"/>
        </w:rPr>
        <w:lastRenderedPageBreak/>
        <w:t xml:space="preserve">different levels in the specification of unobserved effects, we can </w:t>
      </w:r>
      <w:r>
        <w:rPr>
          <w:rFonts w:cs="Times New Roman"/>
        </w:rPr>
        <w:t xml:space="preserve">capture </w:t>
      </w:r>
      <w:r w:rsidR="00346B15">
        <w:rPr>
          <w:rFonts w:cs="Times New Roman"/>
        </w:rPr>
        <w:t>the impact of these variables</w:t>
      </w:r>
      <w:r>
        <w:rPr>
          <w:rFonts w:cs="Times New Roman"/>
        </w:rPr>
        <w:t xml:space="preserve"> better</w:t>
      </w:r>
      <w:r w:rsidR="00346B15">
        <w:rPr>
          <w:rFonts w:cs="Times New Roman"/>
        </w:rPr>
        <w:t>.</w:t>
      </w:r>
      <w:r w:rsidR="00750614">
        <w:rPr>
          <w:rFonts w:cs="Times New Roman"/>
        </w:rPr>
        <w:t xml:space="preserve"> </w:t>
      </w:r>
    </w:p>
    <w:p w14:paraId="3CEC573D" w14:textId="28934143" w:rsidR="0040278D" w:rsidRDefault="00330C25" w:rsidP="0029064A">
      <w:pPr>
        <w:ind w:firstLine="720"/>
        <w:rPr>
          <w:rFonts w:cs="Times New Roman"/>
        </w:rPr>
      </w:pPr>
      <w:r>
        <w:rPr>
          <w:rFonts w:cs="Times New Roman"/>
          <w:i/>
          <w:u w:val="single"/>
        </w:rPr>
        <w:t>Endogeneity variable</w:t>
      </w:r>
      <w:r w:rsidRPr="00330C25">
        <w:rPr>
          <w:rFonts w:cs="Times New Roman"/>
          <w:i/>
          <w:u w:val="single"/>
        </w:rPr>
        <w:t>:</w:t>
      </w:r>
      <w:r w:rsidRPr="00330C25">
        <w:rPr>
          <w:rFonts w:cs="Times New Roman"/>
        </w:rPr>
        <w:t xml:space="preserve"> </w:t>
      </w:r>
      <w:r w:rsidR="00762DD2">
        <w:rPr>
          <w:rFonts w:cs="Times New Roman"/>
        </w:rPr>
        <w:t xml:space="preserve">The final row of Table </w:t>
      </w:r>
      <w:r w:rsidR="0029064A">
        <w:rPr>
          <w:rFonts w:cs="Times New Roman"/>
        </w:rPr>
        <w:t xml:space="preserve">3 </w:t>
      </w:r>
      <w:r w:rsidR="00762DD2">
        <w:rPr>
          <w:rFonts w:cs="Times New Roman"/>
        </w:rPr>
        <w:t>presents the</w:t>
      </w:r>
      <w:r w:rsidR="00346B15">
        <w:rPr>
          <w:rFonts w:cs="Times New Roman"/>
        </w:rPr>
        <w:t xml:space="preserve"> standard deviation</w:t>
      </w:r>
      <w:r w:rsidR="00762DD2">
        <w:rPr>
          <w:rFonts w:cs="Times New Roman"/>
        </w:rPr>
        <w:t xml:space="preserve"> estimate related to the endog</w:t>
      </w:r>
      <w:r w:rsidR="009D29C7">
        <w:rPr>
          <w:rFonts w:cs="Times New Roman"/>
        </w:rPr>
        <w:t>e</w:t>
      </w:r>
      <w:r w:rsidR="00762DD2">
        <w:rPr>
          <w:rFonts w:cs="Times New Roman"/>
        </w:rPr>
        <w:t>neity component of the 3PM</w:t>
      </w:r>
      <w:r w:rsidR="00FD13D6">
        <w:rPr>
          <w:rFonts w:cs="Times New Roman"/>
        </w:rPr>
        <w:t>M</w:t>
      </w:r>
      <w:r w:rsidR="00762DD2">
        <w:rPr>
          <w:rFonts w:cs="Times New Roman"/>
        </w:rPr>
        <w:t>OL model</w:t>
      </w:r>
      <w:r w:rsidR="000B0F03">
        <w:rPr>
          <w:rFonts w:cs="Times New Roman"/>
        </w:rPr>
        <w:t xml:space="preserve"> with a positive sign in usage equations</w:t>
      </w:r>
      <w:r w:rsidR="00762DD2">
        <w:rPr>
          <w:rFonts w:cs="Times New Roman"/>
        </w:rPr>
        <w:t xml:space="preserve">. The </w:t>
      </w:r>
      <w:r w:rsidR="001445D7">
        <w:rPr>
          <w:rFonts w:cs="Times New Roman"/>
        </w:rPr>
        <w:t>magnitude and significance of the endogeneity parameter</w:t>
      </w:r>
      <w:r w:rsidR="00762DD2">
        <w:rPr>
          <w:rFonts w:cs="Times New Roman"/>
        </w:rPr>
        <w:t xml:space="preserve"> indicate the presence of </w:t>
      </w:r>
      <w:r w:rsidR="001445D7">
        <w:rPr>
          <w:rFonts w:cs="Times New Roman"/>
        </w:rPr>
        <w:t>the impact of BSS installation process on usage. More significantly, the introduction of the endogeneity component substantially reduces the magnitude of the BSSI variables in the model (relative to the estimates in 3OL</w:t>
      </w:r>
      <w:r w:rsidR="00F21769">
        <w:rPr>
          <w:rFonts w:cs="Times New Roman"/>
        </w:rPr>
        <w:t>, 2PMOL</w:t>
      </w:r>
      <w:r w:rsidR="001445D7">
        <w:rPr>
          <w:rFonts w:cs="Times New Roman"/>
        </w:rPr>
        <w:t xml:space="preserve"> and 2P</w:t>
      </w:r>
      <w:r>
        <w:rPr>
          <w:rFonts w:cs="Times New Roman"/>
        </w:rPr>
        <w:t>M</w:t>
      </w:r>
      <w:r w:rsidR="001445D7">
        <w:rPr>
          <w:rFonts w:cs="Times New Roman"/>
        </w:rPr>
        <w:t>MOL models). Th</w:t>
      </w:r>
      <w:r w:rsidR="000E1385">
        <w:rPr>
          <w:rFonts w:cs="Times New Roman"/>
        </w:rPr>
        <w:t>is</w:t>
      </w:r>
      <w:r w:rsidR="001445D7">
        <w:rPr>
          <w:rFonts w:cs="Times New Roman"/>
        </w:rPr>
        <w:t xml:space="preserve"> reduction in magnitude (</w:t>
      </w:r>
      <w:r w:rsidR="00346B15">
        <w:rPr>
          <w:rFonts w:cs="Times New Roman"/>
        </w:rPr>
        <w:t xml:space="preserve">which </w:t>
      </w:r>
      <w:r>
        <w:rPr>
          <w:rFonts w:cs="Times New Roman"/>
        </w:rPr>
        <w:t xml:space="preserve">is further </w:t>
      </w:r>
      <w:r w:rsidR="001445D7">
        <w:rPr>
          <w:rFonts w:cs="Times New Roman"/>
        </w:rPr>
        <w:t xml:space="preserve">confirmed </w:t>
      </w:r>
      <w:r w:rsidR="00346B15">
        <w:rPr>
          <w:rFonts w:cs="Times New Roman"/>
        </w:rPr>
        <w:t xml:space="preserve">and presented </w:t>
      </w:r>
      <w:r w:rsidR="001445D7">
        <w:rPr>
          <w:rFonts w:cs="Times New Roman"/>
        </w:rPr>
        <w:t xml:space="preserve">through elasticity analysis in </w:t>
      </w:r>
      <w:r w:rsidR="000E1385">
        <w:rPr>
          <w:rFonts w:cs="Times New Roman"/>
        </w:rPr>
        <w:t>next s</w:t>
      </w:r>
      <w:r w:rsidR="001445D7">
        <w:rPr>
          <w:rFonts w:cs="Times New Roman"/>
        </w:rPr>
        <w:t>ection) supports our hypothesis that ignoring the BSS installation process results in over-estimating the impact of BSS infrastructure while under-estimating the impact of other exogenous variables.</w:t>
      </w:r>
    </w:p>
    <w:p w14:paraId="6DB50742" w14:textId="77777777" w:rsidR="003C62D5" w:rsidRPr="00D93020" w:rsidRDefault="001445D7" w:rsidP="00B509E6">
      <w:pPr>
        <w:pStyle w:val="Heading2"/>
      </w:pPr>
      <w:r w:rsidRPr="00D93020">
        <w:t xml:space="preserve">Elasticity </w:t>
      </w:r>
      <w:r w:rsidR="004D6ABC" w:rsidRPr="00D93020">
        <w:t>Effects</w:t>
      </w:r>
    </w:p>
    <w:p w14:paraId="54E4716D" w14:textId="4C39C8FC" w:rsidR="00F96078" w:rsidRPr="008A07C9" w:rsidRDefault="003C62D5" w:rsidP="00C21034">
      <w:pPr>
        <w:autoSpaceDE w:val="0"/>
        <w:autoSpaceDN w:val="0"/>
        <w:adjustRightInd w:val="0"/>
        <w:ind w:left="6"/>
        <w:rPr>
          <w:rFonts w:cs="Times New Roman"/>
        </w:rPr>
      </w:pPr>
      <w:r w:rsidRPr="008A07C9">
        <w:rPr>
          <w:rFonts w:cs="Times New Roman"/>
        </w:rPr>
        <w:t xml:space="preserve">The </w:t>
      </w:r>
      <w:r w:rsidR="00CB7837" w:rsidRPr="008A07C9">
        <w:rPr>
          <w:rFonts w:cs="Times New Roman"/>
        </w:rPr>
        <w:t>proposed approach focuses</w:t>
      </w:r>
      <w:r w:rsidR="004D6ABC" w:rsidRPr="008A07C9">
        <w:rPr>
          <w:rFonts w:cs="Times New Roman"/>
        </w:rPr>
        <w:t xml:space="preserve"> on </w:t>
      </w:r>
      <w:r w:rsidR="000707EC">
        <w:rPr>
          <w:rFonts w:cs="Times New Roman"/>
        </w:rPr>
        <w:t>accounting for</w:t>
      </w:r>
      <w:r w:rsidR="004D6ABC" w:rsidRPr="008A07C9">
        <w:rPr>
          <w:rFonts w:cs="Times New Roman"/>
        </w:rPr>
        <w:t xml:space="preserve"> the influence of </w:t>
      </w:r>
      <w:r w:rsidR="00A075C5">
        <w:rPr>
          <w:rFonts w:cs="Times New Roman"/>
        </w:rPr>
        <w:t xml:space="preserve">the </w:t>
      </w:r>
      <w:r w:rsidR="004D6ABC" w:rsidRPr="008A07C9">
        <w:rPr>
          <w:rFonts w:cs="Times New Roman"/>
        </w:rPr>
        <w:t>bicycle</w:t>
      </w:r>
      <w:r w:rsidR="00CB7837" w:rsidRPr="008A07C9">
        <w:rPr>
          <w:rFonts w:cs="Times New Roman"/>
        </w:rPr>
        <w:t>-sharing</w:t>
      </w:r>
      <w:r w:rsidR="004D6ABC" w:rsidRPr="008A07C9">
        <w:rPr>
          <w:rFonts w:cs="Times New Roman"/>
        </w:rPr>
        <w:t xml:space="preserve"> </w:t>
      </w:r>
      <w:r w:rsidR="00147DD2" w:rsidRPr="008A07C9">
        <w:rPr>
          <w:rFonts w:cs="Times New Roman"/>
        </w:rPr>
        <w:t xml:space="preserve">infrastructure </w:t>
      </w:r>
      <w:r w:rsidR="004D6ABC" w:rsidRPr="008A07C9">
        <w:rPr>
          <w:rFonts w:cs="Times New Roman"/>
        </w:rPr>
        <w:t>installation process on the usage models</w:t>
      </w:r>
      <w:r w:rsidR="00CB7837" w:rsidRPr="008A07C9">
        <w:rPr>
          <w:rFonts w:cs="Times New Roman"/>
        </w:rPr>
        <w:t xml:space="preserve"> while recognizing the effect of bicycle-sharing infrastructure itself on the arrival and departure rates</w:t>
      </w:r>
      <w:r w:rsidR="004D6ABC" w:rsidRPr="008A07C9">
        <w:rPr>
          <w:rFonts w:cs="Times New Roman"/>
        </w:rPr>
        <w:t xml:space="preserve">. </w:t>
      </w:r>
      <w:r w:rsidR="001445D7">
        <w:rPr>
          <w:rFonts w:cs="Times New Roman"/>
        </w:rPr>
        <w:t xml:space="preserve">To further examine the model results obtained, we conduct an elasticity analysis </w:t>
      </w:r>
      <w:r w:rsidR="004D6ABC" w:rsidRPr="008A07C9">
        <w:rPr>
          <w:rFonts w:cs="Times New Roman"/>
        </w:rPr>
        <w:t>for a select set of exogenous variables</w:t>
      </w:r>
      <w:r w:rsidR="001445D7">
        <w:rPr>
          <w:rFonts w:cs="Times New Roman"/>
        </w:rPr>
        <w:t>. The elasticity measures are computed</w:t>
      </w:r>
      <w:r w:rsidR="004D6ABC" w:rsidRPr="008A07C9">
        <w:rPr>
          <w:rFonts w:cs="Times New Roman"/>
        </w:rPr>
        <w:t xml:space="preserve"> by calculating the percentage change in the</w:t>
      </w:r>
      <w:r w:rsidR="00667394">
        <w:rPr>
          <w:rFonts w:cs="Times New Roman"/>
        </w:rPr>
        <w:t xml:space="preserve"> TAZ</w:t>
      </w:r>
      <w:r w:rsidR="004D6ABC" w:rsidRPr="008A07C9">
        <w:rPr>
          <w:rFonts w:cs="Times New Roman"/>
        </w:rPr>
        <w:t xml:space="preserve"> </w:t>
      </w:r>
      <w:r w:rsidR="00BB231A" w:rsidRPr="008A07C9">
        <w:rPr>
          <w:rFonts w:cs="Times New Roman"/>
        </w:rPr>
        <w:t xml:space="preserve">bicycle </w:t>
      </w:r>
      <w:r w:rsidR="00B75447" w:rsidRPr="008A07C9">
        <w:rPr>
          <w:rFonts w:cs="Times New Roman"/>
        </w:rPr>
        <w:t>arrivals and</w:t>
      </w:r>
      <w:r w:rsidR="00C21034" w:rsidRPr="008A07C9">
        <w:rPr>
          <w:rFonts w:cs="Times New Roman"/>
        </w:rPr>
        <w:t xml:space="preserve"> </w:t>
      </w:r>
      <w:r w:rsidR="004D6ABC" w:rsidRPr="008A07C9">
        <w:rPr>
          <w:rFonts w:cs="Times New Roman"/>
        </w:rPr>
        <w:t xml:space="preserve">departures due to the change in </w:t>
      </w:r>
      <w:r w:rsidR="00CB7837" w:rsidRPr="008A07C9">
        <w:rPr>
          <w:rFonts w:cs="Times New Roman"/>
        </w:rPr>
        <w:t xml:space="preserve">the </w:t>
      </w:r>
      <w:r w:rsidR="004D6ABC" w:rsidRPr="008A07C9">
        <w:rPr>
          <w:rFonts w:cs="Times New Roman"/>
        </w:rPr>
        <w:t xml:space="preserve">exogenous variables. </w:t>
      </w:r>
      <w:r w:rsidR="00DD5EFF">
        <w:rPr>
          <w:rFonts w:cs="Times New Roman"/>
        </w:rPr>
        <w:t xml:space="preserve">The elasticity computation is conducted by computing the difference in the probability distribution for the ordered alternatives and multiplying it with the mean value of the category. </w:t>
      </w:r>
      <w:r w:rsidR="000707EC">
        <w:rPr>
          <w:rFonts w:cs="Times New Roman"/>
        </w:rPr>
        <w:t xml:space="preserve">Rather than employ a point estimation of elasticity approach, we consider estimating the distribution of the elasticity effects (see Eluru et al., 2008 for a similar exercise in a different context). </w:t>
      </w:r>
      <w:r w:rsidR="00C21034" w:rsidRPr="008A07C9">
        <w:rPr>
          <w:rFonts w:cs="Times New Roman"/>
        </w:rPr>
        <w:t xml:space="preserve">These measures are computed for the entire sample as well as for the specific time periods of AM and PM. </w:t>
      </w:r>
      <w:r w:rsidR="00F96078" w:rsidRPr="008A07C9">
        <w:rPr>
          <w:rFonts w:cs="Times New Roman"/>
        </w:rPr>
        <w:t xml:space="preserve">The </w:t>
      </w:r>
      <w:r w:rsidR="00D32B68" w:rsidRPr="008A07C9">
        <w:rPr>
          <w:rFonts w:cs="Times New Roman"/>
        </w:rPr>
        <w:t>scenarios</w:t>
      </w:r>
      <w:r w:rsidR="00F96078" w:rsidRPr="008A07C9">
        <w:rPr>
          <w:rFonts w:cs="Times New Roman"/>
        </w:rPr>
        <w:t xml:space="preserve"> considered include</w:t>
      </w:r>
      <w:r w:rsidR="00CB7837" w:rsidRPr="008A07C9">
        <w:rPr>
          <w:rFonts w:cs="Times New Roman"/>
        </w:rPr>
        <w:t>:</w:t>
      </w:r>
      <w:r w:rsidR="00F96078" w:rsidRPr="008A07C9">
        <w:rPr>
          <w:rFonts w:cs="Times New Roman"/>
        </w:rPr>
        <w:t xml:space="preserve"> a) </w:t>
      </w:r>
      <w:r w:rsidR="00D32B68" w:rsidRPr="008A07C9">
        <w:rPr>
          <w:rFonts w:cs="Times New Roman"/>
        </w:rPr>
        <w:t xml:space="preserve">increasing </w:t>
      </w:r>
      <w:r w:rsidR="001445D7" w:rsidRPr="009D29C7">
        <w:rPr>
          <w:rFonts w:cs="Times New Roman"/>
          <w:i/>
        </w:rPr>
        <w:t>only</w:t>
      </w:r>
      <w:r w:rsidR="001445D7">
        <w:rPr>
          <w:rFonts w:cs="Times New Roman"/>
        </w:rPr>
        <w:t xml:space="preserve"> </w:t>
      </w:r>
      <w:r w:rsidR="00D32B68" w:rsidRPr="008A07C9">
        <w:rPr>
          <w:rFonts w:cs="Times New Roman"/>
        </w:rPr>
        <w:t xml:space="preserve">the </w:t>
      </w:r>
      <w:r w:rsidR="00F96078" w:rsidRPr="008A07C9">
        <w:rPr>
          <w:rFonts w:cs="Times New Roman"/>
        </w:rPr>
        <w:t>number of stations</w:t>
      </w:r>
      <w:r w:rsidR="00D32B68" w:rsidRPr="008A07C9">
        <w:rPr>
          <w:rFonts w:cs="Times New Roman"/>
        </w:rPr>
        <w:t xml:space="preserve"> in</w:t>
      </w:r>
      <w:r w:rsidR="00667394">
        <w:rPr>
          <w:rFonts w:cs="Times New Roman"/>
        </w:rPr>
        <w:t xml:space="preserve"> a</w:t>
      </w:r>
      <w:r w:rsidR="00D32B68" w:rsidRPr="008A07C9">
        <w:rPr>
          <w:rFonts w:cs="Times New Roman"/>
        </w:rPr>
        <w:t xml:space="preserve"> TAZ without increasing the capacity in </w:t>
      </w:r>
      <w:r w:rsidR="00667394">
        <w:rPr>
          <w:rFonts w:cs="Times New Roman"/>
        </w:rPr>
        <w:t xml:space="preserve">a </w:t>
      </w:r>
      <w:r w:rsidR="00D32B68" w:rsidRPr="008A07C9">
        <w:rPr>
          <w:rFonts w:cs="Times New Roman"/>
        </w:rPr>
        <w:t xml:space="preserve">TAZ, i.e., reallocating </w:t>
      </w:r>
      <w:r w:rsidR="00C21034" w:rsidRPr="008A07C9">
        <w:rPr>
          <w:rFonts w:cs="Times New Roman"/>
        </w:rPr>
        <w:t xml:space="preserve">current </w:t>
      </w:r>
      <w:r w:rsidR="00D32B68" w:rsidRPr="008A07C9">
        <w:rPr>
          <w:rFonts w:cs="Times New Roman"/>
        </w:rPr>
        <w:t>capacity to add new stations</w:t>
      </w:r>
      <w:r w:rsidR="00F96078" w:rsidRPr="008A07C9">
        <w:rPr>
          <w:rFonts w:cs="Times New Roman"/>
        </w:rPr>
        <w:t xml:space="preserve">, b) </w:t>
      </w:r>
      <w:r w:rsidR="00D32B68" w:rsidRPr="008A07C9">
        <w:rPr>
          <w:rFonts w:cs="Times New Roman"/>
        </w:rPr>
        <w:t xml:space="preserve">increasing </w:t>
      </w:r>
      <w:r w:rsidR="001445D7" w:rsidRPr="009D29C7">
        <w:rPr>
          <w:rFonts w:cs="Times New Roman"/>
          <w:i/>
        </w:rPr>
        <w:t>only</w:t>
      </w:r>
      <w:r w:rsidR="001445D7">
        <w:rPr>
          <w:rFonts w:cs="Times New Roman"/>
        </w:rPr>
        <w:t xml:space="preserve"> </w:t>
      </w:r>
      <w:r w:rsidR="00D32B68" w:rsidRPr="008A07C9">
        <w:rPr>
          <w:rFonts w:cs="Times New Roman"/>
        </w:rPr>
        <w:t xml:space="preserve">the </w:t>
      </w:r>
      <w:r w:rsidR="00F96078" w:rsidRPr="008A07C9">
        <w:rPr>
          <w:rFonts w:cs="Times New Roman"/>
        </w:rPr>
        <w:t>capacity</w:t>
      </w:r>
      <w:r w:rsidR="00D32B68" w:rsidRPr="008A07C9">
        <w:rPr>
          <w:rFonts w:cs="Times New Roman"/>
        </w:rPr>
        <w:t xml:space="preserve"> in</w:t>
      </w:r>
      <w:r w:rsidR="00667394">
        <w:rPr>
          <w:rFonts w:cs="Times New Roman"/>
        </w:rPr>
        <w:t xml:space="preserve"> a</w:t>
      </w:r>
      <w:r w:rsidR="00D32B68" w:rsidRPr="008A07C9">
        <w:rPr>
          <w:rFonts w:cs="Times New Roman"/>
        </w:rPr>
        <w:t xml:space="preserve"> TAZ without increasing the number of stations in </w:t>
      </w:r>
      <w:r w:rsidR="00667394">
        <w:rPr>
          <w:rFonts w:cs="Times New Roman"/>
        </w:rPr>
        <w:t xml:space="preserve">a </w:t>
      </w:r>
      <w:r w:rsidR="00D32B68" w:rsidRPr="008A07C9">
        <w:rPr>
          <w:rFonts w:cs="Times New Roman"/>
        </w:rPr>
        <w:t>TAZ</w:t>
      </w:r>
      <w:r w:rsidR="00F96078" w:rsidRPr="008A07C9">
        <w:rPr>
          <w:rFonts w:cs="Times New Roman"/>
        </w:rPr>
        <w:t>, c)</w:t>
      </w:r>
      <w:r w:rsidR="00D32B68" w:rsidRPr="008A07C9">
        <w:rPr>
          <w:rFonts w:cs="Times New Roman"/>
        </w:rPr>
        <w:t xml:space="preserve"> increasing </w:t>
      </w:r>
      <w:r w:rsidR="00CB7837" w:rsidRPr="008A07C9">
        <w:rPr>
          <w:rFonts w:cs="Times New Roman"/>
        </w:rPr>
        <w:t>number of stations and capacity</w:t>
      </w:r>
      <w:r w:rsidR="00D32B68" w:rsidRPr="008A07C9">
        <w:rPr>
          <w:rFonts w:cs="Times New Roman"/>
        </w:rPr>
        <w:t xml:space="preserve"> in </w:t>
      </w:r>
      <w:r w:rsidR="00667394">
        <w:rPr>
          <w:rFonts w:cs="Times New Roman"/>
        </w:rPr>
        <w:t xml:space="preserve">a </w:t>
      </w:r>
      <w:r w:rsidR="00D32B68" w:rsidRPr="008A07C9">
        <w:rPr>
          <w:rFonts w:cs="Times New Roman"/>
        </w:rPr>
        <w:t>TAZ</w:t>
      </w:r>
      <w:r w:rsidR="00F96078" w:rsidRPr="008A07C9">
        <w:rPr>
          <w:rFonts w:cs="Times New Roman"/>
        </w:rPr>
        <w:t xml:space="preserve">, d) </w:t>
      </w:r>
      <w:r w:rsidR="00D32B68" w:rsidRPr="008A07C9">
        <w:rPr>
          <w:rFonts w:cs="Times New Roman"/>
        </w:rPr>
        <w:t xml:space="preserve">increasing </w:t>
      </w:r>
      <w:r w:rsidR="00F96078" w:rsidRPr="008A07C9">
        <w:rPr>
          <w:rFonts w:cs="Times New Roman"/>
        </w:rPr>
        <w:t>population density</w:t>
      </w:r>
      <w:r w:rsidR="00D32B68" w:rsidRPr="008A07C9">
        <w:rPr>
          <w:rFonts w:cs="Times New Roman"/>
        </w:rPr>
        <w:t xml:space="preserve"> by 25%</w:t>
      </w:r>
      <w:r w:rsidR="00F96078" w:rsidRPr="008A07C9">
        <w:rPr>
          <w:rFonts w:cs="Times New Roman"/>
        </w:rPr>
        <w:t>, e</w:t>
      </w:r>
      <w:r w:rsidR="00D32B68" w:rsidRPr="008A07C9">
        <w:rPr>
          <w:rFonts w:cs="Times New Roman"/>
        </w:rPr>
        <w:t>) increasing</w:t>
      </w:r>
      <w:r w:rsidR="00F96078" w:rsidRPr="008A07C9">
        <w:rPr>
          <w:rFonts w:cs="Times New Roman"/>
        </w:rPr>
        <w:t xml:space="preserve"> job density</w:t>
      </w:r>
      <w:r w:rsidR="00D32B68" w:rsidRPr="008A07C9">
        <w:rPr>
          <w:rFonts w:cs="Times New Roman"/>
        </w:rPr>
        <w:t xml:space="preserve"> by 25%</w:t>
      </w:r>
      <w:r w:rsidR="00CB7837" w:rsidRPr="008A07C9">
        <w:rPr>
          <w:rFonts w:cs="Times New Roman"/>
        </w:rPr>
        <w:t>,</w:t>
      </w:r>
      <w:r w:rsidR="00F96078" w:rsidRPr="008A07C9">
        <w:rPr>
          <w:rFonts w:cs="Times New Roman"/>
        </w:rPr>
        <w:t xml:space="preserve"> and f)</w:t>
      </w:r>
      <w:r w:rsidR="00D32B68" w:rsidRPr="008A07C9">
        <w:rPr>
          <w:rFonts w:cs="Times New Roman"/>
        </w:rPr>
        <w:t xml:space="preserve"> increasing</w:t>
      </w:r>
      <w:r w:rsidR="00F96078" w:rsidRPr="008A07C9">
        <w:rPr>
          <w:rFonts w:cs="Times New Roman"/>
        </w:rPr>
        <w:t xml:space="preserve"> bicycle facility density</w:t>
      </w:r>
      <w:r w:rsidR="00D32B68" w:rsidRPr="008A07C9">
        <w:rPr>
          <w:rFonts w:cs="Times New Roman"/>
        </w:rPr>
        <w:t xml:space="preserve"> by 10% and 25%</w:t>
      </w:r>
      <w:r w:rsidR="00F96078" w:rsidRPr="008A07C9">
        <w:rPr>
          <w:rFonts w:cs="Times New Roman"/>
        </w:rPr>
        <w:t xml:space="preserve">. </w:t>
      </w:r>
    </w:p>
    <w:p w14:paraId="5AE04594" w14:textId="6542C825" w:rsidR="00AE21F3" w:rsidRDefault="00504DC8" w:rsidP="0029064A">
      <w:pPr>
        <w:autoSpaceDE w:val="0"/>
        <w:autoSpaceDN w:val="0"/>
        <w:adjustRightInd w:val="0"/>
        <w:ind w:left="6"/>
        <w:rPr>
          <w:rFonts w:cs="Times New Roman"/>
        </w:rPr>
      </w:pPr>
      <w:r w:rsidRPr="008A07C9">
        <w:rPr>
          <w:rFonts w:cs="Times New Roman"/>
        </w:rPr>
        <w:tab/>
      </w:r>
      <w:r w:rsidR="001445D7">
        <w:rPr>
          <w:rFonts w:cs="Times New Roman"/>
        </w:rPr>
        <w:t>To conduct a comparison across all model frameworks t</w:t>
      </w:r>
      <w:r w:rsidRPr="008A07C9">
        <w:rPr>
          <w:rFonts w:cs="Times New Roman"/>
        </w:rPr>
        <w:t xml:space="preserve">he </w:t>
      </w:r>
      <w:r w:rsidR="00DC2185">
        <w:rPr>
          <w:rFonts w:cs="Times New Roman"/>
        </w:rPr>
        <w:t xml:space="preserve">elasticity </w:t>
      </w:r>
      <w:r w:rsidRPr="008A07C9">
        <w:rPr>
          <w:rFonts w:cs="Times New Roman"/>
        </w:rPr>
        <w:t xml:space="preserve">measures </w:t>
      </w:r>
      <w:r w:rsidR="00DC2185">
        <w:rPr>
          <w:rFonts w:cs="Times New Roman"/>
        </w:rPr>
        <w:t xml:space="preserve">and their standard deviations </w:t>
      </w:r>
      <w:r w:rsidR="00573B3C">
        <w:rPr>
          <w:rFonts w:cs="Times New Roman"/>
        </w:rPr>
        <w:t xml:space="preserve">are </w:t>
      </w:r>
      <w:r w:rsidRPr="008A07C9">
        <w:rPr>
          <w:rFonts w:cs="Times New Roman"/>
        </w:rPr>
        <w:t xml:space="preserve">generated </w:t>
      </w:r>
      <w:r w:rsidR="00961004" w:rsidRPr="008A07C9">
        <w:rPr>
          <w:rFonts w:cs="Times New Roman"/>
        </w:rPr>
        <w:t xml:space="preserve">for </w:t>
      </w:r>
      <w:r w:rsidR="00814E0F" w:rsidRPr="008A07C9">
        <w:rPr>
          <w:rFonts w:cs="Times New Roman"/>
        </w:rPr>
        <w:t>three models</w:t>
      </w:r>
      <w:r w:rsidR="00C21034" w:rsidRPr="008A07C9">
        <w:rPr>
          <w:rFonts w:cs="Times New Roman"/>
        </w:rPr>
        <w:t xml:space="preserve"> -</w:t>
      </w:r>
      <w:r w:rsidR="00814E0F" w:rsidRPr="008A07C9">
        <w:rPr>
          <w:rFonts w:cs="Times New Roman"/>
        </w:rPr>
        <w:t xml:space="preserve"> </w:t>
      </w:r>
      <w:r w:rsidR="00C21034" w:rsidRPr="008A07C9">
        <w:rPr>
          <w:rFonts w:cs="Times New Roman"/>
        </w:rPr>
        <w:t>3OL</w:t>
      </w:r>
      <w:r w:rsidR="00814E0F" w:rsidRPr="008A07C9">
        <w:rPr>
          <w:rFonts w:cs="Times New Roman"/>
        </w:rPr>
        <w:t>, 2PM</w:t>
      </w:r>
      <w:r w:rsidR="000707EC">
        <w:rPr>
          <w:rFonts w:cs="Times New Roman"/>
        </w:rPr>
        <w:t>M</w:t>
      </w:r>
      <w:r w:rsidR="00814E0F" w:rsidRPr="008A07C9">
        <w:rPr>
          <w:rFonts w:cs="Times New Roman"/>
        </w:rPr>
        <w:t>OL and</w:t>
      </w:r>
      <w:r w:rsidR="00961004" w:rsidRPr="008A07C9">
        <w:rPr>
          <w:rFonts w:cs="Times New Roman"/>
        </w:rPr>
        <w:t xml:space="preserve"> </w:t>
      </w:r>
      <w:r w:rsidR="004B6B71" w:rsidRPr="008A07C9">
        <w:rPr>
          <w:rFonts w:cs="Times New Roman"/>
        </w:rPr>
        <w:t>3PM</w:t>
      </w:r>
      <w:r w:rsidR="000707EC">
        <w:rPr>
          <w:rFonts w:cs="Times New Roman"/>
        </w:rPr>
        <w:t>M</w:t>
      </w:r>
      <w:r w:rsidR="004B6B71" w:rsidRPr="008A07C9">
        <w:rPr>
          <w:rFonts w:cs="Times New Roman"/>
        </w:rPr>
        <w:t>OL</w:t>
      </w:r>
      <w:r w:rsidR="00C21034" w:rsidRPr="008A07C9">
        <w:rPr>
          <w:rFonts w:cs="Times New Roman"/>
        </w:rPr>
        <w:t xml:space="preserve"> </w:t>
      </w:r>
      <w:r w:rsidR="00573B3C">
        <w:rPr>
          <w:rFonts w:cs="Times New Roman"/>
        </w:rPr>
        <w:t>–</w:t>
      </w:r>
      <w:r w:rsidR="00961004" w:rsidRPr="008A07C9">
        <w:rPr>
          <w:rFonts w:cs="Times New Roman"/>
        </w:rPr>
        <w:t xml:space="preserve"> </w:t>
      </w:r>
      <w:r w:rsidR="00573B3C">
        <w:rPr>
          <w:rFonts w:cs="Times New Roman"/>
        </w:rPr>
        <w:t xml:space="preserve">and </w:t>
      </w:r>
      <w:r w:rsidRPr="008A07C9">
        <w:rPr>
          <w:rFonts w:cs="Times New Roman"/>
        </w:rPr>
        <w:t xml:space="preserve">presented in Table </w:t>
      </w:r>
      <w:r w:rsidR="0029064A">
        <w:rPr>
          <w:rFonts w:cs="Times New Roman"/>
        </w:rPr>
        <w:t>4</w:t>
      </w:r>
      <w:r w:rsidRPr="008A07C9">
        <w:rPr>
          <w:rFonts w:cs="Times New Roman"/>
        </w:rPr>
        <w:t>.</w:t>
      </w:r>
      <w:r w:rsidR="00C21034" w:rsidRPr="008A07C9">
        <w:rPr>
          <w:rFonts w:cs="Times New Roman"/>
        </w:rPr>
        <w:t xml:space="preserve"> </w:t>
      </w:r>
      <w:r w:rsidR="001445D7">
        <w:rPr>
          <w:rFonts w:cs="Times New Roman"/>
        </w:rPr>
        <w:t>Several significant observations can be made based on the results</w:t>
      </w:r>
      <w:r w:rsidR="001445D7" w:rsidRPr="00525C40">
        <w:rPr>
          <w:rFonts w:cs="Times New Roman"/>
        </w:rPr>
        <w:t>. First, the</w:t>
      </w:r>
      <w:r w:rsidR="001445D7">
        <w:rPr>
          <w:rFonts w:cs="Times New Roman"/>
        </w:rPr>
        <w:t xml:space="preserve"> 3OL and 2P</w:t>
      </w:r>
      <w:r w:rsidR="000707EC">
        <w:rPr>
          <w:rFonts w:cs="Times New Roman"/>
        </w:rPr>
        <w:t>M</w:t>
      </w:r>
      <w:r w:rsidR="001445D7">
        <w:rPr>
          <w:rFonts w:cs="Times New Roman"/>
        </w:rPr>
        <w:t xml:space="preserve">MOL models over-estimate the expected impact of </w:t>
      </w:r>
      <w:r w:rsidR="00C00262">
        <w:rPr>
          <w:rFonts w:cs="Times New Roman"/>
        </w:rPr>
        <w:t>BSS infrastructure</w:t>
      </w:r>
      <w:r w:rsidR="000707EC">
        <w:rPr>
          <w:rFonts w:cs="Times New Roman"/>
        </w:rPr>
        <w:t>.  For instance, for arrivals</w:t>
      </w:r>
      <w:r w:rsidR="000B0F03">
        <w:rPr>
          <w:rFonts w:cs="Times New Roman"/>
        </w:rPr>
        <w:t>’</w:t>
      </w:r>
      <w:r w:rsidR="000707EC">
        <w:rPr>
          <w:rFonts w:cs="Times New Roman"/>
        </w:rPr>
        <w:t xml:space="preserve"> model, the over-estimation in the average </w:t>
      </w:r>
      <w:r w:rsidR="00A075C5">
        <w:rPr>
          <w:rFonts w:cs="Times New Roman"/>
        </w:rPr>
        <w:t>e</w:t>
      </w:r>
      <w:r w:rsidR="000707EC">
        <w:rPr>
          <w:rFonts w:cs="Times New Roman"/>
        </w:rPr>
        <w:t>ffect is 66% for</w:t>
      </w:r>
      <w:r w:rsidR="00A075C5">
        <w:rPr>
          <w:rFonts w:cs="Times New Roman"/>
        </w:rPr>
        <w:t xml:space="preserve"> the</w:t>
      </w:r>
      <w:r w:rsidR="000707EC">
        <w:rPr>
          <w:rFonts w:cs="Times New Roman"/>
        </w:rPr>
        <w:t xml:space="preserve"> number of stations scenario while the corresponding value is 103.5% for station capacity scenario. Similar trends are observed for departures</w:t>
      </w:r>
      <w:r w:rsidR="000B0F03">
        <w:rPr>
          <w:rFonts w:cs="Times New Roman"/>
        </w:rPr>
        <w:t>’</w:t>
      </w:r>
      <w:r w:rsidR="000707EC">
        <w:rPr>
          <w:rFonts w:cs="Times New Roman"/>
        </w:rPr>
        <w:t xml:space="preserve"> model as well. </w:t>
      </w:r>
      <w:r w:rsidR="00C00262">
        <w:rPr>
          <w:rFonts w:cs="Times New Roman"/>
        </w:rPr>
        <w:t xml:space="preserve">Second, </w:t>
      </w:r>
      <w:r w:rsidR="009B1495">
        <w:rPr>
          <w:rFonts w:cs="Times New Roman"/>
        </w:rPr>
        <w:t>the impact of BSS infrastructure is very similar in 3OL and 2PM</w:t>
      </w:r>
      <w:r w:rsidR="000707EC">
        <w:rPr>
          <w:rFonts w:cs="Times New Roman"/>
        </w:rPr>
        <w:t>M</w:t>
      </w:r>
      <w:r w:rsidR="009B1495">
        <w:rPr>
          <w:rFonts w:cs="Times New Roman"/>
        </w:rPr>
        <w:t>OL models</w:t>
      </w:r>
      <w:r w:rsidR="00A0306F">
        <w:rPr>
          <w:rFonts w:cs="Times New Roman"/>
        </w:rPr>
        <w:t xml:space="preserve"> highlighting that it is not adequate to consider common unobserved factors </w:t>
      </w:r>
      <w:r w:rsidR="000707EC">
        <w:rPr>
          <w:rFonts w:cs="Times New Roman"/>
        </w:rPr>
        <w:t xml:space="preserve">affecting arrivals and departures </w:t>
      </w:r>
      <w:r w:rsidR="00A0306F">
        <w:rPr>
          <w:rFonts w:cs="Times New Roman"/>
        </w:rPr>
        <w:t>in the modeling exercise.</w:t>
      </w:r>
      <w:r w:rsidR="00E66885">
        <w:rPr>
          <w:rFonts w:cs="Times New Roman"/>
        </w:rPr>
        <w:t xml:space="preserve"> Third, although the mean expected impact of population, job and bicycle facility density </w:t>
      </w:r>
      <w:r w:rsidR="000707EC">
        <w:rPr>
          <w:rFonts w:cs="Times New Roman"/>
        </w:rPr>
        <w:t>are marginally</w:t>
      </w:r>
      <w:r w:rsidR="00E66885">
        <w:rPr>
          <w:rFonts w:cs="Times New Roman"/>
        </w:rPr>
        <w:t xml:space="preserve"> </w:t>
      </w:r>
      <w:r w:rsidR="00F21769">
        <w:rPr>
          <w:rFonts w:cs="Times New Roman"/>
        </w:rPr>
        <w:t xml:space="preserve">different </w:t>
      </w:r>
      <w:r w:rsidR="00E66885">
        <w:rPr>
          <w:rFonts w:cs="Times New Roman"/>
        </w:rPr>
        <w:t xml:space="preserve">for the three models, the </w:t>
      </w:r>
      <w:r w:rsidR="000707EC">
        <w:rPr>
          <w:rFonts w:cs="Times New Roman"/>
        </w:rPr>
        <w:t xml:space="preserve">differences between 2PMMOL and 3PMMOL are not </w:t>
      </w:r>
      <w:r w:rsidR="00E66885">
        <w:rPr>
          <w:rFonts w:cs="Times New Roman"/>
        </w:rPr>
        <w:t>statistically</w:t>
      </w:r>
      <w:r w:rsidR="000707EC">
        <w:rPr>
          <w:rFonts w:cs="Times New Roman"/>
        </w:rPr>
        <w:t xml:space="preserve"> significant.</w:t>
      </w:r>
      <w:r w:rsidR="00E66885">
        <w:rPr>
          <w:rFonts w:cs="Times New Roman"/>
        </w:rPr>
        <w:t xml:space="preserve"> Fourth, </w:t>
      </w:r>
      <w:r w:rsidR="00C00262">
        <w:rPr>
          <w:rFonts w:cs="Times New Roman"/>
        </w:rPr>
        <w:t xml:space="preserve">we observe that AM period has the highest sensitivity to changes </w:t>
      </w:r>
      <w:r w:rsidR="00A075C5">
        <w:rPr>
          <w:rFonts w:cs="Times New Roman"/>
        </w:rPr>
        <w:t xml:space="preserve">in </w:t>
      </w:r>
      <w:r w:rsidR="00C00262">
        <w:rPr>
          <w:rFonts w:cs="Times New Roman"/>
        </w:rPr>
        <w:t xml:space="preserve">exogenous variables across the board. Finally, we observe that the models offer very slight differences </w:t>
      </w:r>
      <w:r w:rsidR="000B40A5">
        <w:rPr>
          <w:rFonts w:cs="Times New Roman"/>
        </w:rPr>
        <w:t>across arrivals and departures indicating a symmetric impact on the two usage dimensions.</w:t>
      </w:r>
    </w:p>
    <w:p w14:paraId="68DA1694" w14:textId="4E052C9A" w:rsidR="004F36F3" w:rsidRDefault="00AE21F3" w:rsidP="00467A83">
      <w:pPr>
        <w:autoSpaceDE w:val="0"/>
        <w:autoSpaceDN w:val="0"/>
        <w:adjustRightInd w:val="0"/>
        <w:ind w:left="6" w:firstLine="720"/>
      </w:pPr>
      <w:r>
        <w:rPr>
          <w:rFonts w:cs="Times New Roman"/>
        </w:rPr>
        <w:t>Overall, the elasticity analysis clearly demonstrates the need to incorporate the BSS installation process in</w:t>
      </w:r>
      <w:r w:rsidR="002A59A0">
        <w:rPr>
          <w:rFonts w:cs="Times New Roman"/>
        </w:rPr>
        <w:t xml:space="preserve"> order to estimate</w:t>
      </w:r>
      <w:r>
        <w:rPr>
          <w:rFonts w:cs="Times New Roman"/>
        </w:rPr>
        <w:t xml:space="preserve"> </w:t>
      </w:r>
      <w:r w:rsidR="002A59A0">
        <w:rPr>
          <w:rFonts w:cs="Times New Roman"/>
        </w:rPr>
        <w:t>the</w:t>
      </w:r>
      <w:r>
        <w:rPr>
          <w:rFonts w:cs="Times New Roman"/>
        </w:rPr>
        <w:t xml:space="preserve"> </w:t>
      </w:r>
      <w:r w:rsidR="0018451B">
        <w:rPr>
          <w:rFonts w:cs="Times New Roman"/>
        </w:rPr>
        <w:t xml:space="preserve">“true” </w:t>
      </w:r>
      <w:r>
        <w:rPr>
          <w:rFonts w:cs="Times New Roman"/>
        </w:rPr>
        <w:t xml:space="preserve">impact of BSS infrastructure on the </w:t>
      </w:r>
      <w:r w:rsidR="002A59A0">
        <w:rPr>
          <w:rFonts w:cs="Times New Roman"/>
        </w:rPr>
        <w:t xml:space="preserve">BSS </w:t>
      </w:r>
      <w:r>
        <w:rPr>
          <w:rFonts w:cs="Times New Roman"/>
        </w:rPr>
        <w:t xml:space="preserve">usage. </w:t>
      </w:r>
      <w:r>
        <w:rPr>
          <w:rFonts w:cs="Times New Roman"/>
        </w:rPr>
        <w:lastRenderedPageBreak/>
        <w:t>The analysis shows that ignoring the BSS installation process lead</w:t>
      </w:r>
      <w:r w:rsidR="00467A83">
        <w:rPr>
          <w:rFonts w:cs="Times New Roman"/>
        </w:rPr>
        <w:t>s</w:t>
      </w:r>
      <w:r>
        <w:rPr>
          <w:rFonts w:cs="Times New Roman"/>
        </w:rPr>
        <w:t xml:space="preserve"> to a statistically significant over-estimation</w:t>
      </w:r>
      <w:r w:rsidR="002A59A0">
        <w:rPr>
          <w:rFonts w:cs="Times New Roman"/>
        </w:rPr>
        <w:t xml:space="preserve"> of</w:t>
      </w:r>
      <w:r>
        <w:rPr>
          <w:rFonts w:cs="Times New Roman"/>
        </w:rPr>
        <w:t xml:space="preserve"> the BSS infrastructure</w:t>
      </w:r>
      <w:r w:rsidR="002A59A0">
        <w:rPr>
          <w:rFonts w:cs="Times New Roman"/>
        </w:rPr>
        <w:t xml:space="preserve"> variable</w:t>
      </w:r>
      <w:r w:rsidR="002A59A0" w:rsidRPr="002A59A0">
        <w:rPr>
          <w:rFonts w:cs="Times New Roman"/>
        </w:rPr>
        <w:t xml:space="preserve"> </w:t>
      </w:r>
      <w:r w:rsidR="002A59A0">
        <w:rPr>
          <w:rFonts w:cs="Times New Roman"/>
        </w:rPr>
        <w:t>impact. However,</w:t>
      </w:r>
      <w:r w:rsidR="008F608C">
        <w:rPr>
          <w:rFonts w:cs="Times New Roman"/>
        </w:rPr>
        <w:t xml:space="preserve"> comparisons for </w:t>
      </w:r>
      <w:r w:rsidR="002A59A0">
        <w:t>the land-</w:t>
      </w:r>
      <w:r w:rsidRPr="00884942">
        <w:t xml:space="preserve">use and urban form </w:t>
      </w:r>
      <w:r>
        <w:t>variables</w:t>
      </w:r>
      <w:r w:rsidR="008F608C">
        <w:t xml:space="preserve"> impacts </w:t>
      </w:r>
      <w:r w:rsidR="008F608C" w:rsidRPr="00884942">
        <w:t>on BSS usage</w:t>
      </w:r>
      <w:r w:rsidR="008F608C">
        <w:t xml:space="preserve"> do not yield</w:t>
      </w:r>
      <w:r w:rsidR="002A59A0">
        <w:t xml:space="preserve"> </w:t>
      </w:r>
      <w:r w:rsidR="008F608C">
        <w:t>statistically significant difference</w:t>
      </w:r>
      <w:r w:rsidR="00467A83">
        <w:t>s</w:t>
      </w:r>
      <w:r w:rsidR="008F608C">
        <w:t xml:space="preserve"> </w:t>
      </w:r>
      <w:r w:rsidR="00467A83">
        <w:t xml:space="preserve">to characterise them </w:t>
      </w:r>
      <w:r w:rsidR="008F608C">
        <w:t xml:space="preserve">either as </w:t>
      </w:r>
      <w:r w:rsidR="00467A83">
        <w:t xml:space="preserve">an </w:t>
      </w:r>
      <w:r w:rsidR="008F608C">
        <w:rPr>
          <w:rFonts w:cs="Times New Roman"/>
        </w:rPr>
        <w:t xml:space="preserve">under-estimation or </w:t>
      </w:r>
      <w:r w:rsidR="00467A83">
        <w:rPr>
          <w:rFonts w:cs="Times New Roman"/>
        </w:rPr>
        <w:t xml:space="preserve">an </w:t>
      </w:r>
      <w:r w:rsidR="008F608C">
        <w:rPr>
          <w:rFonts w:cs="Times New Roman"/>
        </w:rPr>
        <w:t>over-estimation</w:t>
      </w:r>
      <w:r w:rsidRPr="00884942">
        <w:t>.</w:t>
      </w:r>
    </w:p>
    <w:p w14:paraId="4AFF6794" w14:textId="77777777" w:rsidR="00606B26" w:rsidRPr="00467A83" w:rsidRDefault="00606B26" w:rsidP="00467A83">
      <w:pPr>
        <w:autoSpaceDE w:val="0"/>
        <w:autoSpaceDN w:val="0"/>
        <w:adjustRightInd w:val="0"/>
        <w:ind w:left="6" w:firstLine="720"/>
        <w:rPr>
          <w:rFonts w:cs="Times New Roman"/>
        </w:rPr>
      </w:pPr>
    </w:p>
    <w:p w14:paraId="6E742286" w14:textId="77777777" w:rsidR="003C62D5" w:rsidRPr="008A07C9" w:rsidRDefault="003C62D5" w:rsidP="00752C39">
      <w:pPr>
        <w:pStyle w:val="Heading1"/>
        <w:rPr>
          <w:rFonts w:cs="Times New Roman"/>
        </w:rPr>
      </w:pPr>
      <w:r w:rsidRPr="008A07C9">
        <w:rPr>
          <w:rFonts w:cs="Times New Roman"/>
        </w:rPr>
        <w:t>Conclusions</w:t>
      </w:r>
    </w:p>
    <w:p w14:paraId="785D5926" w14:textId="495AE1A1" w:rsidR="001C412A" w:rsidRDefault="001C412A" w:rsidP="001C412A">
      <w:pPr>
        <w:rPr>
          <w:rFonts w:cs="Times New Roman"/>
        </w:rPr>
      </w:pPr>
      <w:r w:rsidRPr="008A07C9">
        <w:rPr>
          <w:rFonts w:cs="Times New Roman"/>
        </w:rPr>
        <w:t>The typical approach for analyzing BSS usage</w:t>
      </w:r>
      <w:r>
        <w:rPr>
          <w:rFonts w:cs="Times New Roman"/>
        </w:rPr>
        <w:t xml:space="preserve"> </w:t>
      </w:r>
      <w:r w:rsidRPr="008A07C9">
        <w:rPr>
          <w:rFonts w:cs="Times New Roman"/>
        </w:rPr>
        <w:t xml:space="preserve">involves examining the influence of BSS infrastructure (e.g. number of BSS stations and stations’ capacity), transportation network infrastructure, land use and urban form, meteorological data, and temporal characteristics. </w:t>
      </w:r>
      <w:r>
        <w:rPr>
          <w:rFonts w:cs="Times New Roman"/>
        </w:rPr>
        <w:t>Several studies demonstrate that</w:t>
      </w:r>
      <w:r w:rsidRPr="002943EC">
        <w:rPr>
          <w:rFonts w:cs="Times New Roman"/>
        </w:rPr>
        <w:t xml:space="preserve"> </w:t>
      </w:r>
      <w:r>
        <w:rPr>
          <w:rFonts w:cs="Times New Roman"/>
        </w:rPr>
        <w:t>increasing</w:t>
      </w:r>
      <w:r w:rsidRPr="002943EC">
        <w:rPr>
          <w:rFonts w:cs="Times New Roman"/>
        </w:rPr>
        <w:t xml:space="preserve"> </w:t>
      </w:r>
      <w:r>
        <w:rPr>
          <w:rFonts w:cs="Times New Roman"/>
        </w:rPr>
        <w:t xml:space="preserve">BSS infrastructure (number of </w:t>
      </w:r>
      <w:r w:rsidRPr="002943EC">
        <w:rPr>
          <w:rFonts w:cs="Times New Roman"/>
        </w:rPr>
        <w:t>stations</w:t>
      </w:r>
      <w:r>
        <w:rPr>
          <w:rFonts w:cs="Times New Roman"/>
        </w:rPr>
        <w:t xml:space="preserve"> and capacity) increases BSS usage. Earlier</w:t>
      </w:r>
      <w:r w:rsidRPr="008A07C9">
        <w:rPr>
          <w:rFonts w:cs="Times New Roman"/>
        </w:rPr>
        <w:t xml:space="preserve"> research efforts ignore the BSS infrastructure installation decision process i.e. BSS operators installed the infrastructure based on an expectation of system usage.</w:t>
      </w:r>
      <w:r>
        <w:rPr>
          <w:rFonts w:cs="Times New Roman"/>
        </w:rPr>
        <w:t xml:space="preserve"> </w:t>
      </w:r>
      <w:r w:rsidRPr="008A07C9">
        <w:rPr>
          <w:rFonts w:cs="Times New Roman"/>
        </w:rPr>
        <w:t>The model estimates obtained with this erroneous assumption are very likely to over-estimate the impact of BSS infrastructure. The current research effort proposes a</w:t>
      </w:r>
      <w:r>
        <w:rPr>
          <w:rFonts w:cs="Times New Roman"/>
        </w:rPr>
        <w:t xml:space="preserve"> joint</w:t>
      </w:r>
      <w:r w:rsidRPr="008A07C9">
        <w:rPr>
          <w:rFonts w:cs="Times New Roman"/>
        </w:rPr>
        <w:t xml:space="preserve"> econometric framework that remedies this drawback.</w:t>
      </w:r>
    </w:p>
    <w:p w14:paraId="30320B5B" w14:textId="567E0130" w:rsidR="00E76B1B" w:rsidRDefault="007B0DF8" w:rsidP="00593715">
      <w:pPr>
        <w:ind w:firstLine="720"/>
        <w:rPr>
          <w:rFonts w:cs="Times New Roman"/>
        </w:rPr>
      </w:pPr>
      <w:r>
        <w:rPr>
          <w:rFonts w:cs="Times New Roman"/>
        </w:rPr>
        <w:t xml:space="preserve">We </w:t>
      </w:r>
      <w:r w:rsidR="001C412A">
        <w:rPr>
          <w:rFonts w:cs="Times New Roman"/>
        </w:rPr>
        <w:t>opt for TAZ</w:t>
      </w:r>
      <w:r w:rsidR="001C412A" w:rsidRPr="008A07C9">
        <w:rPr>
          <w:rFonts w:cs="Times New Roman"/>
        </w:rPr>
        <w:t xml:space="preserve"> </w:t>
      </w:r>
      <w:r w:rsidR="001C412A">
        <w:rPr>
          <w:rFonts w:cs="Times New Roman"/>
        </w:rPr>
        <w:t xml:space="preserve">system as the spatial </w:t>
      </w:r>
      <w:r w:rsidR="001C412A" w:rsidRPr="008A07C9">
        <w:rPr>
          <w:rFonts w:cs="Times New Roman"/>
        </w:rPr>
        <w:t>aggregation</w:t>
      </w:r>
      <w:r w:rsidR="001C412A">
        <w:rPr>
          <w:rFonts w:cs="Times New Roman"/>
        </w:rPr>
        <w:t xml:space="preserve"> unit</w:t>
      </w:r>
      <w:r>
        <w:rPr>
          <w:rFonts w:cs="Times New Roman"/>
        </w:rPr>
        <w:t xml:space="preserve"> for our study</w:t>
      </w:r>
      <w:r w:rsidR="001C412A" w:rsidRPr="008A07C9">
        <w:rPr>
          <w:rFonts w:cs="Times New Roman"/>
        </w:rPr>
        <w:t>.</w:t>
      </w:r>
      <w:r w:rsidR="001C412A">
        <w:rPr>
          <w:rFonts w:cs="Times New Roman"/>
        </w:rPr>
        <w:t xml:space="preserve"> Considering all </w:t>
      </w:r>
      <w:r w:rsidR="001C412A" w:rsidRPr="007B5CE0">
        <w:rPr>
          <w:rFonts w:cs="Times New Roman"/>
        </w:rPr>
        <w:t>BSS infrastructure variables and usage variables</w:t>
      </w:r>
      <w:r w:rsidR="001C412A">
        <w:rPr>
          <w:rFonts w:cs="Times New Roman"/>
        </w:rPr>
        <w:t xml:space="preserve"> in their original form would result in a large number of choice equations (one per variable). Hence</w:t>
      </w:r>
      <w:r w:rsidR="006346C0">
        <w:rPr>
          <w:rFonts w:cs="Times New Roman"/>
        </w:rPr>
        <w:t>,</w:t>
      </w:r>
      <w:r w:rsidR="001C412A">
        <w:rPr>
          <w:rFonts w:cs="Times New Roman"/>
        </w:rPr>
        <w:t xml:space="preserve"> to simplify the econometric model development we propose a single measure of BSS infrastructure that simultaneously encapsulates </w:t>
      </w:r>
      <w:r w:rsidR="00A03247">
        <w:rPr>
          <w:rFonts w:cs="Times New Roman"/>
        </w:rPr>
        <w:t xml:space="preserve">the </w:t>
      </w:r>
      <w:r w:rsidR="001C412A">
        <w:rPr>
          <w:rFonts w:cs="Times New Roman"/>
        </w:rPr>
        <w:t>number of stations and total capacity in a TAZ. Having a single equation for BSS infrastructure allows us to efficiently accommodate for the potential presence of endogeneity in the model system</w:t>
      </w:r>
      <w:r w:rsidR="0014184A">
        <w:rPr>
          <w:rFonts w:cs="Times New Roman"/>
        </w:rPr>
        <w:t>.</w:t>
      </w:r>
      <w:r w:rsidR="008068DB" w:rsidRPr="008068DB">
        <w:rPr>
          <w:rFonts w:cs="Times New Roman"/>
        </w:rPr>
        <w:t xml:space="preserve"> Of course, </w:t>
      </w:r>
      <w:r w:rsidR="00593715">
        <w:rPr>
          <w:rFonts w:cs="Times New Roman"/>
        </w:rPr>
        <w:t>alternate</w:t>
      </w:r>
      <w:r w:rsidR="008068DB" w:rsidRPr="008068DB">
        <w:rPr>
          <w:rFonts w:cs="Times New Roman"/>
        </w:rPr>
        <w:t xml:space="preserve"> BSSI index structures could be explored </w:t>
      </w:r>
      <w:r w:rsidR="008068DB">
        <w:rPr>
          <w:rFonts w:cs="Times New Roman"/>
        </w:rPr>
        <w:t xml:space="preserve">in future research. </w:t>
      </w:r>
    </w:p>
    <w:p w14:paraId="0AEA61FA" w14:textId="1168C84A" w:rsidR="00E76B1B" w:rsidRDefault="00E76B1B">
      <w:pPr>
        <w:ind w:firstLine="720"/>
        <w:rPr>
          <w:rFonts w:cs="Times New Roman"/>
        </w:rPr>
      </w:pPr>
      <w:r>
        <w:rPr>
          <w:rFonts w:cs="Times New Roman"/>
        </w:rPr>
        <w:t>W</w:t>
      </w:r>
      <w:r w:rsidRPr="008A07C9">
        <w:rPr>
          <w:rFonts w:cs="Times New Roman"/>
          <w:szCs w:val="24"/>
        </w:rPr>
        <w:t xml:space="preserve">e formulate a </w:t>
      </w:r>
      <w:r>
        <w:rPr>
          <w:rFonts w:cs="Times New Roman"/>
          <w:szCs w:val="24"/>
        </w:rPr>
        <w:t>multi-level</w:t>
      </w:r>
      <w:r w:rsidRPr="008A07C9">
        <w:rPr>
          <w:rFonts w:cs="Times New Roman"/>
          <w:szCs w:val="24"/>
        </w:rPr>
        <w:t xml:space="preserve"> </w:t>
      </w:r>
      <w:r>
        <w:rPr>
          <w:rFonts w:cs="Times New Roman"/>
          <w:szCs w:val="24"/>
        </w:rPr>
        <w:t xml:space="preserve">joint </w:t>
      </w:r>
      <w:r w:rsidRPr="008A07C9">
        <w:rPr>
          <w:rFonts w:cs="Times New Roman"/>
          <w:szCs w:val="24"/>
        </w:rPr>
        <w:t>econometric framework</w:t>
      </w:r>
      <w:r>
        <w:rPr>
          <w:rFonts w:cs="Times New Roman"/>
          <w:szCs w:val="24"/>
        </w:rPr>
        <w:t xml:space="preserve"> to study the BSS installation process and usage</w:t>
      </w:r>
      <w:r w:rsidRPr="008A07C9">
        <w:rPr>
          <w:rFonts w:cs="Times New Roman"/>
          <w:szCs w:val="24"/>
        </w:rPr>
        <w:t xml:space="preserve">. </w:t>
      </w:r>
      <w:r>
        <w:rPr>
          <w:rFonts w:cs="Times New Roman"/>
        </w:rPr>
        <w:t>In all the earlier studies, self-selection was considered in a choice framework based on a cross-sectional dataset where one measurement equation was coupled with one choice equation to disentangle the influence of endogeneity. However, in the BSS context, the infrastructure installation process has only one occurrence, while the infrastructure usage process</w:t>
      </w:r>
      <w:r w:rsidR="00273BD5">
        <w:rPr>
          <w:rFonts w:cs="Times New Roman"/>
        </w:rPr>
        <w:t xml:space="preserve"> (arrivals and departures)</w:t>
      </w:r>
      <w:r>
        <w:rPr>
          <w:rFonts w:cs="Times New Roman"/>
        </w:rPr>
        <w:t xml:space="preserve"> has multiple repeated observations. Hence, the econometric model developed should account for self-selection while accounting for repeated measures of the choice process. </w:t>
      </w:r>
      <w:r w:rsidR="007B0DF8">
        <w:rPr>
          <w:rFonts w:cs="Times New Roman"/>
        </w:rPr>
        <w:t>Thus</w:t>
      </w:r>
      <w:r>
        <w:rPr>
          <w:rFonts w:cs="Times New Roman"/>
        </w:rPr>
        <w:t>, to correctly identify the confounding factors the econometric framework needs to accommodate for endogeneity while considering the influence of unobserved factors on repeated observations at multiple levels (all records for the spatial unit, all records for the spatial unit in a day and unobserved heterogeneity for each observation). Hence, a common spatial unit specific component across the BSS infrastructure measurement and repeated usage equations needs to be augmented with multi-level common unobserved effects.</w:t>
      </w:r>
    </w:p>
    <w:p w14:paraId="5CBD64F9" w14:textId="40ED040A" w:rsidR="00273BD5" w:rsidRDefault="00E76B1B" w:rsidP="00593715">
      <w:pPr>
        <w:ind w:firstLine="720"/>
        <w:rPr>
          <w:rFonts w:cs="Times New Roman"/>
        </w:rPr>
      </w:pPr>
      <w:r>
        <w:rPr>
          <w:rFonts w:cs="Times New Roman"/>
        </w:rPr>
        <w:t>T</w:t>
      </w:r>
      <w:r w:rsidRPr="008A07C9">
        <w:rPr>
          <w:rFonts w:cs="Times New Roman"/>
        </w:rPr>
        <w:t>h</w:t>
      </w:r>
      <w:r>
        <w:rPr>
          <w:rFonts w:cs="Times New Roman"/>
        </w:rPr>
        <w:t xml:space="preserve">e proposed </w:t>
      </w:r>
      <w:r w:rsidRPr="008A07C9">
        <w:rPr>
          <w:rFonts w:cs="Times New Roman"/>
        </w:rPr>
        <w:t xml:space="preserve">joint modeling process </w:t>
      </w:r>
      <w:r>
        <w:rPr>
          <w:rFonts w:cs="Times New Roman"/>
        </w:rPr>
        <w:t xml:space="preserve">thus </w:t>
      </w:r>
      <w:r w:rsidRPr="008A07C9">
        <w:rPr>
          <w:rFonts w:cs="Times New Roman"/>
        </w:rPr>
        <w:t>estimate</w:t>
      </w:r>
      <w:r>
        <w:rPr>
          <w:rFonts w:cs="Times New Roman"/>
        </w:rPr>
        <w:t>s</w:t>
      </w:r>
      <w:r w:rsidRPr="008A07C9">
        <w:rPr>
          <w:rFonts w:cs="Times New Roman"/>
        </w:rPr>
        <w:t xml:space="preserve"> a more accurate impact of BSS infrastructure on usage. </w:t>
      </w:r>
      <w:r w:rsidRPr="008A07C9">
        <w:rPr>
          <w:rFonts w:cs="Times New Roman"/>
          <w:szCs w:val="24"/>
        </w:rPr>
        <w:t xml:space="preserve">We consider an ordered representation for all the </w:t>
      </w:r>
      <w:r>
        <w:rPr>
          <w:rFonts w:cs="Times New Roman"/>
          <w:szCs w:val="24"/>
        </w:rPr>
        <w:t xml:space="preserve">dependent </w:t>
      </w:r>
      <w:r w:rsidRPr="008A07C9">
        <w:rPr>
          <w:rFonts w:cs="Times New Roman"/>
          <w:szCs w:val="24"/>
        </w:rPr>
        <w:t>variables yielding a three dimensional panel ordered formulation.</w:t>
      </w:r>
      <w:r>
        <w:rPr>
          <w:rFonts w:cs="Times New Roman"/>
          <w:szCs w:val="24"/>
        </w:rPr>
        <w:t xml:space="preserve"> </w:t>
      </w:r>
      <w:r w:rsidRPr="008A07C9">
        <w:rPr>
          <w:rFonts w:cs="Times New Roman"/>
          <w:szCs w:val="24"/>
        </w:rPr>
        <w:t>The proposed model is estimated using data compiled from the Montreal bicycle-sharing system, BIXI, from April to August 2012.</w:t>
      </w:r>
      <w:r w:rsidRPr="008A07C9">
        <w:rPr>
          <w:rFonts w:cs="Times New Roman"/>
        </w:rPr>
        <w:t xml:space="preserve"> </w:t>
      </w:r>
      <w:r w:rsidR="001C412A" w:rsidRPr="008A07C9">
        <w:rPr>
          <w:rFonts w:cs="Times New Roman"/>
        </w:rPr>
        <w:t xml:space="preserve">The </w:t>
      </w:r>
      <w:r w:rsidR="001C412A">
        <w:rPr>
          <w:rFonts w:cs="Times New Roman"/>
        </w:rPr>
        <w:t>proposed joint econometric model</w:t>
      </w:r>
      <w:r>
        <w:rPr>
          <w:rFonts w:cs="Times New Roman"/>
        </w:rPr>
        <w:t xml:space="preserve"> – a 3 dimensional panel multi-level mixed ordered logit model</w:t>
      </w:r>
      <w:r w:rsidR="001C412A">
        <w:rPr>
          <w:rFonts w:cs="Times New Roman"/>
        </w:rPr>
        <w:t xml:space="preserve"> (</w:t>
      </w:r>
      <w:r w:rsidR="001C412A" w:rsidRPr="008A07C9">
        <w:rPr>
          <w:rFonts w:cs="Times New Roman"/>
        </w:rPr>
        <w:t>3PM</w:t>
      </w:r>
      <w:r>
        <w:rPr>
          <w:rFonts w:cs="Times New Roman"/>
        </w:rPr>
        <w:t>M</w:t>
      </w:r>
      <w:r w:rsidR="001C412A" w:rsidRPr="008A07C9">
        <w:rPr>
          <w:rFonts w:cs="Times New Roman"/>
        </w:rPr>
        <w:t>OL</w:t>
      </w:r>
      <w:r w:rsidR="001C412A">
        <w:rPr>
          <w:rFonts w:cs="Times New Roman"/>
        </w:rPr>
        <w:t>)</w:t>
      </w:r>
      <w:r w:rsidR="001C412A" w:rsidRPr="008A07C9">
        <w:rPr>
          <w:rFonts w:cs="Times New Roman"/>
        </w:rPr>
        <w:t xml:space="preserve"> was compared </w:t>
      </w:r>
      <w:r w:rsidR="001C412A">
        <w:rPr>
          <w:rFonts w:cs="Times New Roman"/>
        </w:rPr>
        <w:t xml:space="preserve">with the </w:t>
      </w:r>
      <w:r w:rsidR="001C412A" w:rsidRPr="008A07C9">
        <w:rPr>
          <w:rFonts w:cs="Times New Roman"/>
        </w:rPr>
        <w:t>three dimensional independent ordered logit model (3OL) that does not accommodate for common unobserved heterogeneity</w:t>
      </w:r>
      <w:r w:rsidR="00E74F1D">
        <w:rPr>
          <w:rFonts w:cs="Times New Roman"/>
        </w:rPr>
        <w:t>,</w:t>
      </w:r>
      <w:r w:rsidR="001C412A" w:rsidRPr="008A07C9">
        <w:rPr>
          <w:rFonts w:cs="Times New Roman"/>
        </w:rPr>
        <w:t xml:space="preserve"> </w:t>
      </w:r>
      <w:r>
        <w:rPr>
          <w:rFonts w:cs="Times New Roman"/>
        </w:rPr>
        <w:t xml:space="preserve">a 2 dimensional panel multi-level mixed ordered logit model </w:t>
      </w:r>
      <w:r w:rsidR="001C412A" w:rsidRPr="008A07C9">
        <w:rPr>
          <w:rFonts w:cs="Times New Roman"/>
        </w:rPr>
        <w:t>2P</w:t>
      </w:r>
      <w:r>
        <w:rPr>
          <w:rFonts w:cs="Times New Roman"/>
        </w:rPr>
        <w:t>M</w:t>
      </w:r>
      <w:r w:rsidR="001C412A" w:rsidRPr="008A07C9">
        <w:rPr>
          <w:rFonts w:cs="Times New Roman"/>
        </w:rPr>
        <w:t xml:space="preserve">MOL model that </w:t>
      </w:r>
      <w:r w:rsidR="001C412A" w:rsidRPr="008A07C9">
        <w:rPr>
          <w:rFonts w:eastAsiaTheme="minorEastAsia" w:cs="Times New Roman"/>
        </w:rPr>
        <w:t>ignores the presence of endogeneity of BSS infrastructure on the usage</w:t>
      </w:r>
      <w:r w:rsidR="00E74F1D">
        <w:rPr>
          <w:rFonts w:eastAsiaTheme="minorEastAsia" w:cs="Times New Roman"/>
        </w:rPr>
        <w:t xml:space="preserve"> and 2PMOL model that </w:t>
      </w:r>
      <w:r>
        <w:rPr>
          <w:rFonts w:eastAsiaTheme="minorEastAsia" w:cs="Times New Roman"/>
        </w:rPr>
        <w:t>restricts</w:t>
      </w:r>
      <w:r w:rsidR="00E74F1D">
        <w:rPr>
          <w:rFonts w:eastAsiaTheme="minorEastAsia" w:cs="Times New Roman"/>
        </w:rPr>
        <w:t xml:space="preserve"> the </w:t>
      </w:r>
      <w:r>
        <w:rPr>
          <w:rFonts w:eastAsiaTheme="minorEastAsia" w:cs="Times New Roman"/>
        </w:rPr>
        <w:t xml:space="preserve">common unobserved effects </w:t>
      </w:r>
      <w:r>
        <w:rPr>
          <w:rFonts w:eastAsiaTheme="minorEastAsia" w:cs="Times New Roman"/>
        </w:rPr>
        <w:lastRenderedPageBreak/>
        <w:t xml:space="preserve">between </w:t>
      </w:r>
      <w:r w:rsidR="000E1385">
        <w:rPr>
          <w:rFonts w:eastAsiaTheme="minorEastAsia" w:cs="Times New Roman"/>
        </w:rPr>
        <w:t xml:space="preserve">arrivals and departures </w:t>
      </w:r>
      <w:r w:rsidR="00E74F1D">
        <w:rPr>
          <w:rFonts w:eastAsiaTheme="minorEastAsia" w:cs="Times New Roman"/>
        </w:rPr>
        <w:t>to the TAZ level</w:t>
      </w:r>
      <w:r w:rsidR="001C412A" w:rsidRPr="008A07C9">
        <w:rPr>
          <w:rFonts w:eastAsiaTheme="minorEastAsia" w:cs="Times New Roman"/>
        </w:rPr>
        <w:t xml:space="preserve">. </w:t>
      </w:r>
      <w:r w:rsidR="001C412A">
        <w:rPr>
          <w:rFonts w:eastAsiaTheme="minorEastAsia" w:cs="Times New Roman"/>
        </w:rPr>
        <w:t xml:space="preserve">The model fit measures clearly provide evidence to support our hypothesis that ignoring the installation process </w:t>
      </w:r>
      <w:r w:rsidR="008F2914">
        <w:rPr>
          <w:rFonts w:eastAsiaTheme="minorEastAsia" w:cs="Times New Roman"/>
        </w:rPr>
        <w:t xml:space="preserve">and </w:t>
      </w:r>
      <w:r w:rsidR="008F2914">
        <w:rPr>
          <w:rFonts w:cs="Times New Roman"/>
        </w:rPr>
        <w:t xml:space="preserve">decomposing the unobserved effects into finer resolutions </w:t>
      </w:r>
      <w:r w:rsidR="001C412A">
        <w:rPr>
          <w:rFonts w:eastAsiaTheme="minorEastAsia" w:cs="Times New Roman"/>
        </w:rPr>
        <w:t>affect model estimates</w:t>
      </w:r>
      <w:r w:rsidR="008F2914">
        <w:rPr>
          <w:rFonts w:eastAsiaTheme="minorEastAsia" w:cs="Times New Roman"/>
        </w:rPr>
        <w:t xml:space="preserve">. </w:t>
      </w:r>
      <w:r w:rsidR="001C412A">
        <w:rPr>
          <w:rFonts w:eastAsiaTheme="minorEastAsia" w:cs="Times New Roman"/>
        </w:rPr>
        <w:t xml:space="preserve">To further examine the advantages of the proposed model framework, elasticity impacts for a host of policy variables were computed. </w:t>
      </w:r>
      <w:r w:rsidR="001C412A" w:rsidRPr="008A07C9">
        <w:rPr>
          <w:rFonts w:cs="Times New Roman"/>
        </w:rPr>
        <w:t xml:space="preserve">The </w:t>
      </w:r>
      <w:r w:rsidR="001C412A">
        <w:rPr>
          <w:rFonts w:cs="Times New Roman"/>
        </w:rPr>
        <w:t xml:space="preserve">elasticity </w:t>
      </w:r>
      <w:r w:rsidR="001C412A" w:rsidRPr="008A07C9">
        <w:rPr>
          <w:rFonts w:cs="Times New Roman"/>
        </w:rPr>
        <w:t xml:space="preserve">effects predicted for changes in BSS infrastructure variables </w:t>
      </w:r>
      <w:r w:rsidR="001C412A">
        <w:rPr>
          <w:rFonts w:cs="Times New Roman"/>
        </w:rPr>
        <w:t>indicate</w:t>
      </w:r>
      <w:r w:rsidR="001C412A" w:rsidRPr="008A07C9">
        <w:rPr>
          <w:rFonts w:cs="Times New Roman"/>
        </w:rPr>
        <w:t xml:space="preserve"> that ignoring the potential relationship between BSS infrastructure installation process and usage could result in </w:t>
      </w:r>
      <w:r w:rsidR="001C412A">
        <w:rPr>
          <w:rFonts w:cs="Times New Roman"/>
        </w:rPr>
        <w:t xml:space="preserve">significant </w:t>
      </w:r>
      <w:r w:rsidR="001C412A" w:rsidRPr="008A07C9">
        <w:rPr>
          <w:rFonts w:cs="Times New Roman"/>
        </w:rPr>
        <w:t>over</w:t>
      </w:r>
      <w:r w:rsidR="00C86FEE">
        <w:rPr>
          <w:rFonts w:cs="Times New Roman"/>
        </w:rPr>
        <w:t>-</w:t>
      </w:r>
      <w:r w:rsidR="001C412A" w:rsidRPr="008A07C9">
        <w:rPr>
          <w:rFonts w:cs="Times New Roman"/>
        </w:rPr>
        <w:t>estimati</w:t>
      </w:r>
      <w:r>
        <w:rPr>
          <w:rFonts w:cs="Times New Roman"/>
        </w:rPr>
        <w:t>o</w:t>
      </w:r>
      <w:r w:rsidR="001C412A" w:rsidRPr="008A07C9">
        <w:rPr>
          <w:rFonts w:cs="Times New Roman"/>
        </w:rPr>
        <w:t xml:space="preserve">n </w:t>
      </w:r>
      <w:r>
        <w:rPr>
          <w:rFonts w:cs="Times New Roman"/>
        </w:rPr>
        <w:t xml:space="preserve">of </w:t>
      </w:r>
      <w:r w:rsidR="001C412A" w:rsidRPr="008A07C9">
        <w:rPr>
          <w:rFonts w:cs="Times New Roman"/>
        </w:rPr>
        <w:t>the impact of BSS infrastructure</w:t>
      </w:r>
      <w:r w:rsidR="00416448">
        <w:rPr>
          <w:rFonts w:cs="Times New Roman"/>
        </w:rPr>
        <w:t xml:space="preserve"> (varies between 66% </w:t>
      </w:r>
      <w:r w:rsidR="00803901">
        <w:rPr>
          <w:rFonts w:cs="Times New Roman"/>
        </w:rPr>
        <w:t>and</w:t>
      </w:r>
      <w:r w:rsidR="00416448">
        <w:rPr>
          <w:rFonts w:cs="Times New Roman"/>
        </w:rPr>
        <w:t xml:space="preserve"> 118%)</w:t>
      </w:r>
      <w:r w:rsidR="001C412A" w:rsidRPr="008A07C9">
        <w:rPr>
          <w:rFonts w:cs="Times New Roman"/>
        </w:rPr>
        <w:t>.</w:t>
      </w:r>
      <w:r w:rsidR="00C86FEE">
        <w:rPr>
          <w:rFonts w:cs="Times New Roman"/>
        </w:rPr>
        <w:t xml:space="preserve"> </w:t>
      </w:r>
      <w:r w:rsidR="00416448">
        <w:rPr>
          <w:rFonts w:cs="Times New Roman"/>
        </w:rPr>
        <w:t xml:space="preserve">While the elasticity analysis results for population, job and bicycle facilities density variables </w:t>
      </w:r>
      <w:r w:rsidR="00416448">
        <w:t xml:space="preserve">do not yield statistically significant differences between </w:t>
      </w:r>
      <w:r w:rsidR="00593715">
        <w:t>different models, the mean errors can range from -57% to 125%</w:t>
      </w:r>
      <w:r w:rsidR="00416448" w:rsidRPr="00884942">
        <w:t>.</w:t>
      </w:r>
    </w:p>
    <w:p w14:paraId="68D7844A" w14:textId="39E9722E" w:rsidR="00273BD5" w:rsidRDefault="00273BD5" w:rsidP="008E0494">
      <w:pPr>
        <w:ind w:firstLine="720"/>
        <w:rPr>
          <w:rFonts w:cs="Times New Roman"/>
          <w:bCs/>
          <w:iCs/>
          <w:szCs w:val="24"/>
        </w:rPr>
      </w:pPr>
      <w:r>
        <w:rPr>
          <w:rFonts w:cs="Times New Roman"/>
        </w:rPr>
        <w:t xml:space="preserve">Besides, the empirical analysis has several findings. </w:t>
      </w:r>
      <w:r w:rsidRPr="008A07C9">
        <w:rPr>
          <w:rFonts w:cs="Times New Roman"/>
        </w:rPr>
        <w:t xml:space="preserve">The results evidently indicate that bicycle-sharing infrastructure is not randomly allocated in </w:t>
      </w:r>
      <w:r>
        <w:rPr>
          <w:rFonts w:cs="Times New Roman"/>
        </w:rPr>
        <w:t>the urban region</w:t>
      </w:r>
      <w:r w:rsidRPr="008A07C9">
        <w:rPr>
          <w:rFonts w:cs="Times New Roman"/>
        </w:rPr>
        <w:t xml:space="preserve">. Considering Montreal’s BIXI system as a mature system with </w:t>
      </w:r>
      <w:r>
        <w:rPr>
          <w:rFonts w:cs="Times New Roman"/>
        </w:rPr>
        <w:t xml:space="preserve">reasonable </w:t>
      </w:r>
      <w:r w:rsidRPr="008A07C9">
        <w:rPr>
          <w:rFonts w:cs="Times New Roman"/>
        </w:rPr>
        <w:t xml:space="preserve">success, the estimated BSS installation model results </w:t>
      </w:r>
      <w:r>
        <w:rPr>
          <w:rFonts w:cs="Times New Roman"/>
        </w:rPr>
        <w:t xml:space="preserve">can be used as </w:t>
      </w:r>
      <w:r w:rsidRPr="008A07C9">
        <w:rPr>
          <w:rFonts w:cs="Times New Roman"/>
        </w:rPr>
        <w:t xml:space="preserve">a guiding template </w:t>
      </w:r>
      <w:r>
        <w:rPr>
          <w:rFonts w:cs="Times New Roman"/>
        </w:rPr>
        <w:t xml:space="preserve">to model BSS installation decisions for </w:t>
      </w:r>
      <w:r w:rsidRPr="008A07C9">
        <w:rPr>
          <w:rFonts w:cs="Times New Roman"/>
        </w:rPr>
        <w:t>a TAZ (</w:t>
      </w:r>
      <w:r>
        <w:rPr>
          <w:rFonts w:cs="Times New Roman"/>
        </w:rPr>
        <w:t xml:space="preserve">or </w:t>
      </w:r>
      <w:r w:rsidRPr="008A07C9">
        <w:rPr>
          <w:rFonts w:cs="Times New Roman"/>
        </w:rPr>
        <w:t>neighbourhood) as a function of existing land-use</w:t>
      </w:r>
      <w:r>
        <w:rPr>
          <w:rFonts w:cs="Times New Roman"/>
        </w:rPr>
        <w:t>,</w:t>
      </w:r>
      <w:r w:rsidRPr="008A07C9">
        <w:rPr>
          <w:rFonts w:cs="Times New Roman"/>
        </w:rPr>
        <w:t xml:space="preserve"> built environment attributes.</w:t>
      </w:r>
      <w:r>
        <w:rPr>
          <w:rFonts w:cs="Times New Roman"/>
        </w:rPr>
        <w:t xml:space="preserve"> Moreover,</w:t>
      </w:r>
      <w:r>
        <w:rPr>
          <w:rFonts w:cs="Times New Roman"/>
          <w:bCs/>
          <w:iCs/>
          <w:szCs w:val="24"/>
        </w:rPr>
        <w:t xml:space="preserve"> our estimated results on factors influencing arrivals and departures </w:t>
      </w:r>
      <w:r w:rsidR="00E15FC6">
        <w:rPr>
          <w:rFonts w:cs="Times New Roman"/>
          <w:bCs/>
          <w:iCs/>
          <w:szCs w:val="24"/>
        </w:rPr>
        <w:t>provide interesting findings. The results demonstrate the significant impact of weather characteristics as well as</w:t>
      </w:r>
      <w:r w:rsidR="00A03247">
        <w:rPr>
          <w:rFonts w:cs="Times New Roman"/>
          <w:bCs/>
          <w:iCs/>
          <w:szCs w:val="24"/>
        </w:rPr>
        <w:t xml:space="preserve"> the</w:t>
      </w:r>
      <w:r w:rsidR="00E15FC6">
        <w:rPr>
          <w:rFonts w:cs="Times New Roman"/>
          <w:bCs/>
          <w:iCs/>
          <w:szCs w:val="24"/>
        </w:rPr>
        <w:t xml:space="preserve"> time of the day and weekend variables on BSS usage. The use of BIXI system for </w:t>
      </w:r>
      <w:r w:rsidR="00A03247">
        <w:rPr>
          <w:rFonts w:cs="Times New Roman"/>
          <w:bCs/>
          <w:iCs/>
          <w:szCs w:val="24"/>
        </w:rPr>
        <w:t xml:space="preserve">the </w:t>
      </w:r>
      <w:r w:rsidR="00E15FC6">
        <w:rPr>
          <w:rFonts w:cs="Times New Roman"/>
          <w:bCs/>
          <w:iCs/>
          <w:szCs w:val="24"/>
        </w:rPr>
        <w:t>daily commu</w:t>
      </w:r>
      <w:r w:rsidR="00BC341B">
        <w:rPr>
          <w:rFonts w:cs="Times New Roman"/>
          <w:bCs/>
          <w:iCs/>
          <w:szCs w:val="24"/>
        </w:rPr>
        <w:t xml:space="preserve">te to and from work </w:t>
      </w:r>
      <w:r w:rsidR="00E15FC6">
        <w:rPr>
          <w:rFonts w:cs="Times New Roman"/>
          <w:bCs/>
          <w:iCs/>
          <w:szCs w:val="24"/>
        </w:rPr>
        <w:t>and universities</w:t>
      </w:r>
      <w:r w:rsidR="00BC341B">
        <w:rPr>
          <w:rFonts w:cs="Times New Roman"/>
          <w:bCs/>
          <w:iCs/>
          <w:szCs w:val="24"/>
        </w:rPr>
        <w:t xml:space="preserve"> </w:t>
      </w:r>
      <w:r w:rsidR="00E15FC6">
        <w:rPr>
          <w:rFonts w:cs="Times New Roman"/>
          <w:bCs/>
          <w:iCs/>
          <w:szCs w:val="24"/>
        </w:rPr>
        <w:t>is also highlighted by the results. The findings provide</w:t>
      </w:r>
      <w:r>
        <w:rPr>
          <w:rFonts w:cs="Times New Roman"/>
          <w:bCs/>
          <w:iCs/>
          <w:szCs w:val="24"/>
        </w:rPr>
        <w:t xml:space="preserve"> useful</w:t>
      </w:r>
      <w:r w:rsidR="00E15FC6">
        <w:rPr>
          <w:rFonts w:cs="Times New Roman"/>
          <w:bCs/>
          <w:iCs/>
          <w:szCs w:val="24"/>
        </w:rPr>
        <w:t xml:space="preserve"> information</w:t>
      </w:r>
      <w:r>
        <w:rPr>
          <w:rFonts w:cs="Times New Roman"/>
          <w:bCs/>
          <w:iCs/>
          <w:szCs w:val="24"/>
        </w:rPr>
        <w:t xml:space="preserve"> for </w:t>
      </w:r>
      <w:r w:rsidRPr="00B14DE5">
        <w:rPr>
          <w:rFonts w:cs="Times New Roman"/>
          <w:bCs/>
          <w:iCs/>
          <w:szCs w:val="24"/>
        </w:rPr>
        <w:t>designing or modifying bicycle-sharing systems with the</w:t>
      </w:r>
      <w:r>
        <w:rPr>
          <w:rFonts w:cs="Times New Roman"/>
          <w:bCs/>
          <w:iCs/>
          <w:szCs w:val="24"/>
        </w:rPr>
        <w:t xml:space="preserve"> </w:t>
      </w:r>
      <w:r w:rsidRPr="00B14DE5">
        <w:rPr>
          <w:rFonts w:cs="Times New Roman"/>
          <w:bCs/>
          <w:iCs/>
          <w:szCs w:val="24"/>
        </w:rPr>
        <w:t>goal of maximizing usage</w:t>
      </w:r>
      <w:r>
        <w:rPr>
          <w:rFonts w:cs="Times New Roman"/>
          <w:bCs/>
          <w:iCs/>
          <w:szCs w:val="24"/>
        </w:rPr>
        <w:t xml:space="preserve">. </w:t>
      </w:r>
    </w:p>
    <w:p w14:paraId="1A3E2643" w14:textId="77777777" w:rsidR="00D3607A" w:rsidRDefault="00D3607A">
      <w:pPr>
        <w:spacing w:before="0" w:after="0"/>
      </w:pPr>
    </w:p>
    <w:p w14:paraId="02EEBD4C" w14:textId="1BE0CDA6" w:rsidR="00D3607A" w:rsidRPr="00D3607A" w:rsidRDefault="00D3607A">
      <w:pPr>
        <w:spacing w:before="0" w:after="0"/>
        <w:rPr>
          <w:b/>
        </w:rPr>
      </w:pPr>
      <w:r w:rsidRPr="00D3607A">
        <w:rPr>
          <w:b/>
        </w:rPr>
        <w:t>Acknowledgements</w:t>
      </w:r>
    </w:p>
    <w:p w14:paraId="6D8B234E" w14:textId="5C033CE1" w:rsidR="008F2914" w:rsidRDefault="00D3607A">
      <w:pPr>
        <w:spacing w:before="0" w:after="0"/>
      </w:pPr>
      <w:r>
        <w:t xml:space="preserve">The authors are grateful for the insightful feedback from the editor and three anonymous reviewers on an earlier version of the manuscript. </w:t>
      </w:r>
    </w:p>
    <w:p w14:paraId="03436DB1" w14:textId="77777777" w:rsidR="00D3607A" w:rsidRDefault="00D3607A">
      <w:pPr>
        <w:spacing w:before="0" w:after="0"/>
        <w:rPr>
          <w:rFonts w:cs="Times New Roman"/>
          <w:b/>
        </w:rPr>
      </w:pPr>
    </w:p>
    <w:p w14:paraId="0DD64C45" w14:textId="77777777" w:rsidR="003C62D5" w:rsidRPr="008A07C9" w:rsidRDefault="003C62D5" w:rsidP="003C62D5">
      <w:pPr>
        <w:autoSpaceDE w:val="0"/>
        <w:autoSpaceDN w:val="0"/>
        <w:adjustRightInd w:val="0"/>
        <w:jc w:val="left"/>
        <w:rPr>
          <w:rFonts w:cs="Times New Roman"/>
          <w:b/>
        </w:rPr>
      </w:pPr>
      <w:r w:rsidRPr="008A07C9">
        <w:rPr>
          <w:rFonts w:cs="Times New Roman"/>
          <w:b/>
        </w:rPr>
        <w:t>References</w:t>
      </w:r>
    </w:p>
    <w:p w14:paraId="0ECA053E" w14:textId="77777777" w:rsidR="00C13776" w:rsidRPr="009620E1" w:rsidRDefault="00C13776" w:rsidP="00606B26">
      <w:pPr>
        <w:autoSpaceDE w:val="0"/>
        <w:autoSpaceDN w:val="0"/>
        <w:adjustRightInd w:val="0"/>
        <w:spacing w:before="0" w:after="60"/>
        <w:ind w:left="720" w:hanging="720"/>
        <w:rPr>
          <w:rFonts w:cs="Times New Roman"/>
          <w:bCs/>
          <w:szCs w:val="24"/>
        </w:rPr>
      </w:pPr>
      <w:bookmarkStart w:id="0" w:name="_GoBack"/>
      <w:r w:rsidRPr="00655729">
        <w:rPr>
          <w:rFonts w:cs="Times New Roman"/>
          <w:bCs/>
          <w:szCs w:val="24"/>
        </w:rPr>
        <w:t>Abay, K.A., Paleti, R., Bhat, C.R., 2013. The Joint Analysi</w:t>
      </w:r>
      <w:r>
        <w:rPr>
          <w:rFonts w:cs="Times New Roman"/>
          <w:bCs/>
          <w:szCs w:val="24"/>
        </w:rPr>
        <w:t>s of Injury Severity of Drivers i</w:t>
      </w:r>
      <w:r w:rsidRPr="00655729">
        <w:rPr>
          <w:rFonts w:cs="Times New Roman"/>
          <w:bCs/>
          <w:szCs w:val="24"/>
        </w:rPr>
        <w:t>n Two-Vehicle Crashes Accommodating Seat Belt Use Endogeneity. Transportation Research Part B: Methodological</w:t>
      </w:r>
      <w:r>
        <w:rPr>
          <w:rFonts w:cs="Times New Roman"/>
          <w:bCs/>
          <w:szCs w:val="24"/>
        </w:rPr>
        <w:t>, Vol.</w:t>
      </w:r>
      <w:r w:rsidRPr="00655729">
        <w:rPr>
          <w:rFonts w:cs="Times New Roman"/>
          <w:bCs/>
          <w:szCs w:val="24"/>
        </w:rPr>
        <w:t xml:space="preserve"> 50,</w:t>
      </w:r>
      <w:r>
        <w:rPr>
          <w:rFonts w:cs="Times New Roman"/>
          <w:bCs/>
          <w:szCs w:val="24"/>
        </w:rPr>
        <w:t xml:space="preserve"> pp.</w:t>
      </w:r>
      <w:r w:rsidRPr="00655729">
        <w:rPr>
          <w:rFonts w:cs="Times New Roman"/>
          <w:bCs/>
          <w:szCs w:val="24"/>
        </w:rPr>
        <w:t xml:space="preserve"> 74-89.</w:t>
      </w:r>
    </w:p>
    <w:p w14:paraId="7737D7EA" w14:textId="77777777" w:rsidR="00C13776" w:rsidRPr="009620E1" w:rsidRDefault="00C13776" w:rsidP="00606B26">
      <w:pPr>
        <w:autoSpaceDE w:val="0"/>
        <w:autoSpaceDN w:val="0"/>
        <w:adjustRightInd w:val="0"/>
        <w:spacing w:before="0" w:after="60"/>
        <w:ind w:left="720" w:hanging="720"/>
        <w:rPr>
          <w:rFonts w:cs="Times New Roman"/>
          <w:bCs/>
          <w:szCs w:val="24"/>
        </w:rPr>
      </w:pPr>
      <w:r w:rsidRPr="009620E1">
        <w:rPr>
          <w:rFonts w:cs="Times New Roman"/>
          <w:bCs/>
          <w:szCs w:val="24"/>
        </w:rPr>
        <w:t>Bhat, C.R, and Guo, J.Y.</w:t>
      </w:r>
      <w:r>
        <w:rPr>
          <w:rFonts w:cs="Times New Roman"/>
          <w:bCs/>
          <w:szCs w:val="24"/>
        </w:rPr>
        <w:t>,</w:t>
      </w:r>
      <w:r w:rsidRPr="009620E1">
        <w:rPr>
          <w:rFonts w:cs="Times New Roman"/>
          <w:bCs/>
          <w:szCs w:val="24"/>
        </w:rPr>
        <w:t xml:space="preserve"> 2007 A Comprehensive Analysis of Built Environment Characteristics on Household Residential Choice and Auto Ownership Levels, Transportation Research Part B, Vol. 41, No. 5, pp. 506-52.</w:t>
      </w:r>
    </w:p>
    <w:p w14:paraId="34631548" w14:textId="77777777" w:rsidR="00C13776" w:rsidRPr="009620E1" w:rsidRDefault="00C13776" w:rsidP="00606B26">
      <w:pPr>
        <w:autoSpaceDE w:val="0"/>
        <w:autoSpaceDN w:val="0"/>
        <w:adjustRightInd w:val="0"/>
        <w:spacing w:before="0" w:after="60"/>
        <w:ind w:left="720" w:hanging="720"/>
        <w:rPr>
          <w:rFonts w:cs="Times New Roman"/>
          <w:bCs/>
          <w:szCs w:val="24"/>
        </w:rPr>
      </w:pPr>
      <w:r w:rsidRPr="009620E1">
        <w:rPr>
          <w:rFonts w:cs="Times New Roman"/>
        </w:rPr>
        <w:t>Bhat, C.R.</w:t>
      </w:r>
      <w:r>
        <w:rPr>
          <w:rFonts w:cs="Times New Roman"/>
        </w:rPr>
        <w:t>,</w:t>
      </w:r>
      <w:r w:rsidRPr="009620E1">
        <w:rPr>
          <w:rFonts w:cs="Times New Roman"/>
        </w:rPr>
        <w:t xml:space="preserve"> 2003. Simulation Estimation of Mixed Discrete Choice Models Using Randomized and Scrambled Halton Sequences. Transportation Research Part B, Vol. 37, No. 9, pp. 837-855.</w:t>
      </w:r>
    </w:p>
    <w:p w14:paraId="58344CF0" w14:textId="77777777" w:rsidR="00C13776" w:rsidRDefault="00C13776" w:rsidP="00606B26">
      <w:pPr>
        <w:autoSpaceDE w:val="0"/>
        <w:autoSpaceDN w:val="0"/>
        <w:adjustRightInd w:val="0"/>
        <w:spacing w:before="0" w:after="60"/>
        <w:ind w:left="720" w:hanging="720"/>
        <w:rPr>
          <w:rFonts w:cs="Times New Roman"/>
        </w:rPr>
      </w:pPr>
      <w:r>
        <w:rPr>
          <w:rFonts w:cs="Times New Roman"/>
        </w:rPr>
        <w:t xml:space="preserve">Bhat, C.R., and N. Eluru, </w:t>
      </w:r>
      <w:r w:rsidRPr="00C116EB">
        <w:rPr>
          <w:rFonts w:cs="Times New Roman"/>
        </w:rPr>
        <w:t>2009</w:t>
      </w:r>
      <w:r>
        <w:rPr>
          <w:rFonts w:cs="Times New Roman"/>
        </w:rPr>
        <w:t>.</w:t>
      </w:r>
      <w:r w:rsidRPr="00C116EB">
        <w:rPr>
          <w:rFonts w:cs="Times New Roman"/>
        </w:rPr>
        <w:t xml:space="preserve"> A Copula-Based Approach to Accommodate Residential Self-Selection Effects in Travel Behavior Modeling, Transportation Research Part B, Vol. 43, pp. 749-765</w:t>
      </w:r>
      <w:r>
        <w:rPr>
          <w:rFonts w:cs="Times New Roman"/>
        </w:rPr>
        <w:t>.</w:t>
      </w:r>
    </w:p>
    <w:p w14:paraId="69786E99" w14:textId="77777777" w:rsidR="00C13776" w:rsidRDefault="00C13776" w:rsidP="00606B26">
      <w:pPr>
        <w:autoSpaceDE w:val="0"/>
        <w:autoSpaceDN w:val="0"/>
        <w:adjustRightInd w:val="0"/>
        <w:spacing w:before="0" w:after="60"/>
        <w:ind w:left="720" w:hanging="720"/>
        <w:rPr>
          <w:rFonts w:cs="Times New Roman"/>
          <w:bCs/>
          <w:szCs w:val="24"/>
        </w:rPr>
      </w:pPr>
      <w:r w:rsidRPr="009620E1">
        <w:rPr>
          <w:rFonts w:cs="Times New Roman"/>
          <w:bCs/>
          <w:szCs w:val="24"/>
        </w:rPr>
        <w:t>Cao, X., Mokhtarian, P. L., Handy, S. L.</w:t>
      </w:r>
      <w:r>
        <w:rPr>
          <w:rFonts w:cs="Times New Roman"/>
          <w:bCs/>
          <w:szCs w:val="24"/>
        </w:rPr>
        <w:t>,</w:t>
      </w:r>
      <w:r w:rsidRPr="009620E1">
        <w:rPr>
          <w:rFonts w:cs="Times New Roman"/>
          <w:bCs/>
          <w:szCs w:val="24"/>
        </w:rPr>
        <w:t xml:space="preserve"> 2009. Examining the Impacts of Residential Self-Selection on Travel Behavior: A Focus on Empirical Findings. Transport Reviews</w:t>
      </w:r>
      <w:r>
        <w:rPr>
          <w:rFonts w:cs="Times New Roman"/>
          <w:bCs/>
          <w:szCs w:val="24"/>
        </w:rPr>
        <w:t xml:space="preserve">, Vol. 29. Pp. </w:t>
      </w:r>
      <w:r w:rsidRPr="005A57AB">
        <w:rPr>
          <w:rFonts w:cs="Times New Roman"/>
          <w:bCs/>
          <w:szCs w:val="24"/>
        </w:rPr>
        <w:t>359-395</w:t>
      </w:r>
      <w:r w:rsidRPr="009620E1">
        <w:rPr>
          <w:rFonts w:cs="Times New Roman"/>
          <w:bCs/>
          <w:szCs w:val="24"/>
        </w:rPr>
        <w:t>.</w:t>
      </w:r>
    </w:p>
    <w:p w14:paraId="4C37D480" w14:textId="77777777" w:rsidR="00C13776" w:rsidRPr="009620E1" w:rsidRDefault="00C13776" w:rsidP="00606B26">
      <w:pPr>
        <w:autoSpaceDE w:val="0"/>
        <w:autoSpaceDN w:val="0"/>
        <w:adjustRightInd w:val="0"/>
        <w:spacing w:before="0" w:after="60"/>
        <w:ind w:left="720" w:hanging="720"/>
        <w:rPr>
          <w:rFonts w:cs="Times New Roman"/>
          <w:bCs/>
          <w:szCs w:val="24"/>
        </w:rPr>
      </w:pPr>
      <w:r w:rsidRPr="008E0494">
        <w:rPr>
          <w:rFonts w:cs="Times New Roman"/>
          <w:bCs/>
          <w:szCs w:val="24"/>
        </w:rPr>
        <w:lastRenderedPageBreak/>
        <w:t>Chakour, V.</w:t>
      </w:r>
      <w:r>
        <w:rPr>
          <w:rFonts w:cs="Times New Roman"/>
          <w:bCs/>
          <w:szCs w:val="24"/>
        </w:rPr>
        <w:t>,</w:t>
      </w:r>
      <w:r w:rsidRPr="008E0494">
        <w:rPr>
          <w:rFonts w:cs="Times New Roman"/>
          <w:bCs/>
          <w:szCs w:val="24"/>
        </w:rPr>
        <w:t xml:space="preserve"> and Eluru, N., 2016. Examining the influence of stop level infrastructure and built environment on bus ridership in Montreal. Journal of Transport Geography, </w:t>
      </w:r>
      <w:r>
        <w:rPr>
          <w:rFonts w:cs="Times New Roman"/>
          <w:bCs/>
          <w:szCs w:val="24"/>
        </w:rPr>
        <w:t xml:space="preserve">Vol. </w:t>
      </w:r>
      <w:r w:rsidRPr="008E0494">
        <w:rPr>
          <w:rFonts w:cs="Times New Roman"/>
          <w:bCs/>
          <w:szCs w:val="24"/>
        </w:rPr>
        <w:t>51, pp.</w:t>
      </w:r>
      <w:r>
        <w:rPr>
          <w:rFonts w:cs="Times New Roman"/>
          <w:bCs/>
          <w:szCs w:val="24"/>
        </w:rPr>
        <w:t xml:space="preserve"> </w:t>
      </w:r>
      <w:r w:rsidRPr="008E0494">
        <w:rPr>
          <w:rFonts w:cs="Times New Roman"/>
          <w:bCs/>
          <w:szCs w:val="24"/>
        </w:rPr>
        <w:t>205-217.</w:t>
      </w:r>
    </w:p>
    <w:p w14:paraId="14E00214" w14:textId="77777777" w:rsidR="00C13776" w:rsidRDefault="00C13776" w:rsidP="0037375A">
      <w:pPr>
        <w:autoSpaceDE w:val="0"/>
        <w:autoSpaceDN w:val="0"/>
        <w:adjustRightInd w:val="0"/>
        <w:ind w:left="720" w:hanging="720"/>
        <w:rPr>
          <w:rFonts w:cs="Times New Roman"/>
        </w:rPr>
      </w:pPr>
      <w:r w:rsidRPr="00512AAE">
        <w:rPr>
          <w:rFonts w:cs="Times New Roman"/>
        </w:rPr>
        <w:t>Cheng, W., Wa</w:t>
      </w:r>
      <w:r>
        <w:rPr>
          <w:rFonts w:cs="Times New Roman"/>
        </w:rPr>
        <w:t>ng, J. H., Bryden, G., Ye, X., and</w:t>
      </w:r>
      <w:r w:rsidRPr="00512AAE">
        <w:rPr>
          <w:rFonts w:cs="Times New Roman"/>
        </w:rPr>
        <w:t xml:space="preserve"> Jia, X.</w:t>
      </w:r>
      <w:r>
        <w:rPr>
          <w:rFonts w:cs="Times New Roman"/>
        </w:rPr>
        <w:t>,</w:t>
      </w:r>
      <w:r w:rsidRPr="00512AAE">
        <w:rPr>
          <w:rFonts w:cs="Times New Roman"/>
        </w:rPr>
        <w:t xml:space="preserve"> 2013. An examination of the endogeneity of speed limits and accident counts in crash models. Journal of Transportation Safety &amp; Security,</w:t>
      </w:r>
      <w:r>
        <w:rPr>
          <w:rFonts w:cs="Times New Roman"/>
        </w:rPr>
        <w:t xml:space="preserve"> Vol.</w:t>
      </w:r>
      <w:r w:rsidRPr="00512AAE">
        <w:rPr>
          <w:rFonts w:cs="Times New Roman"/>
        </w:rPr>
        <w:t xml:space="preserve"> 5,</w:t>
      </w:r>
      <w:r>
        <w:rPr>
          <w:rFonts w:cs="Times New Roman"/>
        </w:rPr>
        <w:t xml:space="preserve"> pp.</w:t>
      </w:r>
      <w:r w:rsidRPr="00512AAE">
        <w:rPr>
          <w:rFonts w:cs="Times New Roman"/>
        </w:rPr>
        <w:t xml:space="preserve"> 314-326.</w:t>
      </w:r>
    </w:p>
    <w:p w14:paraId="70BC68FE" w14:textId="77777777" w:rsidR="00C13776" w:rsidRDefault="00C13776" w:rsidP="00606B26">
      <w:pPr>
        <w:autoSpaceDE w:val="0"/>
        <w:autoSpaceDN w:val="0"/>
        <w:adjustRightInd w:val="0"/>
        <w:spacing w:before="0" w:after="60"/>
        <w:ind w:left="720" w:hanging="720"/>
        <w:rPr>
          <w:rFonts w:cs="Times New Roman"/>
          <w:bCs/>
          <w:szCs w:val="24"/>
        </w:rPr>
      </w:pPr>
      <w:r w:rsidRPr="00655729">
        <w:rPr>
          <w:rFonts w:cs="Times New Roman"/>
          <w:bCs/>
          <w:szCs w:val="24"/>
        </w:rPr>
        <w:t>E</w:t>
      </w:r>
      <w:r>
        <w:rPr>
          <w:rFonts w:cs="Times New Roman"/>
          <w:bCs/>
          <w:szCs w:val="24"/>
        </w:rPr>
        <w:t>luru, N., and</w:t>
      </w:r>
      <w:r w:rsidRPr="00655729">
        <w:rPr>
          <w:rFonts w:cs="Times New Roman"/>
          <w:bCs/>
          <w:szCs w:val="24"/>
        </w:rPr>
        <w:t xml:space="preserve"> Bhat C.R.</w:t>
      </w:r>
      <w:r>
        <w:rPr>
          <w:rFonts w:cs="Times New Roman"/>
          <w:bCs/>
          <w:szCs w:val="24"/>
        </w:rPr>
        <w:t>,</w:t>
      </w:r>
      <w:r w:rsidRPr="00655729">
        <w:rPr>
          <w:rFonts w:cs="Times New Roman"/>
          <w:bCs/>
          <w:szCs w:val="24"/>
        </w:rPr>
        <w:t xml:space="preserve"> 2007</w:t>
      </w:r>
      <w:r>
        <w:rPr>
          <w:rFonts w:cs="Times New Roman"/>
          <w:bCs/>
          <w:szCs w:val="24"/>
        </w:rPr>
        <w:t>.</w:t>
      </w:r>
      <w:r w:rsidRPr="00655729">
        <w:rPr>
          <w:rFonts w:cs="Times New Roman"/>
          <w:bCs/>
          <w:szCs w:val="24"/>
        </w:rPr>
        <w:t xml:space="preserve"> A Joint Econometric Analysis of Seat Belt Use and Crash-Related Injury Severity, Accident Analysis &amp; Prevention, Vol. 39, No. 5, pp. 1037-1049</w:t>
      </w:r>
      <w:r>
        <w:rPr>
          <w:rFonts w:cs="Times New Roman"/>
          <w:bCs/>
          <w:szCs w:val="24"/>
        </w:rPr>
        <w:t>.</w:t>
      </w:r>
    </w:p>
    <w:p w14:paraId="0714CD2A" w14:textId="77777777" w:rsidR="00C13776" w:rsidRPr="00655729" w:rsidRDefault="00C13776" w:rsidP="00606B26">
      <w:pPr>
        <w:autoSpaceDE w:val="0"/>
        <w:autoSpaceDN w:val="0"/>
        <w:adjustRightInd w:val="0"/>
        <w:spacing w:before="0" w:after="60"/>
        <w:ind w:left="720" w:hanging="720"/>
        <w:rPr>
          <w:rFonts w:cs="Times New Roman"/>
          <w:bCs/>
          <w:szCs w:val="24"/>
        </w:rPr>
      </w:pPr>
      <w:r w:rsidRPr="00655729">
        <w:rPr>
          <w:rFonts w:cs="Times New Roman"/>
          <w:bCs/>
          <w:szCs w:val="24"/>
        </w:rPr>
        <w:t>Eluru, N., Bhat, C.R.</w:t>
      </w:r>
      <w:r>
        <w:rPr>
          <w:rFonts w:cs="Times New Roman"/>
          <w:bCs/>
          <w:szCs w:val="24"/>
        </w:rPr>
        <w:t>,</w:t>
      </w:r>
      <w:r w:rsidRPr="00655729">
        <w:rPr>
          <w:rFonts w:cs="Times New Roman"/>
          <w:bCs/>
          <w:szCs w:val="24"/>
        </w:rPr>
        <w:t xml:space="preserve"> Pend</w:t>
      </w:r>
      <w:r>
        <w:rPr>
          <w:rFonts w:cs="Times New Roman"/>
          <w:bCs/>
          <w:szCs w:val="24"/>
        </w:rPr>
        <w:t>yala,</w:t>
      </w:r>
      <w:r w:rsidRPr="00655729">
        <w:rPr>
          <w:rFonts w:cs="Times New Roman"/>
          <w:bCs/>
          <w:szCs w:val="24"/>
        </w:rPr>
        <w:t xml:space="preserve"> R.M.</w:t>
      </w:r>
      <w:r>
        <w:rPr>
          <w:rFonts w:cs="Times New Roman"/>
          <w:bCs/>
          <w:szCs w:val="24"/>
        </w:rPr>
        <w:t>, and</w:t>
      </w:r>
      <w:r w:rsidRPr="00655729">
        <w:rPr>
          <w:rFonts w:cs="Times New Roman"/>
          <w:bCs/>
          <w:szCs w:val="24"/>
        </w:rPr>
        <w:t xml:space="preserve"> </w:t>
      </w:r>
      <w:r>
        <w:rPr>
          <w:rFonts w:cs="Times New Roman"/>
          <w:bCs/>
          <w:szCs w:val="24"/>
        </w:rPr>
        <w:t xml:space="preserve">K.C., Konduri, 2010. </w:t>
      </w:r>
      <w:r w:rsidRPr="00655729">
        <w:rPr>
          <w:rFonts w:cs="Times New Roman"/>
          <w:bCs/>
          <w:szCs w:val="24"/>
        </w:rPr>
        <w:t>A Joint Flexible Econometric Model System of Household Residential Location and Vehicle Fleet Composition/Usage Choices, Transportation, 2010 TRB Special Issue, Vol. 37, No. 4, pp. 603-626</w:t>
      </w:r>
      <w:r>
        <w:rPr>
          <w:rFonts w:cs="Times New Roman"/>
          <w:bCs/>
          <w:szCs w:val="24"/>
        </w:rPr>
        <w:t>.</w:t>
      </w:r>
      <w:r w:rsidRPr="00655729">
        <w:rPr>
          <w:rFonts w:cs="Times New Roman"/>
          <w:bCs/>
          <w:szCs w:val="24"/>
        </w:rPr>
        <w:t xml:space="preserve"> </w:t>
      </w:r>
    </w:p>
    <w:p w14:paraId="440F8585" w14:textId="77777777" w:rsidR="00C13776" w:rsidRPr="00655729" w:rsidRDefault="00C13776" w:rsidP="00606B26">
      <w:pPr>
        <w:autoSpaceDE w:val="0"/>
        <w:autoSpaceDN w:val="0"/>
        <w:adjustRightInd w:val="0"/>
        <w:spacing w:before="0" w:after="60"/>
        <w:ind w:left="720" w:hanging="720"/>
        <w:rPr>
          <w:rFonts w:cs="Times New Roman"/>
          <w:bCs/>
          <w:szCs w:val="24"/>
        </w:rPr>
      </w:pPr>
      <w:r>
        <w:rPr>
          <w:rFonts w:cs="Times New Roman"/>
          <w:bCs/>
          <w:szCs w:val="24"/>
        </w:rPr>
        <w:t xml:space="preserve">Eluru, N., C.R. Bhat, and D.A. Hensher, </w:t>
      </w:r>
      <w:r w:rsidRPr="00EA6AED">
        <w:rPr>
          <w:rFonts w:cs="Times New Roman"/>
          <w:bCs/>
          <w:szCs w:val="24"/>
        </w:rPr>
        <w:t>2008, A Mixed Generalized Ordered Response Model for Examining Pedestrian and Bicyclist Injury Severity Level in Traffic Crashes, Accident Analysis &amp; Prevention, Vol. 40, pp. 1033-1054</w:t>
      </w:r>
      <w:r>
        <w:rPr>
          <w:rFonts w:cs="Times New Roman"/>
          <w:bCs/>
          <w:szCs w:val="24"/>
        </w:rPr>
        <w:t>.</w:t>
      </w:r>
    </w:p>
    <w:p w14:paraId="2282212D" w14:textId="77777777" w:rsidR="00C13776" w:rsidRDefault="00C13776" w:rsidP="00606B26">
      <w:pPr>
        <w:autoSpaceDE w:val="0"/>
        <w:autoSpaceDN w:val="0"/>
        <w:adjustRightInd w:val="0"/>
        <w:spacing w:before="0" w:after="60"/>
        <w:ind w:left="720" w:hanging="720"/>
        <w:rPr>
          <w:rFonts w:cs="Times New Roman"/>
        </w:rPr>
      </w:pPr>
      <w:r w:rsidRPr="00AD25DB">
        <w:rPr>
          <w:rFonts w:cs="Times New Roman"/>
        </w:rPr>
        <w:t>Ewing, R., Tian, G., Goates, J. P., Zhang, M., Greenwald, M. J., Joyce, A., Kircher</w:t>
      </w:r>
      <w:r>
        <w:rPr>
          <w:rFonts w:cs="Times New Roman"/>
        </w:rPr>
        <w:t>, J</w:t>
      </w:r>
      <w:r w:rsidRPr="00AD25DB">
        <w:rPr>
          <w:rFonts w:cs="Times New Roman"/>
        </w:rPr>
        <w:t>.</w:t>
      </w:r>
      <w:r>
        <w:rPr>
          <w:rFonts w:cs="Times New Roman"/>
        </w:rPr>
        <w:t xml:space="preserve"> and</w:t>
      </w:r>
      <w:r w:rsidRPr="00AD25DB">
        <w:rPr>
          <w:rFonts w:cs="Times New Roman"/>
        </w:rPr>
        <w:t xml:space="preserve"> Greene, W</w:t>
      </w:r>
      <w:r>
        <w:rPr>
          <w:rFonts w:cs="Times New Roman"/>
        </w:rPr>
        <w:t xml:space="preserve">., 2015. </w:t>
      </w:r>
      <w:r w:rsidRPr="00F00A79">
        <w:rPr>
          <w:rFonts w:cs="Times New Roman"/>
        </w:rPr>
        <w:t>Varying influences of the built environment on household travel in 15 diverse regions of the United States</w:t>
      </w:r>
      <w:r>
        <w:rPr>
          <w:rFonts w:cs="Times New Roman"/>
        </w:rPr>
        <w:t xml:space="preserve">. </w:t>
      </w:r>
      <w:r w:rsidRPr="00F00A79">
        <w:rPr>
          <w:rFonts w:cs="Times New Roman"/>
        </w:rPr>
        <w:t>Urban Studies</w:t>
      </w:r>
      <w:r>
        <w:rPr>
          <w:rFonts w:cs="Times New Roman"/>
        </w:rPr>
        <w:t>,</w:t>
      </w:r>
      <w:r w:rsidRPr="00F00A79">
        <w:rPr>
          <w:rFonts w:cs="Times New Roman"/>
        </w:rPr>
        <w:t xml:space="preserve"> </w:t>
      </w:r>
      <w:r>
        <w:rPr>
          <w:rFonts w:cs="Times New Roman"/>
        </w:rPr>
        <w:t>Vol.</w:t>
      </w:r>
      <w:r w:rsidRPr="00F00A79">
        <w:rPr>
          <w:rFonts w:cs="Times New Roman"/>
        </w:rPr>
        <w:t xml:space="preserve"> 52</w:t>
      </w:r>
      <w:r>
        <w:rPr>
          <w:rFonts w:cs="Times New Roman"/>
        </w:rPr>
        <w:t>, pp. 2330-2348.</w:t>
      </w:r>
    </w:p>
    <w:p w14:paraId="753F775D" w14:textId="77777777" w:rsidR="00C13776" w:rsidRDefault="00C13776" w:rsidP="00606B26">
      <w:pPr>
        <w:autoSpaceDE w:val="0"/>
        <w:autoSpaceDN w:val="0"/>
        <w:adjustRightInd w:val="0"/>
        <w:spacing w:before="0" w:after="60"/>
        <w:ind w:left="720" w:hanging="720"/>
        <w:rPr>
          <w:rFonts w:cs="Times New Roman"/>
          <w:bCs/>
          <w:szCs w:val="24"/>
        </w:rPr>
      </w:pPr>
      <w:r w:rsidRPr="00986537">
        <w:rPr>
          <w:rFonts w:cs="Times New Roman"/>
          <w:bCs/>
          <w:szCs w:val="24"/>
        </w:rPr>
        <w:t>Faghih-Imani A., and N. Eluru, 2015. Analyzing Bicycle Sharing System User Destination Choice Preferences: An Investigation of Chicago's Divvy System, Journal of Transport Geography, Vol. 44, pp. 53-64.</w:t>
      </w:r>
    </w:p>
    <w:p w14:paraId="74ADEAC7" w14:textId="2B8EC744" w:rsidR="0063294E" w:rsidRPr="00986537" w:rsidRDefault="0063294E" w:rsidP="00606B26">
      <w:pPr>
        <w:autoSpaceDE w:val="0"/>
        <w:autoSpaceDN w:val="0"/>
        <w:adjustRightInd w:val="0"/>
        <w:spacing w:before="0" w:after="60"/>
        <w:ind w:left="720" w:hanging="720"/>
        <w:rPr>
          <w:rFonts w:cs="Times New Roman"/>
          <w:bCs/>
          <w:szCs w:val="24"/>
        </w:rPr>
      </w:pPr>
      <w:r w:rsidRPr="0063294E">
        <w:rPr>
          <w:rFonts w:cs="Times New Roman"/>
          <w:bCs/>
          <w:szCs w:val="24"/>
        </w:rPr>
        <w:t>Faghih-Imani, A., &amp; Eluru, N. (2016). Incorporating the impact of spatio-temporal interactions on bicycle sharing system demand: A case study of New York CitiBike system. Journal of Transport Geography, 54, 218-227.</w:t>
      </w:r>
    </w:p>
    <w:p w14:paraId="1ED31795" w14:textId="77777777" w:rsidR="00C13776" w:rsidRDefault="00C13776" w:rsidP="00606B26">
      <w:pPr>
        <w:autoSpaceDE w:val="0"/>
        <w:autoSpaceDN w:val="0"/>
        <w:adjustRightInd w:val="0"/>
        <w:spacing w:before="0" w:after="60"/>
        <w:ind w:left="720" w:hanging="720"/>
        <w:rPr>
          <w:rFonts w:cs="Times New Roman"/>
          <w:bCs/>
          <w:szCs w:val="24"/>
        </w:rPr>
      </w:pPr>
      <w:r w:rsidRPr="00986537">
        <w:rPr>
          <w:rFonts w:cs="Times New Roman"/>
          <w:bCs/>
          <w:szCs w:val="24"/>
        </w:rPr>
        <w:t xml:space="preserve">Faghih-Imani A., N. Eluru, A. El-Geneidy, M. Rabbat, and U. Haq, 2014. How land-use and urban form impact bicycle flows: Evidence from the bicycle-sharing system (BIXI) in Montreal, Journal of Transport Geography, Vol. 41, pp. 306-314. </w:t>
      </w:r>
    </w:p>
    <w:p w14:paraId="233C7F14" w14:textId="77777777" w:rsidR="00C13776" w:rsidRDefault="00C13776" w:rsidP="00606B26">
      <w:pPr>
        <w:autoSpaceDE w:val="0"/>
        <w:autoSpaceDN w:val="0"/>
        <w:adjustRightInd w:val="0"/>
        <w:spacing w:before="0" w:after="60"/>
        <w:ind w:left="720" w:hanging="720"/>
        <w:rPr>
          <w:rFonts w:cs="Times New Roman"/>
          <w:bCs/>
          <w:szCs w:val="24"/>
        </w:rPr>
      </w:pPr>
      <w:r w:rsidRPr="00986537">
        <w:rPr>
          <w:rFonts w:cs="Times New Roman"/>
          <w:bCs/>
          <w:szCs w:val="24"/>
        </w:rPr>
        <w:t xml:space="preserve">Gebhart, K. and Noland, R., 2014. The Impact of Weather Conditions on Bikeshare Trips in Washington, DC. Transportation, Vol. 41, pp. 1205-1225. </w:t>
      </w:r>
    </w:p>
    <w:p w14:paraId="62E3F4D6" w14:textId="77777777" w:rsidR="00C13776" w:rsidRPr="009620E1" w:rsidRDefault="00C13776" w:rsidP="00606B26">
      <w:pPr>
        <w:autoSpaceDE w:val="0"/>
        <w:autoSpaceDN w:val="0"/>
        <w:adjustRightInd w:val="0"/>
        <w:spacing w:before="0" w:after="60"/>
        <w:ind w:left="720" w:hanging="720"/>
        <w:rPr>
          <w:rFonts w:cs="Times New Roman"/>
          <w:bCs/>
          <w:szCs w:val="24"/>
        </w:rPr>
      </w:pPr>
      <w:r w:rsidRPr="00FE2B20">
        <w:rPr>
          <w:rFonts w:cs="Times New Roman"/>
          <w:bCs/>
          <w:szCs w:val="24"/>
        </w:rPr>
        <w:t>Greene, W.H., 2012. Econometric Analysis (7th edn). Prentice-Hall, New Jersey.</w:t>
      </w:r>
    </w:p>
    <w:p w14:paraId="5E349606" w14:textId="77777777" w:rsidR="00C13776" w:rsidRDefault="00C13776" w:rsidP="00606B26">
      <w:pPr>
        <w:autoSpaceDE w:val="0"/>
        <w:autoSpaceDN w:val="0"/>
        <w:adjustRightInd w:val="0"/>
        <w:spacing w:before="0" w:after="60"/>
        <w:ind w:left="720" w:hanging="720"/>
        <w:rPr>
          <w:rFonts w:cs="Times New Roman"/>
          <w:bCs/>
          <w:szCs w:val="24"/>
        </w:rPr>
      </w:pPr>
      <w:r w:rsidRPr="004D0F86">
        <w:rPr>
          <w:rFonts w:cs="Times New Roman"/>
          <w:bCs/>
          <w:szCs w:val="24"/>
        </w:rPr>
        <w:t>Greenwald, M.J., Boarnet, M.G., 2001. Built environment as determinant of walking behavior -analyzing nonwork pedestrian travel in Portland, Oregon. Transportation Research Record</w:t>
      </w:r>
      <w:r>
        <w:rPr>
          <w:rFonts w:cs="Times New Roman"/>
          <w:bCs/>
          <w:szCs w:val="24"/>
        </w:rPr>
        <w:t xml:space="preserve">, Vol. </w:t>
      </w:r>
      <w:r w:rsidRPr="004D0F86">
        <w:rPr>
          <w:rFonts w:cs="Times New Roman"/>
          <w:bCs/>
          <w:szCs w:val="24"/>
        </w:rPr>
        <w:t>1780,</w:t>
      </w:r>
      <w:r>
        <w:rPr>
          <w:rFonts w:cs="Times New Roman"/>
          <w:bCs/>
          <w:szCs w:val="24"/>
        </w:rPr>
        <w:t xml:space="preserve"> pp.</w:t>
      </w:r>
      <w:r w:rsidRPr="004D0F86">
        <w:rPr>
          <w:rFonts w:cs="Times New Roman"/>
          <w:bCs/>
          <w:szCs w:val="24"/>
        </w:rPr>
        <w:t xml:space="preserve"> 33-42.</w:t>
      </w:r>
    </w:p>
    <w:p w14:paraId="226C4DAE" w14:textId="77777777" w:rsidR="00C13776" w:rsidRDefault="00C13776" w:rsidP="00CA51C2">
      <w:pPr>
        <w:autoSpaceDE w:val="0"/>
        <w:autoSpaceDN w:val="0"/>
        <w:adjustRightInd w:val="0"/>
        <w:ind w:left="720" w:hanging="720"/>
        <w:rPr>
          <w:rFonts w:cs="Times New Roman"/>
          <w:bCs/>
          <w:iCs/>
          <w:szCs w:val="24"/>
        </w:rPr>
      </w:pPr>
      <w:r>
        <w:t>Hajivassiliou</w:t>
      </w:r>
      <w:r>
        <w:rPr>
          <w:rFonts w:cs="Times New Roman"/>
          <w:bCs/>
          <w:iCs/>
          <w:szCs w:val="24"/>
        </w:rPr>
        <w:t>, V. A., and P.A. Ruud, 1994. Classical Estimation Methods for LDV Models Using Simulations. In Handbook of Econometrics, IV, (R. Engle and D. McFadden, eds.), Elsevier, New York, pp. 2383-2441.</w:t>
      </w:r>
    </w:p>
    <w:p w14:paraId="2FECDC76" w14:textId="77777777" w:rsidR="00C13776" w:rsidRDefault="00C13776" w:rsidP="00CA51C2">
      <w:pPr>
        <w:autoSpaceDE w:val="0"/>
        <w:autoSpaceDN w:val="0"/>
        <w:adjustRightInd w:val="0"/>
        <w:ind w:left="720" w:hanging="720"/>
        <w:rPr>
          <w:rFonts w:cs="Times New Roman"/>
          <w:bCs/>
          <w:iCs/>
          <w:szCs w:val="24"/>
        </w:rPr>
      </w:pPr>
      <w:r>
        <w:rPr>
          <w:rFonts w:cs="Times New Roman"/>
        </w:rPr>
        <w:t>Hu, L., 2016</w:t>
      </w:r>
      <w:r w:rsidRPr="00D32510">
        <w:rPr>
          <w:rFonts w:cs="Times New Roman"/>
        </w:rPr>
        <w:t xml:space="preserve">. Transit, Automobile, and Commuting: Do The Relationships Differ Across Income Groups?. </w:t>
      </w:r>
      <w:r>
        <w:rPr>
          <w:rFonts w:cs="Times New Roman"/>
        </w:rPr>
        <w:t>Presented i</w:t>
      </w:r>
      <w:r w:rsidRPr="00D32510">
        <w:rPr>
          <w:rFonts w:cs="Times New Roman"/>
        </w:rPr>
        <w:t>n Transportation Research Board 95th Annual Meeting (No. 16-4347)</w:t>
      </w:r>
      <w:r>
        <w:rPr>
          <w:rFonts w:cs="Times New Roman"/>
        </w:rPr>
        <w:t>.</w:t>
      </w:r>
    </w:p>
    <w:p w14:paraId="2CD262F3" w14:textId="77777777" w:rsidR="00C13776" w:rsidRDefault="00C13776" w:rsidP="00CA51C2">
      <w:pPr>
        <w:autoSpaceDE w:val="0"/>
        <w:autoSpaceDN w:val="0"/>
        <w:adjustRightInd w:val="0"/>
        <w:ind w:left="720" w:hanging="720"/>
        <w:rPr>
          <w:rFonts w:cs="Times New Roman"/>
          <w:bCs/>
          <w:szCs w:val="24"/>
        </w:rPr>
      </w:pPr>
      <w:r>
        <w:t>Lee, L-F, 1992. On the Efficiency of Methods of Simulated Moments and Maximum Simulated Likelihood Estimation of Discrete Response Models. Econometric Theory, Vol. 8, pp. 518-552.</w:t>
      </w:r>
    </w:p>
    <w:p w14:paraId="1E2AD414" w14:textId="77777777" w:rsidR="00C13776" w:rsidRPr="009620E1" w:rsidRDefault="00C13776" w:rsidP="00606B26">
      <w:pPr>
        <w:autoSpaceDE w:val="0"/>
        <w:autoSpaceDN w:val="0"/>
        <w:adjustRightInd w:val="0"/>
        <w:spacing w:before="0" w:after="60"/>
        <w:ind w:left="720" w:hanging="720"/>
        <w:rPr>
          <w:rFonts w:cs="Times New Roman"/>
          <w:bCs/>
          <w:szCs w:val="24"/>
        </w:rPr>
      </w:pPr>
      <w:r w:rsidRPr="009620E1">
        <w:rPr>
          <w:rFonts w:cs="Times New Roman"/>
          <w:bCs/>
          <w:szCs w:val="24"/>
        </w:rPr>
        <w:t>Nair, R., Miller-Hooks, E., Hampshire, R., Busic, A., 2013. Large-Scale Vehicle Sharing Systems: Analysis of Velib. International Journal of Sustainable Transportation</w:t>
      </w:r>
      <w:r>
        <w:rPr>
          <w:rFonts w:cs="Times New Roman"/>
          <w:bCs/>
          <w:szCs w:val="24"/>
        </w:rPr>
        <w:t>, Vol.</w:t>
      </w:r>
      <w:r w:rsidRPr="009620E1">
        <w:rPr>
          <w:rFonts w:cs="Times New Roman"/>
          <w:bCs/>
          <w:szCs w:val="24"/>
        </w:rPr>
        <w:t xml:space="preserve"> 7,</w:t>
      </w:r>
      <w:r>
        <w:rPr>
          <w:rFonts w:cs="Times New Roman"/>
          <w:bCs/>
          <w:szCs w:val="24"/>
        </w:rPr>
        <w:t xml:space="preserve"> pp.</w:t>
      </w:r>
      <w:r w:rsidRPr="009620E1">
        <w:rPr>
          <w:rFonts w:cs="Times New Roman"/>
          <w:bCs/>
          <w:szCs w:val="24"/>
        </w:rPr>
        <w:t xml:space="preserve"> 85-106.</w:t>
      </w:r>
    </w:p>
    <w:p w14:paraId="74639865" w14:textId="5B6149A2" w:rsidR="009646F9" w:rsidRDefault="009646F9" w:rsidP="00606B26">
      <w:pPr>
        <w:autoSpaceDE w:val="0"/>
        <w:autoSpaceDN w:val="0"/>
        <w:adjustRightInd w:val="0"/>
        <w:spacing w:before="0" w:after="60"/>
        <w:ind w:left="720" w:hanging="720"/>
        <w:rPr>
          <w:rFonts w:cs="Times New Roman"/>
          <w:bCs/>
          <w:iCs/>
          <w:szCs w:val="24"/>
        </w:rPr>
      </w:pPr>
      <w:r w:rsidRPr="00D26F53">
        <w:rPr>
          <w:rFonts w:cs="Times New Roman"/>
          <w:bCs/>
          <w:iCs/>
          <w:szCs w:val="24"/>
        </w:rPr>
        <w:lastRenderedPageBreak/>
        <w:t>Noland, R.B. and W.A. Cowart, 2000. Analysis of metropolitan highway capacity and the growth in vehicle miles of travel. </w:t>
      </w:r>
      <w:r w:rsidRPr="00D26F53">
        <w:rPr>
          <w:rFonts w:cs="Times New Roman"/>
          <w:bCs/>
          <w:i/>
          <w:iCs/>
          <w:szCs w:val="24"/>
        </w:rPr>
        <w:t>Transportation</w:t>
      </w:r>
      <w:r w:rsidRPr="00D26F53">
        <w:rPr>
          <w:rFonts w:cs="Times New Roman"/>
          <w:bCs/>
          <w:iCs/>
          <w:szCs w:val="24"/>
        </w:rPr>
        <w:t>, </w:t>
      </w:r>
      <w:r w:rsidR="006E5A5C">
        <w:rPr>
          <w:rFonts w:cs="Times New Roman"/>
          <w:bCs/>
          <w:iCs/>
          <w:szCs w:val="24"/>
        </w:rPr>
        <w:t>V</w:t>
      </w:r>
      <w:r w:rsidR="006E5A5C" w:rsidRPr="006E5A5C">
        <w:rPr>
          <w:rFonts w:cs="Times New Roman"/>
          <w:bCs/>
          <w:iCs/>
          <w:szCs w:val="24"/>
        </w:rPr>
        <w:t xml:space="preserve">ol. </w:t>
      </w:r>
      <w:r w:rsidRPr="00C944D0">
        <w:rPr>
          <w:rFonts w:cs="Times New Roman"/>
          <w:bCs/>
          <w:iCs/>
          <w:szCs w:val="24"/>
        </w:rPr>
        <w:t>27</w:t>
      </w:r>
      <w:r w:rsidRPr="006E5A5C">
        <w:rPr>
          <w:rFonts w:cs="Times New Roman"/>
          <w:bCs/>
          <w:iCs/>
          <w:szCs w:val="24"/>
        </w:rPr>
        <w:t>,</w:t>
      </w:r>
      <w:r w:rsidRPr="00D26F53">
        <w:rPr>
          <w:rFonts w:cs="Times New Roman"/>
          <w:bCs/>
          <w:iCs/>
          <w:szCs w:val="24"/>
        </w:rPr>
        <w:t xml:space="preserve"> pp.363-390.</w:t>
      </w:r>
    </w:p>
    <w:p w14:paraId="6C16C7E6" w14:textId="2A35FE25" w:rsidR="00C13776" w:rsidRDefault="00C13776" w:rsidP="00606B26">
      <w:pPr>
        <w:autoSpaceDE w:val="0"/>
        <w:autoSpaceDN w:val="0"/>
        <w:adjustRightInd w:val="0"/>
        <w:spacing w:before="0" w:after="60"/>
        <w:ind w:left="720" w:hanging="720"/>
        <w:rPr>
          <w:rFonts w:cs="Times New Roman"/>
          <w:bCs/>
          <w:szCs w:val="24"/>
        </w:rPr>
      </w:pPr>
      <w:r w:rsidRPr="008E4073">
        <w:rPr>
          <w:rFonts w:cs="Times New Roman"/>
          <w:bCs/>
          <w:szCs w:val="24"/>
        </w:rPr>
        <w:t>Pinjari, A.R., N. Eluru, C.R. Bhat, R.M. Pendyala, and E. Spissu</w:t>
      </w:r>
      <w:r>
        <w:rPr>
          <w:rFonts w:cs="Times New Roman"/>
          <w:bCs/>
          <w:szCs w:val="24"/>
        </w:rPr>
        <w:t>,</w:t>
      </w:r>
      <w:r w:rsidRPr="008E4073">
        <w:rPr>
          <w:rFonts w:cs="Times New Roman"/>
          <w:bCs/>
          <w:szCs w:val="24"/>
        </w:rPr>
        <w:t xml:space="preserve"> </w:t>
      </w:r>
      <w:r>
        <w:rPr>
          <w:rFonts w:cs="Times New Roman"/>
          <w:bCs/>
          <w:szCs w:val="24"/>
        </w:rPr>
        <w:t xml:space="preserve">2008. </w:t>
      </w:r>
      <w:r w:rsidRPr="008E4073">
        <w:rPr>
          <w:rFonts w:cs="Times New Roman"/>
          <w:bCs/>
          <w:szCs w:val="24"/>
        </w:rPr>
        <w:t xml:space="preserve">A Joint Model of Residential Location and Bicycle Ownership: Accounting for Self-selection </w:t>
      </w:r>
      <w:r>
        <w:rPr>
          <w:rFonts w:cs="Times New Roman"/>
          <w:bCs/>
          <w:szCs w:val="24"/>
        </w:rPr>
        <w:t>a</w:t>
      </w:r>
      <w:r w:rsidRPr="008E4073">
        <w:rPr>
          <w:rFonts w:cs="Times New Roman"/>
          <w:bCs/>
          <w:szCs w:val="24"/>
        </w:rPr>
        <w:t>nd Unobserved Heterogeneity, Transportation Research Record, Vol. 2082, pp. 17-26</w:t>
      </w:r>
    </w:p>
    <w:p w14:paraId="40FFAB14" w14:textId="77777777" w:rsidR="00C13776" w:rsidRDefault="00C13776" w:rsidP="0037375A">
      <w:pPr>
        <w:autoSpaceDE w:val="0"/>
        <w:autoSpaceDN w:val="0"/>
        <w:adjustRightInd w:val="0"/>
        <w:ind w:left="720" w:hanging="720"/>
        <w:rPr>
          <w:rFonts w:cs="Times New Roman"/>
        </w:rPr>
      </w:pPr>
      <w:r>
        <w:rPr>
          <w:rFonts w:cs="Times New Roman"/>
        </w:rPr>
        <w:t>Rana, T., Sikder, S., and</w:t>
      </w:r>
      <w:r w:rsidRPr="00D32510">
        <w:rPr>
          <w:rFonts w:cs="Times New Roman"/>
        </w:rPr>
        <w:t xml:space="preserve"> </w:t>
      </w:r>
      <w:r>
        <w:rPr>
          <w:rFonts w:cs="Times New Roman"/>
        </w:rPr>
        <w:t xml:space="preserve">A. </w:t>
      </w:r>
      <w:r w:rsidRPr="00D32510">
        <w:rPr>
          <w:rFonts w:cs="Times New Roman"/>
        </w:rPr>
        <w:t xml:space="preserve">Pinjari, 2010. Copula-based method for addressing endogeneity in models of severity of traffic crash injuries: application to two-vehicle crashes. Transportation Research Record: Journal of the </w:t>
      </w:r>
      <w:r>
        <w:rPr>
          <w:rFonts w:cs="Times New Roman"/>
        </w:rPr>
        <w:t xml:space="preserve">Transportation Research Board, No. </w:t>
      </w:r>
      <w:r w:rsidRPr="00D32510">
        <w:rPr>
          <w:rFonts w:cs="Times New Roman"/>
        </w:rPr>
        <w:t xml:space="preserve">2147, </w:t>
      </w:r>
      <w:r>
        <w:rPr>
          <w:rFonts w:cs="Times New Roman"/>
        </w:rPr>
        <w:t xml:space="preserve">pp. </w:t>
      </w:r>
      <w:r w:rsidRPr="00D32510">
        <w:rPr>
          <w:rFonts w:cs="Times New Roman"/>
        </w:rPr>
        <w:t>75-87.</w:t>
      </w:r>
    </w:p>
    <w:p w14:paraId="2B530718" w14:textId="77777777" w:rsidR="00C13776" w:rsidRPr="009620E1" w:rsidRDefault="00C13776" w:rsidP="00606B26">
      <w:pPr>
        <w:autoSpaceDE w:val="0"/>
        <w:autoSpaceDN w:val="0"/>
        <w:adjustRightInd w:val="0"/>
        <w:spacing w:before="0" w:after="60"/>
        <w:ind w:left="720" w:hanging="720"/>
        <w:rPr>
          <w:rFonts w:cs="Times New Roman"/>
          <w:bCs/>
          <w:szCs w:val="24"/>
        </w:rPr>
      </w:pPr>
      <w:r w:rsidRPr="009620E1">
        <w:rPr>
          <w:rFonts w:cs="Times New Roman"/>
          <w:bCs/>
          <w:szCs w:val="24"/>
        </w:rPr>
        <w:t>Rixey, R., 2013. Station-Level Forecasting of Bikesharing Ridership: Station Network Effects in Three U.S. Systems. Transportation Research Record</w:t>
      </w:r>
      <w:r>
        <w:rPr>
          <w:rFonts w:cs="Times New Roman"/>
          <w:bCs/>
          <w:szCs w:val="24"/>
        </w:rPr>
        <w:t>, Vol.</w:t>
      </w:r>
      <w:r w:rsidRPr="009620E1">
        <w:rPr>
          <w:rFonts w:cs="Times New Roman"/>
          <w:bCs/>
          <w:szCs w:val="24"/>
        </w:rPr>
        <w:t xml:space="preserve"> 2387,</w:t>
      </w:r>
      <w:r>
        <w:rPr>
          <w:rFonts w:cs="Times New Roman"/>
          <w:bCs/>
          <w:szCs w:val="24"/>
        </w:rPr>
        <w:t xml:space="preserve"> pp.</w:t>
      </w:r>
      <w:r w:rsidRPr="009620E1">
        <w:rPr>
          <w:rFonts w:cs="Times New Roman"/>
          <w:bCs/>
          <w:szCs w:val="24"/>
        </w:rPr>
        <w:t xml:space="preserve"> 46-55. </w:t>
      </w:r>
    </w:p>
    <w:p w14:paraId="2B43DB9E" w14:textId="77777777" w:rsidR="00C13776" w:rsidRDefault="00C13776" w:rsidP="0037375A">
      <w:pPr>
        <w:autoSpaceDE w:val="0"/>
        <w:autoSpaceDN w:val="0"/>
        <w:adjustRightInd w:val="0"/>
        <w:ind w:left="720" w:hanging="720"/>
        <w:rPr>
          <w:rFonts w:cs="Times New Roman"/>
        </w:rPr>
      </w:pPr>
      <w:r w:rsidRPr="0037375A">
        <w:rPr>
          <w:rFonts w:cs="Times New Roman"/>
          <w:bCs/>
          <w:iCs/>
          <w:szCs w:val="24"/>
        </w:rPr>
        <w:t>Schauder</w:t>
      </w:r>
      <w:r>
        <w:rPr>
          <w:rFonts w:cs="Times New Roman"/>
        </w:rPr>
        <w:t>, S. A., and</w:t>
      </w:r>
      <w:r w:rsidRPr="00200E54">
        <w:rPr>
          <w:rFonts w:cs="Times New Roman"/>
        </w:rPr>
        <w:t xml:space="preserve"> Foley, M. C.</w:t>
      </w:r>
      <w:r>
        <w:rPr>
          <w:rFonts w:cs="Times New Roman"/>
        </w:rPr>
        <w:t xml:space="preserve">, </w:t>
      </w:r>
      <w:r w:rsidRPr="00200E54">
        <w:rPr>
          <w:rFonts w:cs="Times New Roman"/>
        </w:rPr>
        <w:t xml:space="preserve">2015. The relationship between active transportation and health. Journal of Transport &amp; Health, </w:t>
      </w:r>
      <w:r>
        <w:rPr>
          <w:rFonts w:cs="Times New Roman"/>
        </w:rPr>
        <w:t xml:space="preserve">Vol. </w:t>
      </w:r>
      <w:r w:rsidRPr="00200E54">
        <w:rPr>
          <w:rFonts w:cs="Times New Roman"/>
        </w:rPr>
        <w:t>2,</w:t>
      </w:r>
      <w:r>
        <w:rPr>
          <w:rFonts w:cs="Times New Roman"/>
        </w:rPr>
        <w:t xml:space="preserve"> pp.</w:t>
      </w:r>
      <w:r w:rsidRPr="00200E54">
        <w:rPr>
          <w:rFonts w:cs="Times New Roman"/>
        </w:rPr>
        <w:t xml:space="preserve"> 343-349.</w:t>
      </w:r>
    </w:p>
    <w:p w14:paraId="654D0334" w14:textId="77777777" w:rsidR="00C13776" w:rsidRDefault="00C13776" w:rsidP="00606B26">
      <w:pPr>
        <w:autoSpaceDE w:val="0"/>
        <w:autoSpaceDN w:val="0"/>
        <w:adjustRightInd w:val="0"/>
        <w:spacing w:before="0" w:after="60"/>
        <w:ind w:left="720" w:hanging="720"/>
        <w:rPr>
          <w:rFonts w:cs="Times New Roman"/>
          <w:bCs/>
          <w:szCs w:val="24"/>
        </w:rPr>
      </w:pPr>
      <w:r w:rsidRPr="002C1524">
        <w:rPr>
          <w:rFonts w:cs="Times New Roman"/>
          <w:bCs/>
          <w:szCs w:val="24"/>
        </w:rPr>
        <w:t>Schwanen, T., Mokhtarian, P.L., 2005. What affects commute mode choice: Neighborhood</w:t>
      </w:r>
      <w:r>
        <w:rPr>
          <w:rFonts w:cs="Times New Roman"/>
          <w:bCs/>
          <w:szCs w:val="24"/>
        </w:rPr>
        <w:t xml:space="preserve"> </w:t>
      </w:r>
      <w:r w:rsidRPr="002C1524">
        <w:rPr>
          <w:rFonts w:cs="Times New Roman"/>
          <w:bCs/>
          <w:szCs w:val="24"/>
        </w:rPr>
        <w:t>physical structure or preferences toward neighborhoods? Journal of Transport Geography</w:t>
      </w:r>
      <w:r>
        <w:rPr>
          <w:rFonts w:cs="Times New Roman"/>
          <w:bCs/>
          <w:szCs w:val="24"/>
        </w:rPr>
        <w:t xml:space="preserve">, Vol. </w:t>
      </w:r>
      <w:r w:rsidRPr="002C1524">
        <w:rPr>
          <w:rFonts w:cs="Times New Roman"/>
          <w:bCs/>
          <w:szCs w:val="24"/>
        </w:rPr>
        <w:t>13,</w:t>
      </w:r>
      <w:r>
        <w:rPr>
          <w:rFonts w:cs="Times New Roman"/>
          <w:bCs/>
          <w:szCs w:val="24"/>
        </w:rPr>
        <w:t xml:space="preserve"> pp.</w:t>
      </w:r>
      <w:r w:rsidRPr="002C1524">
        <w:rPr>
          <w:rFonts w:cs="Times New Roman"/>
          <w:bCs/>
          <w:szCs w:val="24"/>
        </w:rPr>
        <w:t xml:space="preserve"> 83-99.</w:t>
      </w:r>
    </w:p>
    <w:p w14:paraId="5680D4AE" w14:textId="77777777" w:rsidR="00C13776" w:rsidRPr="009620E1" w:rsidRDefault="00C13776" w:rsidP="00606B26">
      <w:pPr>
        <w:autoSpaceDE w:val="0"/>
        <w:autoSpaceDN w:val="0"/>
        <w:adjustRightInd w:val="0"/>
        <w:spacing w:before="0" w:after="60"/>
        <w:ind w:left="720" w:hanging="720"/>
        <w:rPr>
          <w:rFonts w:cs="Times New Roman"/>
          <w:bCs/>
          <w:szCs w:val="24"/>
        </w:rPr>
      </w:pPr>
      <w:r w:rsidRPr="009620E1">
        <w:rPr>
          <w:rFonts w:cs="Times New Roman"/>
          <w:bCs/>
          <w:szCs w:val="24"/>
        </w:rPr>
        <w:t>Shaheen, S., Guzman, S., Zhang, H., 2010. Bikesharing in Europe, the Americas, and Asia Past, Present, and Future. Transportation Research Record</w:t>
      </w:r>
      <w:r>
        <w:rPr>
          <w:rFonts w:cs="Times New Roman"/>
          <w:bCs/>
          <w:szCs w:val="24"/>
        </w:rPr>
        <w:t>, Vol.</w:t>
      </w:r>
      <w:r w:rsidRPr="009620E1">
        <w:rPr>
          <w:rFonts w:cs="Times New Roman"/>
          <w:bCs/>
          <w:szCs w:val="24"/>
        </w:rPr>
        <w:t xml:space="preserve"> 2143,</w:t>
      </w:r>
      <w:r>
        <w:rPr>
          <w:rFonts w:cs="Times New Roman"/>
          <w:bCs/>
          <w:szCs w:val="24"/>
        </w:rPr>
        <w:t xml:space="preserve"> pp.</w:t>
      </w:r>
      <w:r w:rsidRPr="009620E1">
        <w:rPr>
          <w:rFonts w:cs="Times New Roman"/>
          <w:bCs/>
          <w:szCs w:val="24"/>
        </w:rPr>
        <w:t xml:space="preserve"> 159-167.</w:t>
      </w:r>
    </w:p>
    <w:p w14:paraId="0E8EB608" w14:textId="4E3FAF36" w:rsidR="009646F9" w:rsidRDefault="009646F9" w:rsidP="009646F9">
      <w:pPr>
        <w:autoSpaceDE w:val="0"/>
        <w:autoSpaceDN w:val="0"/>
        <w:adjustRightInd w:val="0"/>
        <w:ind w:left="720" w:hanging="720"/>
        <w:rPr>
          <w:rFonts w:cs="Times New Roman"/>
        </w:rPr>
      </w:pPr>
      <w:r>
        <w:rPr>
          <w:rFonts w:cs="Times New Roman"/>
        </w:rPr>
        <w:t>Vij, A. and</w:t>
      </w:r>
      <w:r w:rsidRPr="009646F9">
        <w:rPr>
          <w:rFonts w:cs="Times New Roman"/>
        </w:rPr>
        <w:t xml:space="preserve"> J. L. Walker, </w:t>
      </w:r>
      <w:r>
        <w:rPr>
          <w:rFonts w:cs="Times New Roman"/>
        </w:rPr>
        <w:t>2014</w:t>
      </w:r>
      <w:r w:rsidRPr="009646F9">
        <w:rPr>
          <w:rFonts w:cs="Times New Roman"/>
        </w:rPr>
        <w:t>. Preference endogeneity in discrete choice models. </w:t>
      </w:r>
      <w:r w:rsidRPr="009646F9">
        <w:rPr>
          <w:rFonts w:cs="Times New Roman"/>
          <w:i/>
          <w:iCs/>
        </w:rPr>
        <w:t>Transportation Research Part B: Methodological</w:t>
      </w:r>
      <w:r w:rsidRPr="009646F9">
        <w:rPr>
          <w:rFonts w:cs="Times New Roman"/>
        </w:rPr>
        <w:t>, </w:t>
      </w:r>
      <w:r>
        <w:rPr>
          <w:rFonts w:cs="Times New Roman"/>
        </w:rPr>
        <w:t xml:space="preserve">Vol. </w:t>
      </w:r>
      <w:r w:rsidRPr="00C944D0">
        <w:rPr>
          <w:rFonts w:cs="Times New Roman"/>
        </w:rPr>
        <w:t>64</w:t>
      </w:r>
      <w:r w:rsidRPr="009646F9">
        <w:rPr>
          <w:rFonts w:cs="Times New Roman"/>
        </w:rPr>
        <w:t>,</w:t>
      </w:r>
      <w:r>
        <w:rPr>
          <w:rFonts w:cs="Times New Roman"/>
        </w:rPr>
        <w:t xml:space="preserve"> pp.</w:t>
      </w:r>
      <w:r w:rsidRPr="009646F9">
        <w:rPr>
          <w:rFonts w:cs="Times New Roman"/>
        </w:rPr>
        <w:t xml:space="preserve"> 90-105. </w:t>
      </w:r>
    </w:p>
    <w:p w14:paraId="276BFB8B" w14:textId="17F0DE59" w:rsidR="00C13776" w:rsidRDefault="00C13776" w:rsidP="009646F9">
      <w:pPr>
        <w:autoSpaceDE w:val="0"/>
        <w:autoSpaceDN w:val="0"/>
        <w:adjustRightInd w:val="0"/>
        <w:ind w:left="720" w:hanging="720"/>
        <w:rPr>
          <w:rFonts w:cs="Times New Roman"/>
        </w:rPr>
      </w:pPr>
      <w:r w:rsidRPr="00D32510">
        <w:rPr>
          <w:rFonts w:cs="Times New Roman"/>
        </w:rPr>
        <w:t>Walker, J. L., Ehle</w:t>
      </w:r>
      <w:r>
        <w:rPr>
          <w:rFonts w:cs="Times New Roman"/>
        </w:rPr>
        <w:t>rs, E., Banerjee, I., and</w:t>
      </w:r>
      <w:r w:rsidRPr="00D32510">
        <w:rPr>
          <w:rFonts w:cs="Times New Roman"/>
        </w:rPr>
        <w:t xml:space="preserve"> Dugundji, E. R.</w:t>
      </w:r>
      <w:r>
        <w:rPr>
          <w:rFonts w:cs="Times New Roman"/>
        </w:rPr>
        <w:t>,</w:t>
      </w:r>
      <w:r w:rsidRPr="00D32510">
        <w:rPr>
          <w:rFonts w:cs="Times New Roman"/>
        </w:rPr>
        <w:t xml:space="preserve"> 2011. Correcting for endogeneity in behavioral choice models with social influence variables. Transportation Research Part A: Policy and Practice, </w:t>
      </w:r>
      <w:r>
        <w:rPr>
          <w:rFonts w:cs="Times New Roman"/>
        </w:rPr>
        <w:t xml:space="preserve">Vol. </w:t>
      </w:r>
      <w:r w:rsidRPr="00D32510">
        <w:rPr>
          <w:rFonts w:cs="Times New Roman"/>
        </w:rPr>
        <w:t>45,</w:t>
      </w:r>
      <w:r>
        <w:rPr>
          <w:rFonts w:cs="Times New Roman"/>
        </w:rPr>
        <w:t xml:space="preserve"> pp.</w:t>
      </w:r>
      <w:r w:rsidRPr="00D32510">
        <w:rPr>
          <w:rFonts w:cs="Times New Roman"/>
        </w:rPr>
        <w:t xml:space="preserve"> 362-374.</w:t>
      </w:r>
    </w:p>
    <w:p w14:paraId="749DBF49" w14:textId="77777777" w:rsidR="00C13776" w:rsidRDefault="00C13776" w:rsidP="00606B26">
      <w:pPr>
        <w:autoSpaceDE w:val="0"/>
        <w:autoSpaceDN w:val="0"/>
        <w:adjustRightInd w:val="0"/>
        <w:spacing w:before="0" w:after="60"/>
        <w:ind w:left="720" w:hanging="720"/>
        <w:rPr>
          <w:rFonts w:cs="Times New Roman"/>
          <w:bCs/>
          <w:szCs w:val="24"/>
        </w:rPr>
      </w:pPr>
      <w:r w:rsidRPr="00986537">
        <w:rPr>
          <w:rFonts w:cs="Times New Roman"/>
          <w:bCs/>
          <w:szCs w:val="24"/>
        </w:rPr>
        <w:t xml:space="preserve">Wang, X., G. Lindsey, J. Schoner and A. Harrison, 2015. Modeling Bike Share Station Activity: Effects of Nearby Businesses and Jobs on Trips to and from Stations. Forthcoming Journal of Urban Planning and Development. </w:t>
      </w:r>
    </w:p>
    <w:p w14:paraId="62C051C6" w14:textId="77777777" w:rsidR="00C13776" w:rsidRDefault="00C13776" w:rsidP="0037375A">
      <w:pPr>
        <w:autoSpaceDE w:val="0"/>
        <w:autoSpaceDN w:val="0"/>
        <w:adjustRightInd w:val="0"/>
        <w:ind w:left="720" w:hanging="720"/>
        <w:rPr>
          <w:rFonts w:cs="Times New Roman"/>
        </w:rPr>
      </w:pPr>
      <w:r w:rsidRPr="00512AAE">
        <w:rPr>
          <w:rFonts w:cs="Times New Roman"/>
        </w:rPr>
        <w:t xml:space="preserve">Yasmin, S., Eluru, N., </w:t>
      </w:r>
      <w:r>
        <w:rPr>
          <w:rFonts w:cs="Times New Roman"/>
        </w:rPr>
        <w:t>and</w:t>
      </w:r>
      <w:r w:rsidRPr="00512AAE">
        <w:rPr>
          <w:rFonts w:cs="Times New Roman"/>
        </w:rPr>
        <w:t xml:space="preserve"> Pinjari, A. R.</w:t>
      </w:r>
      <w:r>
        <w:rPr>
          <w:rFonts w:cs="Times New Roman"/>
        </w:rPr>
        <w:t>,</w:t>
      </w:r>
      <w:r w:rsidRPr="00512AAE">
        <w:rPr>
          <w:rFonts w:cs="Times New Roman"/>
        </w:rPr>
        <w:t xml:space="preserve"> 2015. Analyzing the continuum of fatal crashes: a generalized ordered approach. Analytic methods in accident research, </w:t>
      </w:r>
      <w:r>
        <w:rPr>
          <w:rFonts w:cs="Times New Roman"/>
        </w:rPr>
        <w:t xml:space="preserve">Vol. </w:t>
      </w:r>
      <w:r w:rsidRPr="00512AAE">
        <w:rPr>
          <w:rFonts w:cs="Times New Roman"/>
        </w:rPr>
        <w:t>7,</w:t>
      </w:r>
      <w:r>
        <w:rPr>
          <w:rFonts w:cs="Times New Roman"/>
        </w:rPr>
        <w:t xml:space="preserve"> pp.</w:t>
      </w:r>
      <w:r w:rsidRPr="00512AAE">
        <w:rPr>
          <w:rFonts w:cs="Times New Roman"/>
        </w:rPr>
        <w:t xml:space="preserve"> 1-15.</w:t>
      </w:r>
    </w:p>
    <w:p w14:paraId="070DF552" w14:textId="77777777" w:rsidR="00C13776" w:rsidRDefault="00C13776" w:rsidP="0037375A">
      <w:pPr>
        <w:autoSpaceDE w:val="0"/>
        <w:autoSpaceDN w:val="0"/>
        <w:adjustRightInd w:val="0"/>
        <w:ind w:left="720" w:hanging="720"/>
        <w:rPr>
          <w:rFonts w:cs="Times New Roman"/>
        </w:rPr>
      </w:pPr>
      <w:r w:rsidRPr="00D32510">
        <w:rPr>
          <w:rFonts w:cs="Times New Roman"/>
        </w:rPr>
        <w:t xml:space="preserve">Yasmin, </w:t>
      </w:r>
      <w:r>
        <w:rPr>
          <w:rFonts w:cs="Times New Roman"/>
        </w:rPr>
        <w:t xml:space="preserve">S., Eluru, N., Pinjari, A. R., and Tay, R., </w:t>
      </w:r>
      <w:r w:rsidRPr="00D32510">
        <w:rPr>
          <w:rFonts w:cs="Times New Roman"/>
        </w:rPr>
        <w:t xml:space="preserve">2014. Examining driver injury severity in two vehicle crashes–A copula based approach. Accident Analysis &amp; Prevention, </w:t>
      </w:r>
      <w:r>
        <w:rPr>
          <w:rFonts w:cs="Times New Roman"/>
        </w:rPr>
        <w:t xml:space="preserve">Vol. </w:t>
      </w:r>
      <w:r w:rsidRPr="00D32510">
        <w:rPr>
          <w:rFonts w:cs="Times New Roman"/>
        </w:rPr>
        <w:t>66,</w:t>
      </w:r>
      <w:r>
        <w:rPr>
          <w:rFonts w:cs="Times New Roman"/>
        </w:rPr>
        <w:t xml:space="preserve"> pp.</w:t>
      </w:r>
      <w:r w:rsidRPr="00D32510">
        <w:rPr>
          <w:rFonts w:cs="Times New Roman"/>
        </w:rPr>
        <w:t xml:space="preserve"> 120-135.</w:t>
      </w:r>
      <w:bookmarkEnd w:id="0"/>
    </w:p>
    <w:p w14:paraId="799577F2" w14:textId="77777777" w:rsidR="00CA51C2" w:rsidRDefault="00CA51C2" w:rsidP="00606B26">
      <w:pPr>
        <w:autoSpaceDE w:val="0"/>
        <w:autoSpaceDN w:val="0"/>
        <w:adjustRightInd w:val="0"/>
        <w:spacing w:before="0" w:after="60"/>
        <w:ind w:left="720" w:hanging="720"/>
        <w:rPr>
          <w:rFonts w:cs="Times New Roman"/>
        </w:rPr>
      </w:pPr>
    </w:p>
    <w:p w14:paraId="29F0E0BB" w14:textId="77777777" w:rsidR="004423C3" w:rsidRPr="008A07C9" w:rsidRDefault="00B70691" w:rsidP="00B70691">
      <w:pPr>
        <w:spacing w:before="0" w:after="0"/>
        <w:rPr>
          <w:rFonts w:cs="Times New Roman"/>
        </w:rPr>
      </w:pPr>
      <w:r>
        <w:rPr>
          <w:rFonts w:cs="Times New Roman"/>
        </w:rPr>
        <w:br w:type="page"/>
      </w:r>
      <w:r w:rsidR="004423C3" w:rsidRPr="008A07C9">
        <w:rPr>
          <w:rFonts w:cs="Times New Roman"/>
          <w:noProof/>
          <w:lang w:val="en-US"/>
        </w:rPr>
        <w:lastRenderedPageBreak/>
        <w:drawing>
          <wp:inline distT="0" distB="0" distL="0" distR="0" wp14:anchorId="774F0CAD" wp14:editId="2EA6539E">
            <wp:extent cx="551497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EA1DC2" w14:textId="77777777" w:rsidR="004423C3" w:rsidRPr="008A07C9" w:rsidRDefault="004423C3" w:rsidP="00B5052D">
      <w:pPr>
        <w:pStyle w:val="Caption"/>
        <w:jc w:val="center"/>
        <w:rPr>
          <w:rFonts w:cs="Times New Roman"/>
          <w:color w:val="auto"/>
          <w:sz w:val="22"/>
          <w:szCs w:val="22"/>
        </w:rPr>
      </w:pPr>
      <w:r w:rsidRPr="008A07C9">
        <w:rPr>
          <w:rFonts w:cs="Times New Roman"/>
          <w:color w:val="auto"/>
          <w:sz w:val="22"/>
          <w:szCs w:val="22"/>
        </w:rPr>
        <w:t xml:space="preserve">Figure </w:t>
      </w:r>
      <w:r w:rsidR="00552A5B" w:rsidRPr="008A07C9">
        <w:rPr>
          <w:rFonts w:cs="Times New Roman"/>
          <w:color w:val="auto"/>
          <w:sz w:val="22"/>
          <w:szCs w:val="22"/>
        </w:rPr>
        <w:fldChar w:fldCharType="begin"/>
      </w:r>
      <w:r w:rsidR="00552A5B" w:rsidRPr="008A07C9">
        <w:rPr>
          <w:rFonts w:cs="Times New Roman"/>
          <w:color w:val="auto"/>
          <w:sz w:val="22"/>
          <w:szCs w:val="22"/>
        </w:rPr>
        <w:instrText xml:space="preserve"> SEQ Figure \* ARABIC </w:instrText>
      </w:r>
      <w:r w:rsidR="00552A5B" w:rsidRPr="008A07C9">
        <w:rPr>
          <w:rFonts w:cs="Times New Roman"/>
          <w:color w:val="auto"/>
          <w:sz w:val="22"/>
          <w:szCs w:val="22"/>
        </w:rPr>
        <w:fldChar w:fldCharType="separate"/>
      </w:r>
      <w:r w:rsidR="00C944D0">
        <w:rPr>
          <w:rFonts w:cs="Times New Roman"/>
          <w:noProof/>
          <w:color w:val="auto"/>
          <w:sz w:val="22"/>
          <w:szCs w:val="22"/>
        </w:rPr>
        <w:t>1</w:t>
      </w:r>
      <w:r w:rsidR="00552A5B" w:rsidRPr="008A07C9">
        <w:rPr>
          <w:rFonts w:cs="Times New Roman"/>
          <w:noProof/>
          <w:color w:val="auto"/>
          <w:sz w:val="22"/>
          <w:szCs w:val="22"/>
        </w:rPr>
        <w:fldChar w:fldCharType="end"/>
      </w:r>
      <w:r w:rsidR="0040278D">
        <w:rPr>
          <w:rFonts w:cs="Times New Roman"/>
          <w:noProof/>
          <w:color w:val="auto"/>
          <w:sz w:val="22"/>
          <w:szCs w:val="22"/>
        </w:rPr>
        <w:t>:</w:t>
      </w:r>
      <w:r w:rsidR="00B5052D" w:rsidRPr="008A07C9">
        <w:rPr>
          <w:rFonts w:cs="Times New Roman"/>
          <w:noProof/>
          <w:color w:val="auto"/>
          <w:sz w:val="22"/>
          <w:szCs w:val="22"/>
        </w:rPr>
        <w:t xml:space="preserve"> </w:t>
      </w:r>
      <w:r w:rsidR="0040278D">
        <w:rPr>
          <w:rFonts w:cs="Times New Roman"/>
          <w:noProof/>
          <w:color w:val="auto"/>
          <w:sz w:val="22"/>
          <w:szCs w:val="22"/>
        </w:rPr>
        <w:t>T</w:t>
      </w:r>
      <w:r w:rsidR="00B5052D" w:rsidRPr="008A07C9">
        <w:rPr>
          <w:rFonts w:cs="Times New Roman"/>
          <w:noProof/>
          <w:color w:val="auto"/>
          <w:sz w:val="22"/>
          <w:szCs w:val="22"/>
        </w:rPr>
        <w:t>he variation of BSS infrastructure for an average sized TAZ in Montreal</w:t>
      </w:r>
    </w:p>
    <w:p w14:paraId="68845B50" w14:textId="77777777" w:rsidR="004423C3" w:rsidRPr="008A07C9" w:rsidRDefault="004423C3">
      <w:pPr>
        <w:spacing w:before="0" w:after="0"/>
        <w:rPr>
          <w:rFonts w:cs="Times New Roman"/>
        </w:rPr>
      </w:pPr>
    </w:p>
    <w:p w14:paraId="38B002F9" w14:textId="77777777" w:rsidR="004423C3" w:rsidRPr="008A07C9" w:rsidRDefault="004423C3" w:rsidP="004423C3">
      <w:pPr>
        <w:spacing w:before="0" w:after="0"/>
        <w:rPr>
          <w:rFonts w:cs="Times New Roman"/>
        </w:rPr>
      </w:pPr>
      <w:r w:rsidRPr="008A07C9">
        <w:rPr>
          <w:rFonts w:cs="Times New Roman"/>
        </w:rPr>
        <w:br w:type="page"/>
      </w:r>
    </w:p>
    <w:p w14:paraId="536EEE69" w14:textId="77777777" w:rsidR="004423C3" w:rsidRPr="008A07C9" w:rsidRDefault="004423C3">
      <w:pPr>
        <w:spacing w:before="0" w:after="0"/>
        <w:rPr>
          <w:rFonts w:cs="Times New Roman"/>
        </w:rPr>
      </w:pPr>
    </w:p>
    <w:p w14:paraId="61BD17D2" w14:textId="77777777" w:rsidR="004423C3" w:rsidRPr="008A07C9" w:rsidRDefault="00322543" w:rsidP="004423C3">
      <w:pPr>
        <w:keepNext/>
        <w:spacing w:before="0" w:after="0"/>
        <w:rPr>
          <w:rFonts w:cs="Times New Roman"/>
        </w:rPr>
      </w:pPr>
      <w:r w:rsidRPr="008A07C9">
        <w:rPr>
          <w:rFonts w:cs="Times New Roman"/>
          <w:noProof/>
          <w:lang w:val="en-US"/>
        </w:rPr>
        <w:drawing>
          <wp:inline distT="0" distB="0" distL="0" distR="0" wp14:anchorId="3DE29729" wp14:editId="38CDD3AA">
            <wp:extent cx="5943600" cy="4161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xi_map_A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4161790"/>
                    </a:xfrm>
                    <a:prstGeom prst="rect">
                      <a:avLst/>
                    </a:prstGeom>
                  </pic:spPr>
                </pic:pic>
              </a:graphicData>
            </a:graphic>
          </wp:inline>
        </w:drawing>
      </w:r>
    </w:p>
    <w:p w14:paraId="2E47BFC9" w14:textId="77777777" w:rsidR="004423C3" w:rsidRPr="008A07C9" w:rsidRDefault="004423C3" w:rsidP="00B5052D">
      <w:pPr>
        <w:pStyle w:val="Caption"/>
        <w:jc w:val="center"/>
        <w:rPr>
          <w:rFonts w:cs="Times New Roman"/>
          <w:color w:val="auto"/>
          <w:sz w:val="22"/>
          <w:szCs w:val="22"/>
        </w:rPr>
      </w:pPr>
      <w:r w:rsidRPr="008A07C9">
        <w:rPr>
          <w:rFonts w:cs="Times New Roman"/>
          <w:color w:val="auto"/>
          <w:sz w:val="22"/>
          <w:szCs w:val="22"/>
        </w:rPr>
        <w:t xml:space="preserve">Figure </w:t>
      </w:r>
      <w:r w:rsidR="00552A5B" w:rsidRPr="008A07C9">
        <w:rPr>
          <w:rFonts w:cs="Times New Roman"/>
          <w:color w:val="auto"/>
          <w:sz w:val="22"/>
          <w:szCs w:val="22"/>
        </w:rPr>
        <w:fldChar w:fldCharType="begin"/>
      </w:r>
      <w:r w:rsidR="00552A5B" w:rsidRPr="008A07C9">
        <w:rPr>
          <w:rFonts w:cs="Times New Roman"/>
          <w:color w:val="auto"/>
          <w:sz w:val="22"/>
          <w:szCs w:val="22"/>
        </w:rPr>
        <w:instrText xml:space="preserve"> SEQ Figure \* ARABIC </w:instrText>
      </w:r>
      <w:r w:rsidR="00552A5B" w:rsidRPr="008A07C9">
        <w:rPr>
          <w:rFonts w:cs="Times New Roman"/>
          <w:color w:val="auto"/>
          <w:sz w:val="22"/>
          <w:szCs w:val="22"/>
        </w:rPr>
        <w:fldChar w:fldCharType="separate"/>
      </w:r>
      <w:r w:rsidR="00C944D0">
        <w:rPr>
          <w:rFonts w:cs="Times New Roman"/>
          <w:noProof/>
          <w:color w:val="auto"/>
          <w:sz w:val="22"/>
          <w:szCs w:val="22"/>
        </w:rPr>
        <w:t>2</w:t>
      </w:r>
      <w:r w:rsidR="00552A5B" w:rsidRPr="008A07C9">
        <w:rPr>
          <w:rFonts w:cs="Times New Roman"/>
          <w:noProof/>
          <w:color w:val="auto"/>
          <w:sz w:val="22"/>
          <w:szCs w:val="22"/>
        </w:rPr>
        <w:fldChar w:fldCharType="end"/>
      </w:r>
      <w:r w:rsidR="0040278D">
        <w:rPr>
          <w:rFonts w:cs="Times New Roman"/>
          <w:noProof/>
          <w:color w:val="auto"/>
          <w:sz w:val="22"/>
          <w:szCs w:val="22"/>
        </w:rPr>
        <w:t>:</w:t>
      </w:r>
      <w:r w:rsidR="00B5052D" w:rsidRPr="008A07C9">
        <w:rPr>
          <w:rFonts w:cs="Times New Roman"/>
          <w:noProof/>
          <w:color w:val="auto"/>
          <w:sz w:val="22"/>
          <w:szCs w:val="22"/>
        </w:rPr>
        <w:t xml:space="preserve"> Bicycle-Sharing Infrastructure Index in Montreal</w:t>
      </w:r>
    </w:p>
    <w:p w14:paraId="11955C76" w14:textId="77777777" w:rsidR="004423C3" w:rsidRDefault="004423C3">
      <w:pPr>
        <w:spacing w:before="0" w:after="0"/>
        <w:rPr>
          <w:rFonts w:cs="Times New Roman"/>
        </w:rPr>
      </w:pPr>
    </w:p>
    <w:p w14:paraId="2A08D790" w14:textId="77777777" w:rsidR="004141D2" w:rsidRDefault="004141D2">
      <w:pPr>
        <w:spacing w:before="0" w:after="0"/>
        <w:rPr>
          <w:rFonts w:cs="Times New Roman"/>
        </w:rPr>
      </w:pPr>
      <w:r>
        <w:rPr>
          <w:rFonts w:cs="Times New Roman"/>
        </w:rPr>
        <w:br w:type="page"/>
      </w:r>
    </w:p>
    <w:p w14:paraId="304267BC" w14:textId="77777777" w:rsidR="004141D2" w:rsidRDefault="004141D2">
      <w:pPr>
        <w:spacing w:before="0" w:after="0"/>
        <w:rPr>
          <w:rFonts w:cs="Times New Roman"/>
        </w:rPr>
      </w:pPr>
    </w:p>
    <w:p w14:paraId="7E926884" w14:textId="49EE394D" w:rsidR="004141D2" w:rsidRDefault="004141D2" w:rsidP="008E0494">
      <w:pPr>
        <w:spacing w:before="0" w:after="0"/>
        <w:jc w:val="center"/>
        <w:rPr>
          <w:rFonts w:cs="Times New Roman"/>
        </w:rPr>
      </w:pPr>
    </w:p>
    <w:p w14:paraId="51C08C42" w14:textId="789C886B" w:rsidR="00C1252A" w:rsidRDefault="001C0C3A" w:rsidP="00437BED">
      <w:pPr>
        <w:pStyle w:val="Caption"/>
        <w:jc w:val="center"/>
        <w:rPr>
          <w:rFonts w:cs="Times New Roman"/>
          <w:color w:val="auto"/>
          <w:sz w:val="22"/>
          <w:szCs w:val="22"/>
        </w:rPr>
      </w:pPr>
      <w:r>
        <w:rPr>
          <w:rFonts w:cs="Times New Roman"/>
          <w:noProof/>
          <w:color w:val="auto"/>
          <w:sz w:val="22"/>
          <w:szCs w:val="22"/>
          <w:lang w:val="en-US"/>
        </w:rPr>
        <w:drawing>
          <wp:inline distT="0" distB="0" distL="0" distR="0" wp14:anchorId="603B198D" wp14:editId="319324D8">
            <wp:extent cx="5400000" cy="5006915"/>
            <wp:effectExtent l="0" t="0" r="0"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00" cy="5006915"/>
                    </a:xfrm>
                    <a:prstGeom prst="rect">
                      <a:avLst/>
                    </a:prstGeom>
                    <a:noFill/>
                  </pic:spPr>
                </pic:pic>
              </a:graphicData>
            </a:graphic>
          </wp:inline>
        </w:drawing>
      </w:r>
      <w:r w:rsidR="00437BED" w:rsidRPr="00437BED">
        <w:rPr>
          <w:rFonts w:cs="Times New Roman"/>
          <w:color w:val="auto"/>
          <w:sz w:val="22"/>
          <w:szCs w:val="22"/>
          <w:lang w:val="en-US"/>
        </w:rPr>
        <w:t xml:space="preserve"> </w:t>
      </w:r>
    </w:p>
    <w:p w14:paraId="2C4DA8C7" w14:textId="77777777" w:rsidR="00437BED" w:rsidRDefault="004141D2" w:rsidP="008E0494">
      <w:pPr>
        <w:pStyle w:val="Caption"/>
        <w:jc w:val="center"/>
        <w:rPr>
          <w:rFonts w:cs="Times New Roman"/>
          <w:noProof/>
          <w:color w:val="auto"/>
          <w:sz w:val="22"/>
          <w:szCs w:val="22"/>
        </w:rPr>
      </w:pPr>
      <w:r w:rsidRPr="008A07C9">
        <w:rPr>
          <w:rFonts w:cs="Times New Roman"/>
          <w:color w:val="auto"/>
          <w:sz w:val="22"/>
          <w:szCs w:val="22"/>
        </w:rPr>
        <w:t xml:space="preserve">Figure </w:t>
      </w:r>
      <w:r>
        <w:rPr>
          <w:rFonts w:cs="Times New Roman"/>
          <w:color w:val="auto"/>
          <w:sz w:val="22"/>
          <w:szCs w:val="22"/>
        </w:rPr>
        <w:t>3</w:t>
      </w:r>
      <w:r>
        <w:rPr>
          <w:rFonts w:cs="Times New Roman"/>
          <w:noProof/>
          <w:color w:val="auto"/>
          <w:sz w:val="22"/>
          <w:szCs w:val="22"/>
        </w:rPr>
        <w:t>:</w:t>
      </w:r>
      <w:r w:rsidRPr="008A07C9">
        <w:rPr>
          <w:rFonts w:cs="Times New Roman"/>
          <w:noProof/>
          <w:color w:val="auto"/>
          <w:sz w:val="22"/>
          <w:szCs w:val="22"/>
        </w:rPr>
        <w:t xml:space="preserve"> </w:t>
      </w:r>
      <w:r w:rsidR="00C1252A">
        <w:rPr>
          <w:rFonts w:cs="Times New Roman"/>
          <w:noProof/>
          <w:color w:val="auto"/>
          <w:sz w:val="22"/>
          <w:szCs w:val="22"/>
        </w:rPr>
        <w:t>T</w:t>
      </w:r>
      <w:r w:rsidRPr="004141D2">
        <w:rPr>
          <w:rFonts w:cs="Times New Roman"/>
          <w:noProof/>
          <w:color w:val="auto"/>
          <w:sz w:val="22"/>
          <w:szCs w:val="22"/>
        </w:rPr>
        <w:t xml:space="preserve">hree dimensional panel mixed multi-level ordered logit (3PMMOL) </w:t>
      </w:r>
      <w:r w:rsidR="00C1252A">
        <w:rPr>
          <w:rFonts w:cs="Times New Roman"/>
          <w:noProof/>
          <w:color w:val="auto"/>
          <w:sz w:val="22"/>
          <w:szCs w:val="22"/>
        </w:rPr>
        <w:t>framework</w:t>
      </w:r>
    </w:p>
    <w:p w14:paraId="43A2BEF7" w14:textId="32FD5B47" w:rsidR="00437BED" w:rsidRDefault="00437BED">
      <w:pPr>
        <w:spacing w:before="0" w:after="0"/>
        <w:rPr>
          <w:rFonts w:cs="Times New Roman"/>
          <w:b/>
          <w:bCs/>
          <w:noProof/>
          <w:sz w:val="22"/>
        </w:rPr>
      </w:pPr>
    </w:p>
    <w:p w14:paraId="2000A1D7" w14:textId="72F18188" w:rsidR="004423C3" w:rsidRPr="008A07C9" w:rsidRDefault="004423C3" w:rsidP="008E0494">
      <w:pPr>
        <w:pStyle w:val="Caption"/>
        <w:jc w:val="center"/>
        <w:rPr>
          <w:rFonts w:cs="Times New Roman"/>
        </w:rPr>
      </w:pPr>
      <w:r w:rsidRPr="008A07C9">
        <w:rPr>
          <w:rFonts w:cs="Times New Roman"/>
        </w:rPr>
        <w:br w:type="page"/>
      </w:r>
    </w:p>
    <w:p w14:paraId="534D6BBA" w14:textId="77777777" w:rsidR="004F36F3" w:rsidRDefault="004F36F3" w:rsidP="004F36F3">
      <w:pPr>
        <w:pStyle w:val="Caption"/>
        <w:keepNext/>
        <w:spacing w:before="0" w:after="0"/>
        <w:jc w:val="center"/>
        <w:rPr>
          <w:rFonts w:cs="Times New Roman"/>
          <w:color w:val="auto"/>
          <w:sz w:val="24"/>
          <w:szCs w:val="24"/>
        </w:rPr>
      </w:pPr>
      <w:r w:rsidRPr="008A07C9">
        <w:rPr>
          <w:rFonts w:cs="Times New Roman"/>
          <w:color w:val="auto"/>
          <w:sz w:val="24"/>
          <w:szCs w:val="24"/>
        </w:rPr>
        <w:lastRenderedPageBreak/>
        <w:t xml:space="preserve">Table </w:t>
      </w:r>
      <w:r w:rsidRPr="008A07C9">
        <w:rPr>
          <w:rFonts w:cs="Times New Roman"/>
          <w:color w:val="auto"/>
          <w:sz w:val="24"/>
          <w:szCs w:val="24"/>
        </w:rPr>
        <w:fldChar w:fldCharType="begin"/>
      </w:r>
      <w:r w:rsidRPr="008A07C9">
        <w:rPr>
          <w:rFonts w:cs="Times New Roman"/>
          <w:color w:val="auto"/>
          <w:sz w:val="24"/>
          <w:szCs w:val="24"/>
        </w:rPr>
        <w:instrText xml:space="preserve"> SEQ Table \* ARABIC </w:instrText>
      </w:r>
      <w:r w:rsidRPr="008A07C9">
        <w:rPr>
          <w:rFonts w:cs="Times New Roman"/>
          <w:color w:val="auto"/>
          <w:sz w:val="24"/>
          <w:szCs w:val="24"/>
        </w:rPr>
        <w:fldChar w:fldCharType="separate"/>
      </w:r>
      <w:r w:rsidR="00C944D0">
        <w:rPr>
          <w:rFonts w:cs="Times New Roman"/>
          <w:noProof/>
          <w:color w:val="auto"/>
          <w:sz w:val="24"/>
          <w:szCs w:val="24"/>
        </w:rPr>
        <w:t>1</w:t>
      </w:r>
      <w:r w:rsidRPr="008A07C9">
        <w:rPr>
          <w:rFonts w:cs="Times New Roman"/>
          <w:color w:val="auto"/>
          <w:sz w:val="24"/>
          <w:szCs w:val="24"/>
        </w:rPr>
        <w:fldChar w:fldCharType="end"/>
      </w:r>
      <w:r w:rsidR="0040278D">
        <w:rPr>
          <w:rFonts w:cs="Times New Roman"/>
          <w:color w:val="auto"/>
          <w:sz w:val="24"/>
          <w:szCs w:val="24"/>
        </w:rPr>
        <w:t>:</w:t>
      </w:r>
      <w:r w:rsidRPr="008A07C9">
        <w:rPr>
          <w:rFonts w:cs="Times New Roman"/>
          <w:color w:val="auto"/>
          <w:sz w:val="24"/>
          <w:szCs w:val="24"/>
        </w:rPr>
        <w:t xml:space="preserve"> Descriptive Summary of Sample Characteristics</w:t>
      </w:r>
    </w:p>
    <w:tbl>
      <w:tblPr>
        <w:tblStyle w:val="LightShading"/>
        <w:tblW w:w="8472" w:type="dxa"/>
        <w:jc w:val="center"/>
        <w:shd w:val="clear" w:color="auto" w:fill="FFFFFF" w:themeFill="background1"/>
        <w:tblLayout w:type="fixed"/>
        <w:tblLook w:val="04A0" w:firstRow="1" w:lastRow="0" w:firstColumn="1" w:lastColumn="0" w:noHBand="0" w:noVBand="1"/>
      </w:tblPr>
      <w:tblGrid>
        <w:gridCol w:w="4503"/>
        <w:gridCol w:w="850"/>
        <w:gridCol w:w="992"/>
        <w:gridCol w:w="851"/>
        <w:gridCol w:w="1276"/>
      </w:tblGrid>
      <w:tr w:rsidR="004F36F3" w:rsidRPr="008A07C9" w14:paraId="113ABBCF" w14:textId="77777777" w:rsidTr="004F36F3">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4503" w:type="dxa"/>
            <w:tcBorders>
              <w:top w:val="single" w:sz="12" w:space="0" w:color="auto"/>
              <w:left w:val="single" w:sz="12" w:space="0" w:color="auto"/>
              <w:bottom w:val="single" w:sz="4" w:space="0" w:color="auto"/>
              <w:right w:val="single" w:sz="18" w:space="0" w:color="auto"/>
            </w:tcBorders>
            <w:shd w:val="clear" w:color="auto" w:fill="FFFFFF" w:themeFill="background1"/>
            <w:noWrap/>
            <w:vAlign w:val="center"/>
            <w:hideMark/>
          </w:tcPr>
          <w:p w14:paraId="6B8A0A45" w14:textId="77777777" w:rsidR="004F36F3" w:rsidRPr="008A07C9" w:rsidRDefault="004F36F3" w:rsidP="001E6A1A">
            <w:pPr>
              <w:tabs>
                <w:tab w:val="left" w:pos="1410"/>
              </w:tabs>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Continuous Variables</w:t>
            </w:r>
          </w:p>
        </w:tc>
        <w:tc>
          <w:tcPr>
            <w:tcW w:w="850" w:type="dxa"/>
            <w:tcBorders>
              <w:top w:val="single" w:sz="12" w:space="0" w:color="auto"/>
              <w:left w:val="single" w:sz="18" w:space="0" w:color="auto"/>
              <w:bottom w:val="single" w:sz="4" w:space="0" w:color="auto"/>
            </w:tcBorders>
            <w:shd w:val="clear" w:color="auto" w:fill="FFFFFF" w:themeFill="background1"/>
            <w:noWrap/>
            <w:vAlign w:val="center"/>
            <w:hideMark/>
          </w:tcPr>
          <w:p w14:paraId="29B8D707" w14:textId="77777777" w:rsidR="004F36F3" w:rsidRPr="008A07C9" w:rsidRDefault="004F36F3" w:rsidP="001E6A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Min</w:t>
            </w:r>
          </w:p>
        </w:tc>
        <w:tc>
          <w:tcPr>
            <w:tcW w:w="992" w:type="dxa"/>
            <w:tcBorders>
              <w:top w:val="single" w:sz="12" w:space="0" w:color="auto"/>
              <w:bottom w:val="single" w:sz="4" w:space="0" w:color="auto"/>
            </w:tcBorders>
            <w:shd w:val="clear" w:color="auto" w:fill="FFFFFF" w:themeFill="background1"/>
            <w:noWrap/>
            <w:vAlign w:val="center"/>
            <w:hideMark/>
          </w:tcPr>
          <w:p w14:paraId="331DF8FE" w14:textId="77777777" w:rsidR="004F36F3" w:rsidRPr="008A07C9" w:rsidRDefault="004F36F3" w:rsidP="001E6A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Max</w:t>
            </w:r>
          </w:p>
        </w:tc>
        <w:tc>
          <w:tcPr>
            <w:tcW w:w="851" w:type="dxa"/>
            <w:tcBorders>
              <w:top w:val="single" w:sz="12" w:space="0" w:color="auto"/>
              <w:left w:val="single" w:sz="18" w:space="0" w:color="auto"/>
              <w:bottom w:val="single" w:sz="4" w:space="0" w:color="auto"/>
            </w:tcBorders>
            <w:shd w:val="clear" w:color="auto" w:fill="FFFFFF" w:themeFill="background1"/>
            <w:vAlign w:val="center"/>
          </w:tcPr>
          <w:p w14:paraId="1FE5ECC3" w14:textId="77777777" w:rsidR="004F36F3" w:rsidRPr="008A07C9" w:rsidRDefault="004F36F3" w:rsidP="001E6A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Mean</w:t>
            </w:r>
          </w:p>
        </w:tc>
        <w:tc>
          <w:tcPr>
            <w:tcW w:w="1276" w:type="dxa"/>
            <w:tcBorders>
              <w:top w:val="single" w:sz="12" w:space="0" w:color="auto"/>
              <w:bottom w:val="single" w:sz="4" w:space="0" w:color="auto"/>
              <w:right w:val="single" w:sz="12" w:space="0" w:color="auto"/>
            </w:tcBorders>
            <w:shd w:val="clear" w:color="auto" w:fill="FFFFFF" w:themeFill="background1"/>
            <w:noWrap/>
            <w:vAlign w:val="center"/>
          </w:tcPr>
          <w:p w14:paraId="52B8A910" w14:textId="77777777" w:rsidR="004F36F3" w:rsidRPr="008A07C9" w:rsidRDefault="004F36F3" w:rsidP="001E6A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Std. Deviation</w:t>
            </w:r>
          </w:p>
        </w:tc>
      </w:tr>
      <w:tr w:rsidR="004F36F3" w:rsidRPr="008A07C9" w14:paraId="2F23D349"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hideMark/>
          </w:tcPr>
          <w:p w14:paraId="1543A462"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Temperature (°C)</w:t>
            </w:r>
          </w:p>
        </w:tc>
        <w:tc>
          <w:tcPr>
            <w:tcW w:w="850" w:type="dxa"/>
            <w:tcBorders>
              <w:left w:val="single" w:sz="18" w:space="0" w:color="auto"/>
            </w:tcBorders>
            <w:shd w:val="clear" w:color="auto" w:fill="FFFFFF" w:themeFill="background1"/>
            <w:noWrap/>
            <w:vAlign w:val="center"/>
          </w:tcPr>
          <w:p w14:paraId="5F05EF35"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5.2</w:t>
            </w:r>
          </w:p>
        </w:tc>
        <w:tc>
          <w:tcPr>
            <w:tcW w:w="992" w:type="dxa"/>
            <w:shd w:val="clear" w:color="auto" w:fill="FFFFFF" w:themeFill="background1"/>
            <w:noWrap/>
            <w:vAlign w:val="center"/>
          </w:tcPr>
          <w:p w14:paraId="01B6B985"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33</w:t>
            </w:r>
          </w:p>
        </w:tc>
        <w:tc>
          <w:tcPr>
            <w:tcW w:w="851" w:type="dxa"/>
            <w:tcBorders>
              <w:left w:val="single" w:sz="18" w:space="0" w:color="auto"/>
            </w:tcBorders>
            <w:shd w:val="clear" w:color="auto" w:fill="FFFFFF" w:themeFill="background1"/>
            <w:vAlign w:val="center"/>
          </w:tcPr>
          <w:p w14:paraId="59F7E10E"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20.26</w:t>
            </w:r>
          </w:p>
        </w:tc>
        <w:tc>
          <w:tcPr>
            <w:tcW w:w="1276" w:type="dxa"/>
            <w:tcBorders>
              <w:right w:val="single" w:sz="12" w:space="0" w:color="auto"/>
            </w:tcBorders>
            <w:shd w:val="clear" w:color="auto" w:fill="FFFFFF" w:themeFill="background1"/>
            <w:noWrap/>
            <w:vAlign w:val="center"/>
          </w:tcPr>
          <w:p w14:paraId="1581C9B5"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5.32</w:t>
            </w:r>
          </w:p>
        </w:tc>
      </w:tr>
      <w:tr w:rsidR="004F36F3" w:rsidRPr="008A07C9" w14:paraId="05508BD2"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hideMark/>
          </w:tcPr>
          <w:p w14:paraId="0C6D69A5"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Relative Humidity (%)</w:t>
            </w:r>
          </w:p>
        </w:tc>
        <w:tc>
          <w:tcPr>
            <w:tcW w:w="850" w:type="dxa"/>
            <w:tcBorders>
              <w:left w:val="single" w:sz="18" w:space="0" w:color="auto"/>
            </w:tcBorders>
            <w:shd w:val="clear" w:color="auto" w:fill="FFFFFF" w:themeFill="background1"/>
            <w:noWrap/>
            <w:vAlign w:val="center"/>
          </w:tcPr>
          <w:p w14:paraId="5C7A956A"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24</w:t>
            </w:r>
          </w:p>
        </w:tc>
        <w:tc>
          <w:tcPr>
            <w:tcW w:w="992" w:type="dxa"/>
            <w:shd w:val="clear" w:color="auto" w:fill="FFFFFF" w:themeFill="background1"/>
            <w:noWrap/>
            <w:vAlign w:val="center"/>
          </w:tcPr>
          <w:p w14:paraId="65C2DF5E"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99</w:t>
            </w:r>
          </w:p>
        </w:tc>
        <w:tc>
          <w:tcPr>
            <w:tcW w:w="851" w:type="dxa"/>
            <w:tcBorders>
              <w:left w:val="single" w:sz="18" w:space="0" w:color="auto"/>
            </w:tcBorders>
            <w:shd w:val="clear" w:color="auto" w:fill="FFFFFF" w:themeFill="background1"/>
            <w:vAlign w:val="center"/>
          </w:tcPr>
          <w:p w14:paraId="00000D84"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63.03</w:t>
            </w:r>
          </w:p>
        </w:tc>
        <w:tc>
          <w:tcPr>
            <w:tcW w:w="1276" w:type="dxa"/>
            <w:tcBorders>
              <w:right w:val="single" w:sz="12" w:space="0" w:color="auto"/>
            </w:tcBorders>
            <w:shd w:val="clear" w:color="auto" w:fill="FFFFFF" w:themeFill="background1"/>
            <w:noWrap/>
            <w:vAlign w:val="center"/>
          </w:tcPr>
          <w:p w14:paraId="1D1337CE"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16.96</w:t>
            </w:r>
          </w:p>
        </w:tc>
      </w:tr>
      <w:tr w:rsidR="004F36F3" w:rsidRPr="008A07C9" w14:paraId="3D3F38F5"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7E10981B"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Elevation (m)</w:t>
            </w:r>
          </w:p>
        </w:tc>
        <w:tc>
          <w:tcPr>
            <w:tcW w:w="850" w:type="dxa"/>
            <w:tcBorders>
              <w:left w:val="single" w:sz="18" w:space="0" w:color="auto"/>
            </w:tcBorders>
            <w:shd w:val="clear" w:color="auto" w:fill="FFFFFF" w:themeFill="background1"/>
            <w:noWrap/>
            <w:vAlign w:val="center"/>
          </w:tcPr>
          <w:p w14:paraId="5DA83313"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14.8</w:t>
            </w:r>
          </w:p>
        </w:tc>
        <w:tc>
          <w:tcPr>
            <w:tcW w:w="992" w:type="dxa"/>
            <w:shd w:val="clear" w:color="auto" w:fill="FFFFFF" w:themeFill="background1"/>
            <w:noWrap/>
            <w:vAlign w:val="center"/>
          </w:tcPr>
          <w:p w14:paraId="18BC5611"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139.3</w:t>
            </w:r>
          </w:p>
        </w:tc>
        <w:tc>
          <w:tcPr>
            <w:tcW w:w="851" w:type="dxa"/>
            <w:tcBorders>
              <w:left w:val="single" w:sz="18" w:space="0" w:color="auto"/>
            </w:tcBorders>
            <w:shd w:val="clear" w:color="auto" w:fill="FFFFFF" w:themeFill="background1"/>
            <w:vAlign w:val="center"/>
          </w:tcPr>
          <w:p w14:paraId="0C3E8ED0"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47.54</w:t>
            </w:r>
          </w:p>
        </w:tc>
        <w:tc>
          <w:tcPr>
            <w:tcW w:w="1276" w:type="dxa"/>
            <w:tcBorders>
              <w:right w:val="single" w:sz="12" w:space="0" w:color="auto"/>
            </w:tcBorders>
            <w:shd w:val="clear" w:color="auto" w:fill="FFFFFF" w:themeFill="background1"/>
            <w:noWrap/>
            <w:vAlign w:val="center"/>
          </w:tcPr>
          <w:p w14:paraId="56F983B9"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24.60</w:t>
            </w:r>
          </w:p>
        </w:tc>
      </w:tr>
      <w:tr w:rsidR="004F36F3" w:rsidRPr="008A07C9" w14:paraId="0E854228"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3D78E64C"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TAZ Distance to CBD (km)</w:t>
            </w:r>
          </w:p>
        </w:tc>
        <w:tc>
          <w:tcPr>
            <w:tcW w:w="850" w:type="dxa"/>
            <w:tcBorders>
              <w:left w:val="single" w:sz="18" w:space="0" w:color="auto"/>
            </w:tcBorders>
            <w:shd w:val="clear" w:color="auto" w:fill="FFFFFF" w:themeFill="background1"/>
            <w:noWrap/>
            <w:vAlign w:val="center"/>
          </w:tcPr>
          <w:p w14:paraId="6227BC89"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0.17</w:t>
            </w:r>
          </w:p>
        </w:tc>
        <w:tc>
          <w:tcPr>
            <w:tcW w:w="992" w:type="dxa"/>
            <w:shd w:val="clear" w:color="auto" w:fill="FFFFFF" w:themeFill="background1"/>
            <w:noWrap/>
            <w:vAlign w:val="center"/>
          </w:tcPr>
          <w:p w14:paraId="2978C630"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9.00</w:t>
            </w:r>
          </w:p>
        </w:tc>
        <w:tc>
          <w:tcPr>
            <w:tcW w:w="851" w:type="dxa"/>
            <w:tcBorders>
              <w:left w:val="single" w:sz="18" w:space="0" w:color="auto"/>
            </w:tcBorders>
            <w:shd w:val="clear" w:color="auto" w:fill="FFFFFF" w:themeFill="background1"/>
            <w:vAlign w:val="center"/>
          </w:tcPr>
          <w:p w14:paraId="1957E0ED"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3.53</w:t>
            </w:r>
          </w:p>
        </w:tc>
        <w:tc>
          <w:tcPr>
            <w:tcW w:w="1276" w:type="dxa"/>
            <w:tcBorders>
              <w:right w:val="single" w:sz="12" w:space="0" w:color="auto"/>
            </w:tcBorders>
            <w:shd w:val="clear" w:color="auto" w:fill="FFFFFF" w:themeFill="background1"/>
            <w:noWrap/>
            <w:vAlign w:val="center"/>
          </w:tcPr>
          <w:p w14:paraId="5B5CB47F"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1.96</w:t>
            </w:r>
          </w:p>
        </w:tc>
      </w:tr>
      <w:tr w:rsidR="004F36F3" w:rsidRPr="008A07C9" w14:paraId="6D71B5DB"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2947C017" w14:textId="77777777" w:rsidR="004F36F3" w:rsidRPr="008A07C9" w:rsidRDefault="004F36F3" w:rsidP="004F36F3">
            <w:pPr>
              <w:spacing w:before="60" w:after="60"/>
              <w:rPr>
                <w:rFonts w:ascii="Times New Roman" w:eastAsia="Times New Roman" w:hAnsi="Times New Roman" w:cs="Times New Roman"/>
                <w:color w:val="auto"/>
                <w:lang w:eastAsia="en-CA"/>
              </w:rPr>
            </w:pPr>
            <w:r w:rsidRPr="008A07C9">
              <w:rPr>
                <w:rFonts w:ascii="Times New Roman" w:eastAsia="Times New Roman" w:hAnsi="Times New Roman" w:cs="Times New Roman"/>
                <w:b w:val="0"/>
                <w:color w:val="auto"/>
                <w:lang w:eastAsia="en-CA"/>
              </w:rPr>
              <w:t>Length of Bicycle Facility in TAZ (km)</w:t>
            </w:r>
          </w:p>
        </w:tc>
        <w:tc>
          <w:tcPr>
            <w:tcW w:w="850" w:type="dxa"/>
            <w:tcBorders>
              <w:left w:val="single" w:sz="18" w:space="0" w:color="auto"/>
            </w:tcBorders>
            <w:shd w:val="clear" w:color="auto" w:fill="FFFFFF" w:themeFill="background1"/>
            <w:noWrap/>
            <w:vAlign w:val="center"/>
          </w:tcPr>
          <w:p w14:paraId="40A0F7BD"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7A4CEF23"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9.08</w:t>
            </w:r>
          </w:p>
        </w:tc>
        <w:tc>
          <w:tcPr>
            <w:tcW w:w="851" w:type="dxa"/>
            <w:tcBorders>
              <w:left w:val="single" w:sz="18" w:space="0" w:color="auto"/>
            </w:tcBorders>
            <w:shd w:val="clear" w:color="auto" w:fill="FFFFFF" w:themeFill="background1"/>
            <w:vAlign w:val="center"/>
          </w:tcPr>
          <w:p w14:paraId="747F1DFA"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1.26</w:t>
            </w:r>
          </w:p>
        </w:tc>
        <w:tc>
          <w:tcPr>
            <w:tcW w:w="1276" w:type="dxa"/>
            <w:tcBorders>
              <w:right w:val="single" w:sz="12" w:space="0" w:color="auto"/>
            </w:tcBorders>
            <w:shd w:val="clear" w:color="auto" w:fill="FFFFFF" w:themeFill="background1"/>
            <w:noWrap/>
            <w:vAlign w:val="center"/>
          </w:tcPr>
          <w:p w14:paraId="4BAE0139"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1.87</w:t>
            </w:r>
          </w:p>
        </w:tc>
      </w:tr>
      <w:tr w:rsidR="004F36F3" w:rsidRPr="008A07C9" w14:paraId="738C256E"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3E5A7DB5"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Length of Streets in TAZ  (km)</w:t>
            </w:r>
          </w:p>
        </w:tc>
        <w:tc>
          <w:tcPr>
            <w:tcW w:w="850" w:type="dxa"/>
            <w:tcBorders>
              <w:left w:val="single" w:sz="18" w:space="0" w:color="auto"/>
            </w:tcBorders>
            <w:shd w:val="clear" w:color="auto" w:fill="FFFFFF" w:themeFill="background1"/>
            <w:noWrap/>
            <w:vAlign w:val="center"/>
          </w:tcPr>
          <w:p w14:paraId="30955901"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0.62</w:t>
            </w:r>
          </w:p>
        </w:tc>
        <w:tc>
          <w:tcPr>
            <w:tcW w:w="992" w:type="dxa"/>
            <w:shd w:val="clear" w:color="auto" w:fill="FFFFFF" w:themeFill="background1"/>
            <w:noWrap/>
            <w:vAlign w:val="center"/>
          </w:tcPr>
          <w:p w14:paraId="6C844371"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39.48</w:t>
            </w:r>
          </w:p>
        </w:tc>
        <w:tc>
          <w:tcPr>
            <w:tcW w:w="851" w:type="dxa"/>
            <w:tcBorders>
              <w:left w:val="single" w:sz="18" w:space="0" w:color="auto"/>
            </w:tcBorders>
            <w:shd w:val="clear" w:color="auto" w:fill="FFFFFF" w:themeFill="background1"/>
            <w:vAlign w:val="center"/>
          </w:tcPr>
          <w:p w14:paraId="291C3C37"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8.01</w:t>
            </w:r>
          </w:p>
        </w:tc>
        <w:tc>
          <w:tcPr>
            <w:tcW w:w="1276" w:type="dxa"/>
            <w:tcBorders>
              <w:right w:val="single" w:sz="12" w:space="0" w:color="auto"/>
            </w:tcBorders>
            <w:shd w:val="clear" w:color="auto" w:fill="FFFFFF" w:themeFill="background1"/>
            <w:noWrap/>
            <w:vAlign w:val="center"/>
          </w:tcPr>
          <w:p w14:paraId="3B3ECEB1"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5.95</w:t>
            </w:r>
          </w:p>
        </w:tc>
      </w:tr>
      <w:tr w:rsidR="004F36F3" w:rsidRPr="008A07C9" w14:paraId="00C306B1"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6284D196"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Length of Major Roads in TAZ (km)</w:t>
            </w:r>
          </w:p>
        </w:tc>
        <w:tc>
          <w:tcPr>
            <w:tcW w:w="850" w:type="dxa"/>
            <w:tcBorders>
              <w:left w:val="single" w:sz="18" w:space="0" w:color="auto"/>
            </w:tcBorders>
            <w:shd w:val="clear" w:color="auto" w:fill="FFFFFF" w:themeFill="background1"/>
            <w:noWrap/>
            <w:vAlign w:val="center"/>
          </w:tcPr>
          <w:p w14:paraId="1C696599"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126B6CF6"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10.30</w:t>
            </w:r>
          </w:p>
        </w:tc>
        <w:tc>
          <w:tcPr>
            <w:tcW w:w="851" w:type="dxa"/>
            <w:tcBorders>
              <w:left w:val="single" w:sz="18" w:space="0" w:color="auto"/>
            </w:tcBorders>
            <w:shd w:val="clear" w:color="auto" w:fill="FFFFFF" w:themeFill="background1"/>
            <w:vAlign w:val="center"/>
          </w:tcPr>
          <w:p w14:paraId="3E3FCCB2"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1.03</w:t>
            </w:r>
          </w:p>
        </w:tc>
        <w:tc>
          <w:tcPr>
            <w:tcW w:w="1276" w:type="dxa"/>
            <w:tcBorders>
              <w:right w:val="single" w:sz="12" w:space="0" w:color="auto"/>
            </w:tcBorders>
            <w:shd w:val="clear" w:color="auto" w:fill="FFFFFF" w:themeFill="background1"/>
            <w:noWrap/>
            <w:vAlign w:val="center"/>
          </w:tcPr>
          <w:p w14:paraId="309C8C67"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1.23</w:t>
            </w:r>
          </w:p>
        </w:tc>
      </w:tr>
      <w:tr w:rsidR="004F36F3" w:rsidRPr="008A07C9" w14:paraId="0FFAFBB3"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54E45B6A"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Length of Highways in TAZ (km)</w:t>
            </w:r>
          </w:p>
        </w:tc>
        <w:tc>
          <w:tcPr>
            <w:tcW w:w="850" w:type="dxa"/>
            <w:tcBorders>
              <w:left w:val="single" w:sz="18" w:space="0" w:color="auto"/>
            </w:tcBorders>
            <w:shd w:val="clear" w:color="auto" w:fill="FFFFFF" w:themeFill="background1"/>
            <w:noWrap/>
            <w:vAlign w:val="center"/>
          </w:tcPr>
          <w:p w14:paraId="5793C44E"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5ADEBEA0"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8.36</w:t>
            </w:r>
          </w:p>
        </w:tc>
        <w:tc>
          <w:tcPr>
            <w:tcW w:w="851" w:type="dxa"/>
            <w:tcBorders>
              <w:left w:val="single" w:sz="18" w:space="0" w:color="auto"/>
            </w:tcBorders>
            <w:shd w:val="clear" w:color="auto" w:fill="FFFFFF" w:themeFill="background1"/>
            <w:vAlign w:val="center"/>
          </w:tcPr>
          <w:p w14:paraId="2E43D53F"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0.39</w:t>
            </w:r>
          </w:p>
        </w:tc>
        <w:tc>
          <w:tcPr>
            <w:tcW w:w="1276" w:type="dxa"/>
            <w:tcBorders>
              <w:right w:val="single" w:sz="12" w:space="0" w:color="auto"/>
            </w:tcBorders>
            <w:shd w:val="clear" w:color="auto" w:fill="FFFFFF" w:themeFill="background1"/>
            <w:noWrap/>
            <w:vAlign w:val="center"/>
          </w:tcPr>
          <w:p w14:paraId="7B58928C"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0.93</w:t>
            </w:r>
          </w:p>
        </w:tc>
      </w:tr>
      <w:tr w:rsidR="004F36F3" w:rsidRPr="008A07C9" w14:paraId="76B78312"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2A96B8CD"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Length of Bus Lines in TAZ (km)</w:t>
            </w:r>
          </w:p>
        </w:tc>
        <w:tc>
          <w:tcPr>
            <w:tcW w:w="850" w:type="dxa"/>
            <w:tcBorders>
              <w:left w:val="single" w:sz="18" w:space="0" w:color="auto"/>
            </w:tcBorders>
            <w:shd w:val="clear" w:color="auto" w:fill="FFFFFF" w:themeFill="background1"/>
            <w:noWrap/>
            <w:vAlign w:val="center"/>
          </w:tcPr>
          <w:p w14:paraId="733C61D8"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6E827F58"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12.81</w:t>
            </w:r>
          </w:p>
        </w:tc>
        <w:tc>
          <w:tcPr>
            <w:tcW w:w="851" w:type="dxa"/>
            <w:tcBorders>
              <w:left w:val="single" w:sz="18" w:space="0" w:color="auto"/>
            </w:tcBorders>
            <w:shd w:val="clear" w:color="auto" w:fill="FFFFFF" w:themeFill="background1"/>
            <w:vAlign w:val="center"/>
          </w:tcPr>
          <w:p w14:paraId="1F5C581E"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2.42</w:t>
            </w:r>
          </w:p>
        </w:tc>
        <w:tc>
          <w:tcPr>
            <w:tcW w:w="1276" w:type="dxa"/>
            <w:tcBorders>
              <w:right w:val="single" w:sz="12" w:space="0" w:color="auto"/>
            </w:tcBorders>
            <w:shd w:val="clear" w:color="auto" w:fill="FFFFFF" w:themeFill="background1"/>
            <w:noWrap/>
            <w:vAlign w:val="center"/>
          </w:tcPr>
          <w:p w14:paraId="34AD4832"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2.22</w:t>
            </w:r>
          </w:p>
        </w:tc>
      </w:tr>
      <w:tr w:rsidR="004F36F3" w:rsidRPr="008A07C9" w14:paraId="68844652"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792C52BB" w14:textId="77777777" w:rsidR="004F36F3" w:rsidRPr="008A07C9" w:rsidRDefault="00667394" w:rsidP="00667394">
            <w:pPr>
              <w:spacing w:before="60" w:after="60"/>
              <w:rPr>
                <w:rFonts w:ascii="Times New Roman" w:eastAsia="Times New Roman" w:hAnsi="Times New Roman" w:cs="Times New Roman"/>
                <w:b w:val="0"/>
                <w:color w:val="auto"/>
                <w:lang w:eastAsia="en-CA"/>
              </w:rPr>
            </w:pPr>
            <w:r>
              <w:rPr>
                <w:rFonts w:ascii="Times New Roman" w:eastAsia="Times New Roman" w:hAnsi="Times New Roman" w:cs="Times New Roman"/>
                <w:b w:val="0"/>
                <w:color w:val="auto"/>
                <w:lang w:eastAsia="en-CA"/>
              </w:rPr>
              <w:t>Length of Railways</w:t>
            </w:r>
            <w:r w:rsidR="004F36F3" w:rsidRPr="008A07C9">
              <w:rPr>
                <w:rFonts w:ascii="Times New Roman" w:eastAsia="Times New Roman" w:hAnsi="Times New Roman" w:cs="Times New Roman"/>
                <w:b w:val="0"/>
                <w:color w:val="auto"/>
                <w:lang w:eastAsia="en-CA"/>
              </w:rPr>
              <w:t xml:space="preserve"> in TAZ (km)</w:t>
            </w:r>
          </w:p>
        </w:tc>
        <w:tc>
          <w:tcPr>
            <w:tcW w:w="850" w:type="dxa"/>
            <w:tcBorders>
              <w:left w:val="single" w:sz="18" w:space="0" w:color="auto"/>
            </w:tcBorders>
            <w:shd w:val="clear" w:color="auto" w:fill="FFFFFF" w:themeFill="background1"/>
            <w:noWrap/>
            <w:vAlign w:val="center"/>
          </w:tcPr>
          <w:p w14:paraId="346EC041"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17D23BE2"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6.00</w:t>
            </w:r>
          </w:p>
        </w:tc>
        <w:tc>
          <w:tcPr>
            <w:tcW w:w="851" w:type="dxa"/>
            <w:tcBorders>
              <w:left w:val="single" w:sz="18" w:space="0" w:color="auto"/>
            </w:tcBorders>
            <w:shd w:val="clear" w:color="auto" w:fill="FFFFFF" w:themeFill="background1"/>
            <w:vAlign w:val="center"/>
          </w:tcPr>
          <w:p w14:paraId="774FFE67"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0.42</w:t>
            </w:r>
          </w:p>
        </w:tc>
        <w:tc>
          <w:tcPr>
            <w:tcW w:w="1276" w:type="dxa"/>
            <w:tcBorders>
              <w:right w:val="single" w:sz="12" w:space="0" w:color="auto"/>
            </w:tcBorders>
            <w:shd w:val="clear" w:color="auto" w:fill="FFFFFF" w:themeFill="background1"/>
            <w:noWrap/>
            <w:vAlign w:val="center"/>
          </w:tcPr>
          <w:p w14:paraId="52DFA330"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0.84</w:t>
            </w:r>
          </w:p>
        </w:tc>
      </w:tr>
      <w:tr w:rsidR="004F36F3" w:rsidRPr="008A07C9" w14:paraId="4FDAB985"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358AA87B"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Area of Parks in TAZ (km</w:t>
            </w:r>
            <w:r w:rsidRPr="008A07C9">
              <w:rPr>
                <w:rFonts w:ascii="Times New Roman" w:eastAsia="Times New Roman" w:hAnsi="Times New Roman" w:cs="Times New Roman"/>
                <w:b w:val="0"/>
                <w:color w:val="auto"/>
                <w:vertAlign w:val="superscript"/>
                <w:lang w:eastAsia="en-CA"/>
              </w:rPr>
              <w:t>2</w:t>
            </w:r>
            <w:r w:rsidRPr="008A07C9">
              <w:rPr>
                <w:rFonts w:ascii="Times New Roman" w:eastAsia="Times New Roman" w:hAnsi="Times New Roman" w:cs="Times New Roman"/>
                <w:b w:val="0"/>
                <w:color w:val="auto"/>
                <w:lang w:eastAsia="en-CA"/>
              </w:rPr>
              <w:t>)</w:t>
            </w:r>
          </w:p>
        </w:tc>
        <w:tc>
          <w:tcPr>
            <w:tcW w:w="850" w:type="dxa"/>
            <w:tcBorders>
              <w:left w:val="single" w:sz="18" w:space="0" w:color="auto"/>
            </w:tcBorders>
            <w:shd w:val="clear" w:color="auto" w:fill="FFFFFF" w:themeFill="background1"/>
            <w:noWrap/>
            <w:vAlign w:val="center"/>
          </w:tcPr>
          <w:p w14:paraId="236E57B8"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5B27E9EF"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1.45</w:t>
            </w:r>
          </w:p>
        </w:tc>
        <w:tc>
          <w:tcPr>
            <w:tcW w:w="851" w:type="dxa"/>
            <w:tcBorders>
              <w:left w:val="single" w:sz="18" w:space="0" w:color="auto"/>
            </w:tcBorders>
            <w:shd w:val="clear" w:color="auto" w:fill="FFFFFF" w:themeFill="background1"/>
            <w:vAlign w:val="center"/>
          </w:tcPr>
          <w:p w14:paraId="25466997"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0.03</w:t>
            </w:r>
          </w:p>
        </w:tc>
        <w:tc>
          <w:tcPr>
            <w:tcW w:w="1276" w:type="dxa"/>
            <w:tcBorders>
              <w:right w:val="single" w:sz="12" w:space="0" w:color="auto"/>
            </w:tcBorders>
            <w:shd w:val="clear" w:color="auto" w:fill="FFFFFF" w:themeFill="background1"/>
            <w:noWrap/>
            <w:vAlign w:val="center"/>
          </w:tcPr>
          <w:p w14:paraId="194D91B0"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0.14</w:t>
            </w:r>
          </w:p>
        </w:tc>
      </w:tr>
      <w:tr w:rsidR="004F36F3" w:rsidRPr="008A07C9" w14:paraId="6822E463"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150C0015"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Number of Restaurants in TAZ</w:t>
            </w:r>
          </w:p>
        </w:tc>
        <w:tc>
          <w:tcPr>
            <w:tcW w:w="850" w:type="dxa"/>
            <w:tcBorders>
              <w:left w:val="single" w:sz="18" w:space="0" w:color="auto"/>
            </w:tcBorders>
            <w:shd w:val="clear" w:color="auto" w:fill="FFFFFF" w:themeFill="background1"/>
            <w:noWrap/>
            <w:vAlign w:val="center"/>
          </w:tcPr>
          <w:p w14:paraId="086BD42A"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2BB6FB04"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110</w:t>
            </w:r>
          </w:p>
        </w:tc>
        <w:tc>
          <w:tcPr>
            <w:tcW w:w="851" w:type="dxa"/>
            <w:tcBorders>
              <w:left w:val="single" w:sz="18" w:space="0" w:color="auto"/>
            </w:tcBorders>
            <w:shd w:val="clear" w:color="auto" w:fill="FFFFFF" w:themeFill="background1"/>
            <w:vAlign w:val="center"/>
          </w:tcPr>
          <w:p w14:paraId="25C8A54B"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14.26</w:t>
            </w:r>
          </w:p>
        </w:tc>
        <w:tc>
          <w:tcPr>
            <w:tcW w:w="1276" w:type="dxa"/>
            <w:tcBorders>
              <w:right w:val="single" w:sz="12" w:space="0" w:color="auto"/>
            </w:tcBorders>
            <w:shd w:val="clear" w:color="auto" w:fill="FFFFFF" w:themeFill="background1"/>
            <w:noWrap/>
            <w:vAlign w:val="center"/>
          </w:tcPr>
          <w:p w14:paraId="1D79E3BF"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16.22</w:t>
            </w:r>
          </w:p>
        </w:tc>
      </w:tr>
      <w:tr w:rsidR="004F36F3" w:rsidRPr="008A07C9" w14:paraId="49BF0581"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1DA0872E"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Number of other Commercial Enterprises in TAZ</w:t>
            </w:r>
          </w:p>
        </w:tc>
        <w:tc>
          <w:tcPr>
            <w:tcW w:w="850" w:type="dxa"/>
            <w:tcBorders>
              <w:left w:val="single" w:sz="18" w:space="0" w:color="auto"/>
            </w:tcBorders>
            <w:shd w:val="clear" w:color="auto" w:fill="FFFFFF" w:themeFill="background1"/>
            <w:noWrap/>
            <w:vAlign w:val="center"/>
          </w:tcPr>
          <w:p w14:paraId="326EA1B0"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w:t>
            </w:r>
          </w:p>
        </w:tc>
        <w:tc>
          <w:tcPr>
            <w:tcW w:w="992" w:type="dxa"/>
            <w:shd w:val="clear" w:color="auto" w:fill="FFFFFF" w:themeFill="background1"/>
            <w:noWrap/>
            <w:vAlign w:val="center"/>
          </w:tcPr>
          <w:p w14:paraId="593DBCB2"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1882</w:t>
            </w:r>
          </w:p>
        </w:tc>
        <w:tc>
          <w:tcPr>
            <w:tcW w:w="851" w:type="dxa"/>
            <w:tcBorders>
              <w:left w:val="single" w:sz="18" w:space="0" w:color="auto"/>
            </w:tcBorders>
            <w:shd w:val="clear" w:color="auto" w:fill="FFFFFF" w:themeFill="background1"/>
            <w:vAlign w:val="center"/>
          </w:tcPr>
          <w:p w14:paraId="307CD7C0"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97.93</w:t>
            </w:r>
          </w:p>
        </w:tc>
        <w:tc>
          <w:tcPr>
            <w:tcW w:w="1276" w:type="dxa"/>
            <w:tcBorders>
              <w:right w:val="single" w:sz="12" w:space="0" w:color="auto"/>
            </w:tcBorders>
            <w:shd w:val="clear" w:color="auto" w:fill="FFFFFF" w:themeFill="background1"/>
            <w:noWrap/>
            <w:vAlign w:val="center"/>
          </w:tcPr>
          <w:p w14:paraId="406DA77C"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140.03</w:t>
            </w:r>
          </w:p>
        </w:tc>
      </w:tr>
      <w:tr w:rsidR="004F36F3" w:rsidRPr="008A07C9" w14:paraId="3567D567"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40430E50"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Number of BIXI stations in TAZ</w:t>
            </w:r>
          </w:p>
        </w:tc>
        <w:tc>
          <w:tcPr>
            <w:tcW w:w="850" w:type="dxa"/>
            <w:tcBorders>
              <w:left w:val="single" w:sz="18" w:space="0" w:color="auto"/>
            </w:tcBorders>
            <w:shd w:val="clear" w:color="auto" w:fill="FFFFFF" w:themeFill="background1"/>
            <w:noWrap/>
            <w:vAlign w:val="center"/>
          </w:tcPr>
          <w:p w14:paraId="6788F4D8"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w:t>
            </w:r>
          </w:p>
        </w:tc>
        <w:tc>
          <w:tcPr>
            <w:tcW w:w="992" w:type="dxa"/>
            <w:shd w:val="clear" w:color="auto" w:fill="FFFFFF" w:themeFill="background1"/>
            <w:noWrap/>
            <w:vAlign w:val="center"/>
          </w:tcPr>
          <w:p w14:paraId="0C25DDE2"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6</w:t>
            </w:r>
          </w:p>
        </w:tc>
        <w:tc>
          <w:tcPr>
            <w:tcW w:w="851" w:type="dxa"/>
            <w:tcBorders>
              <w:left w:val="single" w:sz="18" w:space="0" w:color="auto"/>
            </w:tcBorders>
            <w:shd w:val="clear" w:color="auto" w:fill="FFFFFF" w:themeFill="background1"/>
            <w:vAlign w:val="center"/>
          </w:tcPr>
          <w:p w14:paraId="23BDF1A8"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1.74</w:t>
            </w:r>
          </w:p>
        </w:tc>
        <w:tc>
          <w:tcPr>
            <w:tcW w:w="1276" w:type="dxa"/>
            <w:tcBorders>
              <w:right w:val="single" w:sz="12" w:space="0" w:color="auto"/>
            </w:tcBorders>
            <w:shd w:val="clear" w:color="auto" w:fill="FFFFFF" w:themeFill="background1"/>
            <w:noWrap/>
            <w:vAlign w:val="center"/>
          </w:tcPr>
          <w:p w14:paraId="48EC899B"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0.94</w:t>
            </w:r>
          </w:p>
        </w:tc>
      </w:tr>
      <w:tr w:rsidR="004F36F3" w:rsidRPr="008A07C9" w14:paraId="5562E583"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6B729EF1"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Capacity of BIXI stations in TAZ</w:t>
            </w:r>
          </w:p>
        </w:tc>
        <w:tc>
          <w:tcPr>
            <w:tcW w:w="850" w:type="dxa"/>
            <w:tcBorders>
              <w:left w:val="single" w:sz="18" w:space="0" w:color="auto"/>
            </w:tcBorders>
            <w:shd w:val="clear" w:color="auto" w:fill="FFFFFF" w:themeFill="background1"/>
            <w:noWrap/>
            <w:vAlign w:val="center"/>
          </w:tcPr>
          <w:p w14:paraId="27486B2E"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11</w:t>
            </w:r>
          </w:p>
        </w:tc>
        <w:tc>
          <w:tcPr>
            <w:tcW w:w="992" w:type="dxa"/>
            <w:shd w:val="clear" w:color="auto" w:fill="FFFFFF" w:themeFill="background1"/>
            <w:noWrap/>
            <w:vAlign w:val="center"/>
          </w:tcPr>
          <w:p w14:paraId="20447F48"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141</w:t>
            </w:r>
          </w:p>
        </w:tc>
        <w:tc>
          <w:tcPr>
            <w:tcW w:w="851" w:type="dxa"/>
            <w:tcBorders>
              <w:left w:val="single" w:sz="18" w:space="0" w:color="auto"/>
            </w:tcBorders>
            <w:shd w:val="clear" w:color="auto" w:fill="FFFFFF" w:themeFill="background1"/>
            <w:vAlign w:val="center"/>
          </w:tcPr>
          <w:p w14:paraId="7ED3B023"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34.07</w:t>
            </w:r>
          </w:p>
        </w:tc>
        <w:tc>
          <w:tcPr>
            <w:tcW w:w="1276" w:type="dxa"/>
            <w:tcBorders>
              <w:right w:val="single" w:sz="12" w:space="0" w:color="auto"/>
            </w:tcBorders>
            <w:shd w:val="clear" w:color="auto" w:fill="FFFFFF" w:themeFill="background1"/>
            <w:noWrap/>
            <w:vAlign w:val="center"/>
          </w:tcPr>
          <w:p w14:paraId="1A193DC1"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22.27</w:t>
            </w:r>
          </w:p>
        </w:tc>
      </w:tr>
      <w:tr w:rsidR="004F36F3" w:rsidRPr="008A07C9" w14:paraId="65300A9C"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4E0BA89B"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Station Capacity</w:t>
            </w:r>
          </w:p>
        </w:tc>
        <w:tc>
          <w:tcPr>
            <w:tcW w:w="850" w:type="dxa"/>
            <w:tcBorders>
              <w:left w:val="single" w:sz="18" w:space="0" w:color="auto"/>
            </w:tcBorders>
            <w:shd w:val="clear" w:color="auto" w:fill="FFFFFF" w:themeFill="background1"/>
            <w:noWrap/>
            <w:vAlign w:val="center"/>
          </w:tcPr>
          <w:p w14:paraId="3050303B"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7</w:t>
            </w:r>
          </w:p>
        </w:tc>
        <w:tc>
          <w:tcPr>
            <w:tcW w:w="992" w:type="dxa"/>
            <w:shd w:val="clear" w:color="auto" w:fill="FFFFFF" w:themeFill="background1"/>
            <w:noWrap/>
            <w:vAlign w:val="center"/>
          </w:tcPr>
          <w:p w14:paraId="0F570CD2"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65</w:t>
            </w:r>
          </w:p>
        </w:tc>
        <w:tc>
          <w:tcPr>
            <w:tcW w:w="851" w:type="dxa"/>
            <w:tcBorders>
              <w:left w:val="single" w:sz="18" w:space="0" w:color="auto"/>
            </w:tcBorders>
            <w:shd w:val="clear" w:color="auto" w:fill="FFFFFF" w:themeFill="background1"/>
            <w:vAlign w:val="center"/>
          </w:tcPr>
          <w:p w14:paraId="19938F69"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19.53</w:t>
            </w:r>
          </w:p>
        </w:tc>
        <w:tc>
          <w:tcPr>
            <w:tcW w:w="1276" w:type="dxa"/>
            <w:tcBorders>
              <w:right w:val="single" w:sz="12" w:space="0" w:color="auto"/>
            </w:tcBorders>
            <w:shd w:val="clear" w:color="auto" w:fill="FFFFFF" w:themeFill="background1"/>
            <w:noWrap/>
            <w:vAlign w:val="center"/>
          </w:tcPr>
          <w:p w14:paraId="4CF16EAF"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7.95</w:t>
            </w:r>
          </w:p>
        </w:tc>
      </w:tr>
      <w:tr w:rsidR="004F36F3" w:rsidRPr="008A07C9" w14:paraId="25D46646"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right w:val="single" w:sz="18" w:space="0" w:color="auto"/>
            </w:tcBorders>
            <w:shd w:val="clear" w:color="auto" w:fill="FFFFFF" w:themeFill="background1"/>
            <w:noWrap/>
            <w:vAlign w:val="center"/>
          </w:tcPr>
          <w:p w14:paraId="7F13F71B"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TAZ Pop Density (people per m</w:t>
            </w:r>
            <w:r w:rsidRPr="008A07C9">
              <w:rPr>
                <w:rFonts w:ascii="Times New Roman" w:eastAsia="Times New Roman" w:hAnsi="Times New Roman" w:cs="Times New Roman"/>
                <w:b w:val="0"/>
                <w:color w:val="auto"/>
                <w:vertAlign w:val="superscript"/>
                <w:lang w:eastAsia="en-CA"/>
              </w:rPr>
              <w:t xml:space="preserve">2 </w:t>
            </w:r>
            <w:r w:rsidRPr="008A07C9">
              <w:rPr>
                <w:rFonts w:ascii="Times New Roman" w:eastAsia="Times New Roman" w:hAnsi="Times New Roman" w:cs="Times New Roman"/>
                <w:b w:val="0"/>
                <w:color w:val="auto"/>
                <w:lang w:eastAsia="en-CA"/>
              </w:rPr>
              <w:t xml:space="preserve">×1000) </w:t>
            </w:r>
          </w:p>
        </w:tc>
        <w:tc>
          <w:tcPr>
            <w:tcW w:w="850" w:type="dxa"/>
            <w:tcBorders>
              <w:left w:val="single" w:sz="18" w:space="0" w:color="auto"/>
            </w:tcBorders>
            <w:shd w:val="clear" w:color="auto" w:fill="FFFFFF" w:themeFill="background1"/>
            <w:noWrap/>
          </w:tcPr>
          <w:p w14:paraId="3BFBD15A"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1.01</w:t>
            </w:r>
          </w:p>
        </w:tc>
        <w:tc>
          <w:tcPr>
            <w:tcW w:w="992" w:type="dxa"/>
            <w:shd w:val="clear" w:color="auto" w:fill="FFFFFF" w:themeFill="background1"/>
            <w:noWrap/>
          </w:tcPr>
          <w:p w14:paraId="469B3DFD"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187.79</w:t>
            </w:r>
          </w:p>
        </w:tc>
        <w:tc>
          <w:tcPr>
            <w:tcW w:w="851" w:type="dxa"/>
            <w:tcBorders>
              <w:left w:val="single" w:sz="18" w:space="0" w:color="auto"/>
            </w:tcBorders>
            <w:shd w:val="clear" w:color="auto" w:fill="FFFFFF" w:themeFill="background1"/>
          </w:tcPr>
          <w:p w14:paraId="4CA5FA03"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59.38</w:t>
            </w:r>
          </w:p>
        </w:tc>
        <w:tc>
          <w:tcPr>
            <w:tcW w:w="1276" w:type="dxa"/>
            <w:tcBorders>
              <w:right w:val="single" w:sz="12" w:space="0" w:color="auto"/>
            </w:tcBorders>
            <w:shd w:val="clear" w:color="auto" w:fill="FFFFFF" w:themeFill="background1"/>
            <w:noWrap/>
          </w:tcPr>
          <w:p w14:paraId="16751C89"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31.62</w:t>
            </w:r>
          </w:p>
        </w:tc>
      </w:tr>
      <w:tr w:rsidR="004F36F3" w:rsidRPr="008A07C9" w14:paraId="0C9403B1" w14:textId="77777777" w:rsidTr="004F36F3">
        <w:trPr>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left w:val="single" w:sz="12" w:space="0" w:color="auto"/>
              <w:bottom w:val="single" w:sz="12" w:space="0" w:color="auto"/>
              <w:right w:val="single" w:sz="18" w:space="0" w:color="auto"/>
            </w:tcBorders>
            <w:shd w:val="clear" w:color="auto" w:fill="FFFFFF" w:themeFill="background1"/>
            <w:noWrap/>
            <w:vAlign w:val="center"/>
          </w:tcPr>
          <w:p w14:paraId="60644F3D"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TAZ Job Density (jobs per m</w:t>
            </w:r>
            <w:r w:rsidRPr="008A07C9">
              <w:rPr>
                <w:rFonts w:ascii="Times New Roman" w:eastAsia="Times New Roman" w:hAnsi="Times New Roman" w:cs="Times New Roman"/>
                <w:b w:val="0"/>
                <w:color w:val="auto"/>
                <w:vertAlign w:val="superscript"/>
                <w:lang w:eastAsia="en-CA"/>
              </w:rPr>
              <w:t xml:space="preserve">2 </w:t>
            </w:r>
            <w:r w:rsidRPr="008A07C9">
              <w:rPr>
                <w:rFonts w:ascii="Times New Roman" w:eastAsia="Times New Roman" w:hAnsi="Times New Roman" w:cs="Times New Roman"/>
                <w:b w:val="0"/>
                <w:color w:val="auto"/>
                <w:lang w:eastAsia="en-CA"/>
              </w:rPr>
              <w:t>×1000)</w:t>
            </w:r>
          </w:p>
        </w:tc>
        <w:tc>
          <w:tcPr>
            <w:tcW w:w="850" w:type="dxa"/>
            <w:tcBorders>
              <w:left w:val="single" w:sz="18" w:space="0" w:color="auto"/>
              <w:bottom w:val="single" w:sz="12" w:space="0" w:color="auto"/>
            </w:tcBorders>
            <w:shd w:val="clear" w:color="auto" w:fill="FFFFFF" w:themeFill="background1"/>
            <w:noWrap/>
          </w:tcPr>
          <w:p w14:paraId="0340BFC4"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0.07</w:t>
            </w:r>
          </w:p>
        </w:tc>
        <w:tc>
          <w:tcPr>
            <w:tcW w:w="992" w:type="dxa"/>
            <w:tcBorders>
              <w:bottom w:val="single" w:sz="12" w:space="0" w:color="auto"/>
            </w:tcBorders>
            <w:shd w:val="clear" w:color="auto" w:fill="FFFFFF" w:themeFill="background1"/>
            <w:noWrap/>
          </w:tcPr>
          <w:p w14:paraId="66096531"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4078.13</w:t>
            </w:r>
          </w:p>
        </w:tc>
        <w:tc>
          <w:tcPr>
            <w:tcW w:w="851" w:type="dxa"/>
            <w:tcBorders>
              <w:left w:val="single" w:sz="18" w:space="0" w:color="auto"/>
              <w:bottom w:val="single" w:sz="12" w:space="0" w:color="auto"/>
            </w:tcBorders>
            <w:shd w:val="clear" w:color="auto" w:fill="FFFFFF" w:themeFill="background1"/>
          </w:tcPr>
          <w:p w14:paraId="117C0257"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141.19</w:t>
            </w:r>
          </w:p>
        </w:tc>
        <w:tc>
          <w:tcPr>
            <w:tcW w:w="1276" w:type="dxa"/>
            <w:tcBorders>
              <w:bottom w:val="single" w:sz="12" w:space="0" w:color="auto"/>
              <w:right w:val="single" w:sz="12" w:space="0" w:color="auto"/>
            </w:tcBorders>
            <w:shd w:val="clear" w:color="auto" w:fill="FFFFFF" w:themeFill="background1"/>
            <w:noWrap/>
          </w:tcPr>
          <w:p w14:paraId="5D727F8C"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528.96</w:t>
            </w:r>
          </w:p>
        </w:tc>
      </w:tr>
      <w:tr w:rsidR="004F36F3" w:rsidRPr="008A07C9" w14:paraId="4AD00A8A" w14:textId="77777777" w:rsidTr="004F36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03" w:type="dxa"/>
            <w:tcBorders>
              <w:top w:val="single" w:sz="12" w:space="0" w:color="auto"/>
              <w:left w:val="single" w:sz="12" w:space="0" w:color="auto"/>
              <w:bottom w:val="single" w:sz="4" w:space="0" w:color="auto"/>
              <w:right w:val="single" w:sz="18" w:space="0" w:color="auto"/>
            </w:tcBorders>
            <w:shd w:val="clear" w:color="auto" w:fill="FFFFFF" w:themeFill="background1"/>
            <w:noWrap/>
            <w:vAlign w:val="center"/>
          </w:tcPr>
          <w:p w14:paraId="255E4B02"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color w:val="auto"/>
                <w:lang w:eastAsia="en-CA"/>
              </w:rPr>
              <w:t>Categorical Variables</w:t>
            </w:r>
          </w:p>
        </w:tc>
        <w:tc>
          <w:tcPr>
            <w:tcW w:w="3969" w:type="dxa"/>
            <w:gridSpan w:val="4"/>
            <w:tcBorders>
              <w:top w:val="single" w:sz="12" w:space="0" w:color="auto"/>
              <w:left w:val="single" w:sz="18" w:space="0" w:color="auto"/>
              <w:bottom w:val="single" w:sz="4" w:space="0" w:color="auto"/>
              <w:right w:val="single" w:sz="12" w:space="0" w:color="auto"/>
            </w:tcBorders>
            <w:shd w:val="clear" w:color="auto" w:fill="FFFFFF" w:themeFill="background1"/>
            <w:noWrap/>
            <w:vAlign w:val="center"/>
          </w:tcPr>
          <w:p w14:paraId="2D705DED"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lang w:eastAsia="en-CA"/>
              </w:rPr>
            </w:pPr>
            <w:r w:rsidRPr="008A07C9">
              <w:rPr>
                <w:rFonts w:ascii="Times New Roman" w:eastAsia="Times New Roman" w:hAnsi="Times New Roman" w:cs="Times New Roman"/>
                <w:b/>
                <w:color w:val="auto"/>
                <w:lang w:eastAsia="en-CA"/>
              </w:rPr>
              <w:t>Percentage</w:t>
            </w:r>
          </w:p>
        </w:tc>
      </w:tr>
      <w:tr w:rsidR="004F36F3" w:rsidRPr="008A07C9" w14:paraId="607EC170" w14:textId="77777777" w:rsidTr="004F36F3">
        <w:trPr>
          <w:trHeight w:val="20"/>
          <w:jc w:val="center"/>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auto"/>
              <w:left w:val="single" w:sz="12" w:space="0" w:color="auto"/>
              <w:bottom w:val="nil"/>
              <w:right w:val="single" w:sz="18" w:space="0" w:color="auto"/>
            </w:tcBorders>
            <w:shd w:val="clear" w:color="auto" w:fill="FFFFFF" w:themeFill="background1"/>
            <w:noWrap/>
            <w:vAlign w:val="center"/>
          </w:tcPr>
          <w:p w14:paraId="2A3127E0"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Rainy Weather</w:t>
            </w:r>
          </w:p>
        </w:tc>
        <w:tc>
          <w:tcPr>
            <w:tcW w:w="3969" w:type="dxa"/>
            <w:gridSpan w:val="4"/>
            <w:tcBorders>
              <w:top w:val="single" w:sz="4" w:space="0" w:color="auto"/>
              <w:left w:val="single" w:sz="18" w:space="0" w:color="auto"/>
              <w:bottom w:val="nil"/>
              <w:right w:val="single" w:sz="12" w:space="0" w:color="auto"/>
            </w:tcBorders>
            <w:shd w:val="clear" w:color="auto" w:fill="FFFFFF" w:themeFill="background1"/>
            <w:noWrap/>
          </w:tcPr>
          <w:p w14:paraId="3AD38AC0"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8.3</w:t>
            </w:r>
          </w:p>
        </w:tc>
      </w:tr>
      <w:tr w:rsidR="004F36F3" w:rsidRPr="008A07C9" w14:paraId="5CC15B38" w14:textId="77777777" w:rsidTr="004F36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left w:val="single" w:sz="12" w:space="0" w:color="auto"/>
              <w:bottom w:val="nil"/>
              <w:right w:val="single" w:sz="18" w:space="0" w:color="auto"/>
            </w:tcBorders>
            <w:shd w:val="clear" w:color="auto" w:fill="FFFFFF" w:themeFill="background1"/>
            <w:noWrap/>
            <w:vAlign w:val="center"/>
          </w:tcPr>
          <w:p w14:paraId="79CFCFC8"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Weekends</w:t>
            </w:r>
          </w:p>
        </w:tc>
        <w:tc>
          <w:tcPr>
            <w:tcW w:w="3969" w:type="dxa"/>
            <w:gridSpan w:val="4"/>
            <w:tcBorders>
              <w:top w:val="nil"/>
              <w:left w:val="single" w:sz="18" w:space="0" w:color="auto"/>
              <w:bottom w:val="nil"/>
              <w:right w:val="single" w:sz="12" w:space="0" w:color="auto"/>
            </w:tcBorders>
            <w:shd w:val="clear" w:color="auto" w:fill="FFFFFF" w:themeFill="background1"/>
            <w:noWrap/>
          </w:tcPr>
          <w:p w14:paraId="346333A7"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28.9</w:t>
            </w:r>
          </w:p>
        </w:tc>
      </w:tr>
      <w:tr w:rsidR="004F36F3" w:rsidRPr="008A07C9" w14:paraId="0A146FE4" w14:textId="77777777" w:rsidTr="004F36F3">
        <w:trPr>
          <w:trHeight w:val="2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left w:val="single" w:sz="12" w:space="0" w:color="auto"/>
              <w:bottom w:val="nil"/>
              <w:right w:val="single" w:sz="18" w:space="0" w:color="auto"/>
            </w:tcBorders>
            <w:shd w:val="clear" w:color="auto" w:fill="FFFFFF" w:themeFill="background1"/>
            <w:noWrap/>
            <w:vAlign w:val="center"/>
          </w:tcPr>
          <w:p w14:paraId="00D54D1D"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Metro Station in TAZ</w:t>
            </w:r>
          </w:p>
        </w:tc>
        <w:tc>
          <w:tcPr>
            <w:tcW w:w="3969" w:type="dxa"/>
            <w:gridSpan w:val="4"/>
            <w:tcBorders>
              <w:top w:val="nil"/>
              <w:left w:val="single" w:sz="18" w:space="0" w:color="auto"/>
              <w:bottom w:val="nil"/>
              <w:right w:val="single" w:sz="12" w:space="0" w:color="auto"/>
            </w:tcBorders>
            <w:shd w:val="clear" w:color="auto" w:fill="FFFFFF" w:themeFill="background1"/>
            <w:noWrap/>
          </w:tcPr>
          <w:p w14:paraId="11FBF5E1"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15.3</w:t>
            </w:r>
          </w:p>
        </w:tc>
      </w:tr>
      <w:tr w:rsidR="004F36F3" w:rsidRPr="008A07C9" w14:paraId="034728CB" w14:textId="77777777" w:rsidTr="004F36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left w:val="single" w:sz="12" w:space="0" w:color="auto"/>
              <w:bottom w:val="nil"/>
              <w:right w:val="single" w:sz="18" w:space="0" w:color="auto"/>
            </w:tcBorders>
            <w:shd w:val="clear" w:color="auto" w:fill="FFFFFF" w:themeFill="background1"/>
            <w:noWrap/>
            <w:vAlign w:val="center"/>
          </w:tcPr>
          <w:p w14:paraId="4D1530D1"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TAZ in Downtown area</w:t>
            </w:r>
          </w:p>
        </w:tc>
        <w:tc>
          <w:tcPr>
            <w:tcW w:w="3969" w:type="dxa"/>
            <w:gridSpan w:val="4"/>
            <w:tcBorders>
              <w:top w:val="nil"/>
              <w:left w:val="single" w:sz="18" w:space="0" w:color="auto"/>
              <w:bottom w:val="nil"/>
              <w:right w:val="single" w:sz="12" w:space="0" w:color="auto"/>
            </w:tcBorders>
            <w:shd w:val="clear" w:color="auto" w:fill="FFFFFF" w:themeFill="background1"/>
            <w:noWrap/>
          </w:tcPr>
          <w:p w14:paraId="40FE9FD9" w14:textId="77777777" w:rsidR="004F36F3" w:rsidRPr="008A07C9" w:rsidRDefault="004F36F3" w:rsidP="004F36F3">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19.1</w:t>
            </w:r>
          </w:p>
        </w:tc>
      </w:tr>
      <w:tr w:rsidR="004F36F3" w:rsidRPr="008A07C9" w14:paraId="02F51E3B" w14:textId="77777777" w:rsidTr="004F36F3">
        <w:trPr>
          <w:trHeight w:val="2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left w:val="single" w:sz="12" w:space="0" w:color="auto"/>
              <w:bottom w:val="single" w:sz="12" w:space="0" w:color="auto"/>
              <w:right w:val="single" w:sz="18" w:space="0" w:color="auto"/>
            </w:tcBorders>
            <w:shd w:val="clear" w:color="auto" w:fill="FFFFFF" w:themeFill="background1"/>
            <w:noWrap/>
            <w:vAlign w:val="center"/>
          </w:tcPr>
          <w:p w14:paraId="5BF4A8DE" w14:textId="77777777" w:rsidR="004F36F3" w:rsidRPr="008A07C9" w:rsidRDefault="004F36F3" w:rsidP="004F36F3">
            <w:pPr>
              <w:spacing w:before="60" w:after="60"/>
              <w:rPr>
                <w:rFonts w:ascii="Times New Roman" w:eastAsia="Times New Roman" w:hAnsi="Times New Roman" w:cs="Times New Roman"/>
                <w:b w:val="0"/>
                <w:color w:val="auto"/>
                <w:lang w:eastAsia="en-CA"/>
              </w:rPr>
            </w:pPr>
            <w:r w:rsidRPr="008A07C9">
              <w:rPr>
                <w:rFonts w:ascii="Times New Roman" w:eastAsia="Times New Roman" w:hAnsi="Times New Roman" w:cs="Times New Roman"/>
                <w:b w:val="0"/>
                <w:color w:val="auto"/>
                <w:lang w:eastAsia="en-CA"/>
              </w:rPr>
              <w:t xml:space="preserve">University in TAZ </w:t>
            </w:r>
          </w:p>
        </w:tc>
        <w:tc>
          <w:tcPr>
            <w:tcW w:w="3969" w:type="dxa"/>
            <w:gridSpan w:val="4"/>
            <w:tcBorders>
              <w:top w:val="nil"/>
              <w:left w:val="single" w:sz="18" w:space="0" w:color="auto"/>
              <w:bottom w:val="single" w:sz="12" w:space="0" w:color="auto"/>
              <w:right w:val="single" w:sz="12" w:space="0" w:color="auto"/>
            </w:tcBorders>
            <w:shd w:val="clear" w:color="auto" w:fill="FFFFFF" w:themeFill="background1"/>
            <w:noWrap/>
          </w:tcPr>
          <w:p w14:paraId="53FF4489" w14:textId="77777777" w:rsidR="004F36F3" w:rsidRPr="008A07C9" w:rsidRDefault="004F36F3" w:rsidP="004F36F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8A07C9">
              <w:rPr>
                <w:rFonts w:ascii="Times New Roman" w:eastAsia="Times New Roman" w:hAnsi="Times New Roman" w:cs="Times New Roman"/>
                <w:color w:val="auto"/>
                <w:lang w:eastAsia="en-CA"/>
              </w:rPr>
              <w:t>12.8</w:t>
            </w:r>
          </w:p>
        </w:tc>
      </w:tr>
    </w:tbl>
    <w:p w14:paraId="10956479" w14:textId="77777777" w:rsidR="007B21A5" w:rsidRPr="008A07C9" w:rsidRDefault="007B21A5" w:rsidP="004F36F3">
      <w:pPr>
        <w:rPr>
          <w:rFonts w:cs="Times New Roman"/>
        </w:rPr>
      </w:pPr>
    </w:p>
    <w:p w14:paraId="4E3C41C9" w14:textId="77777777" w:rsidR="002B0971" w:rsidRDefault="002B0971">
      <w:pPr>
        <w:spacing w:before="0" w:after="0"/>
        <w:rPr>
          <w:rFonts w:cs="Times New Roman"/>
        </w:rPr>
      </w:pPr>
      <w:r>
        <w:rPr>
          <w:rFonts w:cs="Times New Roman"/>
        </w:rPr>
        <w:br w:type="page"/>
      </w:r>
    </w:p>
    <w:p w14:paraId="46989CF1" w14:textId="77777777" w:rsidR="00606B26" w:rsidRDefault="00606B26" w:rsidP="0029064A">
      <w:pPr>
        <w:spacing w:before="0" w:after="0"/>
        <w:jc w:val="center"/>
        <w:rPr>
          <w:rFonts w:cs="Times New Roman"/>
          <w:b/>
          <w:bCs/>
          <w:szCs w:val="24"/>
        </w:rPr>
      </w:pPr>
    </w:p>
    <w:p w14:paraId="67C999A6" w14:textId="77777777" w:rsidR="00606B26" w:rsidRDefault="00606B26" w:rsidP="0029064A">
      <w:pPr>
        <w:spacing w:before="0" w:after="0"/>
        <w:jc w:val="center"/>
        <w:rPr>
          <w:rFonts w:cs="Times New Roman"/>
          <w:b/>
          <w:bCs/>
          <w:szCs w:val="24"/>
        </w:rPr>
      </w:pPr>
    </w:p>
    <w:p w14:paraId="78B4A5F7" w14:textId="77777777" w:rsidR="0029064A" w:rsidRDefault="0029064A" w:rsidP="0029064A">
      <w:pPr>
        <w:spacing w:before="0" w:after="0"/>
        <w:jc w:val="center"/>
        <w:rPr>
          <w:rFonts w:cs="Times New Roman"/>
          <w:b/>
          <w:bCs/>
          <w:szCs w:val="24"/>
        </w:rPr>
      </w:pPr>
      <w:r w:rsidRPr="008A07C9">
        <w:rPr>
          <w:rFonts w:cs="Times New Roman"/>
          <w:b/>
          <w:bCs/>
          <w:szCs w:val="24"/>
        </w:rPr>
        <w:t xml:space="preserve">Table </w:t>
      </w:r>
      <w:r>
        <w:rPr>
          <w:rFonts w:cs="Times New Roman"/>
          <w:b/>
          <w:bCs/>
          <w:szCs w:val="24"/>
        </w:rPr>
        <w:t>2:</w:t>
      </w:r>
      <w:r w:rsidRPr="008A07C9">
        <w:rPr>
          <w:rFonts w:cs="Times New Roman"/>
          <w:b/>
          <w:bCs/>
          <w:szCs w:val="24"/>
        </w:rPr>
        <w:t xml:space="preserve"> </w:t>
      </w:r>
      <w:r>
        <w:rPr>
          <w:rFonts w:cs="Times New Roman"/>
          <w:b/>
          <w:bCs/>
          <w:szCs w:val="24"/>
        </w:rPr>
        <w:t>Model Fit Measures</w:t>
      </w:r>
    </w:p>
    <w:p w14:paraId="3C1855D0" w14:textId="77777777" w:rsidR="00606B26" w:rsidRDefault="00606B26" w:rsidP="0029064A">
      <w:pPr>
        <w:spacing w:before="0" w:after="0"/>
        <w:jc w:val="center"/>
        <w:rPr>
          <w:rFonts w:cs="Times New Roman"/>
          <w:b/>
          <w:bCs/>
          <w:szCs w:val="24"/>
        </w:rPr>
      </w:pPr>
    </w:p>
    <w:tbl>
      <w:tblPr>
        <w:tblStyle w:val="TableGrid"/>
        <w:tblW w:w="96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8"/>
        <w:gridCol w:w="1791"/>
        <w:gridCol w:w="1701"/>
        <w:gridCol w:w="1701"/>
        <w:gridCol w:w="1701"/>
      </w:tblGrid>
      <w:tr w:rsidR="002B0971" w:rsidRPr="002B0971" w14:paraId="3F92A34F" w14:textId="77777777" w:rsidTr="008E0494">
        <w:tc>
          <w:tcPr>
            <w:tcW w:w="2778" w:type="dxa"/>
            <w:tcBorders>
              <w:top w:val="nil"/>
              <w:left w:val="nil"/>
            </w:tcBorders>
          </w:tcPr>
          <w:p w14:paraId="454FEECA" w14:textId="77777777" w:rsidR="002B0971" w:rsidRPr="002B0971" w:rsidRDefault="002B0971" w:rsidP="002B0971">
            <w:pPr>
              <w:spacing w:before="0" w:after="0"/>
              <w:rPr>
                <w:rFonts w:cs="Times New Roman"/>
              </w:rPr>
            </w:pPr>
          </w:p>
        </w:tc>
        <w:tc>
          <w:tcPr>
            <w:tcW w:w="1791" w:type="dxa"/>
            <w:tcBorders>
              <w:right w:val="single" w:sz="4" w:space="0" w:color="auto"/>
            </w:tcBorders>
            <w:vAlign w:val="center"/>
          </w:tcPr>
          <w:p w14:paraId="2688912D" w14:textId="77777777" w:rsidR="002B0971" w:rsidRPr="008E0494" w:rsidRDefault="002B0971" w:rsidP="008E0494">
            <w:pPr>
              <w:spacing w:before="0" w:after="0"/>
              <w:jc w:val="center"/>
              <w:rPr>
                <w:rFonts w:cs="Times New Roman"/>
                <w:b/>
                <w:bCs/>
              </w:rPr>
            </w:pPr>
            <w:r w:rsidRPr="008E0494">
              <w:rPr>
                <w:rFonts w:cs="Times New Roman"/>
                <w:b/>
                <w:bCs/>
              </w:rPr>
              <w:t>3OL</w:t>
            </w:r>
          </w:p>
        </w:tc>
        <w:tc>
          <w:tcPr>
            <w:tcW w:w="1701" w:type="dxa"/>
            <w:tcBorders>
              <w:left w:val="single" w:sz="4" w:space="0" w:color="auto"/>
              <w:right w:val="single" w:sz="4" w:space="0" w:color="auto"/>
            </w:tcBorders>
            <w:vAlign w:val="center"/>
          </w:tcPr>
          <w:p w14:paraId="6036445C" w14:textId="77777777" w:rsidR="002B0971" w:rsidRPr="008E0494" w:rsidRDefault="002B0971" w:rsidP="008E0494">
            <w:pPr>
              <w:spacing w:before="0" w:after="0"/>
              <w:jc w:val="center"/>
              <w:rPr>
                <w:rFonts w:cs="Times New Roman"/>
                <w:b/>
                <w:bCs/>
              </w:rPr>
            </w:pPr>
            <w:r w:rsidRPr="008E0494">
              <w:rPr>
                <w:rFonts w:cs="Times New Roman"/>
                <w:b/>
                <w:bCs/>
              </w:rPr>
              <w:t>2PMOL</w:t>
            </w:r>
          </w:p>
        </w:tc>
        <w:tc>
          <w:tcPr>
            <w:tcW w:w="1701" w:type="dxa"/>
            <w:tcBorders>
              <w:left w:val="single" w:sz="4" w:space="0" w:color="auto"/>
              <w:right w:val="single" w:sz="4" w:space="0" w:color="auto"/>
            </w:tcBorders>
            <w:vAlign w:val="center"/>
          </w:tcPr>
          <w:p w14:paraId="1CE97589" w14:textId="77777777" w:rsidR="002B0971" w:rsidRPr="008E0494" w:rsidRDefault="002B0971" w:rsidP="008E0494">
            <w:pPr>
              <w:spacing w:before="0" w:after="0"/>
              <w:jc w:val="center"/>
              <w:rPr>
                <w:rFonts w:cs="Times New Roman"/>
                <w:b/>
                <w:bCs/>
              </w:rPr>
            </w:pPr>
            <w:r w:rsidRPr="008E0494">
              <w:rPr>
                <w:rFonts w:cs="Times New Roman"/>
                <w:b/>
                <w:bCs/>
              </w:rPr>
              <w:t>2PMMOL</w:t>
            </w:r>
          </w:p>
        </w:tc>
        <w:tc>
          <w:tcPr>
            <w:tcW w:w="1701" w:type="dxa"/>
            <w:tcBorders>
              <w:left w:val="single" w:sz="4" w:space="0" w:color="auto"/>
            </w:tcBorders>
            <w:vAlign w:val="center"/>
          </w:tcPr>
          <w:p w14:paraId="434EC2C4" w14:textId="77777777" w:rsidR="002B0971" w:rsidRPr="008E0494" w:rsidRDefault="002B0971" w:rsidP="008E0494">
            <w:pPr>
              <w:spacing w:before="0" w:after="0"/>
              <w:jc w:val="center"/>
              <w:rPr>
                <w:rFonts w:cs="Times New Roman"/>
                <w:b/>
                <w:bCs/>
              </w:rPr>
            </w:pPr>
            <w:r w:rsidRPr="008E0494">
              <w:rPr>
                <w:rFonts w:cs="Times New Roman"/>
                <w:b/>
                <w:bCs/>
              </w:rPr>
              <w:t>3PMMOL</w:t>
            </w:r>
          </w:p>
        </w:tc>
      </w:tr>
      <w:tr w:rsidR="000B65D4" w:rsidRPr="002B0971" w14:paraId="679D2416" w14:textId="77777777" w:rsidTr="008E0494">
        <w:tc>
          <w:tcPr>
            <w:tcW w:w="2778" w:type="dxa"/>
            <w:tcBorders>
              <w:bottom w:val="single" w:sz="12" w:space="0" w:color="auto"/>
            </w:tcBorders>
            <w:vAlign w:val="center"/>
          </w:tcPr>
          <w:p w14:paraId="778FD9D3" w14:textId="77777777" w:rsidR="000B65D4" w:rsidRPr="002B0971" w:rsidRDefault="000B65D4" w:rsidP="008E0494">
            <w:pPr>
              <w:spacing w:before="0" w:after="0"/>
              <w:jc w:val="left"/>
              <w:rPr>
                <w:rFonts w:cs="Times New Roman"/>
              </w:rPr>
            </w:pPr>
            <w:r>
              <w:rPr>
                <w:rFonts w:cs="Times New Roman"/>
              </w:rPr>
              <w:t>Model description</w:t>
            </w:r>
          </w:p>
        </w:tc>
        <w:tc>
          <w:tcPr>
            <w:tcW w:w="1791" w:type="dxa"/>
            <w:tcBorders>
              <w:bottom w:val="single" w:sz="12" w:space="0" w:color="auto"/>
              <w:right w:val="single" w:sz="4" w:space="0" w:color="auto"/>
            </w:tcBorders>
            <w:vAlign w:val="center"/>
          </w:tcPr>
          <w:p w14:paraId="64A46278" w14:textId="77777777" w:rsidR="000B65D4" w:rsidRPr="002B0971" w:rsidRDefault="000B65D4" w:rsidP="008E0494">
            <w:pPr>
              <w:spacing w:before="0" w:after="0"/>
              <w:jc w:val="center"/>
              <w:rPr>
                <w:rFonts w:cs="Times New Roman"/>
              </w:rPr>
            </w:pPr>
            <w:r>
              <w:rPr>
                <w:rFonts w:cs="Times New Roman"/>
              </w:rPr>
              <w:t xml:space="preserve">3 Independent Ordered Logit </w:t>
            </w:r>
          </w:p>
        </w:tc>
        <w:tc>
          <w:tcPr>
            <w:tcW w:w="1701" w:type="dxa"/>
            <w:tcBorders>
              <w:left w:val="single" w:sz="4" w:space="0" w:color="auto"/>
              <w:bottom w:val="single" w:sz="12" w:space="0" w:color="auto"/>
              <w:right w:val="single" w:sz="4" w:space="0" w:color="auto"/>
            </w:tcBorders>
            <w:vAlign w:val="center"/>
          </w:tcPr>
          <w:p w14:paraId="11628850" w14:textId="77777777" w:rsidR="000B65D4" w:rsidRPr="002B0971" w:rsidRDefault="000B65D4" w:rsidP="008E0494">
            <w:pPr>
              <w:spacing w:before="0" w:after="0"/>
              <w:jc w:val="center"/>
              <w:rPr>
                <w:rFonts w:cs="Times New Roman"/>
              </w:rPr>
            </w:pPr>
            <w:r>
              <w:rPr>
                <w:rFonts w:eastAsiaTheme="minorEastAsia" w:cs="Times New Roman"/>
              </w:rPr>
              <w:t>2 dimensional panel mixed ordered logit model</w:t>
            </w:r>
          </w:p>
        </w:tc>
        <w:tc>
          <w:tcPr>
            <w:tcW w:w="1701" w:type="dxa"/>
            <w:tcBorders>
              <w:left w:val="single" w:sz="4" w:space="0" w:color="auto"/>
              <w:bottom w:val="single" w:sz="12" w:space="0" w:color="auto"/>
              <w:right w:val="single" w:sz="4" w:space="0" w:color="auto"/>
            </w:tcBorders>
            <w:vAlign w:val="center"/>
          </w:tcPr>
          <w:p w14:paraId="0C141C10" w14:textId="77777777" w:rsidR="000B65D4" w:rsidRPr="002B0971" w:rsidRDefault="000B65D4" w:rsidP="008E0494">
            <w:pPr>
              <w:spacing w:before="0" w:after="0"/>
              <w:jc w:val="center"/>
              <w:rPr>
                <w:rFonts w:cs="Times New Roman"/>
              </w:rPr>
            </w:pPr>
            <w:r>
              <w:rPr>
                <w:rFonts w:eastAsiaTheme="minorEastAsia" w:cs="Times New Roman"/>
              </w:rPr>
              <w:t xml:space="preserve">2 dimensional </w:t>
            </w:r>
            <w:r w:rsidRPr="008A07C9">
              <w:rPr>
                <w:rFonts w:eastAsiaTheme="minorEastAsia" w:cs="Times New Roman"/>
              </w:rPr>
              <w:t xml:space="preserve">panel mixed </w:t>
            </w:r>
            <w:r>
              <w:rPr>
                <w:rFonts w:eastAsiaTheme="minorEastAsia" w:cs="Times New Roman"/>
              </w:rPr>
              <w:t xml:space="preserve">multi-level </w:t>
            </w:r>
            <w:r w:rsidRPr="008A07C9">
              <w:rPr>
                <w:rFonts w:eastAsiaTheme="minorEastAsia" w:cs="Times New Roman"/>
              </w:rPr>
              <w:t xml:space="preserve">ordered logit </w:t>
            </w:r>
          </w:p>
        </w:tc>
        <w:tc>
          <w:tcPr>
            <w:tcW w:w="1701" w:type="dxa"/>
            <w:tcBorders>
              <w:left w:val="single" w:sz="4" w:space="0" w:color="auto"/>
              <w:bottom w:val="single" w:sz="12" w:space="0" w:color="auto"/>
            </w:tcBorders>
            <w:vAlign w:val="center"/>
          </w:tcPr>
          <w:p w14:paraId="7A8551B9" w14:textId="77777777" w:rsidR="000B65D4" w:rsidRPr="002B0971" w:rsidRDefault="000B65D4" w:rsidP="008E0494">
            <w:pPr>
              <w:spacing w:before="0" w:after="0"/>
              <w:jc w:val="center"/>
              <w:rPr>
                <w:rFonts w:cs="Times New Roman"/>
              </w:rPr>
            </w:pPr>
            <w:r>
              <w:rPr>
                <w:rFonts w:eastAsiaTheme="minorEastAsia" w:cs="Times New Roman"/>
              </w:rPr>
              <w:t xml:space="preserve">3 dimensional </w:t>
            </w:r>
            <w:r w:rsidRPr="008A07C9">
              <w:rPr>
                <w:rFonts w:eastAsiaTheme="minorEastAsia" w:cs="Times New Roman"/>
              </w:rPr>
              <w:t xml:space="preserve">panel mixed </w:t>
            </w:r>
            <w:r>
              <w:rPr>
                <w:rFonts w:eastAsiaTheme="minorEastAsia" w:cs="Times New Roman"/>
              </w:rPr>
              <w:t xml:space="preserve">multi-level </w:t>
            </w:r>
            <w:r w:rsidRPr="008A07C9">
              <w:rPr>
                <w:rFonts w:eastAsiaTheme="minorEastAsia" w:cs="Times New Roman"/>
              </w:rPr>
              <w:t xml:space="preserve">ordered logit </w:t>
            </w:r>
          </w:p>
        </w:tc>
      </w:tr>
      <w:tr w:rsidR="000B65D4" w:rsidRPr="002B0971" w14:paraId="326AD3CA" w14:textId="77777777" w:rsidTr="008E0494">
        <w:tc>
          <w:tcPr>
            <w:tcW w:w="2778" w:type="dxa"/>
            <w:tcBorders>
              <w:bottom w:val="single" w:sz="12" w:space="0" w:color="auto"/>
            </w:tcBorders>
            <w:vAlign w:val="center"/>
          </w:tcPr>
          <w:p w14:paraId="127E3FD4" w14:textId="77777777" w:rsidR="000B65D4" w:rsidRPr="002B0971" w:rsidRDefault="000B65D4" w:rsidP="000B65D4">
            <w:pPr>
              <w:spacing w:before="0" w:after="0"/>
              <w:jc w:val="left"/>
              <w:rPr>
                <w:rFonts w:cs="Times New Roman"/>
              </w:rPr>
            </w:pPr>
            <w:r w:rsidRPr="002B0971">
              <w:rPr>
                <w:rFonts w:cs="Times New Roman"/>
              </w:rPr>
              <w:t>Number of parameters</w:t>
            </w:r>
          </w:p>
        </w:tc>
        <w:tc>
          <w:tcPr>
            <w:tcW w:w="1791" w:type="dxa"/>
            <w:tcBorders>
              <w:bottom w:val="single" w:sz="12" w:space="0" w:color="auto"/>
              <w:right w:val="single" w:sz="4" w:space="0" w:color="auto"/>
            </w:tcBorders>
            <w:vAlign w:val="center"/>
          </w:tcPr>
          <w:p w14:paraId="106367B5" w14:textId="77777777" w:rsidR="000B65D4" w:rsidRPr="002B0971" w:rsidRDefault="000B65D4" w:rsidP="000B65D4">
            <w:pPr>
              <w:spacing w:before="0" w:after="0"/>
              <w:jc w:val="center"/>
              <w:rPr>
                <w:rFonts w:cs="Times New Roman"/>
              </w:rPr>
            </w:pPr>
            <w:r w:rsidRPr="002B0971">
              <w:rPr>
                <w:rFonts w:cs="Times New Roman"/>
              </w:rPr>
              <w:t>38</w:t>
            </w:r>
          </w:p>
        </w:tc>
        <w:tc>
          <w:tcPr>
            <w:tcW w:w="1701" w:type="dxa"/>
            <w:tcBorders>
              <w:left w:val="single" w:sz="4" w:space="0" w:color="auto"/>
              <w:bottom w:val="single" w:sz="12" w:space="0" w:color="auto"/>
              <w:right w:val="single" w:sz="4" w:space="0" w:color="auto"/>
            </w:tcBorders>
            <w:vAlign w:val="center"/>
          </w:tcPr>
          <w:p w14:paraId="508E4D5D" w14:textId="77777777" w:rsidR="000B65D4" w:rsidRPr="002B0971" w:rsidRDefault="000B65D4" w:rsidP="000B65D4">
            <w:pPr>
              <w:spacing w:before="0" w:after="0"/>
              <w:jc w:val="center"/>
              <w:rPr>
                <w:rFonts w:cs="Times New Roman"/>
              </w:rPr>
            </w:pPr>
            <w:r w:rsidRPr="002B0971">
              <w:rPr>
                <w:rFonts w:cs="Times New Roman"/>
              </w:rPr>
              <w:t>42</w:t>
            </w:r>
          </w:p>
        </w:tc>
        <w:tc>
          <w:tcPr>
            <w:tcW w:w="1701" w:type="dxa"/>
            <w:tcBorders>
              <w:left w:val="single" w:sz="4" w:space="0" w:color="auto"/>
              <w:bottom w:val="single" w:sz="12" w:space="0" w:color="auto"/>
              <w:right w:val="single" w:sz="4" w:space="0" w:color="auto"/>
            </w:tcBorders>
            <w:vAlign w:val="center"/>
          </w:tcPr>
          <w:p w14:paraId="7E3AD4FA" w14:textId="77777777" w:rsidR="000B65D4" w:rsidRPr="002B0971" w:rsidRDefault="000B65D4" w:rsidP="000B65D4">
            <w:pPr>
              <w:spacing w:before="0" w:after="0"/>
              <w:jc w:val="center"/>
              <w:rPr>
                <w:rFonts w:cs="Times New Roman"/>
              </w:rPr>
            </w:pPr>
            <w:r w:rsidRPr="002B0971">
              <w:rPr>
                <w:rFonts w:cs="Times New Roman"/>
              </w:rPr>
              <w:t>47</w:t>
            </w:r>
          </w:p>
        </w:tc>
        <w:tc>
          <w:tcPr>
            <w:tcW w:w="1701" w:type="dxa"/>
            <w:tcBorders>
              <w:left w:val="single" w:sz="4" w:space="0" w:color="auto"/>
              <w:bottom w:val="single" w:sz="12" w:space="0" w:color="auto"/>
            </w:tcBorders>
            <w:vAlign w:val="center"/>
          </w:tcPr>
          <w:p w14:paraId="3209861D" w14:textId="77777777" w:rsidR="000B65D4" w:rsidRPr="002B0971" w:rsidRDefault="000B65D4" w:rsidP="000B65D4">
            <w:pPr>
              <w:spacing w:before="0" w:after="0"/>
              <w:jc w:val="center"/>
              <w:rPr>
                <w:rFonts w:cs="Times New Roman"/>
              </w:rPr>
            </w:pPr>
            <w:r w:rsidRPr="002B0971">
              <w:rPr>
                <w:rFonts w:cs="Times New Roman"/>
              </w:rPr>
              <w:t>48</w:t>
            </w:r>
          </w:p>
        </w:tc>
      </w:tr>
      <w:tr w:rsidR="000B65D4" w:rsidRPr="002B0971" w14:paraId="3AD2D7AC" w14:textId="77777777" w:rsidTr="008E0494">
        <w:tc>
          <w:tcPr>
            <w:tcW w:w="2778" w:type="dxa"/>
            <w:tcBorders>
              <w:bottom w:val="single" w:sz="4" w:space="0" w:color="auto"/>
            </w:tcBorders>
            <w:vAlign w:val="center"/>
          </w:tcPr>
          <w:p w14:paraId="474BAA46" w14:textId="77777777" w:rsidR="000B65D4" w:rsidRPr="002B0971" w:rsidRDefault="000B65D4" w:rsidP="008E0494">
            <w:pPr>
              <w:spacing w:before="0" w:after="0"/>
              <w:jc w:val="left"/>
              <w:rPr>
                <w:rFonts w:cs="Times New Roman"/>
              </w:rPr>
            </w:pPr>
            <w:r>
              <w:rPr>
                <w:rFonts w:cs="Times New Roman"/>
              </w:rPr>
              <w:t>LL</w:t>
            </w:r>
            <w:r w:rsidRPr="002B0971">
              <w:rPr>
                <w:rFonts w:cs="Times New Roman"/>
              </w:rPr>
              <w:t xml:space="preserve"> at convergence</w:t>
            </w:r>
          </w:p>
        </w:tc>
        <w:tc>
          <w:tcPr>
            <w:tcW w:w="1791" w:type="dxa"/>
            <w:tcBorders>
              <w:bottom w:val="single" w:sz="4" w:space="0" w:color="auto"/>
              <w:right w:val="single" w:sz="4" w:space="0" w:color="auto"/>
            </w:tcBorders>
            <w:vAlign w:val="center"/>
          </w:tcPr>
          <w:p w14:paraId="3CD01A9E" w14:textId="77777777" w:rsidR="000B65D4" w:rsidRPr="002B0971" w:rsidRDefault="000B65D4" w:rsidP="008E0494">
            <w:pPr>
              <w:spacing w:before="0" w:after="0"/>
              <w:jc w:val="center"/>
              <w:rPr>
                <w:rFonts w:cs="Times New Roman"/>
              </w:rPr>
            </w:pPr>
            <w:r w:rsidRPr="002B0971">
              <w:rPr>
                <w:rFonts w:cs="Times New Roman"/>
              </w:rPr>
              <w:t>-14725.2</w:t>
            </w:r>
          </w:p>
        </w:tc>
        <w:tc>
          <w:tcPr>
            <w:tcW w:w="1701" w:type="dxa"/>
            <w:tcBorders>
              <w:left w:val="single" w:sz="4" w:space="0" w:color="auto"/>
              <w:bottom w:val="single" w:sz="4" w:space="0" w:color="auto"/>
              <w:right w:val="single" w:sz="4" w:space="0" w:color="auto"/>
            </w:tcBorders>
            <w:vAlign w:val="center"/>
          </w:tcPr>
          <w:p w14:paraId="1699FB6A" w14:textId="77777777" w:rsidR="000B65D4" w:rsidRPr="002B0971" w:rsidRDefault="000B65D4" w:rsidP="008E0494">
            <w:pPr>
              <w:spacing w:before="0" w:after="0"/>
              <w:jc w:val="center"/>
              <w:rPr>
                <w:rFonts w:cs="Times New Roman"/>
              </w:rPr>
            </w:pPr>
            <w:r w:rsidRPr="002B0971">
              <w:rPr>
                <w:rFonts w:cs="Times New Roman"/>
              </w:rPr>
              <w:t>-11528.2</w:t>
            </w:r>
          </w:p>
        </w:tc>
        <w:tc>
          <w:tcPr>
            <w:tcW w:w="1701" w:type="dxa"/>
            <w:tcBorders>
              <w:left w:val="single" w:sz="4" w:space="0" w:color="auto"/>
              <w:bottom w:val="single" w:sz="4" w:space="0" w:color="auto"/>
              <w:right w:val="single" w:sz="4" w:space="0" w:color="auto"/>
            </w:tcBorders>
            <w:vAlign w:val="center"/>
          </w:tcPr>
          <w:p w14:paraId="2C4EC715" w14:textId="77777777" w:rsidR="000B65D4" w:rsidRPr="002B0971" w:rsidRDefault="000B65D4" w:rsidP="008E0494">
            <w:pPr>
              <w:spacing w:before="0" w:after="0"/>
              <w:jc w:val="center"/>
              <w:rPr>
                <w:rFonts w:cs="Times New Roman"/>
              </w:rPr>
            </w:pPr>
            <w:r w:rsidRPr="002B0971">
              <w:rPr>
                <w:rFonts w:cs="Times New Roman"/>
              </w:rPr>
              <w:t>-11474.9</w:t>
            </w:r>
          </w:p>
        </w:tc>
        <w:tc>
          <w:tcPr>
            <w:tcW w:w="1701" w:type="dxa"/>
            <w:tcBorders>
              <w:left w:val="single" w:sz="4" w:space="0" w:color="auto"/>
              <w:bottom w:val="single" w:sz="4" w:space="0" w:color="auto"/>
            </w:tcBorders>
            <w:vAlign w:val="center"/>
          </w:tcPr>
          <w:p w14:paraId="65384598" w14:textId="77777777" w:rsidR="000B65D4" w:rsidRPr="002B0971" w:rsidRDefault="000B65D4" w:rsidP="008E0494">
            <w:pPr>
              <w:spacing w:before="0" w:after="0"/>
              <w:jc w:val="center"/>
              <w:rPr>
                <w:rFonts w:cs="Times New Roman"/>
              </w:rPr>
            </w:pPr>
            <w:r w:rsidRPr="002B0971">
              <w:rPr>
                <w:rFonts w:cs="Times New Roman"/>
              </w:rPr>
              <w:t>-11452.7</w:t>
            </w:r>
          </w:p>
        </w:tc>
      </w:tr>
      <w:tr w:rsidR="000B65D4" w:rsidRPr="002B0971" w14:paraId="481B3D07" w14:textId="77777777" w:rsidTr="008E0494">
        <w:tc>
          <w:tcPr>
            <w:tcW w:w="2778" w:type="dxa"/>
            <w:tcBorders>
              <w:top w:val="single" w:sz="4" w:space="0" w:color="auto"/>
              <w:bottom w:val="single" w:sz="4" w:space="0" w:color="auto"/>
            </w:tcBorders>
            <w:vAlign w:val="center"/>
          </w:tcPr>
          <w:p w14:paraId="45A8BA33" w14:textId="77777777" w:rsidR="000B65D4" w:rsidRPr="002B0971" w:rsidRDefault="000B65D4" w:rsidP="008E0494">
            <w:pPr>
              <w:spacing w:before="0" w:after="0"/>
              <w:jc w:val="left"/>
              <w:rPr>
                <w:rFonts w:cs="Times New Roman"/>
              </w:rPr>
            </w:pPr>
            <w:r w:rsidRPr="002B0971">
              <w:rPr>
                <w:rFonts w:cs="Times New Roman"/>
              </w:rPr>
              <w:t>AIC</w:t>
            </w:r>
          </w:p>
        </w:tc>
        <w:tc>
          <w:tcPr>
            <w:tcW w:w="1791" w:type="dxa"/>
            <w:tcBorders>
              <w:top w:val="single" w:sz="4" w:space="0" w:color="auto"/>
              <w:bottom w:val="single" w:sz="4" w:space="0" w:color="auto"/>
              <w:right w:val="single" w:sz="4" w:space="0" w:color="auto"/>
            </w:tcBorders>
            <w:vAlign w:val="center"/>
          </w:tcPr>
          <w:p w14:paraId="74FC12C3" w14:textId="77777777" w:rsidR="000B65D4" w:rsidRPr="002B0971" w:rsidRDefault="000B65D4" w:rsidP="008E0494">
            <w:pPr>
              <w:spacing w:before="0" w:after="0"/>
              <w:jc w:val="center"/>
              <w:rPr>
                <w:rFonts w:cs="Times New Roman"/>
              </w:rPr>
            </w:pPr>
            <w:r w:rsidRPr="002B0971">
              <w:rPr>
                <w:rFonts w:cs="Times New Roman"/>
              </w:rPr>
              <w:t>29526.4</w:t>
            </w:r>
          </w:p>
        </w:tc>
        <w:tc>
          <w:tcPr>
            <w:tcW w:w="1701" w:type="dxa"/>
            <w:tcBorders>
              <w:top w:val="single" w:sz="4" w:space="0" w:color="auto"/>
              <w:left w:val="single" w:sz="4" w:space="0" w:color="auto"/>
              <w:bottom w:val="single" w:sz="4" w:space="0" w:color="auto"/>
              <w:right w:val="single" w:sz="4" w:space="0" w:color="auto"/>
            </w:tcBorders>
            <w:vAlign w:val="center"/>
          </w:tcPr>
          <w:p w14:paraId="0568B3B0" w14:textId="77777777" w:rsidR="000B65D4" w:rsidRPr="002B0971" w:rsidRDefault="000B65D4" w:rsidP="008E0494">
            <w:pPr>
              <w:spacing w:before="0" w:after="0"/>
              <w:jc w:val="center"/>
              <w:rPr>
                <w:rFonts w:cs="Times New Roman"/>
              </w:rPr>
            </w:pPr>
            <w:r w:rsidRPr="002B0971">
              <w:rPr>
                <w:rFonts w:cs="Times New Roman"/>
              </w:rPr>
              <w:t>23140.4</w:t>
            </w:r>
          </w:p>
        </w:tc>
        <w:tc>
          <w:tcPr>
            <w:tcW w:w="1701" w:type="dxa"/>
            <w:tcBorders>
              <w:top w:val="single" w:sz="4" w:space="0" w:color="auto"/>
              <w:left w:val="single" w:sz="4" w:space="0" w:color="auto"/>
              <w:bottom w:val="single" w:sz="4" w:space="0" w:color="auto"/>
              <w:right w:val="single" w:sz="4" w:space="0" w:color="auto"/>
            </w:tcBorders>
            <w:vAlign w:val="center"/>
          </w:tcPr>
          <w:p w14:paraId="1CC20955" w14:textId="77777777" w:rsidR="000B65D4" w:rsidRPr="002B0971" w:rsidRDefault="000B65D4" w:rsidP="008E0494">
            <w:pPr>
              <w:spacing w:before="0" w:after="0"/>
              <w:jc w:val="center"/>
              <w:rPr>
                <w:rFonts w:cs="Times New Roman"/>
              </w:rPr>
            </w:pPr>
            <w:r w:rsidRPr="002B0971">
              <w:rPr>
                <w:rFonts w:cs="Times New Roman"/>
              </w:rPr>
              <w:t>23043.7</w:t>
            </w:r>
          </w:p>
        </w:tc>
        <w:tc>
          <w:tcPr>
            <w:tcW w:w="1701" w:type="dxa"/>
            <w:tcBorders>
              <w:top w:val="single" w:sz="4" w:space="0" w:color="auto"/>
              <w:left w:val="single" w:sz="4" w:space="0" w:color="auto"/>
              <w:bottom w:val="single" w:sz="4" w:space="0" w:color="auto"/>
            </w:tcBorders>
            <w:vAlign w:val="center"/>
          </w:tcPr>
          <w:p w14:paraId="5AECC3AA" w14:textId="77777777" w:rsidR="000B65D4" w:rsidRPr="002B0971" w:rsidRDefault="000B65D4" w:rsidP="008E0494">
            <w:pPr>
              <w:spacing w:before="0" w:after="0"/>
              <w:jc w:val="center"/>
              <w:rPr>
                <w:rFonts w:cs="Times New Roman"/>
              </w:rPr>
            </w:pPr>
            <w:r w:rsidRPr="002B0971">
              <w:rPr>
                <w:rFonts w:cs="Times New Roman"/>
              </w:rPr>
              <w:t>23001.3</w:t>
            </w:r>
          </w:p>
        </w:tc>
      </w:tr>
      <w:tr w:rsidR="000B65D4" w:rsidRPr="002B0971" w14:paraId="1C87070E" w14:textId="77777777" w:rsidTr="008E0494">
        <w:tc>
          <w:tcPr>
            <w:tcW w:w="2778" w:type="dxa"/>
            <w:tcBorders>
              <w:top w:val="single" w:sz="4" w:space="0" w:color="auto"/>
              <w:bottom w:val="single" w:sz="4" w:space="0" w:color="auto"/>
            </w:tcBorders>
            <w:vAlign w:val="center"/>
          </w:tcPr>
          <w:p w14:paraId="58012170" w14:textId="77777777" w:rsidR="000B65D4" w:rsidRPr="002B0971" w:rsidRDefault="000B65D4" w:rsidP="008E0494">
            <w:pPr>
              <w:spacing w:before="0" w:after="0"/>
              <w:jc w:val="left"/>
              <w:rPr>
                <w:rFonts w:cs="Times New Roman"/>
              </w:rPr>
            </w:pPr>
            <w:r w:rsidRPr="002B0971">
              <w:rPr>
                <w:rFonts w:cs="Times New Roman"/>
              </w:rPr>
              <w:t>BIC</w:t>
            </w:r>
          </w:p>
        </w:tc>
        <w:tc>
          <w:tcPr>
            <w:tcW w:w="1791" w:type="dxa"/>
            <w:tcBorders>
              <w:top w:val="single" w:sz="4" w:space="0" w:color="auto"/>
              <w:bottom w:val="single" w:sz="4" w:space="0" w:color="auto"/>
              <w:right w:val="single" w:sz="4" w:space="0" w:color="auto"/>
            </w:tcBorders>
            <w:vAlign w:val="center"/>
          </w:tcPr>
          <w:p w14:paraId="3E6CB51B" w14:textId="77777777" w:rsidR="000B65D4" w:rsidRPr="002B0971" w:rsidRDefault="000B65D4" w:rsidP="008E0494">
            <w:pPr>
              <w:spacing w:before="0" w:after="0"/>
              <w:jc w:val="center"/>
              <w:rPr>
                <w:rFonts w:cs="Times New Roman"/>
              </w:rPr>
            </w:pPr>
            <w:r w:rsidRPr="002B0971">
              <w:rPr>
                <w:rFonts w:cs="Times New Roman"/>
              </w:rPr>
              <w:t>29793.0</w:t>
            </w:r>
          </w:p>
        </w:tc>
        <w:tc>
          <w:tcPr>
            <w:tcW w:w="1701" w:type="dxa"/>
            <w:tcBorders>
              <w:top w:val="single" w:sz="4" w:space="0" w:color="auto"/>
              <w:left w:val="single" w:sz="4" w:space="0" w:color="auto"/>
              <w:bottom w:val="single" w:sz="4" w:space="0" w:color="auto"/>
              <w:right w:val="single" w:sz="4" w:space="0" w:color="auto"/>
            </w:tcBorders>
            <w:vAlign w:val="center"/>
          </w:tcPr>
          <w:p w14:paraId="6B6CAA77" w14:textId="77777777" w:rsidR="000B65D4" w:rsidRPr="002B0971" w:rsidRDefault="000B65D4" w:rsidP="008E0494">
            <w:pPr>
              <w:spacing w:before="0" w:after="0"/>
              <w:jc w:val="center"/>
              <w:rPr>
                <w:rFonts w:cs="Times New Roman"/>
              </w:rPr>
            </w:pPr>
            <w:r w:rsidRPr="002B0971">
              <w:rPr>
                <w:rFonts w:cs="Times New Roman"/>
              </w:rPr>
              <w:t>23435.0</w:t>
            </w:r>
          </w:p>
        </w:tc>
        <w:tc>
          <w:tcPr>
            <w:tcW w:w="1701" w:type="dxa"/>
            <w:tcBorders>
              <w:top w:val="single" w:sz="4" w:space="0" w:color="auto"/>
              <w:left w:val="single" w:sz="4" w:space="0" w:color="auto"/>
              <w:bottom w:val="single" w:sz="4" w:space="0" w:color="auto"/>
              <w:right w:val="single" w:sz="4" w:space="0" w:color="auto"/>
            </w:tcBorders>
            <w:vAlign w:val="center"/>
          </w:tcPr>
          <w:p w14:paraId="42D49962" w14:textId="77777777" w:rsidR="000B65D4" w:rsidRPr="002B0971" w:rsidRDefault="000B65D4" w:rsidP="008E0494">
            <w:pPr>
              <w:spacing w:before="0" w:after="0"/>
              <w:jc w:val="center"/>
              <w:rPr>
                <w:rFonts w:cs="Times New Roman"/>
              </w:rPr>
            </w:pPr>
            <w:r w:rsidRPr="002B0971">
              <w:rPr>
                <w:rFonts w:cs="Times New Roman"/>
              </w:rPr>
              <w:t>23373.4</w:t>
            </w:r>
          </w:p>
        </w:tc>
        <w:tc>
          <w:tcPr>
            <w:tcW w:w="1701" w:type="dxa"/>
            <w:tcBorders>
              <w:top w:val="single" w:sz="4" w:space="0" w:color="auto"/>
              <w:left w:val="single" w:sz="4" w:space="0" w:color="auto"/>
              <w:bottom w:val="single" w:sz="4" w:space="0" w:color="auto"/>
            </w:tcBorders>
            <w:vAlign w:val="center"/>
          </w:tcPr>
          <w:p w14:paraId="710D0BB5" w14:textId="77777777" w:rsidR="000B65D4" w:rsidRPr="002B0971" w:rsidRDefault="000B65D4" w:rsidP="008E0494">
            <w:pPr>
              <w:spacing w:before="0" w:after="0"/>
              <w:jc w:val="center"/>
              <w:rPr>
                <w:rFonts w:cs="Times New Roman"/>
              </w:rPr>
            </w:pPr>
            <w:r w:rsidRPr="002B0971">
              <w:rPr>
                <w:rFonts w:cs="Times New Roman"/>
              </w:rPr>
              <w:t>23338.0</w:t>
            </w:r>
          </w:p>
        </w:tc>
      </w:tr>
      <w:tr w:rsidR="000B65D4" w:rsidRPr="002B0971" w14:paraId="58D74DB4" w14:textId="77777777" w:rsidTr="0014184A">
        <w:tc>
          <w:tcPr>
            <w:tcW w:w="2778" w:type="dxa"/>
            <w:tcBorders>
              <w:top w:val="single" w:sz="4" w:space="0" w:color="auto"/>
              <w:bottom w:val="nil"/>
            </w:tcBorders>
            <w:vAlign w:val="center"/>
          </w:tcPr>
          <w:p w14:paraId="032677EF" w14:textId="77777777" w:rsidR="000B65D4" w:rsidRPr="002B0971" w:rsidRDefault="000B65D4" w:rsidP="008E0494">
            <w:pPr>
              <w:spacing w:before="0" w:after="0"/>
              <w:jc w:val="left"/>
              <w:rPr>
                <w:rFonts w:cs="Times New Roman"/>
              </w:rPr>
            </w:pPr>
            <w:r w:rsidRPr="002B0971">
              <w:rPr>
                <w:rFonts w:cs="Times New Roman"/>
              </w:rPr>
              <w:t>LL ratio test</w:t>
            </w:r>
          </w:p>
        </w:tc>
        <w:tc>
          <w:tcPr>
            <w:tcW w:w="6894" w:type="dxa"/>
            <w:gridSpan w:val="4"/>
            <w:tcBorders>
              <w:top w:val="single" w:sz="4" w:space="0" w:color="auto"/>
              <w:bottom w:val="nil"/>
            </w:tcBorders>
            <w:vAlign w:val="center"/>
          </w:tcPr>
          <w:p w14:paraId="75D3C91D" w14:textId="77777777" w:rsidR="000B65D4" w:rsidRPr="002B0971" w:rsidRDefault="000B65D4" w:rsidP="008E0494">
            <w:pPr>
              <w:spacing w:before="0" w:after="0"/>
              <w:jc w:val="center"/>
              <w:rPr>
                <w:rFonts w:cs="Times New Roman"/>
              </w:rPr>
            </w:pPr>
          </w:p>
        </w:tc>
      </w:tr>
      <w:tr w:rsidR="000B65D4" w:rsidRPr="002B0971" w14:paraId="6F0AA955" w14:textId="77777777" w:rsidTr="008E0494">
        <w:tc>
          <w:tcPr>
            <w:tcW w:w="2778" w:type="dxa"/>
            <w:tcBorders>
              <w:top w:val="nil"/>
              <w:bottom w:val="nil"/>
            </w:tcBorders>
            <w:vAlign w:val="center"/>
          </w:tcPr>
          <w:p w14:paraId="56CCE002" w14:textId="77777777" w:rsidR="000B65D4" w:rsidRPr="002B0971" w:rsidRDefault="000B65D4" w:rsidP="008E0494">
            <w:pPr>
              <w:spacing w:before="0" w:after="0"/>
              <w:ind w:left="227"/>
              <w:jc w:val="left"/>
              <w:rPr>
                <w:rFonts w:cs="Times New Roman"/>
              </w:rPr>
            </w:pPr>
            <w:r w:rsidRPr="002B0971">
              <w:rPr>
                <w:rFonts w:cs="Times New Roman"/>
              </w:rPr>
              <w:t>3PMMOL vs 3OL</w:t>
            </w:r>
            <w:r w:rsidR="00003805">
              <w:rPr>
                <w:rFonts w:cs="Times New Roman"/>
              </w:rPr>
              <w:t xml:space="preserve"> </w:t>
            </w:r>
          </w:p>
        </w:tc>
        <w:tc>
          <w:tcPr>
            <w:tcW w:w="6894" w:type="dxa"/>
            <w:gridSpan w:val="4"/>
            <w:tcBorders>
              <w:top w:val="nil"/>
              <w:bottom w:val="nil"/>
            </w:tcBorders>
            <w:vAlign w:val="center"/>
          </w:tcPr>
          <w:p w14:paraId="0CBAA2F8" w14:textId="553BAE2F" w:rsidR="000B65D4" w:rsidRPr="002B0971" w:rsidRDefault="000B65D4" w:rsidP="008E0494">
            <w:pPr>
              <w:spacing w:before="0" w:after="0"/>
              <w:jc w:val="center"/>
              <w:rPr>
                <w:rFonts w:cs="Times New Roman"/>
              </w:rPr>
            </w:pPr>
            <w:r w:rsidRPr="002B0971">
              <w:rPr>
                <w:rFonts w:cs="Times New Roman"/>
              </w:rPr>
              <w:t>6545</w:t>
            </w:r>
            <w:r w:rsidR="007954E2">
              <w:rPr>
                <w:rFonts w:cs="Times New Roman"/>
              </w:rPr>
              <w:t xml:space="preserve"> (</w:t>
            </w:r>
            <w:r w:rsidR="00E75143">
              <w:rPr>
                <w:rFonts w:cs="Times New Roman"/>
              </w:rPr>
              <w:t>23.2</w:t>
            </w:r>
            <w:r w:rsidR="00E75143" w:rsidRPr="008E0494">
              <w:rPr>
                <w:rFonts w:cs="Times New Roman"/>
                <w:sz w:val="22"/>
                <w:szCs w:val="20"/>
                <w:vertAlign w:val="superscript"/>
              </w:rPr>
              <w:t>*</w:t>
            </w:r>
            <w:r w:rsidR="00E75143">
              <w:rPr>
                <w:rFonts w:cs="Times New Roman"/>
              </w:rPr>
              <w:t>)</w:t>
            </w:r>
            <w:r w:rsidR="00003805">
              <w:rPr>
                <w:rFonts w:cs="Times New Roman"/>
              </w:rPr>
              <w:t xml:space="preserve"> </w:t>
            </w:r>
          </w:p>
        </w:tc>
      </w:tr>
      <w:tr w:rsidR="000B65D4" w:rsidRPr="002B0971" w14:paraId="1678F829" w14:textId="77777777" w:rsidTr="008E0494">
        <w:tc>
          <w:tcPr>
            <w:tcW w:w="2778" w:type="dxa"/>
            <w:tcBorders>
              <w:top w:val="nil"/>
              <w:bottom w:val="nil"/>
            </w:tcBorders>
            <w:vAlign w:val="center"/>
          </w:tcPr>
          <w:p w14:paraId="17D012C9" w14:textId="77777777" w:rsidR="000B65D4" w:rsidRPr="002B0971" w:rsidRDefault="000B65D4" w:rsidP="008E0494">
            <w:pPr>
              <w:spacing w:before="0" w:after="0"/>
              <w:ind w:left="227"/>
              <w:jc w:val="left"/>
              <w:rPr>
                <w:rFonts w:cs="Times New Roman"/>
              </w:rPr>
            </w:pPr>
            <w:r w:rsidRPr="002B0971">
              <w:rPr>
                <w:rFonts w:cs="Times New Roman"/>
              </w:rPr>
              <w:t>2PMMOL vs 2PMOL</w:t>
            </w:r>
          </w:p>
        </w:tc>
        <w:tc>
          <w:tcPr>
            <w:tcW w:w="6894" w:type="dxa"/>
            <w:gridSpan w:val="4"/>
            <w:tcBorders>
              <w:top w:val="nil"/>
              <w:bottom w:val="nil"/>
            </w:tcBorders>
            <w:vAlign w:val="center"/>
          </w:tcPr>
          <w:p w14:paraId="246D76F2" w14:textId="6229A740" w:rsidR="000B65D4" w:rsidRPr="002B0971" w:rsidRDefault="000B65D4" w:rsidP="008E0494">
            <w:pPr>
              <w:spacing w:before="0" w:after="0"/>
              <w:jc w:val="center"/>
              <w:rPr>
                <w:rFonts w:cs="Times New Roman"/>
              </w:rPr>
            </w:pPr>
            <w:r w:rsidRPr="002B0971">
              <w:rPr>
                <w:rFonts w:cs="Times New Roman"/>
              </w:rPr>
              <w:t>106.6</w:t>
            </w:r>
            <w:r w:rsidR="00003805">
              <w:rPr>
                <w:rFonts w:cs="Times New Roman"/>
              </w:rPr>
              <w:t xml:space="preserve"> (</w:t>
            </w:r>
            <w:r w:rsidR="00E75143">
              <w:rPr>
                <w:rFonts w:cs="Times New Roman"/>
              </w:rPr>
              <w:t>16.8</w:t>
            </w:r>
            <w:r w:rsidR="00E75143" w:rsidRPr="008E0494">
              <w:rPr>
                <w:rFonts w:cs="Times New Roman"/>
                <w:sz w:val="22"/>
                <w:szCs w:val="20"/>
                <w:vertAlign w:val="superscript"/>
              </w:rPr>
              <w:t>*</w:t>
            </w:r>
            <w:r w:rsidR="00003805">
              <w:rPr>
                <w:rFonts w:cs="Times New Roman"/>
              </w:rPr>
              <w:t>)</w:t>
            </w:r>
          </w:p>
        </w:tc>
      </w:tr>
      <w:tr w:rsidR="00E75143" w:rsidRPr="002B0971" w14:paraId="38FCE4A3" w14:textId="77777777" w:rsidTr="008E0494">
        <w:tc>
          <w:tcPr>
            <w:tcW w:w="2778" w:type="dxa"/>
            <w:tcBorders>
              <w:top w:val="nil"/>
              <w:bottom w:val="single" w:sz="12" w:space="0" w:color="auto"/>
            </w:tcBorders>
            <w:vAlign w:val="center"/>
          </w:tcPr>
          <w:p w14:paraId="39D4F2FE" w14:textId="77777777" w:rsidR="00E75143" w:rsidRPr="002B0971" w:rsidRDefault="00E75143" w:rsidP="00E75143">
            <w:pPr>
              <w:spacing w:before="0" w:after="0"/>
              <w:ind w:left="227"/>
              <w:jc w:val="left"/>
              <w:rPr>
                <w:rFonts w:cs="Times New Roman"/>
              </w:rPr>
            </w:pPr>
            <w:r w:rsidRPr="002B0971">
              <w:rPr>
                <w:rFonts w:cs="Times New Roman"/>
              </w:rPr>
              <w:t>3PMMOL vs 2PMMOL</w:t>
            </w:r>
          </w:p>
        </w:tc>
        <w:tc>
          <w:tcPr>
            <w:tcW w:w="6894" w:type="dxa"/>
            <w:gridSpan w:val="4"/>
            <w:tcBorders>
              <w:top w:val="nil"/>
              <w:bottom w:val="single" w:sz="12" w:space="0" w:color="auto"/>
            </w:tcBorders>
            <w:vAlign w:val="center"/>
          </w:tcPr>
          <w:p w14:paraId="397AD9A8" w14:textId="77777777" w:rsidR="00E75143" w:rsidRPr="002B0971" w:rsidRDefault="00E75143" w:rsidP="00E75143">
            <w:pPr>
              <w:spacing w:before="0" w:after="0"/>
              <w:jc w:val="center"/>
              <w:rPr>
                <w:rFonts w:cs="Times New Roman"/>
              </w:rPr>
            </w:pPr>
            <w:r w:rsidRPr="002B0971">
              <w:rPr>
                <w:rFonts w:cs="Times New Roman"/>
              </w:rPr>
              <w:t>44.4</w:t>
            </w:r>
            <w:r>
              <w:rPr>
                <w:rFonts w:cs="Times New Roman"/>
              </w:rPr>
              <w:t xml:space="preserve"> (6.64</w:t>
            </w:r>
            <w:r w:rsidRPr="008E0494">
              <w:rPr>
                <w:rFonts w:cs="Times New Roman"/>
                <w:sz w:val="22"/>
                <w:szCs w:val="20"/>
                <w:vertAlign w:val="superscript"/>
              </w:rPr>
              <w:t>*</w:t>
            </w:r>
            <w:r>
              <w:rPr>
                <w:rFonts w:cs="Times New Roman"/>
              </w:rPr>
              <w:t>)</w:t>
            </w:r>
          </w:p>
        </w:tc>
      </w:tr>
      <w:tr w:rsidR="00E75143" w:rsidRPr="002B0971" w14:paraId="2D9166AE" w14:textId="77777777" w:rsidTr="008E0494">
        <w:trPr>
          <w:trHeight w:val="113"/>
        </w:trPr>
        <w:tc>
          <w:tcPr>
            <w:tcW w:w="9672" w:type="dxa"/>
            <w:gridSpan w:val="5"/>
            <w:tcBorders>
              <w:top w:val="single" w:sz="12" w:space="0" w:color="auto"/>
              <w:left w:val="nil"/>
              <w:bottom w:val="nil"/>
              <w:right w:val="nil"/>
            </w:tcBorders>
            <w:vAlign w:val="center"/>
          </w:tcPr>
          <w:p w14:paraId="0F40372D" w14:textId="0C72B588" w:rsidR="00E75143" w:rsidRPr="002B0971" w:rsidRDefault="00E75143" w:rsidP="008E0494">
            <w:pPr>
              <w:spacing w:before="0" w:after="0"/>
              <w:ind w:left="227"/>
              <w:jc w:val="left"/>
              <w:rPr>
                <w:rFonts w:cs="Times New Roman"/>
              </w:rPr>
            </w:pPr>
            <w:r w:rsidRPr="008E0494">
              <w:rPr>
                <w:rFonts w:cs="Times New Roman"/>
                <w:sz w:val="22"/>
                <w:szCs w:val="20"/>
                <w:vertAlign w:val="superscript"/>
              </w:rPr>
              <w:t>*</w:t>
            </w:r>
            <w:r w:rsidRPr="008E0494">
              <w:rPr>
                <w:rFonts w:cs="Times New Roman"/>
                <w:sz w:val="22"/>
                <w:szCs w:val="20"/>
              </w:rPr>
              <w:t xml:space="preserve"> the corresponding chi-square value at 99% level of significance </w:t>
            </w:r>
          </w:p>
        </w:tc>
      </w:tr>
    </w:tbl>
    <w:p w14:paraId="3E1CF6EE" w14:textId="77777777" w:rsidR="002B0971" w:rsidRDefault="002B0971" w:rsidP="0045269D">
      <w:pPr>
        <w:spacing w:before="0" w:after="0"/>
        <w:rPr>
          <w:rFonts w:cs="Times New Roman"/>
        </w:rPr>
      </w:pPr>
    </w:p>
    <w:p w14:paraId="7839DA81" w14:textId="77777777" w:rsidR="007B21A5" w:rsidRPr="008A07C9" w:rsidRDefault="007B21A5" w:rsidP="0045269D">
      <w:pPr>
        <w:spacing w:before="0" w:after="0"/>
        <w:rPr>
          <w:rFonts w:cs="Times New Roman"/>
        </w:rPr>
      </w:pPr>
      <w:r w:rsidRPr="008A07C9">
        <w:rPr>
          <w:rFonts w:cs="Times New Roman"/>
        </w:rPr>
        <w:br w:type="page"/>
      </w:r>
    </w:p>
    <w:p w14:paraId="5E808318" w14:textId="71D5BC9A" w:rsidR="003C62AC" w:rsidRDefault="003C62AC" w:rsidP="0029064A">
      <w:pPr>
        <w:spacing w:before="0" w:after="0"/>
        <w:jc w:val="center"/>
        <w:rPr>
          <w:rFonts w:cs="Times New Roman"/>
          <w:b/>
          <w:bCs/>
          <w:szCs w:val="24"/>
        </w:rPr>
      </w:pPr>
      <w:r w:rsidRPr="008A07C9">
        <w:rPr>
          <w:rFonts w:cs="Times New Roman"/>
          <w:b/>
          <w:bCs/>
          <w:szCs w:val="24"/>
        </w:rPr>
        <w:lastRenderedPageBreak/>
        <w:t xml:space="preserve">Table </w:t>
      </w:r>
      <w:r w:rsidR="0029064A">
        <w:rPr>
          <w:rFonts w:cs="Times New Roman"/>
          <w:b/>
          <w:bCs/>
          <w:szCs w:val="24"/>
        </w:rPr>
        <w:t>3</w:t>
      </w:r>
      <w:r>
        <w:rPr>
          <w:rFonts w:cs="Times New Roman"/>
          <w:b/>
          <w:bCs/>
          <w:szCs w:val="24"/>
        </w:rPr>
        <w:t>:</w:t>
      </w:r>
      <w:r w:rsidRPr="008A07C9">
        <w:rPr>
          <w:rFonts w:cs="Times New Roman"/>
          <w:b/>
          <w:bCs/>
          <w:szCs w:val="24"/>
        </w:rPr>
        <w:t xml:space="preserve"> 3P</w:t>
      </w:r>
      <w:r w:rsidR="00241ED6">
        <w:rPr>
          <w:rFonts w:cs="Times New Roman"/>
          <w:b/>
          <w:bCs/>
          <w:szCs w:val="24"/>
        </w:rPr>
        <w:t>M</w:t>
      </w:r>
      <w:r w:rsidRPr="008A07C9">
        <w:rPr>
          <w:rFonts w:cs="Times New Roman"/>
          <w:b/>
          <w:bCs/>
          <w:szCs w:val="24"/>
        </w:rPr>
        <w:t>MOL Model Estimation Results</w:t>
      </w:r>
    </w:p>
    <w:tbl>
      <w:tblPr>
        <w:tblStyle w:val="LightShading"/>
        <w:tblW w:w="10205" w:type="dxa"/>
        <w:jc w:val="center"/>
        <w:tblLayout w:type="fixed"/>
        <w:tblLook w:val="06A0" w:firstRow="1" w:lastRow="0" w:firstColumn="1" w:lastColumn="0" w:noHBand="1" w:noVBand="1"/>
      </w:tblPr>
      <w:tblGrid>
        <w:gridCol w:w="1155"/>
        <w:gridCol w:w="2516"/>
        <w:gridCol w:w="1089"/>
        <w:gridCol w:w="1089"/>
        <w:gridCol w:w="1089"/>
        <w:gridCol w:w="1089"/>
        <w:gridCol w:w="1089"/>
        <w:gridCol w:w="1089"/>
      </w:tblGrid>
      <w:tr w:rsidR="00D637C3" w:rsidRPr="00B8500C" w14:paraId="6F9FC8BC" w14:textId="77777777" w:rsidTr="009B6F3A">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3671" w:type="dxa"/>
            <w:gridSpan w:val="2"/>
            <w:vMerge w:val="restart"/>
            <w:tcBorders>
              <w:top w:val="single" w:sz="12" w:space="0" w:color="auto"/>
              <w:left w:val="single" w:sz="12" w:space="0" w:color="auto"/>
              <w:right w:val="single" w:sz="18" w:space="0" w:color="auto"/>
            </w:tcBorders>
            <w:shd w:val="clear" w:color="auto" w:fill="auto"/>
            <w:noWrap/>
            <w:vAlign w:val="center"/>
          </w:tcPr>
          <w:p w14:paraId="03320FDB" w14:textId="77777777" w:rsidR="00D637C3" w:rsidRPr="00B8500C" w:rsidRDefault="00D637C3" w:rsidP="009B6F3A">
            <w:pPr>
              <w:tabs>
                <w:tab w:val="left" w:pos="1410"/>
              </w:tabs>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color w:val="auto"/>
                <w:lang w:eastAsia="en-CA"/>
              </w:rPr>
              <w:t>Parameter</w:t>
            </w:r>
            <w:r w:rsidRPr="00B8500C">
              <w:rPr>
                <w:rFonts w:ascii="Times New Roman" w:eastAsia="Times New Roman" w:hAnsi="Times New Roman" w:cs="Times New Roman"/>
                <w:color w:val="auto"/>
                <w:lang w:eastAsia="en-CA"/>
              </w:rPr>
              <w:tab/>
            </w:r>
          </w:p>
        </w:tc>
        <w:tc>
          <w:tcPr>
            <w:tcW w:w="2178" w:type="dxa"/>
            <w:gridSpan w:val="2"/>
            <w:tcBorders>
              <w:top w:val="single" w:sz="12" w:space="0" w:color="auto"/>
              <w:left w:val="single" w:sz="18" w:space="0" w:color="auto"/>
              <w:bottom w:val="single" w:sz="4" w:space="0" w:color="auto"/>
              <w:right w:val="single" w:sz="18" w:space="0" w:color="auto"/>
            </w:tcBorders>
            <w:shd w:val="clear" w:color="auto" w:fill="auto"/>
          </w:tcPr>
          <w:p w14:paraId="3296F9C2" w14:textId="77777777" w:rsidR="00D637C3" w:rsidRPr="00B8500C" w:rsidRDefault="00D637C3" w:rsidP="009B6F3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BSS Infrastructure</w:t>
            </w:r>
          </w:p>
        </w:tc>
        <w:tc>
          <w:tcPr>
            <w:tcW w:w="2178" w:type="dxa"/>
            <w:gridSpan w:val="2"/>
            <w:tcBorders>
              <w:top w:val="single" w:sz="12" w:space="0" w:color="auto"/>
              <w:left w:val="single" w:sz="18" w:space="0" w:color="auto"/>
              <w:bottom w:val="single" w:sz="4" w:space="0" w:color="auto"/>
            </w:tcBorders>
            <w:shd w:val="clear" w:color="auto" w:fill="auto"/>
            <w:noWrap/>
            <w:vAlign w:val="center"/>
            <w:hideMark/>
          </w:tcPr>
          <w:p w14:paraId="64F85FF8" w14:textId="77777777" w:rsidR="00D637C3" w:rsidRPr="00B8500C" w:rsidRDefault="00D637C3" w:rsidP="009B6F3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Arrival Rate</w:t>
            </w:r>
          </w:p>
        </w:tc>
        <w:tc>
          <w:tcPr>
            <w:tcW w:w="2178" w:type="dxa"/>
            <w:gridSpan w:val="2"/>
            <w:tcBorders>
              <w:top w:val="single" w:sz="12" w:space="0" w:color="auto"/>
              <w:left w:val="single" w:sz="18" w:space="0" w:color="auto"/>
              <w:bottom w:val="single" w:sz="4" w:space="0" w:color="auto"/>
              <w:right w:val="single" w:sz="12" w:space="0" w:color="auto"/>
            </w:tcBorders>
            <w:shd w:val="clear" w:color="auto" w:fill="auto"/>
            <w:vAlign w:val="center"/>
          </w:tcPr>
          <w:p w14:paraId="27868B6E" w14:textId="77777777" w:rsidR="00D637C3" w:rsidRPr="00B8500C" w:rsidRDefault="00D637C3" w:rsidP="009B6F3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lang w:eastAsia="en-CA"/>
              </w:rPr>
            </w:pPr>
            <w:r w:rsidRPr="00B8500C">
              <w:rPr>
                <w:rFonts w:ascii="Times New Roman" w:eastAsia="Times New Roman" w:hAnsi="Times New Roman" w:cs="Times New Roman"/>
                <w:color w:val="auto"/>
                <w:lang w:eastAsia="en-CA"/>
              </w:rPr>
              <w:t>Departure Rate</w:t>
            </w:r>
          </w:p>
        </w:tc>
      </w:tr>
      <w:tr w:rsidR="00D637C3" w:rsidRPr="00B8500C" w14:paraId="7409CC0D" w14:textId="77777777" w:rsidTr="009B6F3A">
        <w:trPr>
          <w:trHeight w:val="227"/>
          <w:jc w:val="center"/>
        </w:trPr>
        <w:tc>
          <w:tcPr>
            <w:cnfStyle w:val="001000000000" w:firstRow="0" w:lastRow="0" w:firstColumn="1" w:lastColumn="0" w:oddVBand="0" w:evenVBand="0" w:oddHBand="0" w:evenHBand="0" w:firstRowFirstColumn="0" w:firstRowLastColumn="0" w:lastRowFirstColumn="0" w:lastRowLastColumn="0"/>
            <w:tcW w:w="3671" w:type="dxa"/>
            <w:gridSpan w:val="2"/>
            <w:vMerge/>
            <w:tcBorders>
              <w:left w:val="single" w:sz="12" w:space="0" w:color="auto"/>
              <w:bottom w:val="single" w:sz="4" w:space="0" w:color="auto"/>
              <w:right w:val="single" w:sz="18" w:space="0" w:color="auto"/>
            </w:tcBorders>
            <w:shd w:val="clear" w:color="auto" w:fill="auto"/>
            <w:noWrap/>
            <w:hideMark/>
          </w:tcPr>
          <w:p w14:paraId="5FE4C2F7" w14:textId="77777777" w:rsidR="00D637C3" w:rsidRPr="00B8500C" w:rsidRDefault="00D637C3" w:rsidP="009B6F3A">
            <w:pPr>
              <w:tabs>
                <w:tab w:val="left" w:pos="1410"/>
              </w:tabs>
              <w:spacing w:before="0" w:after="0"/>
              <w:rPr>
                <w:rFonts w:ascii="Times New Roman" w:eastAsia="Times New Roman" w:hAnsi="Times New Roman" w:cs="Times New Roman"/>
                <w:color w:val="auto"/>
                <w:lang w:eastAsia="en-CA"/>
              </w:rPr>
            </w:pPr>
          </w:p>
        </w:tc>
        <w:tc>
          <w:tcPr>
            <w:tcW w:w="1089" w:type="dxa"/>
            <w:tcBorders>
              <w:top w:val="single" w:sz="4" w:space="0" w:color="auto"/>
              <w:left w:val="single" w:sz="18" w:space="0" w:color="auto"/>
              <w:bottom w:val="single" w:sz="4" w:space="0" w:color="auto"/>
            </w:tcBorders>
            <w:shd w:val="clear" w:color="auto" w:fill="auto"/>
            <w:vAlign w:val="center"/>
          </w:tcPr>
          <w:p w14:paraId="66186282"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eastAsia="en-CA"/>
              </w:rPr>
            </w:pPr>
            <w:r w:rsidRPr="00B8500C">
              <w:rPr>
                <w:rFonts w:ascii="Times New Roman" w:eastAsia="Times New Roman" w:hAnsi="Times New Roman" w:cs="Times New Roman"/>
                <w:b/>
                <w:color w:val="auto"/>
                <w:lang w:eastAsia="en-CA"/>
              </w:rPr>
              <w:t>Estimate</w:t>
            </w:r>
          </w:p>
        </w:tc>
        <w:tc>
          <w:tcPr>
            <w:tcW w:w="1089" w:type="dxa"/>
            <w:tcBorders>
              <w:top w:val="single" w:sz="4" w:space="0" w:color="auto"/>
              <w:bottom w:val="single" w:sz="4" w:space="0" w:color="auto"/>
              <w:right w:val="single" w:sz="18" w:space="0" w:color="auto"/>
            </w:tcBorders>
            <w:shd w:val="clear" w:color="auto" w:fill="auto"/>
            <w:vAlign w:val="center"/>
          </w:tcPr>
          <w:p w14:paraId="5087FAD4"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eastAsia="en-CA"/>
              </w:rPr>
            </w:pPr>
            <w:r>
              <w:rPr>
                <w:rFonts w:ascii="Times New Roman" w:eastAsia="Times New Roman" w:hAnsi="Times New Roman" w:cs="Times New Roman"/>
                <w:b/>
                <w:color w:val="auto"/>
                <w:lang w:eastAsia="en-CA"/>
              </w:rPr>
              <w:t>t-stat.</w:t>
            </w:r>
          </w:p>
        </w:tc>
        <w:tc>
          <w:tcPr>
            <w:tcW w:w="1089" w:type="dxa"/>
            <w:tcBorders>
              <w:top w:val="nil"/>
              <w:left w:val="single" w:sz="18" w:space="0" w:color="auto"/>
              <w:bottom w:val="single" w:sz="4" w:space="0" w:color="auto"/>
            </w:tcBorders>
            <w:shd w:val="clear" w:color="auto" w:fill="auto"/>
            <w:noWrap/>
            <w:vAlign w:val="center"/>
            <w:hideMark/>
          </w:tcPr>
          <w:p w14:paraId="0BAE7C8C"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eastAsia="en-CA"/>
              </w:rPr>
            </w:pPr>
            <w:r w:rsidRPr="00B8500C">
              <w:rPr>
                <w:rFonts w:ascii="Times New Roman" w:eastAsia="Times New Roman" w:hAnsi="Times New Roman" w:cs="Times New Roman"/>
                <w:b/>
                <w:color w:val="auto"/>
                <w:lang w:eastAsia="en-CA"/>
              </w:rPr>
              <w:t>Estimate</w:t>
            </w:r>
          </w:p>
        </w:tc>
        <w:tc>
          <w:tcPr>
            <w:tcW w:w="1089" w:type="dxa"/>
            <w:tcBorders>
              <w:top w:val="nil"/>
              <w:bottom w:val="single" w:sz="4" w:space="0" w:color="auto"/>
            </w:tcBorders>
            <w:shd w:val="clear" w:color="auto" w:fill="auto"/>
            <w:noWrap/>
            <w:vAlign w:val="center"/>
            <w:hideMark/>
          </w:tcPr>
          <w:p w14:paraId="3FECBF0E"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eastAsia="en-CA"/>
              </w:rPr>
            </w:pPr>
            <w:r w:rsidRPr="00B8500C">
              <w:rPr>
                <w:rFonts w:ascii="Times New Roman" w:eastAsia="Times New Roman" w:hAnsi="Times New Roman" w:cs="Times New Roman"/>
                <w:b/>
                <w:color w:val="auto"/>
                <w:lang w:eastAsia="en-CA"/>
              </w:rPr>
              <w:t>t-stat</w:t>
            </w:r>
            <w:r>
              <w:rPr>
                <w:rFonts w:ascii="Times New Roman" w:eastAsia="Times New Roman" w:hAnsi="Times New Roman" w:cs="Times New Roman"/>
                <w:b/>
                <w:color w:val="auto"/>
                <w:lang w:eastAsia="en-CA"/>
              </w:rPr>
              <w:t>.</w:t>
            </w:r>
          </w:p>
        </w:tc>
        <w:tc>
          <w:tcPr>
            <w:tcW w:w="1089" w:type="dxa"/>
            <w:tcBorders>
              <w:top w:val="nil"/>
              <w:left w:val="single" w:sz="18" w:space="0" w:color="auto"/>
              <w:bottom w:val="single" w:sz="4" w:space="0" w:color="auto"/>
            </w:tcBorders>
            <w:shd w:val="clear" w:color="auto" w:fill="auto"/>
            <w:vAlign w:val="center"/>
          </w:tcPr>
          <w:p w14:paraId="786A5EC3"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eastAsia="en-CA"/>
              </w:rPr>
            </w:pPr>
            <w:r w:rsidRPr="00B8500C">
              <w:rPr>
                <w:rFonts w:ascii="Times New Roman" w:eastAsia="Times New Roman" w:hAnsi="Times New Roman" w:cs="Times New Roman"/>
                <w:b/>
                <w:color w:val="auto"/>
                <w:lang w:eastAsia="en-CA"/>
              </w:rPr>
              <w:t>Estimate</w:t>
            </w:r>
          </w:p>
        </w:tc>
        <w:tc>
          <w:tcPr>
            <w:tcW w:w="1089" w:type="dxa"/>
            <w:tcBorders>
              <w:top w:val="nil"/>
              <w:bottom w:val="single" w:sz="4" w:space="0" w:color="auto"/>
              <w:right w:val="single" w:sz="12" w:space="0" w:color="auto"/>
            </w:tcBorders>
            <w:shd w:val="clear" w:color="auto" w:fill="auto"/>
            <w:noWrap/>
            <w:vAlign w:val="center"/>
            <w:hideMark/>
          </w:tcPr>
          <w:p w14:paraId="23C26783"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eastAsia="en-CA"/>
              </w:rPr>
            </w:pPr>
            <w:r>
              <w:rPr>
                <w:rFonts w:ascii="Times New Roman" w:eastAsia="Times New Roman" w:hAnsi="Times New Roman" w:cs="Times New Roman"/>
                <w:b/>
                <w:color w:val="auto"/>
                <w:lang w:eastAsia="en-CA"/>
              </w:rPr>
              <w:t>t-stat.</w:t>
            </w:r>
          </w:p>
        </w:tc>
      </w:tr>
      <w:tr w:rsidR="00D637C3" w:rsidRPr="00B8500C" w14:paraId="275D0714"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single" w:sz="4" w:space="0" w:color="auto"/>
              <w:left w:val="single" w:sz="12" w:space="0" w:color="auto"/>
              <w:bottom w:val="nil"/>
              <w:right w:val="single" w:sz="18" w:space="0" w:color="auto"/>
            </w:tcBorders>
            <w:shd w:val="clear" w:color="auto" w:fill="FFFFFF" w:themeFill="background1"/>
            <w:noWrap/>
            <w:hideMark/>
          </w:tcPr>
          <w:p w14:paraId="36E60928"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Threshold 1</w:t>
            </w:r>
          </w:p>
        </w:tc>
        <w:tc>
          <w:tcPr>
            <w:tcW w:w="1089" w:type="dxa"/>
            <w:tcBorders>
              <w:top w:val="single" w:sz="4" w:space="0" w:color="auto"/>
              <w:left w:val="single" w:sz="18" w:space="0" w:color="auto"/>
              <w:bottom w:val="nil"/>
              <w:right w:val="nil"/>
            </w:tcBorders>
            <w:shd w:val="clear" w:color="auto" w:fill="auto"/>
            <w:vAlign w:val="bottom"/>
          </w:tcPr>
          <w:p w14:paraId="31FA15E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-2.0132</w:t>
            </w:r>
          </w:p>
        </w:tc>
        <w:tc>
          <w:tcPr>
            <w:tcW w:w="1089" w:type="dxa"/>
            <w:tcBorders>
              <w:top w:val="single" w:sz="4" w:space="0" w:color="auto"/>
              <w:left w:val="nil"/>
              <w:bottom w:val="nil"/>
              <w:right w:val="single" w:sz="18" w:space="0" w:color="auto"/>
            </w:tcBorders>
            <w:shd w:val="clear" w:color="auto" w:fill="auto"/>
            <w:vAlign w:val="bottom"/>
          </w:tcPr>
          <w:p w14:paraId="6226241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-2.866</w:t>
            </w:r>
          </w:p>
        </w:tc>
        <w:tc>
          <w:tcPr>
            <w:tcW w:w="1089" w:type="dxa"/>
            <w:tcBorders>
              <w:top w:val="single" w:sz="4" w:space="0" w:color="auto"/>
              <w:left w:val="single" w:sz="18" w:space="0" w:color="auto"/>
              <w:bottom w:val="nil"/>
            </w:tcBorders>
            <w:shd w:val="clear" w:color="auto" w:fill="FFFFFF" w:themeFill="background1"/>
            <w:noWrap/>
            <w:vAlign w:val="bottom"/>
          </w:tcPr>
          <w:p w14:paraId="6C44626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-3.1451</w:t>
            </w:r>
          </w:p>
        </w:tc>
        <w:tc>
          <w:tcPr>
            <w:tcW w:w="1089" w:type="dxa"/>
            <w:tcBorders>
              <w:top w:val="single" w:sz="4" w:space="0" w:color="auto"/>
              <w:bottom w:val="nil"/>
            </w:tcBorders>
            <w:shd w:val="clear" w:color="auto" w:fill="FFFFFF" w:themeFill="background1"/>
            <w:noWrap/>
            <w:vAlign w:val="bottom"/>
          </w:tcPr>
          <w:p w14:paraId="167FB22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-7.621</w:t>
            </w:r>
          </w:p>
        </w:tc>
        <w:tc>
          <w:tcPr>
            <w:tcW w:w="1089" w:type="dxa"/>
            <w:tcBorders>
              <w:top w:val="single" w:sz="4" w:space="0" w:color="auto"/>
              <w:left w:val="single" w:sz="18" w:space="0" w:color="auto"/>
              <w:bottom w:val="nil"/>
            </w:tcBorders>
            <w:shd w:val="clear" w:color="auto" w:fill="FFFFFF" w:themeFill="background1"/>
            <w:vAlign w:val="bottom"/>
          </w:tcPr>
          <w:p w14:paraId="3BE3615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-3.1451</w:t>
            </w:r>
          </w:p>
        </w:tc>
        <w:tc>
          <w:tcPr>
            <w:tcW w:w="1089" w:type="dxa"/>
            <w:tcBorders>
              <w:top w:val="single" w:sz="4" w:space="0" w:color="auto"/>
              <w:bottom w:val="nil"/>
              <w:right w:val="single" w:sz="12" w:space="0" w:color="auto"/>
            </w:tcBorders>
            <w:shd w:val="clear" w:color="auto" w:fill="FFFFFF" w:themeFill="background1"/>
            <w:noWrap/>
            <w:vAlign w:val="bottom"/>
          </w:tcPr>
          <w:p w14:paraId="1D1AC75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-7.621</w:t>
            </w:r>
          </w:p>
        </w:tc>
      </w:tr>
      <w:tr w:rsidR="00D637C3" w:rsidRPr="00B8500C" w14:paraId="749DA313"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bottom w:val="nil"/>
              <w:right w:val="single" w:sz="18" w:space="0" w:color="auto"/>
            </w:tcBorders>
            <w:shd w:val="clear" w:color="auto" w:fill="FFFFFF" w:themeFill="background1"/>
            <w:noWrap/>
          </w:tcPr>
          <w:p w14:paraId="36E55AE4"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Threshold 2</w:t>
            </w:r>
          </w:p>
        </w:tc>
        <w:tc>
          <w:tcPr>
            <w:tcW w:w="1089" w:type="dxa"/>
            <w:tcBorders>
              <w:top w:val="nil"/>
              <w:left w:val="single" w:sz="18" w:space="0" w:color="auto"/>
              <w:bottom w:val="nil"/>
            </w:tcBorders>
            <w:shd w:val="clear" w:color="auto" w:fill="auto"/>
            <w:vAlign w:val="bottom"/>
          </w:tcPr>
          <w:p w14:paraId="17DCA16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0.0756</w:t>
            </w:r>
          </w:p>
        </w:tc>
        <w:tc>
          <w:tcPr>
            <w:tcW w:w="1089" w:type="dxa"/>
            <w:tcBorders>
              <w:top w:val="nil"/>
              <w:bottom w:val="nil"/>
              <w:right w:val="single" w:sz="18" w:space="0" w:color="auto"/>
            </w:tcBorders>
            <w:shd w:val="clear" w:color="auto" w:fill="auto"/>
            <w:vAlign w:val="bottom"/>
          </w:tcPr>
          <w:p w14:paraId="0628348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0.113</w:t>
            </w:r>
          </w:p>
        </w:tc>
        <w:tc>
          <w:tcPr>
            <w:tcW w:w="1089" w:type="dxa"/>
            <w:tcBorders>
              <w:top w:val="nil"/>
              <w:left w:val="single" w:sz="18" w:space="0" w:color="auto"/>
              <w:bottom w:val="nil"/>
            </w:tcBorders>
            <w:shd w:val="clear" w:color="auto" w:fill="FFFFFF" w:themeFill="background1"/>
            <w:noWrap/>
            <w:vAlign w:val="bottom"/>
          </w:tcPr>
          <w:p w14:paraId="4F73BF3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1.7097</w:t>
            </w:r>
          </w:p>
        </w:tc>
        <w:tc>
          <w:tcPr>
            <w:tcW w:w="1089" w:type="dxa"/>
            <w:tcBorders>
              <w:top w:val="nil"/>
              <w:bottom w:val="nil"/>
            </w:tcBorders>
            <w:shd w:val="clear" w:color="auto" w:fill="FFFFFF" w:themeFill="background1"/>
            <w:noWrap/>
            <w:vAlign w:val="bottom"/>
          </w:tcPr>
          <w:p w14:paraId="267A6B5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4.145</w:t>
            </w:r>
          </w:p>
        </w:tc>
        <w:tc>
          <w:tcPr>
            <w:tcW w:w="1089" w:type="dxa"/>
            <w:tcBorders>
              <w:top w:val="nil"/>
              <w:left w:val="single" w:sz="18" w:space="0" w:color="auto"/>
              <w:bottom w:val="nil"/>
            </w:tcBorders>
            <w:shd w:val="clear" w:color="auto" w:fill="FFFFFF" w:themeFill="background1"/>
            <w:vAlign w:val="bottom"/>
          </w:tcPr>
          <w:p w14:paraId="4175508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1.7097</w:t>
            </w:r>
          </w:p>
        </w:tc>
        <w:tc>
          <w:tcPr>
            <w:tcW w:w="1089" w:type="dxa"/>
            <w:tcBorders>
              <w:top w:val="nil"/>
              <w:bottom w:val="nil"/>
              <w:right w:val="single" w:sz="12" w:space="0" w:color="auto"/>
            </w:tcBorders>
            <w:shd w:val="clear" w:color="auto" w:fill="FFFFFF" w:themeFill="background1"/>
            <w:noWrap/>
            <w:vAlign w:val="bottom"/>
          </w:tcPr>
          <w:p w14:paraId="4C9E6BE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4.145</w:t>
            </w:r>
          </w:p>
        </w:tc>
      </w:tr>
      <w:tr w:rsidR="00D637C3" w:rsidRPr="00B8500C" w14:paraId="50147563"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bottom w:val="nil"/>
              <w:right w:val="single" w:sz="18" w:space="0" w:color="auto"/>
            </w:tcBorders>
            <w:shd w:val="clear" w:color="auto" w:fill="FFFFFF" w:themeFill="background1"/>
            <w:noWrap/>
          </w:tcPr>
          <w:p w14:paraId="5E861845"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Threshold 3</w:t>
            </w:r>
          </w:p>
        </w:tc>
        <w:tc>
          <w:tcPr>
            <w:tcW w:w="1089" w:type="dxa"/>
            <w:tcBorders>
              <w:top w:val="nil"/>
              <w:left w:val="single" w:sz="18" w:space="0" w:color="auto"/>
              <w:bottom w:val="nil"/>
              <w:right w:val="nil"/>
            </w:tcBorders>
            <w:shd w:val="clear" w:color="auto" w:fill="auto"/>
            <w:vAlign w:val="bottom"/>
          </w:tcPr>
          <w:p w14:paraId="595DFF6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1.9573</w:t>
            </w:r>
          </w:p>
        </w:tc>
        <w:tc>
          <w:tcPr>
            <w:tcW w:w="1089" w:type="dxa"/>
            <w:tcBorders>
              <w:top w:val="nil"/>
              <w:left w:val="nil"/>
              <w:bottom w:val="nil"/>
              <w:right w:val="single" w:sz="18" w:space="0" w:color="auto"/>
            </w:tcBorders>
            <w:shd w:val="clear" w:color="auto" w:fill="auto"/>
            <w:vAlign w:val="bottom"/>
          </w:tcPr>
          <w:p w14:paraId="061B372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3.086</w:t>
            </w:r>
          </w:p>
        </w:tc>
        <w:tc>
          <w:tcPr>
            <w:tcW w:w="1089" w:type="dxa"/>
            <w:tcBorders>
              <w:top w:val="nil"/>
              <w:left w:val="single" w:sz="18" w:space="0" w:color="auto"/>
              <w:bottom w:val="nil"/>
            </w:tcBorders>
            <w:shd w:val="clear" w:color="auto" w:fill="FFFFFF" w:themeFill="background1"/>
            <w:noWrap/>
            <w:vAlign w:val="bottom"/>
          </w:tcPr>
          <w:p w14:paraId="5D1FCA3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4.5364</w:t>
            </w:r>
          </w:p>
        </w:tc>
        <w:tc>
          <w:tcPr>
            <w:tcW w:w="1089" w:type="dxa"/>
            <w:tcBorders>
              <w:top w:val="nil"/>
              <w:bottom w:val="nil"/>
            </w:tcBorders>
            <w:shd w:val="clear" w:color="auto" w:fill="FFFFFF" w:themeFill="background1"/>
            <w:noWrap/>
            <w:vAlign w:val="bottom"/>
          </w:tcPr>
          <w:p w14:paraId="279E04F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10.945</w:t>
            </w:r>
          </w:p>
        </w:tc>
        <w:tc>
          <w:tcPr>
            <w:tcW w:w="1089" w:type="dxa"/>
            <w:tcBorders>
              <w:top w:val="nil"/>
              <w:left w:val="single" w:sz="18" w:space="0" w:color="auto"/>
              <w:bottom w:val="nil"/>
            </w:tcBorders>
            <w:shd w:val="clear" w:color="auto" w:fill="FFFFFF" w:themeFill="background1"/>
            <w:vAlign w:val="bottom"/>
          </w:tcPr>
          <w:p w14:paraId="74312EC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4.5364</w:t>
            </w:r>
          </w:p>
        </w:tc>
        <w:tc>
          <w:tcPr>
            <w:tcW w:w="1089" w:type="dxa"/>
            <w:tcBorders>
              <w:top w:val="nil"/>
              <w:bottom w:val="nil"/>
              <w:right w:val="single" w:sz="12" w:space="0" w:color="auto"/>
            </w:tcBorders>
            <w:shd w:val="clear" w:color="auto" w:fill="FFFFFF" w:themeFill="background1"/>
            <w:noWrap/>
            <w:vAlign w:val="bottom"/>
          </w:tcPr>
          <w:p w14:paraId="1DDD5BB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10.945</w:t>
            </w:r>
          </w:p>
        </w:tc>
      </w:tr>
      <w:tr w:rsidR="00D637C3" w:rsidRPr="00B8500C" w14:paraId="48F01EBE"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bottom w:val="nil"/>
              <w:right w:val="single" w:sz="18" w:space="0" w:color="auto"/>
            </w:tcBorders>
            <w:shd w:val="clear" w:color="auto" w:fill="FFFFFF" w:themeFill="background1"/>
            <w:noWrap/>
          </w:tcPr>
          <w:p w14:paraId="3BE8451C"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Threshold 4</w:t>
            </w:r>
          </w:p>
        </w:tc>
        <w:tc>
          <w:tcPr>
            <w:tcW w:w="1089" w:type="dxa"/>
            <w:tcBorders>
              <w:top w:val="nil"/>
              <w:left w:val="single" w:sz="18" w:space="0" w:color="auto"/>
              <w:bottom w:val="nil"/>
            </w:tcBorders>
            <w:shd w:val="clear" w:color="auto" w:fill="auto"/>
            <w:vAlign w:val="bottom"/>
          </w:tcPr>
          <w:p w14:paraId="58B01D7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4.1434</w:t>
            </w:r>
          </w:p>
        </w:tc>
        <w:tc>
          <w:tcPr>
            <w:tcW w:w="1089" w:type="dxa"/>
            <w:tcBorders>
              <w:top w:val="nil"/>
              <w:bottom w:val="nil"/>
              <w:right w:val="single" w:sz="18" w:space="0" w:color="auto"/>
            </w:tcBorders>
            <w:shd w:val="clear" w:color="auto" w:fill="auto"/>
            <w:vAlign w:val="bottom"/>
          </w:tcPr>
          <w:p w14:paraId="77670CF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5.489</w:t>
            </w:r>
          </w:p>
        </w:tc>
        <w:tc>
          <w:tcPr>
            <w:tcW w:w="1089" w:type="dxa"/>
            <w:tcBorders>
              <w:top w:val="nil"/>
              <w:left w:val="single" w:sz="18" w:space="0" w:color="auto"/>
              <w:bottom w:val="nil"/>
            </w:tcBorders>
            <w:shd w:val="clear" w:color="auto" w:fill="FFFFFF" w:themeFill="background1"/>
            <w:noWrap/>
            <w:vAlign w:val="center"/>
          </w:tcPr>
          <w:p w14:paraId="476A069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N/A</w:t>
            </w:r>
          </w:p>
        </w:tc>
        <w:tc>
          <w:tcPr>
            <w:tcW w:w="1089" w:type="dxa"/>
            <w:tcBorders>
              <w:top w:val="nil"/>
              <w:bottom w:val="nil"/>
            </w:tcBorders>
            <w:shd w:val="clear" w:color="auto" w:fill="FFFFFF" w:themeFill="background1"/>
            <w:noWrap/>
            <w:vAlign w:val="center"/>
          </w:tcPr>
          <w:p w14:paraId="498B05F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N/A</w:t>
            </w:r>
          </w:p>
        </w:tc>
        <w:tc>
          <w:tcPr>
            <w:tcW w:w="1089" w:type="dxa"/>
            <w:tcBorders>
              <w:top w:val="nil"/>
              <w:left w:val="single" w:sz="18" w:space="0" w:color="auto"/>
              <w:bottom w:val="nil"/>
            </w:tcBorders>
            <w:shd w:val="clear" w:color="auto" w:fill="FFFFFF" w:themeFill="background1"/>
            <w:vAlign w:val="center"/>
          </w:tcPr>
          <w:p w14:paraId="75701F3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N/A</w:t>
            </w:r>
          </w:p>
        </w:tc>
        <w:tc>
          <w:tcPr>
            <w:tcW w:w="1089" w:type="dxa"/>
            <w:tcBorders>
              <w:top w:val="nil"/>
              <w:bottom w:val="nil"/>
              <w:right w:val="single" w:sz="12" w:space="0" w:color="auto"/>
            </w:tcBorders>
            <w:shd w:val="clear" w:color="auto" w:fill="FFFFFF" w:themeFill="background1"/>
            <w:noWrap/>
            <w:vAlign w:val="center"/>
          </w:tcPr>
          <w:p w14:paraId="696B001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N/A</w:t>
            </w:r>
          </w:p>
        </w:tc>
      </w:tr>
      <w:tr w:rsidR="00D637C3" w:rsidRPr="00B8500C" w14:paraId="2BE843C5"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right w:val="single" w:sz="18" w:space="0" w:color="auto"/>
            </w:tcBorders>
            <w:shd w:val="clear" w:color="auto" w:fill="FFFFFF" w:themeFill="background1"/>
            <w:noWrap/>
          </w:tcPr>
          <w:p w14:paraId="3ED8406E" w14:textId="77777777" w:rsidR="00D637C3" w:rsidRPr="00B8500C" w:rsidRDefault="00D637C3" w:rsidP="009B6F3A">
            <w:pPr>
              <w:spacing w:before="0" w:after="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Weather &amp; Time Variables</w:t>
            </w:r>
          </w:p>
        </w:tc>
        <w:tc>
          <w:tcPr>
            <w:tcW w:w="1089" w:type="dxa"/>
            <w:tcBorders>
              <w:top w:val="nil"/>
              <w:left w:val="single" w:sz="18" w:space="0" w:color="auto"/>
              <w:bottom w:val="nil"/>
              <w:right w:val="nil"/>
            </w:tcBorders>
            <w:shd w:val="clear" w:color="auto" w:fill="auto"/>
            <w:vAlign w:val="center"/>
          </w:tcPr>
          <w:p w14:paraId="092C9AE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nil"/>
              <w:bottom w:val="nil"/>
              <w:right w:val="single" w:sz="18" w:space="0" w:color="auto"/>
            </w:tcBorders>
            <w:shd w:val="clear" w:color="auto" w:fill="auto"/>
            <w:vAlign w:val="center"/>
          </w:tcPr>
          <w:p w14:paraId="0F3F225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single" w:sz="18" w:space="0" w:color="auto"/>
            </w:tcBorders>
            <w:shd w:val="clear" w:color="auto" w:fill="FFFFFF" w:themeFill="background1"/>
            <w:noWrap/>
            <w:vAlign w:val="center"/>
          </w:tcPr>
          <w:p w14:paraId="0415A46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tcBorders>
            <w:shd w:val="clear" w:color="auto" w:fill="FFFFFF" w:themeFill="background1"/>
            <w:noWrap/>
            <w:vAlign w:val="center"/>
          </w:tcPr>
          <w:p w14:paraId="4D509E6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single" w:sz="18" w:space="0" w:color="auto"/>
            </w:tcBorders>
            <w:shd w:val="clear" w:color="auto" w:fill="FFFFFF" w:themeFill="background1"/>
            <w:vAlign w:val="center"/>
          </w:tcPr>
          <w:p w14:paraId="28D94B2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right w:val="single" w:sz="12" w:space="0" w:color="auto"/>
            </w:tcBorders>
            <w:shd w:val="clear" w:color="auto" w:fill="FFFFFF" w:themeFill="background1"/>
            <w:noWrap/>
            <w:vAlign w:val="center"/>
          </w:tcPr>
          <w:p w14:paraId="3324F56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687F52B3"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hideMark/>
          </w:tcPr>
          <w:p w14:paraId="087CA8FF"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Temperature</w:t>
            </w:r>
          </w:p>
        </w:tc>
        <w:tc>
          <w:tcPr>
            <w:tcW w:w="1089" w:type="dxa"/>
            <w:tcBorders>
              <w:top w:val="nil"/>
              <w:left w:val="single" w:sz="18" w:space="0" w:color="auto"/>
              <w:bottom w:val="nil"/>
            </w:tcBorders>
            <w:shd w:val="clear" w:color="auto" w:fill="auto"/>
            <w:vAlign w:val="center"/>
          </w:tcPr>
          <w:p w14:paraId="316BFC9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16C6821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5879F75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0.5297</w:t>
            </w:r>
          </w:p>
        </w:tc>
        <w:tc>
          <w:tcPr>
            <w:tcW w:w="1089" w:type="dxa"/>
            <w:shd w:val="clear" w:color="auto" w:fill="FFFFFF" w:themeFill="background1"/>
            <w:noWrap/>
            <w:vAlign w:val="bottom"/>
          </w:tcPr>
          <w:p w14:paraId="5A127A8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7.794</w:t>
            </w:r>
          </w:p>
        </w:tc>
        <w:tc>
          <w:tcPr>
            <w:tcW w:w="1089" w:type="dxa"/>
            <w:tcBorders>
              <w:left w:val="single" w:sz="18" w:space="0" w:color="auto"/>
            </w:tcBorders>
            <w:shd w:val="clear" w:color="auto" w:fill="FFFFFF" w:themeFill="background1"/>
            <w:vAlign w:val="bottom"/>
          </w:tcPr>
          <w:p w14:paraId="11F46B0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0.5297</w:t>
            </w:r>
          </w:p>
        </w:tc>
        <w:tc>
          <w:tcPr>
            <w:tcW w:w="1089" w:type="dxa"/>
            <w:tcBorders>
              <w:right w:val="single" w:sz="12" w:space="0" w:color="auto"/>
            </w:tcBorders>
            <w:shd w:val="clear" w:color="auto" w:fill="FFFFFF" w:themeFill="background1"/>
            <w:noWrap/>
            <w:vAlign w:val="bottom"/>
          </w:tcPr>
          <w:p w14:paraId="68BAFCC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7.794</w:t>
            </w:r>
          </w:p>
        </w:tc>
      </w:tr>
      <w:tr w:rsidR="00D637C3" w:rsidRPr="00B8500C" w14:paraId="5FB70C2B"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hideMark/>
          </w:tcPr>
          <w:p w14:paraId="77948E04"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Relative Humidity</w:t>
            </w:r>
          </w:p>
        </w:tc>
        <w:tc>
          <w:tcPr>
            <w:tcW w:w="1089" w:type="dxa"/>
            <w:tcBorders>
              <w:top w:val="nil"/>
              <w:left w:val="single" w:sz="18" w:space="0" w:color="auto"/>
              <w:bottom w:val="nil"/>
              <w:right w:val="nil"/>
            </w:tcBorders>
            <w:shd w:val="clear" w:color="auto" w:fill="auto"/>
            <w:vAlign w:val="center"/>
          </w:tcPr>
          <w:p w14:paraId="19192C5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nil"/>
              <w:bottom w:val="nil"/>
              <w:right w:val="single" w:sz="18" w:space="0" w:color="auto"/>
            </w:tcBorders>
            <w:shd w:val="clear" w:color="auto" w:fill="auto"/>
            <w:vAlign w:val="center"/>
          </w:tcPr>
          <w:p w14:paraId="75C7977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050AAC7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-3.6787</w:t>
            </w:r>
          </w:p>
        </w:tc>
        <w:tc>
          <w:tcPr>
            <w:tcW w:w="1089" w:type="dxa"/>
            <w:shd w:val="clear" w:color="auto" w:fill="FFFFFF" w:themeFill="background1"/>
            <w:noWrap/>
            <w:vAlign w:val="bottom"/>
          </w:tcPr>
          <w:p w14:paraId="05870B0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-19.086</w:t>
            </w:r>
          </w:p>
        </w:tc>
        <w:tc>
          <w:tcPr>
            <w:tcW w:w="1089" w:type="dxa"/>
            <w:tcBorders>
              <w:left w:val="single" w:sz="18" w:space="0" w:color="auto"/>
            </w:tcBorders>
            <w:shd w:val="clear" w:color="auto" w:fill="FFFFFF" w:themeFill="background1"/>
            <w:vAlign w:val="bottom"/>
          </w:tcPr>
          <w:p w14:paraId="28BDDA9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-3.6787</w:t>
            </w:r>
          </w:p>
        </w:tc>
        <w:tc>
          <w:tcPr>
            <w:tcW w:w="1089" w:type="dxa"/>
            <w:tcBorders>
              <w:right w:val="single" w:sz="12" w:space="0" w:color="auto"/>
            </w:tcBorders>
            <w:shd w:val="clear" w:color="auto" w:fill="FFFFFF" w:themeFill="background1"/>
            <w:noWrap/>
            <w:vAlign w:val="bottom"/>
          </w:tcPr>
          <w:p w14:paraId="16769EC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-19.086</w:t>
            </w:r>
          </w:p>
        </w:tc>
      </w:tr>
      <w:tr w:rsidR="00D637C3" w:rsidRPr="00B8500C" w14:paraId="2BE0B90E"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0C5AA477" w14:textId="77777777" w:rsidR="00D637C3" w:rsidRPr="00B8500C" w:rsidRDefault="00D637C3" w:rsidP="009B6F3A">
            <w:pPr>
              <w:spacing w:before="0" w:after="0"/>
              <w:rPr>
                <w:rFonts w:ascii="Times New Roman" w:eastAsia="Times New Roman" w:hAnsi="Times New Roman" w:cs="Times New Roman"/>
                <w:b w:val="0"/>
                <w:bCs w:val="0"/>
                <w:color w:val="auto"/>
                <w:lang w:eastAsia="en-CA"/>
              </w:rPr>
            </w:pPr>
            <w:r w:rsidRPr="00B8500C">
              <w:rPr>
                <w:rFonts w:ascii="Times New Roman" w:eastAsia="Times New Roman" w:hAnsi="Times New Roman" w:cs="Times New Roman"/>
                <w:b w:val="0"/>
                <w:color w:val="auto"/>
                <w:lang w:eastAsia="en-CA"/>
              </w:rPr>
              <w:t>Rainy</w:t>
            </w:r>
          </w:p>
        </w:tc>
        <w:tc>
          <w:tcPr>
            <w:tcW w:w="1089" w:type="dxa"/>
            <w:tcBorders>
              <w:top w:val="nil"/>
              <w:left w:val="single" w:sz="18" w:space="0" w:color="auto"/>
              <w:bottom w:val="nil"/>
            </w:tcBorders>
            <w:shd w:val="clear" w:color="auto" w:fill="auto"/>
            <w:vAlign w:val="center"/>
          </w:tcPr>
          <w:p w14:paraId="0C6430B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7AAD9AE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711C28C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-0.5267</w:t>
            </w:r>
          </w:p>
        </w:tc>
        <w:tc>
          <w:tcPr>
            <w:tcW w:w="1089" w:type="dxa"/>
            <w:shd w:val="clear" w:color="auto" w:fill="FFFFFF" w:themeFill="background1"/>
            <w:noWrap/>
            <w:vAlign w:val="bottom"/>
          </w:tcPr>
          <w:p w14:paraId="6055D94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-8.464</w:t>
            </w:r>
          </w:p>
        </w:tc>
        <w:tc>
          <w:tcPr>
            <w:tcW w:w="1089" w:type="dxa"/>
            <w:tcBorders>
              <w:left w:val="single" w:sz="18" w:space="0" w:color="auto"/>
            </w:tcBorders>
            <w:shd w:val="clear" w:color="auto" w:fill="FFFFFF" w:themeFill="background1"/>
            <w:vAlign w:val="bottom"/>
          </w:tcPr>
          <w:p w14:paraId="587D311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-0.5267</w:t>
            </w:r>
          </w:p>
        </w:tc>
        <w:tc>
          <w:tcPr>
            <w:tcW w:w="1089" w:type="dxa"/>
            <w:tcBorders>
              <w:right w:val="single" w:sz="12" w:space="0" w:color="auto"/>
            </w:tcBorders>
            <w:shd w:val="clear" w:color="auto" w:fill="FFFFFF" w:themeFill="background1"/>
            <w:noWrap/>
            <w:vAlign w:val="bottom"/>
          </w:tcPr>
          <w:p w14:paraId="55D01C7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-8.464</w:t>
            </w:r>
          </w:p>
        </w:tc>
      </w:tr>
      <w:tr w:rsidR="00D637C3" w:rsidRPr="00B8500C" w14:paraId="651A82BB"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67280DEC"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Weekend</w:t>
            </w:r>
          </w:p>
        </w:tc>
        <w:tc>
          <w:tcPr>
            <w:tcW w:w="1089" w:type="dxa"/>
            <w:tcBorders>
              <w:top w:val="nil"/>
              <w:left w:val="single" w:sz="18" w:space="0" w:color="auto"/>
              <w:bottom w:val="nil"/>
            </w:tcBorders>
            <w:shd w:val="clear" w:color="auto" w:fill="auto"/>
            <w:vAlign w:val="center"/>
          </w:tcPr>
          <w:p w14:paraId="06AB0DA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6B3756E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450D74D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-0.7867</w:t>
            </w:r>
          </w:p>
        </w:tc>
        <w:tc>
          <w:tcPr>
            <w:tcW w:w="1089" w:type="dxa"/>
            <w:shd w:val="clear" w:color="auto" w:fill="FFFFFF" w:themeFill="background1"/>
            <w:noWrap/>
            <w:vAlign w:val="bottom"/>
          </w:tcPr>
          <w:p w14:paraId="3049553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-19.091</w:t>
            </w:r>
          </w:p>
        </w:tc>
        <w:tc>
          <w:tcPr>
            <w:tcW w:w="1089" w:type="dxa"/>
            <w:tcBorders>
              <w:left w:val="single" w:sz="18" w:space="0" w:color="auto"/>
            </w:tcBorders>
            <w:shd w:val="clear" w:color="auto" w:fill="FFFFFF" w:themeFill="background1"/>
            <w:vAlign w:val="bottom"/>
          </w:tcPr>
          <w:p w14:paraId="085726C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-0.7867</w:t>
            </w:r>
          </w:p>
        </w:tc>
        <w:tc>
          <w:tcPr>
            <w:tcW w:w="1089" w:type="dxa"/>
            <w:tcBorders>
              <w:right w:val="single" w:sz="12" w:space="0" w:color="auto"/>
            </w:tcBorders>
            <w:shd w:val="clear" w:color="auto" w:fill="FFFFFF" w:themeFill="background1"/>
            <w:noWrap/>
            <w:vAlign w:val="bottom"/>
          </w:tcPr>
          <w:p w14:paraId="127672B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-19.091</w:t>
            </w:r>
          </w:p>
        </w:tc>
      </w:tr>
      <w:tr w:rsidR="00D637C3" w:rsidRPr="00B8500C" w14:paraId="72507AE2"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451633FF"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PM</w:t>
            </w:r>
          </w:p>
        </w:tc>
        <w:tc>
          <w:tcPr>
            <w:tcW w:w="1089" w:type="dxa"/>
            <w:tcBorders>
              <w:top w:val="nil"/>
              <w:left w:val="single" w:sz="18" w:space="0" w:color="auto"/>
              <w:bottom w:val="nil"/>
            </w:tcBorders>
            <w:shd w:val="clear" w:color="auto" w:fill="auto"/>
            <w:vAlign w:val="center"/>
          </w:tcPr>
          <w:p w14:paraId="7FD5A55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4234BD1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7C46138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1.6961</w:t>
            </w:r>
          </w:p>
        </w:tc>
        <w:tc>
          <w:tcPr>
            <w:tcW w:w="1089" w:type="dxa"/>
            <w:shd w:val="clear" w:color="auto" w:fill="FFFFFF" w:themeFill="background1"/>
            <w:noWrap/>
            <w:vAlign w:val="bottom"/>
          </w:tcPr>
          <w:p w14:paraId="2767565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20.314</w:t>
            </w:r>
          </w:p>
        </w:tc>
        <w:tc>
          <w:tcPr>
            <w:tcW w:w="1089" w:type="dxa"/>
            <w:tcBorders>
              <w:left w:val="single" w:sz="18" w:space="0" w:color="auto"/>
            </w:tcBorders>
            <w:shd w:val="clear" w:color="auto" w:fill="FFFFFF" w:themeFill="background1"/>
            <w:vAlign w:val="bottom"/>
          </w:tcPr>
          <w:p w14:paraId="42691C9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1.6961</w:t>
            </w:r>
          </w:p>
        </w:tc>
        <w:tc>
          <w:tcPr>
            <w:tcW w:w="1089" w:type="dxa"/>
            <w:tcBorders>
              <w:right w:val="single" w:sz="12" w:space="0" w:color="auto"/>
            </w:tcBorders>
            <w:shd w:val="clear" w:color="auto" w:fill="FFFFFF" w:themeFill="background1"/>
            <w:noWrap/>
            <w:vAlign w:val="bottom"/>
          </w:tcPr>
          <w:p w14:paraId="557B329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20.314</w:t>
            </w:r>
          </w:p>
        </w:tc>
      </w:tr>
      <w:tr w:rsidR="00D637C3" w:rsidRPr="00B8500C" w14:paraId="1669F576"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14871A81"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Night</w:t>
            </w:r>
          </w:p>
        </w:tc>
        <w:tc>
          <w:tcPr>
            <w:tcW w:w="1089" w:type="dxa"/>
            <w:tcBorders>
              <w:top w:val="nil"/>
              <w:left w:val="single" w:sz="18" w:space="0" w:color="auto"/>
              <w:bottom w:val="nil"/>
            </w:tcBorders>
            <w:shd w:val="clear" w:color="auto" w:fill="auto"/>
            <w:vAlign w:val="center"/>
          </w:tcPr>
          <w:p w14:paraId="1E1077A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78CAB1E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1318F21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-3.2944</w:t>
            </w:r>
          </w:p>
        </w:tc>
        <w:tc>
          <w:tcPr>
            <w:tcW w:w="1089" w:type="dxa"/>
            <w:shd w:val="clear" w:color="auto" w:fill="FFFFFF" w:themeFill="background1"/>
            <w:noWrap/>
            <w:vAlign w:val="bottom"/>
          </w:tcPr>
          <w:p w14:paraId="3F0D501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-26.013</w:t>
            </w:r>
          </w:p>
        </w:tc>
        <w:tc>
          <w:tcPr>
            <w:tcW w:w="1089" w:type="dxa"/>
            <w:tcBorders>
              <w:left w:val="single" w:sz="18" w:space="0" w:color="auto"/>
            </w:tcBorders>
            <w:shd w:val="clear" w:color="auto" w:fill="FFFFFF" w:themeFill="background1"/>
            <w:vAlign w:val="bottom"/>
          </w:tcPr>
          <w:p w14:paraId="7CC5C74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-3.2944</w:t>
            </w:r>
          </w:p>
        </w:tc>
        <w:tc>
          <w:tcPr>
            <w:tcW w:w="1089" w:type="dxa"/>
            <w:tcBorders>
              <w:right w:val="single" w:sz="12" w:space="0" w:color="auto"/>
            </w:tcBorders>
            <w:shd w:val="clear" w:color="auto" w:fill="FFFFFF" w:themeFill="background1"/>
            <w:noWrap/>
            <w:vAlign w:val="bottom"/>
          </w:tcPr>
          <w:p w14:paraId="4A7C1CC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-26.013</w:t>
            </w:r>
          </w:p>
        </w:tc>
      </w:tr>
      <w:tr w:rsidR="00D637C3" w:rsidRPr="00B8500C" w14:paraId="5AB04CBC"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79FA758C" w14:textId="77777777" w:rsidR="00D637C3" w:rsidRPr="00B8500C" w:rsidRDefault="00D637C3" w:rsidP="009B6F3A">
            <w:pPr>
              <w:spacing w:before="0" w:after="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TAZ Variables</w:t>
            </w:r>
          </w:p>
        </w:tc>
        <w:tc>
          <w:tcPr>
            <w:tcW w:w="1089" w:type="dxa"/>
            <w:tcBorders>
              <w:top w:val="nil"/>
              <w:left w:val="single" w:sz="18" w:space="0" w:color="auto"/>
              <w:bottom w:val="nil"/>
            </w:tcBorders>
            <w:shd w:val="clear" w:color="auto" w:fill="auto"/>
            <w:vAlign w:val="center"/>
          </w:tcPr>
          <w:p w14:paraId="187C793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7A43087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center"/>
          </w:tcPr>
          <w:p w14:paraId="78A8ED7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shd w:val="clear" w:color="auto" w:fill="FFFFFF" w:themeFill="background1"/>
            <w:noWrap/>
            <w:vAlign w:val="center"/>
          </w:tcPr>
          <w:p w14:paraId="03AAAA1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vAlign w:val="center"/>
          </w:tcPr>
          <w:p w14:paraId="454C600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right w:val="single" w:sz="12" w:space="0" w:color="auto"/>
            </w:tcBorders>
            <w:shd w:val="clear" w:color="auto" w:fill="FFFFFF" w:themeFill="background1"/>
            <w:noWrap/>
            <w:vAlign w:val="center"/>
          </w:tcPr>
          <w:p w14:paraId="1E0C589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5D063E0D"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387CB000"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Bicycle Facility Density</w:t>
            </w:r>
          </w:p>
        </w:tc>
        <w:tc>
          <w:tcPr>
            <w:tcW w:w="1089" w:type="dxa"/>
            <w:tcBorders>
              <w:top w:val="nil"/>
              <w:left w:val="single" w:sz="18" w:space="0" w:color="auto"/>
              <w:bottom w:val="nil"/>
            </w:tcBorders>
            <w:shd w:val="clear" w:color="auto" w:fill="auto"/>
            <w:vAlign w:val="bottom"/>
          </w:tcPr>
          <w:p w14:paraId="2278B27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0.0714</w:t>
            </w:r>
          </w:p>
        </w:tc>
        <w:tc>
          <w:tcPr>
            <w:tcW w:w="1089" w:type="dxa"/>
            <w:tcBorders>
              <w:top w:val="nil"/>
              <w:bottom w:val="nil"/>
              <w:right w:val="single" w:sz="18" w:space="0" w:color="auto"/>
            </w:tcBorders>
            <w:shd w:val="clear" w:color="auto" w:fill="auto"/>
            <w:vAlign w:val="bottom"/>
          </w:tcPr>
          <w:p w14:paraId="0B63372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2.097</w:t>
            </w:r>
          </w:p>
        </w:tc>
        <w:tc>
          <w:tcPr>
            <w:tcW w:w="1089" w:type="dxa"/>
            <w:tcBorders>
              <w:left w:val="single" w:sz="18" w:space="0" w:color="auto"/>
            </w:tcBorders>
            <w:shd w:val="clear" w:color="auto" w:fill="FFFFFF" w:themeFill="background1"/>
            <w:noWrap/>
            <w:vAlign w:val="bottom"/>
          </w:tcPr>
          <w:p w14:paraId="7846B3C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0.0865</w:t>
            </w:r>
          </w:p>
        </w:tc>
        <w:tc>
          <w:tcPr>
            <w:tcW w:w="1089" w:type="dxa"/>
            <w:shd w:val="clear" w:color="auto" w:fill="FFFFFF" w:themeFill="background1"/>
            <w:noWrap/>
            <w:vAlign w:val="bottom"/>
          </w:tcPr>
          <w:p w14:paraId="4B6C658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5.203</w:t>
            </w:r>
          </w:p>
        </w:tc>
        <w:tc>
          <w:tcPr>
            <w:tcW w:w="1089" w:type="dxa"/>
            <w:tcBorders>
              <w:left w:val="single" w:sz="18" w:space="0" w:color="auto"/>
            </w:tcBorders>
            <w:shd w:val="clear" w:color="auto" w:fill="FFFFFF" w:themeFill="background1"/>
            <w:vAlign w:val="bottom"/>
          </w:tcPr>
          <w:p w14:paraId="18801D1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0.0865</w:t>
            </w:r>
          </w:p>
        </w:tc>
        <w:tc>
          <w:tcPr>
            <w:tcW w:w="1089" w:type="dxa"/>
            <w:tcBorders>
              <w:right w:val="single" w:sz="12" w:space="0" w:color="auto"/>
            </w:tcBorders>
            <w:shd w:val="clear" w:color="auto" w:fill="FFFFFF" w:themeFill="background1"/>
            <w:noWrap/>
            <w:vAlign w:val="bottom"/>
          </w:tcPr>
          <w:p w14:paraId="05E92A3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5.203</w:t>
            </w:r>
          </w:p>
        </w:tc>
      </w:tr>
      <w:tr w:rsidR="00D637C3" w:rsidRPr="00B8500C" w14:paraId="7ED5FDE1"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53875509"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Highway Density</w:t>
            </w:r>
          </w:p>
        </w:tc>
        <w:tc>
          <w:tcPr>
            <w:tcW w:w="1089" w:type="dxa"/>
            <w:tcBorders>
              <w:top w:val="nil"/>
              <w:left w:val="single" w:sz="18" w:space="0" w:color="auto"/>
              <w:bottom w:val="nil"/>
            </w:tcBorders>
            <w:shd w:val="clear" w:color="auto" w:fill="auto"/>
            <w:vAlign w:val="bottom"/>
          </w:tcPr>
          <w:p w14:paraId="09D60BB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-0.1058</w:t>
            </w:r>
          </w:p>
        </w:tc>
        <w:tc>
          <w:tcPr>
            <w:tcW w:w="1089" w:type="dxa"/>
            <w:tcBorders>
              <w:top w:val="nil"/>
              <w:bottom w:val="nil"/>
              <w:right w:val="single" w:sz="18" w:space="0" w:color="auto"/>
            </w:tcBorders>
            <w:shd w:val="clear" w:color="auto" w:fill="auto"/>
            <w:vAlign w:val="bottom"/>
          </w:tcPr>
          <w:p w14:paraId="738C565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-1.757</w:t>
            </w:r>
          </w:p>
        </w:tc>
        <w:tc>
          <w:tcPr>
            <w:tcW w:w="1089" w:type="dxa"/>
            <w:tcBorders>
              <w:left w:val="single" w:sz="18" w:space="0" w:color="auto"/>
            </w:tcBorders>
            <w:shd w:val="clear" w:color="auto" w:fill="FFFFFF" w:themeFill="background1"/>
            <w:noWrap/>
            <w:vAlign w:val="bottom"/>
          </w:tcPr>
          <w:p w14:paraId="69D8AF1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-0.1642</w:t>
            </w:r>
          </w:p>
        </w:tc>
        <w:tc>
          <w:tcPr>
            <w:tcW w:w="1089" w:type="dxa"/>
            <w:shd w:val="clear" w:color="auto" w:fill="FFFFFF" w:themeFill="background1"/>
            <w:noWrap/>
            <w:vAlign w:val="bottom"/>
          </w:tcPr>
          <w:p w14:paraId="38C2698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-5.865</w:t>
            </w:r>
          </w:p>
        </w:tc>
        <w:tc>
          <w:tcPr>
            <w:tcW w:w="1089" w:type="dxa"/>
            <w:tcBorders>
              <w:left w:val="single" w:sz="18" w:space="0" w:color="auto"/>
            </w:tcBorders>
            <w:shd w:val="clear" w:color="auto" w:fill="FFFFFF" w:themeFill="background1"/>
            <w:vAlign w:val="bottom"/>
          </w:tcPr>
          <w:p w14:paraId="1556A41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-0.1642</w:t>
            </w:r>
          </w:p>
        </w:tc>
        <w:tc>
          <w:tcPr>
            <w:tcW w:w="1089" w:type="dxa"/>
            <w:tcBorders>
              <w:right w:val="single" w:sz="12" w:space="0" w:color="auto"/>
            </w:tcBorders>
            <w:shd w:val="clear" w:color="auto" w:fill="FFFFFF" w:themeFill="background1"/>
            <w:noWrap/>
            <w:vAlign w:val="bottom"/>
          </w:tcPr>
          <w:p w14:paraId="37E2474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-5.865</w:t>
            </w:r>
          </w:p>
        </w:tc>
      </w:tr>
      <w:tr w:rsidR="00D637C3" w:rsidRPr="00B8500C" w14:paraId="7F184E0E"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7279A7AE" w14:textId="55EA37B9" w:rsidR="00D637C3" w:rsidRPr="00B8500C" w:rsidRDefault="00D637C3" w:rsidP="003946F9">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Rail length</w:t>
            </w:r>
          </w:p>
        </w:tc>
        <w:tc>
          <w:tcPr>
            <w:tcW w:w="1089" w:type="dxa"/>
            <w:tcBorders>
              <w:top w:val="nil"/>
              <w:left w:val="single" w:sz="18" w:space="0" w:color="auto"/>
              <w:bottom w:val="nil"/>
            </w:tcBorders>
            <w:shd w:val="clear" w:color="auto" w:fill="auto"/>
            <w:vAlign w:val="bottom"/>
          </w:tcPr>
          <w:p w14:paraId="4022C3A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-0.5133</w:t>
            </w:r>
          </w:p>
        </w:tc>
        <w:tc>
          <w:tcPr>
            <w:tcW w:w="1089" w:type="dxa"/>
            <w:tcBorders>
              <w:top w:val="nil"/>
              <w:bottom w:val="nil"/>
              <w:right w:val="single" w:sz="18" w:space="0" w:color="auto"/>
            </w:tcBorders>
            <w:shd w:val="clear" w:color="auto" w:fill="auto"/>
            <w:vAlign w:val="bottom"/>
          </w:tcPr>
          <w:p w14:paraId="10B8F13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-2.623</w:t>
            </w:r>
          </w:p>
        </w:tc>
        <w:tc>
          <w:tcPr>
            <w:tcW w:w="1089" w:type="dxa"/>
            <w:tcBorders>
              <w:left w:val="single" w:sz="18" w:space="0" w:color="auto"/>
            </w:tcBorders>
            <w:shd w:val="clear" w:color="auto" w:fill="FFFFFF" w:themeFill="background1"/>
            <w:noWrap/>
            <w:vAlign w:val="center"/>
          </w:tcPr>
          <w:p w14:paraId="220A245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shd w:val="clear" w:color="auto" w:fill="FFFFFF" w:themeFill="background1"/>
            <w:noWrap/>
            <w:vAlign w:val="center"/>
          </w:tcPr>
          <w:p w14:paraId="7A201BC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vAlign w:val="center"/>
          </w:tcPr>
          <w:p w14:paraId="3CD59D4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right w:val="single" w:sz="12" w:space="0" w:color="auto"/>
            </w:tcBorders>
            <w:shd w:val="clear" w:color="auto" w:fill="FFFFFF" w:themeFill="background1"/>
            <w:noWrap/>
            <w:vAlign w:val="center"/>
          </w:tcPr>
          <w:p w14:paraId="69FF381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2B90EFB4"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62775EA7" w14:textId="77777777" w:rsidR="00D637C3" w:rsidRPr="00B8500C" w:rsidRDefault="00D637C3" w:rsidP="009B6F3A">
            <w:pPr>
              <w:spacing w:before="0" w:after="0"/>
              <w:rPr>
                <w:rFonts w:ascii="Times New Roman" w:eastAsia="Times New Roman" w:hAnsi="Times New Roman" w:cs="Times New Roman"/>
                <w:color w:val="auto"/>
                <w:lang w:eastAsia="en-CA"/>
              </w:rPr>
            </w:pPr>
            <w:r w:rsidRPr="00B8500C">
              <w:rPr>
                <w:rFonts w:ascii="Times New Roman" w:eastAsia="Times New Roman" w:hAnsi="Times New Roman" w:cs="Times New Roman"/>
                <w:b w:val="0"/>
                <w:color w:val="auto"/>
                <w:lang w:eastAsia="en-CA"/>
              </w:rPr>
              <w:t>Downtown</w:t>
            </w:r>
          </w:p>
        </w:tc>
        <w:tc>
          <w:tcPr>
            <w:tcW w:w="1089" w:type="dxa"/>
            <w:tcBorders>
              <w:top w:val="nil"/>
              <w:left w:val="single" w:sz="18" w:space="0" w:color="auto"/>
              <w:bottom w:val="nil"/>
            </w:tcBorders>
            <w:shd w:val="clear" w:color="auto" w:fill="auto"/>
            <w:vAlign w:val="bottom"/>
          </w:tcPr>
          <w:p w14:paraId="1877185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1.0132</w:t>
            </w:r>
          </w:p>
        </w:tc>
        <w:tc>
          <w:tcPr>
            <w:tcW w:w="1089" w:type="dxa"/>
            <w:tcBorders>
              <w:top w:val="nil"/>
              <w:bottom w:val="nil"/>
              <w:right w:val="single" w:sz="18" w:space="0" w:color="auto"/>
            </w:tcBorders>
            <w:shd w:val="clear" w:color="auto" w:fill="auto"/>
            <w:vAlign w:val="bottom"/>
          </w:tcPr>
          <w:p w14:paraId="2BED9C1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1.722</w:t>
            </w:r>
          </w:p>
        </w:tc>
        <w:tc>
          <w:tcPr>
            <w:tcW w:w="1089" w:type="dxa"/>
            <w:tcBorders>
              <w:left w:val="single" w:sz="18" w:space="0" w:color="auto"/>
            </w:tcBorders>
            <w:shd w:val="clear" w:color="auto" w:fill="FFFFFF" w:themeFill="background1"/>
            <w:noWrap/>
            <w:vAlign w:val="center"/>
          </w:tcPr>
          <w:p w14:paraId="558B14E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shd w:val="clear" w:color="auto" w:fill="FFFFFF" w:themeFill="background1"/>
            <w:noWrap/>
            <w:vAlign w:val="center"/>
          </w:tcPr>
          <w:p w14:paraId="53AE7C6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vAlign w:val="center"/>
          </w:tcPr>
          <w:p w14:paraId="67E726A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right w:val="single" w:sz="12" w:space="0" w:color="auto"/>
            </w:tcBorders>
            <w:shd w:val="clear" w:color="auto" w:fill="FFFFFF" w:themeFill="background1"/>
            <w:noWrap/>
            <w:vAlign w:val="center"/>
          </w:tcPr>
          <w:p w14:paraId="29C2A71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6746E9FE"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724897C4"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Distance to CBD</w:t>
            </w:r>
          </w:p>
        </w:tc>
        <w:tc>
          <w:tcPr>
            <w:tcW w:w="1089" w:type="dxa"/>
            <w:tcBorders>
              <w:top w:val="nil"/>
              <w:left w:val="single" w:sz="18" w:space="0" w:color="auto"/>
              <w:bottom w:val="nil"/>
            </w:tcBorders>
            <w:shd w:val="clear" w:color="auto" w:fill="auto"/>
            <w:vAlign w:val="bottom"/>
          </w:tcPr>
          <w:p w14:paraId="65F3301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-0.2931</w:t>
            </w:r>
          </w:p>
        </w:tc>
        <w:tc>
          <w:tcPr>
            <w:tcW w:w="1089" w:type="dxa"/>
            <w:tcBorders>
              <w:top w:val="nil"/>
              <w:bottom w:val="nil"/>
              <w:right w:val="single" w:sz="18" w:space="0" w:color="auto"/>
            </w:tcBorders>
            <w:shd w:val="clear" w:color="auto" w:fill="auto"/>
            <w:vAlign w:val="bottom"/>
          </w:tcPr>
          <w:p w14:paraId="3D87CB6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-2.506</w:t>
            </w:r>
          </w:p>
        </w:tc>
        <w:tc>
          <w:tcPr>
            <w:tcW w:w="1089" w:type="dxa"/>
            <w:tcBorders>
              <w:left w:val="single" w:sz="18" w:space="0" w:color="auto"/>
            </w:tcBorders>
            <w:shd w:val="clear" w:color="auto" w:fill="FFFFFF" w:themeFill="background1"/>
            <w:noWrap/>
            <w:vAlign w:val="bottom"/>
          </w:tcPr>
          <w:p w14:paraId="1D91FB7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-0.2759</w:t>
            </w:r>
          </w:p>
        </w:tc>
        <w:tc>
          <w:tcPr>
            <w:tcW w:w="1089" w:type="dxa"/>
            <w:shd w:val="clear" w:color="auto" w:fill="FFFFFF" w:themeFill="background1"/>
            <w:noWrap/>
            <w:vAlign w:val="bottom"/>
          </w:tcPr>
          <w:p w14:paraId="0469CD8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-4.737</w:t>
            </w:r>
          </w:p>
        </w:tc>
        <w:tc>
          <w:tcPr>
            <w:tcW w:w="1089" w:type="dxa"/>
            <w:tcBorders>
              <w:left w:val="single" w:sz="18" w:space="0" w:color="auto"/>
            </w:tcBorders>
            <w:shd w:val="clear" w:color="auto" w:fill="FFFFFF" w:themeFill="background1"/>
            <w:vAlign w:val="bottom"/>
          </w:tcPr>
          <w:p w14:paraId="69FF0CE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-0.2759</w:t>
            </w:r>
          </w:p>
        </w:tc>
        <w:tc>
          <w:tcPr>
            <w:tcW w:w="1089" w:type="dxa"/>
            <w:tcBorders>
              <w:right w:val="single" w:sz="12" w:space="0" w:color="auto"/>
            </w:tcBorders>
            <w:shd w:val="clear" w:color="auto" w:fill="FFFFFF" w:themeFill="background1"/>
            <w:noWrap/>
            <w:vAlign w:val="bottom"/>
          </w:tcPr>
          <w:p w14:paraId="789E2D9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-4.737</w:t>
            </w:r>
          </w:p>
        </w:tc>
      </w:tr>
      <w:tr w:rsidR="00D637C3" w:rsidRPr="00B8500C" w14:paraId="4FE353F1"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268B98B5"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Metro Station in TAZ</w:t>
            </w:r>
          </w:p>
        </w:tc>
        <w:tc>
          <w:tcPr>
            <w:tcW w:w="1089" w:type="dxa"/>
            <w:tcBorders>
              <w:top w:val="nil"/>
              <w:left w:val="single" w:sz="18" w:space="0" w:color="auto"/>
              <w:bottom w:val="nil"/>
            </w:tcBorders>
            <w:shd w:val="clear" w:color="auto" w:fill="auto"/>
            <w:vAlign w:val="center"/>
          </w:tcPr>
          <w:p w14:paraId="546E0CA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1CE845A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15C4C92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0.9273</w:t>
            </w:r>
          </w:p>
        </w:tc>
        <w:tc>
          <w:tcPr>
            <w:tcW w:w="1089" w:type="dxa"/>
            <w:shd w:val="clear" w:color="auto" w:fill="FFFFFF" w:themeFill="background1"/>
            <w:noWrap/>
            <w:vAlign w:val="bottom"/>
          </w:tcPr>
          <w:p w14:paraId="39647F9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4.525</w:t>
            </w:r>
          </w:p>
        </w:tc>
        <w:tc>
          <w:tcPr>
            <w:tcW w:w="1089" w:type="dxa"/>
            <w:tcBorders>
              <w:left w:val="single" w:sz="18" w:space="0" w:color="auto"/>
            </w:tcBorders>
            <w:shd w:val="clear" w:color="auto" w:fill="FFFFFF" w:themeFill="background1"/>
            <w:vAlign w:val="bottom"/>
          </w:tcPr>
          <w:p w14:paraId="5F8032E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0.9273</w:t>
            </w:r>
          </w:p>
        </w:tc>
        <w:tc>
          <w:tcPr>
            <w:tcW w:w="1089" w:type="dxa"/>
            <w:tcBorders>
              <w:right w:val="single" w:sz="12" w:space="0" w:color="auto"/>
            </w:tcBorders>
            <w:shd w:val="clear" w:color="auto" w:fill="FFFFFF" w:themeFill="background1"/>
            <w:noWrap/>
            <w:vAlign w:val="bottom"/>
          </w:tcPr>
          <w:p w14:paraId="542CA5D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4.525</w:t>
            </w:r>
          </w:p>
        </w:tc>
      </w:tr>
      <w:tr w:rsidR="00D637C3" w:rsidRPr="00B8500C" w14:paraId="6AB42A12"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5F1823C8" w14:textId="77777777" w:rsidR="00D637C3" w:rsidRPr="00B8500C" w:rsidRDefault="00D637C3" w:rsidP="009B6F3A">
            <w:pPr>
              <w:spacing w:before="0" w:after="0"/>
              <w:rPr>
                <w:rFonts w:ascii="Times New Roman" w:eastAsia="Times New Roman" w:hAnsi="Times New Roman" w:cs="Times New Roman"/>
                <w:b w:val="0"/>
                <w:bCs w:val="0"/>
                <w:color w:val="auto"/>
                <w:lang w:eastAsia="en-CA"/>
              </w:rPr>
            </w:pPr>
            <w:r w:rsidRPr="00B8500C">
              <w:rPr>
                <w:rFonts w:ascii="Times New Roman" w:eastAsia="Times New Roman" w:hAnsi="Times New Roman" w:cs="Times New Roman"/>
                <w:b w:val="0"/>
                <w:color w:val="auto"/>
                <w:lang w:eastAsia="en-CA"/>
              </w:rPr>
              <w:t>Number of Restaurants in TAZ</w:t>
            </w:r>
          </w:p>
        </w:tc>
        <w:tc>
          <w:tcPr>
            <w:tcW w:w="1089" w:type="dxa"/>
            <w:tcBorders>
              <w:top w:val="nil"/>
              <w:left w:val="single" w:sz="18" w:space="0" w:color="auto"/>
              <w:bottom w:val="nil"/>
            </w:tcBorders>
            <w:shd w:val="clear" w:color="auto" w:fill="auto"/>
            <w:vAlign w:val="bottom"/>
          </w:tcPr>
          <w:p w14:paraId="3C21AAB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3.1938</w:t>
            </w:r>
          </w:p>
        </w:tc>
        <w:tc>
          <w:tcPr>
            <w:tcW w:w="1089" w:type="dxa"/>
            <w:tcBorders>
              <w:top w:val="nil"/>
              <w:bottom w:val="nil"/>
              <w:right w:val="single" w:sz="18" w:space="0" w:color="auto"/>
            </w:tcBorders>
            <w:shd w:val="clear" w:color="auto" w:fill="auto"/>
            <w:vAlign w:val="bottom"/>
          </w:tcPr>
          <w:p w14:paraId="729E058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2.703</w:t>
            </w:r>
          </w:p>
        </w:tc>
        <w:tc>
          <w:tcPr>
            <w:tcW w:w="1089" w:type="dxa"/>
            <w:tcBorders>
              <w:left w:val="single" w:sz="18" w:space="0" w:color="auto"/>
            </w:tcBorders>
            <w:shd w:val="clear" w:color="auto" w:fill="FFFFFF" w:themeFill="background1"/>
            <w:noWrap/>
            <w:vAlign w:val="bottom"/>
          </w:tcPr>
          <w:p w14:paraId="3346822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0.9764</w:t>
            </w:r>
          </w:p>
        </w:tc>
        <w:tc>
          <w:tcPr>
            <w:tcW w:w="1089" w:type="dxa"/>
            <w:shd w:val="clear" w:color="auto" w:fill="FFFFFF" w:themeFill="background1"/>
            <w:noWrap/>
            <w:vAlign w:val="bottom"/>
          </w:tcPr>
          <w:p w14:paraId="32FBECE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2.278</w:t>
            </w:r>
          </w:p>
        </w:tc>
        <w:tc>
          <w:tcPr>
            <w:tcW w:w="1089" w:type="dxa"/>
            <w:tcBorders>
              <w:left w:val="single" w:sz="18" w:space="0" w:color="auto"/>
            </w:tcBorders>
            <w:shd w:val="clear" w:color="auto" w:fill="FFFFFF" w:themeFill="background1"/>
            <w:vAlign w:val="bottom"/>
          </w:tcPr>
          <w:p w14:paraId="05BC58D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0.9764</w:t>
            </w:r>
          </w:p>
        </w:tc>
        <w:tc>
          <w:tcPr>
            <w:tcW w:w="1089" w:type="dxa"/>
            <w:tcBorders>
              <w:right w:val="single" w:sz="12" w:space="0" w:color="auto"/>
            </w:tcBorders>
            <w:shd w:val="clear" w:color="auto" w:fill="FFFFFF" w:themeFill="background1"/>
            <w:noWrap/>
            <w:vAlign w:val="bottom"/>
          </w:tcPr>
          <w:p w14:paraId="25A94B2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2.278</w:t>
            </w:r>
          </w:p>
        </w:tc>
      </w:tr>
      <w:tr w:rsidR="00D637C3" w:rsidRPr="00B8500C" w14:paraId="11748544"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1CBEE2C3"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University in TAZ * AM</w:t>
            </w:r>
          </w:p>
        </w:tc>
        <w:tc>
          <w:tcPr>
            <w:tcW w:w="1089" w:type="dxa"/>
            <w:tcBorders>
              <w:top w:val="nil"/>
              <w:left w:val="single" w:sz="18" w:space="0" w:color="auto"/>
              <w:bottom w:val="nil"/>
            </w:tcBorders>
            <w:shd w:val="clear" w:color="auto" w:fill="auto"/>
            <w:vAlign w:val="center"/>
          </w:tcPr>
          <w:p w14:paraId="620E0DB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5031B64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1E2B42A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0.6593</w:t>
            </w:r>
          </w:p>
        </w:tc>
        <w:tc>
          <w:tcPr>
            <w:tcW w:w="1089" w:type="dxa"/>
            <w:shd w:val="clear" w:color="auto" w:fill="FFFFFF" w:themeFill="background1"/>
            <w:noWrap/>
            <w:vAlign w:val="bottom"/>
          </w:tcPr>
          <w:p w14:paraId="7CA8A74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3.13</w:t>
            </w:r>
          </w:p>
        </w:tc>
        <w:tc>
          <w:tcPr>
            <w:tcW w:w="1089" w:type="dxa"/>
            <w:tcBorders>
              <w:left w:val="single" w:sz="18" w:space="0" w:color="auto"/>
            </w:tcBorders>
            <w:shd w:val="clear" w:color="auto" w:fill="FFFFFF" w:themeFill="background1"/>
            <w:vAlign w:val="bottom"/>
          </w:tcPr>
          <w:p w14:paraId="6D25575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-0.8526</w:t>
            </w:r>
          </w:p>
        </w:tc>
        <w:tc>
          <w:tcPr>
            <w:tcW w:w="1089" w:type="dxa"/>
            <w:tcBorders>
              <w:right w:val="single" w:sz="12" w:space="0" w:color="auto"/>
            </w:tcBorders>
            <w:shd w:val="clear" w:color="auto" w:fill="FFFFFF" w:themeFill="background1"/>
            <w:noWrap/>
            <w:vAlign w:val="bottom"/>
          </w:tcPr>
          <w:p w14:paraId="4C9529E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-4.221</w:t>
            </w:r>
          </w:p>
        </w:tc>
      </w:tr>
      <w:tr w:rsidR="00D637C3" w:rsidRPr="00B8500C" w14:paraId="78EA27E0"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3E294417"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University in TAZ * PM</w:t>
            </w:r>
          </w:p>
        </w:tc>
        <w:tc>
          <w:tcPr>
            <w:tcW w:w="1089" w:type="dxa"/>
            <w:tcBorders>
              <w:top w:val="nil"/>
              <w:left w:val="single" w:sz="18" w:space="0" w:color="auto"/>
              <w:bottom w:val="nil"/>
            </w:tcBorders>
            <w:shd w:val="clear" w:color="auto" w:fill="auto"/>
            <w:vAlign w:val="center"/>
          </w:tcPr>
          <w:p w14:paraId="5025FDA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5C80943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4BC38DD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-0.5204</w:t>
            </w:r>
          </w:p>
        </w:tc>
        <w:tc>
          <w:tcPr>
            <w:tcW w:w="1089" w:type="dxa"/>
            <w:shd w:val="clear" w:color="auto" w:fill="FFFFFF" w:themeFill="background1"/>
            <w:noWrap/>
            <w:vAlign w:val="bottom"/>
          </w:tcPr>
          <w:p w14:paraId="2825A5A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-2.448</w:t>
            </w:r>
          </w:p>
        </w:tc>
        <w:tc>
          <w:tcPr>
            <w:tcW w:w="1089" w:type="dxa"/>
            <w:tcBorders>
              <w:left w:val="single" w:sz="18" w:space="0" w:color="auto"/>
            </w:tcBorders>
            <w:shd w:val="clear" w:color="auto" w:fill="FFFFFF" w:themeFill="background1"/>
            <w:vAlign w:val="bottom"/>
          </w:tcPr>
          <w:p w14:paraId="4751FAF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0.6458</w:t>
            </w:r>
          </w:p>
        </w:tc>
        <w:tc>
          <w:tcPr>
            <w:tcW w:w="1089" w:type="dxa"/>
            <w:tcBorders>
              <w:right w:val="single" w:sz="12" w:space="0" w:color="auto"/>
            </w:tcBorders>
            <w:shd w:val="clear" w:color="auto" w:fill="FFFFFF" w:themeFill="background1"/>
            <w:noWrap/>
            <w:vAlign w:val="bottom"/>
          </w:tcPr>
          <w:p w14:paraId="2F15F87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2.776</w:t>
            </w:r>
          </w:p>
        </w:tc>
      </w:tr>
      <w:tr w:rsidR="00D637C3" w:rsidRPr="00B8500C" w14:paraId="074B69DA"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4A08A81F"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TAZ Job Density</w:t>
            </w:r>
          </w:p>
        </w:tc>
        <w:tc>
          <w:tcPr>
            <w:tcW w:w="1089" w:type="dxa"/>
            <w:tcBorders>
              <w:top w:val="nil"/>
              <w:left w:val="single" w:sz="18" w:space="0" w:color="auto"/>
              <w:bottom w:val="nil"/>
            </w:tcBorders>
            <w:shd w:val="clear" w:color="auto" w:fill="auto"/>
            <w:vAlign w:val="bottom"/>
          </w:tcPr>
          <w:p w14:paraId="49268EE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0.7556</w:t>
            </w:r>
          </w:p>
        </w:tc>
        <w:tc>
          <w:tcPr>
            <w:tcW w:w="1089" w:type="dxa"/>
            <w:tcBorders>
              <w:top w:val="nil"/>
              <w:bottom w:val="nil"/>
              <w:right w:val="single" w:sz="18" w:space="0" w:color="auto"/>
            </w:tcBorders>
            <w:shd w:val="clear" w:color="auto" w:fill="auto"/>
            <w:vAlign w:val="bottom"/>
          </w:tcPr>
          <w:p w14:paraId="6744B4A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2.054</w:t>
            </w:r>
          </w:p>
        </w:tc>
        <w:tc>
          <w:tcPr>
            <w:tcW w:w="1089" w:type="dxa"/>
            <w:tcBorders>
              <w:left w:val="single" w:sz="18" w:space="0" w:color="auto"/>
            </w:tcBorders>
            <w:shd w:val="clear" w:color="auto" w:fill="FFFFFF" w:themeFill="background1"/>
            <w:noWrap/>
            <w:vAlign w:val="center"/>
          </w:tcPr>
          <w:p w14:paraId="51D3D6E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shd w:val="clear" w:color="auto" w:fill="FFFFFF" w:themeFill="background1"/>
            <w:noWrap/>
            <w:vAlign w:val="center"/>
          </w:tcPr>
          <w:p w14:paraId="46E8C43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vAlign w:val="center"/>
          </w:tcPr>
          <w:p w14:paraId="6ABB8F4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right w:val="single" w:sz="12" w:space="0" w:color="auto"/>
            </w:tcBorders>
            <w:shd w:val="clear" w:color="auto" w:fill="FFFFFF" w:themeFill="background1"/>
            <w:noWrap/>
            <w:vAlign w:val="center"/>
          </w:tcPr>
          <w:p w14:paraId="38754E5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0CE9F0AB"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7328888A"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TAZ Job Density * AM</w:t>
            </w:r>
          </w:p>
        </w:tc>
        <w:tc>
          <w:tcPr>
            <w:tcW w:w="1089" w:type="dxa"/>
            <w:tcBorders>
              <w:top w:val="nil"/>
              <w:left w:val="single" w:sz="18" w:space="0" w:color="auto"/>
              <w:bottom w:val="nil"/>
            </w:tcBorders>
            <w:shd w:val="clear" w:color="auto" w:fill="auto"/>
            <w:vAlign w:val="center"/>
          </w:tcPr>
          <w:p w14:paraId="750B06B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430ECDE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29FD6B1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1.0594</w:t>
            </w:r>
          </w:p>
        </w:tc>
        <w:tc>
          <w:tcPr>
            <w:tcW w:w="1089" w:type="dxa"/>
            <w:shd w:val="clear" w:color="auto" w:fill="FFFFFF" w:themeFill="background1"/>
            <w:noWrap/>
            <w:vAlign w:val="bottom"/>
          </w:tcPr>
          <w:p w14:paraId="7A01FAD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9.955</w:t>
            </w:r>
          </w:p>
        </w:tc>
        <w:tc>
          <w:tcPr>
            <w:tcW w:w="1089" w:type="dxa"/>
            <w:tcBorders>
              <w:left w:val="single" w:sz="18" w:space="0" w:color="auto"/>
            </w:tcBorders>
            <w:shd w:val="clear" w:color="auto" w:fill="FFFFFF" w:themeFill="background1"/>
            <w:vAlign w:val="bottom"/>
          </w:tcPr>
          <w:p w14:paraId="3901E24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-0.289</w:t>
            </w:r>
          </w:p>
        </w:tc>
        <w:tc>
          <w:tcPr>
            <w:tcW w:w="1089" w:type="dxa"/>
            <w:tcBorders>
              <w:right w:val="single" w:sz="12" w:space="0" w:color="auto"/>
            </w:tcBorders>
            <w:shd w:val="clear" w:color="auto" w:fill="FFFFFF" w:themeFill="background1"/>
            <w:noWrap/>
            <w:vAlign w:val="bottom"/>
          </w:tcPr>
          <w:p w14:paraId="185195B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-3.698</w:t>
            </w:r>
          </w:p>
        </w:tc>
      </w:tr>
      <w:tr w:rsidR="00D637C3" w:rsidRPr="00B8500C" w14:paraId="46AD526A"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05C27969" w14:textId="77777777" w:rsidR="00D637C3" w:rsidRPr="00B8500C" w:rsidRDefault="00D637C3" w:rsidP="009B6F3A">
            <w:pPr>
              <w:spacing w:before="100" w:beforeAutospacing="1" w:after="100" w:afterAutospacing="1"/>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TAZ Population Density</w:t>
            </w:r>
          </w:p>
        </w:tc>
        <w:tc>
          <w:tcPr>
            <w:tcW w:w="1089" w:type="dxa"/>
            <w:tcBorders>
              <w:top w:val="nil"/>
              <w:left w:val="single" w:sz="18" w:space="0" w:color="auto"/>
              <w:bottom w:val="nil"/>
            </w:tcBorders>
            <w:shd w:val="clear" w:color="auto" w:fill="auto"/>
            <w:vAlign w:val="bottom"/>
          </w:tcPr>
          <w:p w14:paraId="10B867D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14.6527</w:t>
            </w:r>
          </w:p>
        </w:tc>
        <w:tc>
          <w:tcPr>
            <w:tcW w:w="1089" w:type="dxa"/>
            <w:tcBorders>
              <w:top w:val="nil"/>
              <w:bottom w:val="nil"/>
              <w:right w:val="single" w:sz="18" w:space="0" w:color="auto"/>
            </w:tcBorders>
            <w:shd w:val="clear" w:color="auto" w:fill="auto"/>
            <w:vAlign w:val="bottom"/>
          </w:tcPr>
          <w:p w14:paraId="0D7493E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2.618</w:t>
            </w:r>
          </w:p>
        </w:tc>
        <w:tc>
          <w:tcPr>
            <w:tcW w:w="1089" w:type="dxa"/>
            <w:tcBorders>
              <w:left w:val="single" w:sz="18" w:space="0" w:color="auto"/>
            </w:tcBorders>
            <w:shd w:val="clear" w:color="auto" w:fill="FFFFFF" w:themeFill="background1"/>
            <w:noWrap/>
            <w:vAlign w:val="center"/>
          </w:tcPr>
          <w:p w14:paraId="4C59BA0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shd w:val="clear" w:color="auto" w:fill="FFFFFF" w:themeFill="background1"/>
            <w:noWrap/>
            <w:vAlign w:val="center"/>
          </w:tcPr>
          <w:p w14:paraId="2941E36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vAlign w:val="center"/>
          </w:tcPr>
          <w:p w14:paraId="5FBE9A5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right w:val="single" w:sz="12" w:space="0" w:color="auto"/>
            </w:tcBorders>
            <w:shd w:val="clear" w:color="auto" w:fill="FFFFFF" w:themeFill="background1"/>
            <w:noWrap/>
            <w:vAlign w:val="center"/>
          </w:tcPr>
          <w:p w14:paraId="2E351D2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47E93688"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right w:val="single" w:sz="18" w:space="0" w:color="auto"/>
            </w:tcBorders>
            <w:shd w:val="clear" w:color="auto" w:fill="FFFFFF" w:themeFill="background1"/>
            <w:noWrap/>
          </w:tcPr>
          <w:p w14:paraId="023F8B25" w14:textId="77777777" w:rsidR="00D637C3" w:rsidRPr="00B8500C" w:rsidRDefault="00D637C3" w:rsidP="009B6F3A">
            <w:pPr>
              <w:spacing w:before="100" w:beforeAutospacing="1" w:after="100" w:afterAutospacing="1"/>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TAZ Population Density * AM</w:t>
            </w:r>
          </w:p>
        </w:tc>
        <w:tc>
          <w:tcPr>
            <w:tcW w:w="1089" w:type="dxa"/>
            <w:tcBorders>
              <w:top w:val="nil"/>
              <w:left w:val="single" w:sz="18" w:space="0" w:color="auto"/>
              <w:bottom w:val="nil"/>
            </w:tcBorders>
            <w:shd w:val="clear" w:color="auto" w:fill="auto"/>
            <w:vAlign w:val="center"/>
          </w:tcPr>
          <w:p w14:paraId="5AC9CDB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0AE636C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3CCF875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-9.6899</w:t>
            </w:r>
          </w:p>
        </w:tc>
        <w:tc>
          <w:tcPr>
            <w:tcW w:w="1089" w:type="dxa"/>
            <w:shd w:val="clear" w:color="auto" w:fill="FFFFFF" w:themeFill="background1"/>
            <w:noWrap/>
            <w:vAlign w:val="bottom"/>
          </w:tcPr>
          <w:p w14:paraId="00871C4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-10.245</w:t>
            </w:r>
          </w:p>
        </w:tc>
        <w:tc>
          <w:tcPr>
            <w:tcW w:w="1089" w:type="dxa"/>
            <w:tcBorders>
              <w:left w:val="single" w:sz="18" w:space="0" w:color="auto"/>
            </w:tcBorders>
            <w:shd w:val="clear" w:color="auto" w:fill="FFFFFF" w:themeFill="background1"/>
            <w:vAlign w:val="bottom"/>
          </w:tcPr>
          <w:p w14:paraId="5A5467D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10.2661</w:t>
            </w:r>
          </w:p>
        </w:tc>
        <w:tc>
          <w:tcPr>
            <w:tcW w:w="1089" w:type="dxa"/>
            <w:tcBorders>
              <w:right w:val="single" w:sz="12" w:space="0" w:color="auto"/>
            </w:tcBorders>
            <w:shd w:val="clear" w:color="auto" w:fill="FFFFFF" w:themeFill="background1"/>
            <w:noWrap/>
            <w:vAlign w:val="bottom"/>
          </w:tcPr>
          <w:p w14:paraId="7320AF1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9.933</w:t>
            </w:r>
          </w:p>
        </w:tc>
      </w:tr>
      <w:tr w:rsidR="009B6F3A" w:rsidRPr="00B8500C" w14:paraId="6A0177B2" w14:textId="77777777" w:rsidTr="00D637C3">
        <w:trPr>
          <w:trHeight w:val="11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left w:val="single" w:sz="12" w:space="0" w:color="auto"/>
              <w:bottom w:val="nil"/>
              <w:right w:val="single" w:sz="18" w:space="0" w:color="auto"/>
            </w:tcBorders>
            <w:shd w:val="clear" w:color="auto" w:fill="FFFFFF" w:themeFill="background1"/>
            <w:noWrap/>
          </w:tcPr>
          <w:p w14:paraId="58DDD5F2" w14:textId="77777777" w:rsidR="00D637C3" w:rsidRPr="00B8500C" w:rsidRDefault="00D637C3" w:rsidP="009B6F3A">
            <w:pPr>
              <w:spacing w:before="0" w:after="0"/>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TAZ Population Density * PM</w:t>
            </w:r>
          </w:p>
        </w:tc>
        <w:tc>
          <w:tcPr>
            <w:tcW w:w="1089" w:type="dxa"/>
            <w:tcBorders>
              <w:top w:val="nil"/>
              <w:left w:val="single" w:sz="18" w:space="0" w:color="auto"/>
              <w:bottom w:val="nil"/>
            </w:tcBorders>
            <w:shd w:val="clear" w:color="auto" w:fill="auto"/>
            <w:vAlign w:val="center"/>
          </w:tcPr>
          <w:p w14:paraId="51659D40"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lang w:eastAsia="en-CA"/>
              </w:rPr>
            </w:pPr>
          </w:p>
        </w:tc>
        <w:tc>
          <w:tcPr>
            <w:tcW w:w="1089" w:type="dxa"/>
            <w:tcBorders>
              <w:top w:val="nil"/>
              <w:bottom w:val="nil"/>
              <w:right w:val="single" w:sz="18" w:space="0" w:color="auto"/>
            </w:tcBorders>
            <w:shd w:val="clear" w:color="auto" w:fill="auto"/>
            <w:vAlign w:val="center"/>
          </w:tcPr>
          <w:p w14:paraId="424E6F26"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lang w:eastAsia="en-CA"/>
              </w:rPr>
            </w:pPr>
          </w:p>
        </w:tc>
        <w:tc>
          <w:tcPr>
            <w:tcW w:w="1089" w:type="dxa"/>
            <w:tcBorders>
              <w:left w:val="single" w:sz="18" w:space="0" w:color="auto"/>
              <w:bottom w:val="nil"/>
            </w:tcBorders>
            <w:shd w:val="clear" w:color="auto" w:fill="FFFFFF" w:themeFill="background1"/>
            <w:noWrap/>
            <w:vAlign w:val="center"/>
          </w:tcPr>
          <w:p w14:paraId="560AE8E8"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lang w:eastAsia="en-CA"/>
              </w:rPr>
            </w:pPr>
          </w:p>
        </w:tc>
        <w:tc>
          <w:tcPr>
            <w:tcW w:w="1089" w:type="dxa"/>
            <w:tcBorders>
              <w:bottom w:val="nil"/>
            </w:tcBorders>
            <w:shd w:val="clear" w:color="auto" w:fill="FFFFFF" w:themeFill="background1"/>
            <w:noWrap/>
            <w:vAlign w:val="center"/>
          </w:tcPr>
          <w:p w14:paraId="7B95FFE4"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lang w:eastAsia="en-CA"/>
              </w:rPr>
            </w:pPr>
          </w:p>
        </w:tc>
        <w:tc>
          <w:tcPr>
            <w:tcW w:w="1089" w:type="dxa"/>
            <w:tcBorders>
              <w:left w:val="single" w:sz="18" w:space="0" w:color="auto"/>
              <w:bottom w:val="nil"/>
            </w:tcBorders>
            <w:shd w:val="clear" w:color="auto" w:fill="FFFFFF" w:themeFill="background1"/>
            <w:vAlign w:val="center"/>
          </w:tcPr>
          <w:p w14:paraId="4486D872"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lang w:eastAsia="en-CA"/>
              </w:rPr>
            </w:pPr>
            <w:r w:rsidRPr="00B8500C">
              <w:rPr>
                <w:rFonts w:ascii="Times New Roman" w:eastAsia="Times New Roman" w:hAnsi="Times New Roman" w:cs="Times New Roman"/>
                <w:bCs/>
                <w:color w:val="auto"/>
                <w:lang w:eastAsia="en-CA"/>
              </w:rPr>
              <w:t>-6.662</w:t>
            </w:r>
          </w:p>
        </w:tc>
        <w:tc>
          <w:tcPr>
            <w:tcW w:w="1089" w:type="dxa"/>
            <w:tcBorders>
              <w:bottom w:val="nil"/>
              <w:right w:val="single" w:sz="12" w:space="0" w:color="auto"/>
            </w:tcBorders>
            <w:shd w:val="clear" w:color="auto" w:fill="FFFFFF" w:themeFill="background1"/>
            <w:noWrap/>
            <w:vAlign w:val="center"/>
          </w:tcPr>
          <w:p w14:paraId="042A68C1" w14:textId="77777777" w:rsidR="00D637C3" w:rsidRPr="00B8500C" w:rsidRDefault="00D637C3" w:rsidP="009B6F3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lang w:eastAsia="en-CA"/>
              </w:rPr>
            </w:pPr>
            <w:r w:rsidRPr="00B8500C">
              <w:rPr>
                <w:rFonts w:ascii="Times New Roman" w:eastAsia="Times New Roman" w:hAnsi="Times New Roman" w:cs="Times New Roman"/>
                <w:bCs/>
                <w:color w:val="auto"/>
                <w:lang w:eastAsia="en-CA"/>
              </w:rPr>
              <w:t>-4.941</w:t>
            </w:r>
          </w:p>
        </w:tc>
      </w:tr>
      <w:tr w:rsidR="009B6F3A" w:rsidRPr="00B8500C" w14:paraId="1179284B" w14:textId="77777777" w:rsidTr="00D637C3">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bottom w:val="nil"/>
              <w:right w:val="single" w:sz="18" w:space="0" w:color="auto"/>
            </w:tcBorders>
            <w:shd w:val="clear" w:color="auto" w:fill="FFFFFF" w:themeFill="background1"/>
            <w:noWrap/>
          </w:tcPr>
          <w:p w14:paraId="5559E1B9" w14:textId="77777777" w:rsidR="00D637C3" w:rsidRPr="00B8500C" w:rsidRDefault="00D637C3" w:rsidP="009B6F3A">
            <w:pPr>
              <w:spacing w:before="100" w:beforeAutospacing="1" w:after="100" w:afterAutospacing="1"/>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BSSI (BSSI Low is base)</w:t>
            </w:r>
          </w:p>
        </w:tc>
        <w:tc>
          <w:tcPr>
            <w:tcW w:w="1089" w:type="dxa"/>
            <w:tcBorders>
              <w:top w:val="nil"/>
              <w:left w:val="single" w:sz="18" w:space="0" w:color="auto"/>
              <w:bottom w:val="nil"/>
            </w:tcBorders>
            <w:shd w:val="clear" w:color="auto" w:fill="auto"/>
            <w:vAlign w:val="center"/>
          </w:tcPr>
          <w:p w14:paraId="74354BE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3BAE952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single" w:sz="18" w:space="0" w:color="auto"/>
              <w:bottom w:val="nil"/>
            </w:tcBorders>
            <w:shd w:val="clear" w:color="auto" w:fill="FFFFFF" w:themeFill="background1"/>
            <w:noWrap/>
            <w:vAlign w:val="center"/>
          </w:tcPr>
          <w:p w14:paraId="339C826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tcBorders>
            <w:shd w:val="clear" w:color="auto" w:fill="FFFFFF" w:themeFill="background1"/>
            <w:noWrap/>
            <w:vAlign w:val="center"/>
          </w:tcPr>
          <w:p w14:paraId="1642D08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single" w:sz="18" w:space="0" w:color="auto"/>
              <w:bottom w:val="nil"/>
            </w:tcBorders>
            <w:shd w:val="clear" w:color="auto" w:fill="FFFFFF" w:themeFill="background1"/>
            <w:vAlign w:val="center"/>
          </w:tcPr>
          <w:p w14:paraId="1C47A11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2" w:space="0" w:color="auto"/>
            </w:tcBorders>
            <w:shd w:val="clear" w:color="auto" w:fill="FFFFFF" w:themeFill="background1"/>
            <w:noWrap/>
            <w:vAlign w:val="center"/>
          </w:tcPr>
          <w:p w14:paraId="02FBD07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r>
      <w:tr w:rsidR="00D637C3" w:rsidRPr="00B8500C" w14:paraId="7F563A01"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bottom w:val="nil"/>
              <w:right w:val="single" w:sz="18" w:space="0" w:color="auto"/>
            </w:tcBorders>
            <w:shd w:val="clear" w:color="auto" w:fill="FFFFFF" w:themeFill="background1"/>
            <w:noWrap/>
          </w:tcPr>
          <w:p w14:paraId="700B8E87" w14:textId="77777777" w:rsidR="00D637C3" w:rsidRPr="00B8500C" w:rsidRDefault="00D637C3" w:rsidP="009B6F3A">
            <w:pPr>
              <w:spacing w:before="100" w:beforeAutospacing="1" w:after="100" w:afterAutospacing="1"/>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BSSI Medium</w:t>
            </w:r>
          </w:p>
        </w:tc>
        <w:tc>
          <w:tcPr>
            <w:tcW w:w="1089" w:type="dxa"/>
            <w:tcBorders>
              <w:top w:val="nil"/>
              <w:left w:val="single" w:sz="18" w:space="0" w:color="auto"/>
              <w:bottom w:val="nil"/>
            </w:tcBorders>
            <w:shd w:val="clear" w:color="auto" w:fill="auto"/>
            <w:vAlign w:val="center"/>
          </w:tcPr>
          <w:p w14:paraId="0667B44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537AC19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single" w:sz="18" w:space="0" w:color="auto"/>
              <w:bottom w:val="nil"/>
            </w:tcBorders>
            <w:shd w:val="clear" w:color="auto" w:fill="FFFFFF" w:themeFill="background1"/>
            <w:noWrap/>
            <w:vAlign w:val="bottom"/>
          </w:tcPr>
          <w:p w14:paraId="276246A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0.5911</w:t>
            </w:r>
          </w:p>
        </w:tc>
        <w:tc>
          <w:tcPr>
            <w:tcW w:w="1089" w:type="dxa"/>
            <w:tcBorders>
              <w:top w:val="nil"/>
              <w:bottom w:val="nil"/>
            </w:tcBorders>
            <w:shd w:val="clear" w:color="auto" w:fill="FFFFFF" w:themeFill="background1"/>
            <w:noWrap/>
            <w:vAlign w:val="bottom"/>
          </w:tcPr>
          <w:p w14:paraId="003D4B5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1.776</w:t>
            </w:r>
          </w:p>
        </w:tc>
        <w:tc>
          <w:tcPr>
            <w:tcW w:w="1089" w:type="dxa"/>
            <w:tcBorders>
              <w:top w:val="nil"/>
              <w:left w:val="single" w:sz="18" w:space="0" w:color="auto"/>
              <w:bottom w:val="nil"/>
            </w:tcBorders>
            <w:shd w:val="clear" w:color="auto" w:fill="FFFFFF" w:themeFill="background1"/>
            <w:vAlign w:val="bottom"/>
          </w:tcPr>
          <w:p w14:paraId="4A80E85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0.5911</w:t>
            </w:r>
          </w:p>
        </w:tc>
        <w:tc>
          <w:tcPr>
            <w:tcW w:w="1089" w:type="dxa"/>
            <w:tcBorders>
              <w:top w:val="nil"/>
              <w:bottom w:val="nil"/>
              <w:right w:val="single" w:sz="12" w:space="0" w:color="auto"/>
            </w:tcBorders>
            <w:shd w:val="clear" w:color="auto" w:fill="FFFFFF" w:themeFill="background1"/>
            <w:noWrap/>
            <w:vAlign w:val="bottom"/>
          </w:tcPr>
          <w:p w14:paraId="4E5DCB8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1.776</w:t>
            </w:r>
          </w:p>
        </w:tc>
      </w:tr>
      <w:tr w:rsidR="00D637C3" w:rsidRPr="00B8500C" w14:paraId="039AC7F0" w14:textId="77777777" w:rsidTr="009B6F3A">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nil"/>
              <w:left w:val="single" w:sz="12" w:space="0" w:color="auto"/>
              <w:bottom w:val="single" w:sz="12" w:space="0" w:color="auto"/>
              <w:right w:val="single" w:sz="18" w:space="0" w:color="auto"/>
            </w:tcBorders>
            <w:shd w:val="clear" w:color="auto" w:fill="FFFFFF" w:themeFill="background1"/>
            <w:noWrap/>
          </w:tcPr>
          <w:p w14:paraId="29FC4681" w14:textId="77777777" w:rsidR="00D637C3" w:rsidRPr="00B8500C" w:rsidRDefault="00D637C3" w:rsidP="009B6F3A">
            <w:pPr>
              <w:spacing w:before="100" w:beforeAutospacing="1" w:after="100" w:afterAutospacing="1"/>
              <w:rPr>
                <w:rFonts w:ascii="Times New Roman" w:eastAsia="Times New Roman" w:hAnsi="Times New Roman" w:cs="Times New Roman"/>
                <w:b w:val="0"/>
                <w:color w:val="auto"/>
                <w:lang w:eastAsia="en-CA"/>
              </w:rPr>
            </w:pPr>
            <w:r w:rsidRPr="00B8500C">
              <w:rPr>
                <w:rFonts w:ascii="Times New Roman" w:eastAsia="Times New Roman" w:hAnsi="Times New Roman" w:cs="Times New Roman"/>
                <w:b w:val="0"/>
                <w:color w:val="auto"/>
                <w:lang w:eastAsia="en-CA"/>
              </w:rPr>
              <w:t>BSSI High</w:t>
            </w:r>
          </w:p>
        </w:tc>
        <w:tc>
          <w:tcPr>
            <w:tcW w:w="1089" w:type="dxa"/>
            <w:tcBorders>
              <w:top w:val="nil"/>
              <w:left w:val="single" w:sz="18" w:space="0" w:color="auto"/>
              <w:bottom w:val="single" w:sz="12" w:space="0" w:color="auto"/>
            </w:tcBorders>
            <w:shd w:val="clear" w:color="auto" w:fill="auto"/>
            <w:vAlign w:val="center"/>
          </w:tcPr>
          <w:p w14:paraId="4E298C5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single" w:sz="12" w:space="0" w:color="auto"/>
              <w:right w:val="single" w:sz="18" w:space="0" w:color="auto"/>
            </w:tcBorders>
            <w:shd w:val="clear" w:color="auto" w:fill="auto"/>
            <w:vAlign w:val="center"/>
          </w:tcPr>
          <w:p w14:paraId="2AFAD34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left w:val="single" w:sz="18" w:space="0" w:color="auto"/>
              <w:bottom w:val="single" w:sz="12" w:space="0" w:color="auto"/>
            </w:tcBorders>
            <w:shd w:val="clear" w:color="auto" w:fill="FFFFFF" w:themeFill="background1"/>
            <w:noWrap/>
            <w:vAlign w:val="bottom"/>
          </w:tcPr>
          <w:p w14:paraId="73874E0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3.1816</w:t>
            </w:r>
          </w:p>
        </w:tc>
        <w:tc>
          <w:tcPr>
            <w:tcW w:w="1089" w:type="dxa"/>
            <w:tcBorders>
              <w:top w:val="nil"/>
              <w:bottom w:val="single" w:sz="12" w:space="0" w:color="auto"/>
            </w:tcBorders>
            <w:shd w:val="clear" w:color="auto" w:fill="FFFFFF" w:themeFill="background1"/>
            <w:noWrap/>
            <w:vAlign w:val="bottom"/>
          </w:tcPr>
          <w:p w14:paraId="28C99EE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9.861</w:t>
            </w:r>
          </w:p>
        </w:tc>
        <w:tc>
          <w:tcPr>
            <w:tcW w:w="1089" w:type="dxa"/>
            <w:tcBorders>
              <w:top w:val="nil"/>
              <w:left w:val="single" w:sz="18" w:space="0" w:color="auto"/>
              <w:bottom w:val="single" w:sz="12" w:space="0" w:color="auto"/>
            </w:tcBorders>
            <w:shd w:val="clear" w:color="auto" w:fill="FFFFFF" w:themeFill="background1"/>
            <w:vAlign w:val="bottom"/>
          </w:tcPr>
          <w:p w14:paraId="59E2435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3.1816</w:t>
            </w:r>
          </w:p>
        </w:tc>
        <w:tc>
          <w:tcPr>
            <w:tcW w:w="1089" w:type="dxa"/>
            <w:tcBorders>
              <w:top w:val="nil"/>
              <w:bottom w:val="single" w:sz="12" w:space="0" w:color="auto"/>
              <w:right w:val="single" w:sz="12" w:space="0" w:color="auto"/>
            </w:tcBorders>
            <w:shd w:val="clear" w:color="auto" w:fill="FFFFFF" w:themeFill="background1"/>
            <w:noWrap/>
            <w:vAlign w:val="bottom"/>
          </w:tcPr>
          <w:p w14:paraId="583EFDC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9.861</w:t>
            </w:r>
          </w:p>
        </w:tc>
      </w:tr>
      <w:tr w:rsidR="002E73BB" w:rsidRPr="00B8500C" w14:paraId="47283070" w14:textId="77777777" w:rsidTr="002E73BB">
        <w:trPr>
          <w:trHeight w:val="283"/>
          <w:jc w:val="center"/>
        </w:trPr>
        <w:tc>
          <w:tcPr>
            <w:cnfStyle w:val="001000000000" w:firstRow="0" w:lastRow="0" w:firstColumn="1" w:lastColumn="0" w:oddVBand="0" w:evenVBand="0" w:oddHBand="0" w:evenHBand="0" w:firstRowFirstColumn="0" w:firstRowLastColumn="0" w:lastRowFirstColumn="0" w:lastRowLastColumn="0"/>
            <w:tcW w:w="10205" w:type="dxa"/>
            <w:gridSpan w:val="8"/>
            <w:tcBorders>
              <w:top w:val="single" w:sz="12" w:space="0" w:color="auto"/>
              <w:left w:val="single" w:sz="12" w:space="0" w:color="auto"/>
              <w:bottom w:val="single" w:sz="12" w:space="0" w:color="auto"/>
              <w:right w:val="single" w:sz="12" w:space="0" w:color="auto"/>
            </w:tcBorders>
            <w:shd w:val="clear" w:color="auto" w:fill="auto"/>
            <w:noWrap/>
          </w:tcPr>
          <w:p w14:paraId="63F4F357" w14:textId="77777777" w:rsidR="002E73BB" w:rsidRPr="00B8500C" w:rsidRDefault="002E73BB" w:rsidP="00D03A54">
            <w:pPr>
              <w:spacing w:before="100" w:beforeAutospacing="1" w:after="100" w:afterAutospacing="1"/>
              <w:jc w:val="center"/>
              <w:rPr>
                <w:rFonts w:ascii="Times New Roman" w:eastAsia="Times New Roman" w:hAnsi="Times New Roman" w:cs="Times New Roman"/>
                <w:color w:val="auto"/>
                <w:lang w:eastAsia="en-CA"/>
              </w:rPr>
            </w:pPr>
            <w:r>
              <w:rPr>
                <w:rFonts w:ascii="Times New Roman" w:eastAsia="Times New Roman" w:hAnsi="Times New Roman" w:cs="Times New Roman"/>
                <w:color w:val="auto"/>
                <w:lang w:eastAsia="en-CA"/>
              </w:rPr>
              <w:t xml:space="preserve">Standard Deviation </w:t>
            </w:r>
            <w:r w:rsidR="00D03A54">
              <w:rPr>
                <w:rFonts w:ascii="Times New Roman" w:eastAsia="Times New Roman" w:hAnsi="Times New Roman" w:cs="Times New Roman"/>
                <w:color w:val="auto"/>
                <w:lang w:eastAsia="en-CA"/>
              </w:rPr>
              <w:t>E</w:t>
            </w:r>
            <w:r w:rsidR="006D4718">
              <w:rPr>
                <w:rFonts w:ascii="Times New Roman" w:eastAsia="Times New Roman" w:hAnsi="Times New Roman" w:cs="Times New Roman"/>
                <w:color w:val="auto"/>
                <w:lang w:eastAsia="en-CA"/>
              </w:rPr>
              <w:t>sti</w:t>
            </w:r>
            <w:r w:rsidR="00D03A54">
              <w:rPr>
                <w:rFonts w:ascii="Times New Roman" w:eastAsia="Times New Roman" w:hAnsi="Times New Roman" w:cs="Times New Roman"/>
                <w:color w:val="auto"/>
                <w:lang w:eastAsia="en-CA"/>
              </w:rPr>
              <w:t>m</w:t>
            </w:r>
            <w:r w:rsidR="006D4718">
              <w:rPr>
                <w:rFonts w:ascii="Times New Roman" w:eastAsia="Times New Roman" w:hAnsi="Times New Roman" w:cs="Times New Roman"/>
                <w:color w:val="auto"/>
                <w:lang w:eastAsia="en-CA"/>
              </w:rPr>
              <w:t>a</w:t>
            </w:r>
            <w:r w:rsidR="00D03A54">
              <w:rPr>
                <w:rFonts w:ascii="Times New Roman" w:eastAsia="Times New Roman" w:hAnsi="Times New Roman" w:cs="Times New Roman"/>
                <w:color w:val="auto"/>
                <w:lang w:eastAsia="en-CA"/>
              </w:rPr>
              <w:t>tes</w:t>
            </w:r>
            <w:r w:rsidRPr="00B8500C">
              <w:rPr>
                <w:rFonts w:ascii="Times New Roman" w:eastAsia="Times New Roman" w:hAnsi="Times New Roman" w:cs="Times New Roman"/>
                <w:color w:val="auto"/>
                <w:lang w:eastAsia="en-CA"/>
              </w:rPr>
              <w:t xml:space="preserve"> </w:t>
            </w:r>
          </w:p>
        </w:tc>
      </w:tr>
      <w:tr w:rsidR="00D637C3" w:rsidRPr="00B8500C" w14:paraId="00196488"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val="restart"/>
            <w:tcBorders>
              <w:top w:val="single" w:sz="12" w:space="0" w:color="auto"/>
              <w:left w:val="single" w:sz="12" w:space="0" w:color="auto"/>
              <w:bottom w:val="nil"/>
              <w:right w:val="single" w:sz="12" w:space="0" w:color="auto"/>
            </w:tcBorders>
            <w:shd w:val="clear" w:color="auto" w:fill="FFFFFF" w:themeFill="background1"/>
            <w:noWrap/>
            <w:vAlign w:val="center"/>
          </w:tcPr>
          <w:p w14:paraId="6BD71EBD" w14:textId="77777777" w:rsidR="00D637C3" w:rsidRPr="00B8500C" w:rsidRDefault="00D637C3" w:rsidP="00534BDD">
            <w:pPr>
              <w:spacing w:before="100" w:beforeAutospacing="1" w:after="100" w:afterAutospacing="1"/>
              <w:jc w:val="center"/>
              <w:rPr>
                <w:rFonts w:ascii="Times New Roman" w:eastAsia="Times New Roman" w:hAnsi="Times New Roman" w:cs="Times New Roman"/>
                <w:b w:val="0"/>
                <w:lang w:eastAsia="en-CA"/>
              </w:rPr>
            </w:pPr>
            <w:r w:rsidRPr="00B8500C">
              <w:rPr>
                <w:rFonts w:ascii="Times New Roman" w:eastAsia="Times New Roman" w:hAnsi="Times New Roman" w:cs="Times New Roman"/>
                <w:b w:val="0"/>
                <w:lang w:eastAsia="en-CA"/>
              </w:rPr>
              <w:t xml:space="preserve">TAZ </w:t>
            </w:r>
          </w:p>
        </w:tc>
        <w:tc>
          <w:tcPr>
            <w:tcW w:w="2516" w:type="dxa"/>
            <w:tcBorders>
              <w:top w:val="single" w:sz="12" w:space="0" w:color="auto"/>
              <w:left w:val="single" w:sz="12" w:space="0" w:color="auto"/>
              <w:bottom w:val="nil"/>
              <w:right w:val="single" w:sz="18" w:space="0" w:color="auto"/>
            </w:tcBorders>
            <w:shd w:val="clear" w:color="auto" w:fill="FFFFFF" w:themeFill="background1"/>
          </w:tcPr>
          <w:p w14:paraId="36C321A3" w14:textId="77777777" w:rsidR="00D637C3" w:rsidRPr="00B8500C" w:rsidRDefault="00D637C3" w:rsidP="009B6F3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BSSI Low</w:t>
            </w:r>
          </w:p>
        </w:tc>
        <w:tc>
          <w:tcPr>
            <w:tcW w:w="1089" w:type="dxa"/>
            <w:tcBorders>
              <w:top w:val="nil"/>
              <w:left w:val="single" w:sz="18" w:space="0" w:color="auto"/>
              <w:bottom w:val="nil"/>
            </w:tcBorders>
            <w:shd w:val="clear" w:color="auto" w:fill="auto"/>
            <w:vAlign w:val="center"/>
          </w:tcPr>
          <w:p w14:paraId="76EE301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2AB9012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166E4AF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1.3771</w:t>
            </w:r>
          </w:p>
        </w:tc>
        <w:tc>
          <w:tcPr>
            <w:tcW w:w="1089" w:type="dxa"/>
            <w:shd w:val="clear" w:color="auto" w:fill="FFFFFF" w:themeFill="background1"/>
            <w:noWrap/>
            <w:vAlign w:val="bottom"/>
          </w:tcPr>
          <w:p w14:paraId="203E29F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10.896</w:t>
            </w:r>
          </w:p>
        </w:tc>
        <w:tc>
          <w:tcPr>
            <w:tcW w:w="1089" w:type="dxa"/>
            <w:tcBorders>
              <w:left w:val="single" w:sz="18" w:space="0" w:color="auto"/>
            </w:tcBorders>
            <w:shd w:val="clear" w:color="auto" w:fill="FFFFFF" w:themeFill="background1"/>
            <w:vAlign w:val="bottom"/>
          </w:tcPr>
          <w:p w14:paraId="0BDBB7F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1.3771</w:t>
            </w:r>
          </w:p>
        </w:tc>
        <w:tc>
          <w:tcPr>
            <w:tcW w:w="1089" w:type="dxa"/>
            <w:tcBorders>
              <w:right w:val="single" w:sz="12" w:space="0" w:color="auto"/>
            </w:tcBorders>
            <w:shd w:val="clear" w:color="auto" w:fill="FFFFFF" w:themeFill="background1"/>
            <w:noWrap/>
            <w:vAlign w:val="bottom"/>
          </w:tcPr>
          <w:p w14:paraId="072DB8D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10.896</w:t>
            </w:r>
          </w:p>
        </w:tc>
      </w:tr>
      <w:tr w:rsidR="00D637C3" w:rsidRPr="00B8500C" w14:paraId="137D95BA"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top w:val="nil"/>
              <w:left w:val="single" w:sz="12" w:space="0" w:color="auto"/>
              <w:right w:val="single" w:sz="12" w:space="0" w:color="auto"/>
            </w:tcBorders>
            <w:shd w:val="clear" w:color="auto" w:fill="FFFFFF" w:themeFill="background1"/>
            <w:noWrap/>
          </w:tcPr>
          <w:p w14:paraId="69326702"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top w:val="nil"/>
              <w:left w:val="single" w:sz="12" w:space="0" w:color="auto"/>
              <w:right w:val="single" w:sz="18" w:space="0" w:color="auto"/>
            </w:tcBorders>
            <w:shd w:val="clear" w:color="auto" w:fill="FFFFFF" w:themeFill="background1"/>
          </w:tcPr>
          <w:p w14:paraId="4DA69B02" w14:textId="77777777" w:rsidR="00D637C3" w:rsidRPr="00B8500C" w:rsidRDefault="00D637C3" w:rsidP="009B6F3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BSSI Medium</w:t>
            </w:r>
          </w:p>
        </w:tc>
        <w:tc>
          <w:tcPr>
            <w:tcW w:w="1089" w:type="dxa"/>
            <w:tcBorders>
              <w:top w:val="nil"/>
              <w:left w:val="single" w:sz="18" w:space="0" w:color="auto"/>
              <w:bottom w:val="nil"/>
            </w:tcBorders>
            <w:shd w:val="clear" w:color="auto" w:fill="auto"/>
            <w:vAlign w:val="center"/>
          </w:tcPr>
          <w:p w14:paraId="0B9576B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7FF72B6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48491D15"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1.4776</w:t>
            </w:r>
          </w:p>
        </w:tc>
        <w:tc>
          <w:tcPr>
            <w:tcW w:w="1089" w:type="dxa"/>
            <w:shd w:val="clear" w:color="auto" w:fill="FFFFFF" w:themeFill="background1"/>
            <w:noWrap/>
            <w:vAlign w:val="bottom"/>
          </w:tcPr>
          <w:p w14:paraId="37ED827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11.938</w:t>
            </w:r>
          </w:p>
        </w:tc>
        <w:tc>
          <w:tcPr>
            <w:tcW w:w="1089" w:type="dxa"/>
            <w:tcBorders>
              <w:left w:val="single" w:sz="18" w:space="0" w:color="auto"/>
            </w:tcBorders>
            <w:shd w:val="clear" w:color="auto" w:fill="FFFFFF" w:themeFill="background1"/>
            <w:vAlign w:val="bottom"/>
          </w:tcPr>
          <w:p w14:paraId="2DB33F9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1.4776</w:t>
            </w:r>
          </w:p>
        </w:tc>
        <w:tc>
          <w:tcPr>
            <w:tcW w:w="1089" w:type="dxa"/>
            <w:tcBorders>
              <w:right w:val="single" w:sz="12" w:space="0" w:color="auto"/>
            </w:tcBorders>
            <w:shd w:val="clear" w:color="auto" w:fill="FFFFFF" w:themeFill="background1"/>
            <w:noWrap/>
            <w:vAlign w:val="bottom"/>
          </w:tcPr>
          <w:p w14:paraId="509C33D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11.938</w:t>
            </w:r>
          </w:p>
        </w:tc>
      </w:tr>
      <w:tr w:rsidR="00D637C3" w:rsidRPr="00B8500C" w14:paraId="693C5A65"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left w:val="single" w:sz="12" w:space="0" w:color="auto"/>
              <w:right w:val="single" w:sz="12" w:space="0" w:color="auto"/>
            </w:tcBorders>
            <w:shd w:val="clear" w:color="auto" w:fill="FFFFFF" w:themeFill="background1"/>
            <w:noWrap/>
          </w:tcPr>
          <w:p w14:paraId="53E5B325"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left w:val="single" w:sz="12" w:space="0" w:color="auto"/>
              <w:right w:val="single" w:sz="18" w:space="0" w:color="auto"/>
            </w:tcBorders>
            <w:shd w:val="clear" w:color="auto" w:fill="FFFFFF" w:themeFill="background1"/>
          </w:tcPr>
          <w:p w14:paraId="2E168396"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BSSI High</w:t>
            </w:r>
          </w:p>
        </w:tc>
        <w:tc>
          <w:tcPr>
            <w:tcW w:w="1089" w:type="dxa"/>
            <w:tcBorders>
              <w:top w:val="nil"/>
              <w:left w:val="single" w:sz="18" w:space="0" w:color="auto"/>
              <w:bottom w:val="nil"/>
            </w:tcBorders>
            <w:shd w:val="clear" w:color="auto" w:fill="auto"/>
            <w:vAlign w:val="center"/>
          </w:tcPr>
          <w:p w14:paraId="30C2CF9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3CA35D6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6243081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2.1339</w:t>
            </w:r>
          </w:p>
        </w:tc>
        <w:tc>
          <w:tcPr>
            <w:tcW w:w="1089" w:type="dxa"/>
            <w:shd w:val="clear" w:color="auto" w:fill="FFFFFF" w:themeFill="background1"/>
            <w:noWrap/>
            <w:vAlign w:val="bottom"/>
          </w:tcPr>
          <w:p w14:paraId="4099513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17.452</w:t>
            </w:r>
          </w:p>
        </w:tc>
        <w:tc>
          <w:tcPr>
            <w:tcW w:w="1089" w:type="dxa"/>
            <w:tcBorders>
              <w:left w:val="single" w:sz="18" w:space="0" w:color="auto"/>
            </w:tcBorders>
            <w:shd w:val="clear" w:color="auto" w:fill="FFFFFF" w:themeFill="background1"/>
            <w:vAlign w:val="bottom"/>
          </w:tcPr>
          <w:p w14:paraId="54CE5B90"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2.1339</w:t>
            </w:r>
          </w:p>
        </w:tc>
        <w:tc>
          <w:tcPr>
            <w:tcW w:w="1089" w:type="dxa"/>
            <w:tcBorders>
              <w:right w:val="single" w:sz="12" w:space="0" w:color="auto"/>
            </w:tcBorders>
            <w:shd w:val="clear" w:color="auto" w:fill="FFFFFF" w:themeFill="background1"/>
            <w:noWrap/>
            <w:vAlign w:val="bottom"/>
          </w:tcPr>
          <w:p w14:paraId="0B9B8B5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17.452</w:t>
            </w:r>
          </w:p>
        </w:tc>
      </w:tr>
      <w:tr w:rsidR="00D637C3" w:rsidRPr="00B8500C" w14:paraId="5EE7325C"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left w:val="single" w:sz="12" w:space="0" w:color="auto"/>
              <w:right w:val="single" w:sz="12" w:space="0" w:color="auto"/>
            </w:tcBorders>
            <w:shd w:val="clear" w:color="auto" w:fill="FFFFFF" w:themeFill="background1"/>
            <w:noWrap/>
          </w:tcPr>
          <w:p w14:paraId="4B64C8D4"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left w:val="single" w:sz="12" w:space="0" w:color="auto"/>
              <w:right w:val="single" w:sz="18" w:space="0" w:color="auto"/>
            </w:tcBorders>
            <w:shd w:val="clear" w:color="auto" w:fill="FFFFFF" w:themeFill="background1"/>
          </w:tcPr>
          <w:p w14:paraId="74795BAF"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Night Time Period</w:t>
            </w:r>
          </w:p>
        </w:tc>
        <w:tc>
          <w:tcPr>
            <w:tcW w:w="1089" w:type="dxa"/>
            <w:tcBorders>
              <w:top w:val="nil"/>
              <w:left w:val="single" w:sz="18" w:space="0" w:color="auto"/>
              <w:bottom w:val="nil"/>
            </w:tcBorders>
            <w:shd w:val="clear" w:color="auto" w:fill="auto"/>
            <w:vAlign w:val="center"/>
          </w:tcPr>
          <w:p w14:paraId="6EBF2D4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nil"/>
              <w:right w:val="single" w:sz="18" w:space="0" w:color="auto"/>
            </w:tcBorders>
            <w:shd w:val="clear" w:color="auto" w:fill="auto"/>
            <w:vAlign w:val="center"/>
          </w:tcPr>
          <w:p w14:paraId="3738DB6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tcBorders>
            <w:shd w:val="clear" w:color="auto" w:fill="FFFFFF" w:themeFill="background1"/>
            <w:noWrap/>
            <w:vAlign w:val="bottom"/>
          </w:tcPr>
          <w:p w14:paraId="1B46CE5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1.1828</w:t>
            </w:r>
          </w:p>
        </w:tc>
        <w:tc>
          <w:tcPr>
            <w:tcW w:w="1089" w:type="dxa"/>
            <w:shd w:val="clear" w:color="auto" w:fill="FFFFFF" w:themeFill="background1"/>
            <w:noWrap/>
            <w:vAlign w:val="bottom"/>
          </w:tcPr>
          <w:p w14:paraId="066604F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12.073</w:t>
            </w:r>
          </w:p>
        </w:tc>
        <w:tc>
          <w:tcPr>
            <w:tcW w:w="1089" w:type="dxa"/>
            <w:tcBorders>
              <w:left w:val="single" w:sz="18" w:space="0" w:color="auto"/>
            </w:tcBorders>
            <w:shd w:val="clear" w:color="auto" w:fill="FFFFFF" w:themeFill="background1"/>
            <w:vAlign w:val="bottom"/>
          </w:tcPr>
          <w:p w14:paraId="12D873A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1.1828</w:t>
            </w:r>
          </w:p>
        </w:tc>
        <w:tc>
          <w:tcPr>
            <w:tcW w:w="1089" w:type="dxa"/>
            <w:tcBorders>
              <w:right w:val="single" w:sz="12" w:space="0" w:color="auto"/>
            </w:tcBorders>
            <w:shd w:val="clear" w:color="auto" w:fill="FFFFFF" w:themeFill="background1"/>
            <w:noWrap/>
            <w:vAlign w:val="bottom"/>
          </w:tcPr>
          <w:p w14:paraId="14D8DEC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12.073</w:t>
            </w:r>
          </w:p>
        </w:tc>
      </w:tr>
      <w:tr w:rsidR="00B0400C" w:rsidRPr="00B8500C" w14:paraId="2CC0F5B4"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left w:val="single" w:sz="12" w:space="0" w:color="auto"/>
              <w:bottom w:val="single" w:sz="4" w:space="0" w:color="auto"/>
              <w:right w:val="single" w:sz="12" w:space="0" w:color="auto"/>
            </w:tcBorders>
            <w:shd w:val="clear" w:color="auto" w:fill="FFFFFF" w:themeFill="background1"/>
            <w:noWrap/>
          </w:tcPr>
          <w:p w14:paraId="6683EADB"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left w:val="single" w:sz="12" w:space="0" w:color="auto"/>
              <w:bottom w:val="single" w:sz="4" w:space="0" w:color="auto"/>
              <w:right w:val="single" w:sz="18" w:space="0" w:color="auto"/>
            </w:tcBorders>
            <w:shd w:val="clear" w:color="auto" w:fill="FFFFFF" w:themeFill="background1"/>
          </w:tcPr>
          <w:p w14:paraId="6DD5C1ED"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AM and PM Time Period</w:t>
            </w:r>
          </w:p>
        </w:tc>
        <w:tc>
          <w:tcPr>
            <w:tcW w:w="1089" w:type="dxa"/>
            <w:tcBorders>
              <w:top w:val="nil"/>
              <w:left w:val="single" w:sz="18" w:space="0" w:color="auto"/>
              <w:bottom w:val="single" w:sz="4" w:space="0" w:color="auto"/>
            </w:tcBorders>
            <w:shd w:val="clear" w:color="auto" w:fill="auto"/>
            <w:vAlign w:val="center"/>
          </w:tcPr>
          <w:p w14:paraId="3C7D904B"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top w:val="nil"/>
              <w:bottom w:val="single" w:sz="4" w:space="0" w:color="auto"/>
              <w:right w:val="single" w:sz="18" w:space="0" w:color="auto"/>
            </w:tcBorders>
            <w:shd w:val="clear" w:color="auto" w:fill="auto"/>
            <w:vAlign w:val="center"/>
          </w:tcPr>
          <w:p w14:paraId="3815560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p>
        </w:tc>
        <w:tc>
          <w:tcPr>
            <w:tcW w:w="1089" w:type="dxa"/>
            <w:tcBorders>
              <w:left w:val="single" w:sz="18" w:space="0" w:color="auto"/>
              <w:bottom w:val="single" w:sz="4" w:space="0" w:color="auto"/>
            </w:tcBorders>
            <w:shd w:val="clear" w:color="auto" w:fill="FFFFFF" w:themeFill="background1"/>
            <w:noWrap/>
            <w:vAlign w:val="bottom"/>
          </w:tcPr>
          <w:p w14:paraId="2591262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0.4267</w:t>
            </w:r>
          </w:p>
        </w:tc>
        <w:tc>
          <w:tcPr>
            <w:tcW w:w="1089" w:type="dxa"/>
            <w:tcBorders>
              <w:bottom w:val="single" w:sz="4" w:space="0" w:color="auto"/>
            </w:tcBorders>
            <w:shd w:val="clear" w:color="auto" w:fill="FFFFFF" w:themeFill="background1"/>
            <w:noWrap/>
            <w:vAlign w:val="bottom"/>
          </w:tcPr>
          <w:p w14:paraId="4C716C1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5.941</w:t>
            </w:r>
          </w:p>
        </w:tc>
        <w:tc>
          <w:tcPr>
            <w:tcW w:w="1089" w:type="dxa"/>
            <w:tcBorders>
              <w:left w:val="single" w:sz="18" w:space="0" w:color="auto"/>
              <w:bottom w:val="single" w:sz="4" w:space="0" w:color="auto"/>
            </w:tcBorders>
            <w:shd w:val="clear" w:color="auto" w:fill="FFFFFF" w:themeFill="background1"/>
            <w:vAlign w:val="bottom"/>
          </w:tcPr>
          <w:p w14:paraId="364C00C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0.4267</w:t>
            </w:r>
          </w:p>
        </w:tc>
        <w:tc>
          <w:tcPr>
            <w:tcW w:w="1089" w:type="dxa"/>
            <w:tcBorders>
              <w:bottom w:val="single" w:sz="4" w:space="0" w:color="auto"/>
              <w:right w:val="single" w:sz="12" w:space="0" w:color="auto"/>
            </w:tcBorders>
            <w:shd w:val="clear" w:color="auto" w:fill="FFFFFF" w:themeFill="background1"/>
            <w:noWrap/>
            <w:vAlign w:val="bottom"/>
          </w:tcPr>
          <w:p w14:paraId="1CC7818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5.941</w:t>
            </w:r>
          </w:p>
        </w:tc>
      </w:tr>
      <w:tr w:rsidR="00B0400C" w:rsidRPr="00B8500C" w14:paraId="28AEB91B"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val="restart"/>
            <w:tcBorders>
              <w:top w:val="single" w:sz="4" w:space="0" w:color="auto"/>
              <w:left w:val="single" w:sz="12" w:space="0" w:color="auto"/>
              <w:bottom w:val="nil"/>
              <w:right w:val="single" w:sz="12" w:space="0" w:color="auto"/>
            </w:tcBorders>
            <w:shd w:val="clear" w:color="auto" w:fill="FFFFFF" w:themeFill="background1"/>
            <w:noWrap/>
          </w:tcPr>
          <w:p w14:paraId="019ED62F" w14:textId="77777777" w:rsidR="00D637C3" w:rsidRPr="00B8500C" w:rsidRDefault="00D637C3" w:rsidP="00534BDD">
            <w:pPr>
              <w:spacing w:before="0" w:after="0"/>
              <w:rPr>
                <w:rFonts w:ascii="Times New Roman" w:eastAsia="Times New Roman" w:hAnsi="Times New Roman" w:cs="Times New Roman"/>
                <w:b w:val="0"/>
                <w:bCs w:val="0"/>
                <w:lang w:eastAsia="en-CA"/>
              </w:rPr>
            </w:pPr>
            <w:r w:rsidRPr="00B8500C">
              <w:rPr>
                <w:rFonts w:ascii="Times New Roman" w:eastAsia="Times New Roman" w:hAnsi="Times New Roman" w:cs="Times New Roman"/>
                <w:b w:val="0"/>
                <w:bCs w:val="0"/>
                <w:lang w:eastAsia="en-CA"/>
              </w:rPr>
              <w:t xml:space="preserve">TAZ-Day </w:t>
            </w:r>
          </w:p>
        </w:tc>
        <w:tc>
          <w:tcPr>
            <w:tcW w:w="2516" w:type="dxa"/>
            <w:tcBorders>
              <w:top w:val="single" w:sz="4" w:space="0" w:color="auto"/>
              <w:left w:val="single" w:sz="12" w:space="0" w:color="auto"/>
              <w:bottom w:val="nil"/>
              <w:right w:val="single" w:sz="18" w:space="0" w:color="auto"/>
            </w:tcBorders>
            <w:shd w:val="clear" w:color="auto" w:fill="FFFFFF" w:themeFill="background1"/>
          </w:tcPr>
          <w:p w14:paraId="458B69BE"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Constant</w:t>
            </w:r>
          </w:p>
        </w:tc>
        <w:tc>
          <w:tcPr>
            <w:tcW w:w="1089" w:type="dxa"/>
            <w:tcBorders>
              <w:top w:val="single" w:sz="4" w:space="0" w:color="auto"/>
              <w:left w:val="single" w:sz="18" w:space="0" w:color="auto"/>
              <w:bottom w:val="nil"/>
            </w:tcBorders>
            <w:shd w:val="clear" w:color="auto" w:fill="auto"/>
            <w:vAlign w:val="center"/>
          </w:tcPr>
          <w:p w14:paraId="10647F5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single" w:sz="4" w:space="0" w:color="auto"/>
              <w:bottom w:val="nil"/>
              <w:right w:val="single" w:sz="18" w:space="0" w:color="auto"/>
            </w:tcBorders>
            <w:shd w:val="clear" w:color="auto" w:fill="auto"/>
            <w:vAlign w:val="center"/>
          </w:tcPr>
          <w:p w14:paraId="7A76A97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single" w:sz="4" w:space="0" w:color="auto"/>
              <w:left w:val="single" w:sz="18" w:space="0" w:color="auto"/>
              <w:bottom w:val="nil"/>
            </w:tcBorders>
            <w:shd w:val="clear" w:color="auto" w:fill="FFFFFF" w:themeFill="background1"/>
            <w:noWrap/>
            <w:vAlign w:val="bottom"/>
          </w:tcPr>
          <w:p w14:paraId="3550FBA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0.2549</w:t>
            </w:r>
          </w:p>
        </w:tc>
        <w:tc>
          <w:tcPr>
            <w:tcW w:w="1089" w:type="dxa"/>
            <w:tcBorders>
              <w:top w:val="single" w:sz="4" w:space="0" w:color="auto"/>
              <w:bottom w:val="nil"/>
            </w:tcBorders>
            <w:shd w:val="clear" w:color="auto" w:fill="FFFFFF" w:themeFill="background1"/>
            <w:noWrap/>
            <w:vAlign w:val="bottom"/>
          </w:tcPr>
          <w:p w14:paraId="7ED3D89C"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7.702</w:t>
            </w:r>
          </w:p>
        </w:tc>
        <w:tc>
          <w:tcPr>
            <w:tcW w:w="1089" w:type="dxa"/>
            <w:tcBorders>
              <w:top w:val="single" w:sz="4" w:space="0" w:color="auto"/>
              <w:left w:val="single" w:sz="18" w:space="0" w:color="auto"/>
              <w:bottom w:val="nil"/>
            </w:tcBorders>
            <w:shd w:val="clear" w:color="auto" w:fill="FFFFFF" w:themeFill="background1"/>
            <w:vAlign w:val="bottom"/>
          </w:tcPr>
          <w:p w14:paraId="2029E4C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0.2549</w:t>
            </w:r>
          </w:p>
        </w:tc>
        <w:tc>
          <w:tcPr>
            <w:tcW w:w="1089" w:type="dxa"/>
            <w:tcBorders>
              <w:top w:val="single" w:sz="4" w:space="0" w:color="auto"/>
              <w:bottom w:val="nil"/>
              <w:right w:val="single" w:sz="12" w:space="0" w:color="auto"/>
            </w:tcBorders>
            <w:shd w:val="clear" w:color="auto" w:fill="FFFFFF" w:themeFill="background1"/>
            <w:noWrap/>
            <w:vAlign w:val="bottom"/>
          </w:tcPr>
          <w:p w14:paraId="023AE6A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7.702</w:t>
            </w:r>
          </w:p>
        </w:tc>
      </w:tr>
      <w:tr w:rsidR="00B0400C" w:rsidRPr="00B8500C" w14:paraId="2EA21E94"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top w:val="nil"/>
              <w:left w:val="single" w:sz="12" w:space="0" w:color="auto"/>
              <w:bottom w:val="single" w:sz="4" w:space="0" w:color="auto"/>
              <w:right w:val="single" w:sz="12" w:space="0" w:color="auto"/>
            </w:tcBorders>
            <w:shd w:val="clear" w:color="auto" w:fill="FFFFFF" w:themeFill="background1"/>
            <w:noWrap/>
          </w:tcPr>
          <w:p w14:paraId="52001BFF"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top w:val="nil"/>
              <w:left w:val="single" w:sz="12" w:space="0" w:color="auto"/>
              <w:bottom w:val="single" w:sz="4" w:space="0" w:color="auto"/>
              <w:right w:val="single" w:sz="18" w:space="0" w:color="auto"/>
            </w:tcBorders>
            <w:shd w:val="clear" w:color="auto" w:fill="FFFFFF" w:themeFill="background1"/>
          </w:tcPr>
          <w:p w14:paraId="693EF8A6"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Bicycle Facility Density</w:t>
            </w:r>
          </w:p>
        </w:tc>
        <w:tc>
          <w:tcPr>
            <w:tcW w:w="1089" w:type="dxa"/>
            <w:tcBorders>
              <w:top w:val="nil"/>
              <w:left w:val="single" w:sz="18" w:space="0" w:color="auto"/>
              <w:bottom w:val="single" w:sz="4" w:space="0" w:color="auto"/>
            </w:tcBorders>
            <w:shd w:val="clear" w:color="auto" w:fill="auto"/>
            <w:vAlign w:val="center"/>
          </w:tcPr>
          <w:p w14:paraId="2FD5F18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nil"/>
              <w:bottom w:val="single" w:sz="4" w:space="0" w:color="auto"/>
              <w:right w:val="single" w:sz="18" w:space="0" w:color="auto"/>
            </w:tcBorders>
            <w:shd w:val="clear" w:color="auto" w:fill="auto"/>
            <w:vAlign w:val="center"/>
          </w:tcPr>
          <w:p w14:paraId="3DA010E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nil"/>
              <w:left w:val="single" w:sz="18" w:space="0" w:color="auto"/>
              <w:bottom w:val="single" w:sz="4" w:space="0" w:color="auto"/>
            </w:tcBorders>
            <w:shd w:val="clear" w:color="auto" w:fill="FFFFFF" w:themeFill="background1"/>
            <w:noWrap/>
            <w:vAlign w:val="bottom"/>
          </w:tcPr>
          <w:p w14:paraId="40B62D1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0.0246</w:t>
            </w:r>
          </w:p>
        </w:tc>
        <w:tc>
          <w:tcPr>
            <w:tcW w:w="1089" w:type="dxa"/>
            <w:tcBorders>
              <w:top w:val="nil"/>
              <w:bottom w:val="single" w:sz="4" w:space="0" w:color="auto"/>
            </w:tcBorders>
            <w:shd w:val="clear" w:color="auto" w:fill="FFFFFF" w:themeFill="background1"/>
            <w:noWrap/>
            <w:vAlign w:val="bottom"/>
          </w:tcPr>
          <w:p w14:paraId="27ED834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4.701</w:t>
            </w:r>
          </w:p>
        </w:tc>
        <w:tc>
          <w:tcPr>
            <w:tcW w:w="1089" w:type="dxa"/>
            <w:tcBorders>
              <w:top w:val="nil"/>
              <w:left w:val="single" w:sz="18" w:space="0" w:color="auto"/>
              <w:bottom w:val="single" w:sz="4" w:space="0" w:color="auto"/>
            </w:tcBorders>
            <w:shd w:val="clear" w:color="auto" w:fill="FFFFFF" w:themeFill="background1"/>
            <w:vAlign w:val="bottom"/>
          </w:tcPr>
          <w:p w14:paraId="5DD24183"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0.0246</w:t>
            </w:r>
          </w:p>
        </w:tc>
        <w:tc>
          <w:tcPr>
            <w:tcW w:w="1089" w:type="dxa"/>
            <w:tcBorders>
              <w:top w:val="nil"/>
              <w:bottom w:val="single" w:sz="4" w:space="0" w:color="auto"/>
              <w:right w:val="single" w:sz="12" w:space="0" w:color="auto"/>
            </w:tcBorders>
            <w:shd w:val="clear" w:color="auto" w:fill="FFFFFF" w:themeFill="background1"/>
            <w:noWrap/>
            <w:vAlign w:val="bottom"/>
          </w:tcPr>
          <w:p w14:paraId="66282F0E"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4.701</w:t>
            </w:r>
          </w:p>
        </w:tc>
      </w:tr>
      <w:tr w:rsidR="00B0400C" w:rsidRPr="00B8500C" w14:paraId="342B99AE"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val="restart"/>
            <w:tcBorders>
              <w:top w:val="single" w:sz="4" w:space="0" w:color="auto"/>
              <w:left w:val="single" w:sz="12" w:space="0" w:color="auto"/>
              <w:right w:val="single" w:sz="12" w:space="0" w:color="auto"/>
            </w:tcBorders>
            <w:shd w:val="clear" w:color="auto" w:fill="FFFFFF" w:themeFill="background1"/>
            <w:noWrap/>
          </w:tcPr>
          <w:p w14:paraId="1C7BDC39" w14:textId="77777777" w:rsidR="00D637C3" w:rsidRPr="00B8500C" w:rsidRDefault="00534BDD" w:rsidP="00534BDD">
            <w:pPr>
              <w:spacing w:before="0" w:after="0"/>
              <w:rPr>
                <w:rFonts w:ascii="Times New Roman" w:eastAsia="Times New Roman" w:hAnsi="Times New Roman" w:cs="Times New Roman"/>
                <w:b w:val="0"/>
                <w:bCs w:val="0"/>
                <w:lang w:eastAsia="en-CA"/>
              </w:rPr>
            </w:pPr>
            <w:r>
              <w:rPr>
                <w:rFonts w:ascii="Times New Roman" w:eastAsia="Times New Roman" w:hAnsi="Times New Roman" w:cs="Times New Roman"/>
                <w:b w:val="0"/>
                <w:bCs w:val="0"/>
                <w:lang w:eastAsia="en-CA"/>
              </w:rPr>
              <w:t>TAZ-D</w:t>
            </w:r>
            <w:r w:rsidR="00A94D7C">
              <w:rPr>
                <w:rFonts w:ascii="Times New Roman" w:eastAsia="Times New Roman" w:hAnsi="Times New Roman" w:cs="Times New Roman"/>
                <w:b w:val="0"/>
                <w:bCs w:val="0"/>
                <w:lang w:eastAsia="en-CA"/>
              </w:rPr>
              <w:t>ay</w:t>
            </w:r>
            <w:r>
              <w:rPr>
                <w:rFonts w:ascii="Times New Roman" w:eastAsia="Times New Roman" w:hAnsi="Times New Roman" w:cs="Times New Roman"/>
                <w:b w:val="0"/>
                <w:bCs w:val="0"/>
                <w:lang w:eastAsia="en-CA"/>
              </w:rPr>
              <w:t>-Time Period</w:t>
            </w:r>
          </w:p>
        </w:tc>
        <w:tc>
          <w:tcPr>
            <w:tcW w:w="2516" w:type="dxa"/>
            <w:tcBorders>
              <w:top w:val="single" w:sz="4" w:space="0" w:color="auto"/>
              <w:left w:val="single" w:sz="12" w:space="0" w:color="auto"/>
              <w:bottom w:val="nil"/>
              <w:right w:val="single" w:sz="18" w:space="0" w:color="auto"/>
            </w:tcBorders>
            <w:shd w:val="clear" w:color="auto" w:fill="FFFFFF" w:themeFill="background1"/>
          </w:tcPr>
          <w:p w14:paraId="56BC42FC"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Constant</w:t>
            </w:r>
          </w:p>
        </w:tc>
        <w:tc>
          <w:tcPr>
            <w:tcW w:w="1089" w:type="dxa"/>
            <w:tcBorders>
              <w:top w:val="single" w:sz="4" w:space="0" w:color="auto"/>
              <w:left w:val="single" w:sz="18" w:space="0" w:color="auto"/>
              <w:bottom w:val="nil"/>
            </w:tcBorders>
            <w:shd w:val="clear" w:color="auto" w:fill="auto"/>
            <w:vAlign w:val="center"/>
          </w:tcPr>
          <w:p w14:paraId="0F6293F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single" w:sz="4" w:space="0" w:color="auto"/>
              <w:bottom w:val="nil"/>
              <w:right w:val="single" w:sz="18" w:space="0" w:color="auto"/>
            </w:tcBorders>
            <w:shd w:val="clear" w:color="auto" w:fill="auto"/>
            <w:vAlign w:val="center"/>
          </w:tcPr>
          <w:p w14:paraId="53D2489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single" w:sz="4" w:space="0" w:color="auto"/>
              <w:left w:val="single" w:sz="18" w:space="0" w:color="auto"/>
            </w:tcBorders>
            <w:shd w:val="clear" w:color="auto" w:fill="FFFFFF" w:themeFill="background1"/>
            <w:noWrap/>
            <w:vAlign w:val="bottom"/>
          </w:tcPr>
          <w:p w14:paraId="453779A2"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0.1692</w:t>
            </w:r>
          </w:p>
        </w:tc>
        <w:tc>
          <w:tcPr>
            <w:tcW w:w="1089" w:type="dxa"/>
            <w:tcBorders>
              <w:top w:val="single" w:sz="4" w:space="0" w:color="auto"/>
            </w:tcBorders>
            <w:shd w:val="clear" w:color="auto" w:fill="FFFFFF" w:themeFill="background1"/>
            <w:noWrap/>
            <w:vAlign w:val="bottom"/>
          </w:tcPr>
          <w:p w14:paraId="7C421F3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3.273</w:t>
            </w:r>
          </w:p>
        </w:tc>
        <w:tc>
          <w:tcPr>
            <w:tcW w:w="1089" w:type="dxa"/>
            <w:tcBorders>
              <w:top w:val="single" w:sz="4" w:space="0" w:color="auto"/>
              <w:left w:val="single" w:sz="18" w:space="0" w:color="auto"/>
            </w:tcBorders>
            <w:shd w:val="clear" w:color="auto" w:fill="FFFFFF" w:themeFill="background1"/>
            <w:vAlign w:val="bottom"/>
          </w:tcPr>
          <w:p w14:paraId="0FB4088D"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0.1692</w:t>
            </w:r>
          </w:p>
        </w:tc>
        <w:tc>
          <w:tcPr>
            <w:tcW w:w="1089" w:type="dxa"/>
            <w:tcBorders>
              <w:top w:val="single" w:sz="4" w:space="0" w:color="auto"/>
              <w:right w:val="single" w:sz="12" w:space="0" w:color="auto"/>
            </w:tcBorders>
            <w:shd w:val="clear" w:color="auto" w:fill="FFFFFF" w:themeFill="background1"/>
            <w:noWrap/>
            <w:vAlign w:val="bottom"/>
          </w:tcPr>
          <w:p w14:paraId="08B8CA0A"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3.273</w:t>
            </w:r>
          </w:p>
        </w:tc>
      </w:tr>
      <w:tr w:rsidR="00D637C3" w:rsidRPr="00B8500C" w14:paraId="0C827C5A"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left w:val="single" w:sz="12" w:space="0" w:color="auto"/>
              <w:right w:val="single" w:sz="12" w:space="0" w:color="auto"/>
            </w:tcBorders>
            <w:shd w:val="clear" w:color="auto" w:fill="FFFFFF" w:themeFill="background1"/>
            <w:noWrap/>
          </w:tcPr>
          <w:p w14:paraId="07B37CF5"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left w:val="single" w:sz="12" w:space="0" w:color="auto"/>
              <w:bottom w:val="nil"/>
              <w:right w:val="single" w:sz="18" w:space="0" w:color="auto"/>
            </w:tcBorders>
            <w:shd w:val="clear" w:color="auto" w:fill="FFFFFF" w:themeFill="background1"/>
          </w:tcPr>
          <w:p w14:paraId="0BCD8731"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r w:rsidRPr="00B8500C">
              <w:rPr>
                <w:rFonts w:ascii="Times New Roman" w:eastAsia="Times New Roman" w:hAnsi="Times New Roman" w:cs="Times New Roman"/>
                <w:color w:val="auto"/>
                <w:lang w:eastAsia="en-CA"/>
              </w:rPr>
              <w:t>TAZ Job Density</w:t>
            </w:r>
          </w:p>
        </w:tc>
        <w:tc>
          <w:tcPr>
            <w:tcW w:w="1089" w:type="dxa"/>
            <w:tcBorders>
              <w:top w:val="nil"/>
              <w:left w:val="single" w:sz="18" w:space="0" w:color="auto"/>
              <w:bottom w:val="nil"/>
            </w:tcBorders>
            <w:shd w:val="clear" w:color="auto" w:fill="auto"/>
            <w:vAlign w:val="center"/>
          </w:tcPr>
          <w:p w14:paraId="66C8218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nil"/>
              <w:bottom w:val="nil"/>
              <w:right w:val="single" w:sz="18" w:space="0" w:color="auto"/>
            </w:tcBorders>
            <w:shd w:val="clear" w:color="auto" w:fill="auto"/>
            <w:vAlign w:val="center"/>
          </w:tcPr>
          <w:p w14:paraId="26BAA01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left w:val="single" w:sz="18" w:space="0" w:color="auto"/>
            </w:tcBorders>
            <w:shd w:val="clear" w:color="auto" w:fill="FFFFFF" w:themeFill="background1"/>
            <w:noWrap/>
            <w:vAlign w:val="bottom"/>
          </w:tcPr>
          <w:p w14:paraId="609B8138"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4.295</w:t>
            </w:r>
          </w:p>
        </w:tc>
        <w:tc>
          <w:tcPr>
            <w:tcW w:w="1089" w:type="dxa"/>
            <w:shd w:val="clear" w:color="auto" w:fill="FFFFFF" w:themeFill="background1"/>
            <w:noWrap/>
            <w:vAlign w:val="bottom"/>
          </w:tcPr>
          <w:p w14:paraId="48B9216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8.277</w:t>
            </w:r>
          </w:p>
        </w:tc>
        <w:tc>
          <w:tcPr>
            <w:tcW w:w="1089" w:type="dxa"/>
            <w:tcBorders>
              <w:left w:val="single" w:sz="18" w:space="0" w:color="auto"/>
            </w:tcBorders>
            <w:shd w:val="clear" w:color="auto" w:fill="FFFFFF" w:themeFill="background1"/>
            <w:vAlign w:val="bottom"/>
          </w:tcPr>
          <w:p w14:paraId="0143410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4.295</w:t>
            </w:r>
          </w:p>
        </w:tc>
        <w:tc>
          <w:tcPr>
            <w:tcW w:w="1089" w:type="dxa"/>
            <w:tcBorders>
              <w:right w:val="single" w:sz="12" w:space="0" w:color="auto"/>
            </w:tcBorders>
            <w:shd w:val="clear" w:color="auto" w:fill="FFFFFF" w:themeFill="background1"/>
            <w:noWrap/>
            <w:vAlign w:val="bottom"/>
          </w:tcPr>
          <w:p w14:paraId="0C21ECB4"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8.277</w:t>
            </w:r>
          </w:p>
        </w:tc>
      </w:tr>
      <w:tr w:rsidR="00D637C3" w:rsidRPr="00B8500C" w14:paraId="58593A55" w14:textId="77777777" w:rsidTr="00534BDD">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vMerge/>
            <w:tcBorders>
              <w:left w:val="single" w:sz="12" w:space="0" w:color="auto"/>
              <w:bottom w:val="single" w:sz="12" w:space="0" w:color="auto"/>
              <w:right w:val="single" w:sz="12" w:space="0" w:color="auto"/>
            </w:tcBorders>
            <w:shd w:val="clear" w:color="auto" w:fill="FFFFFF" w:themeFill="background1"/>
            <w:noWrap/>
          </w:tcPr>
          <w:p w14:paraId="04E94833" w14:textId="77777777" w:rsidR="00D637C3" w:rsidRPr="00B8500C" w:rsidRDefault="00D637C3" w:rsidP="009B6F3A">
            <w:pPr>
              <w:spacing w:before="0" w:after="0"/>
              <w:rPr>
                <w:rFonts w:ascii="Times New Roman" w:eastAsia="Times New Roman" w:hAnsi="Times New Roman" w:cs="Times New Roman"/>
                <w:b w:val="0"/>
                <w:bCs w:val="0"/>
                <w:lang w:eastAsia="en-CA"/>
              </w:rPr>
            </w:pPr>
          </w:p>
        </w:tc>
        <w:tc>
          <w:tcPr>
            <w:tcW w:w="2516" w:type="dxa"/>
            <w:tcBorders>
              <w:left w:val="single" w:sz="12" w:space="0" w:color="auto"/>
              <w:bottom w:val="single" w:sz="12" w:space="0" w:color="auto"/>
              <w:right w:val="single" w:sz="18" w:space="0" w:color="auto"/>
            </w:tcBorders>
            <w:shd w:val="clear" w:color="auto" w:fill="FFFFFF" w:themeFill="background1"/>
          </w:tcPr>
          <w:p w14:paraId="048390E7" w14:textId="77777777" w:rsidR="00D637C3" w:rsidRPr="00B8500C" w:rsidRDefault="00D637C3" w:rsidP="009B6F3A">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r w:rsidRPr="00B8500C">
              <w:rPr>
                <w:rFonts w:ascii="Times New Roman" w:eastAsia="Times New Roman" w:hAnsi="Times New Roman" w:cs="Times New Roman"/>
                <w:color w:val="auto"/>
                <w:lang w:eastAsia="en-CA"/>
              </w:rPr>
              <w:t>TAZ Population Density</w:t>
            </w:r>
          </w:p>
        </w:tc>
        <w:tc>
          <w:tcPr>
            <w:tcW w:w="1089" w:type="dxa"/>
            <w:tcBorders>
              <w:top w:val="nil"/>
              <w:left w:val="single" w:sz="18" w:space="0" w:color="auto"/>
              <w:bottom w:val="single" w:sz="12" w:space="0" w:color="auto"/>
            </w:tcBorders>
            <w:shd w:val="clear" w:color="auto" w:fill="auto"/>
            <w:vAlign w:val="center"/>
          </w:tcPr>
          <w:p w14:paraId="465AAADF"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top w:val="nil"/>
              <w:bottom w:val="single" w:sz="12" w:space="0" w:color="auto"/>
              <w:right w:val="single" w:sz="18" w:space="0" w:color="auto"/>
            </w:tcBorders>
            <w:shd w:val="clear" w:color="auto" w:fill="auto"/>
            <w:vAlign w:val="center"/>
          </w:tcPr>
          <w:p w14:paraId="1F5A110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CA"/>
              </w:rPr>
            </w:pPr>
          </w:p>
        </w:tc>
        <w:tc>
          <w:tcPr>
            <w:tcW w:w="1089" w:type="dxa"/>
            <w:tcBorders>
              <w:left w:val="single" w:sz="18" w:space="0" w:color="auto"/>
              <w:bottom w:val="single" w:sz="12" w:space="0" w:color="auto"/>
            </w:tcBorders>
            <w:shd w:val="clear" w:color="auto" w:fill="FFFFFF" w:themeFill="background1"/>
            <w:noWrap/>
            <w:vAlign w:val="bottom"/>
          </w:tcPr>
          <w:p w14:paraId="5D4B2961"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0.3023</w:t>
            </w:r>
          </w:p>
        </w:tc>
        <w:tc>
          <w:tcPr>
            <w:tcW w:w="1089" w:type="dxa"/>
            <w:tcBorders>
              <w:bottom w:val="single" w:sz="12" w:space="0" w:color="auto"/>
            </w:tcBorders>
            <w:shd w:val="clear" w:color="auto" w:fill="FFFFFF" w:themeFill="background1"/>
            <w:noWrap/>
            <w:vAlign w:val="bottom"/>
          </w:tcPr>
          <w:p w14:paraId="277F5C29"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7.94</w:t>
            </w:r>
            <w:r w:rsidR="00721856">
              <w:rPr>
                <w:rFonts w:ascii="Times New Roman" w:eastAsia="Times New Roman" w:hAnsi="Times New Roman" w:cs="Times New Roman"/>
                <w:color w:val="auto"/>
                <w:lang w:eastAsia="en-CA"/>
              </w:rPr>
              <w:t>0</w:t>
            </w:r>
          </w:p>
        </w:tc>
        <w:tc>
          <w:tcPr>
            <w:tcW w:w="1089" w:type="dxa"/>
            <w:tcBorders>
              <w:left w:val="single" w:sz="18" w:space="0" w:color="auto"/>
              <w:bottom w:val="single" w:sz="12" w:space="0" w:color="auto"/>
            </w:tcBorders>
            <w:shd w:val="clear" w:color="auto" w:fill="FFFFFF" w:themeFill="background1"/>
            <w:vAlign w:val="bottom"/>
          </w:tcPr>
          <w:p w14:paraId="5BFF5647"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0.3023</w:t>
            </w:r>
          </w:p>
        </w:tc>
        <w:tc>
          <w:tcPr>
            <w:tcW w:w="1089" w:type="dxa"/>
            <w:tcBorders>
              <w:right w:val="single" w:sz="12" w:space="0" w:color="auto"/>
            </w:tcBorders>
            <w:shd w:val="clear" w:color="auto" w:fill="FFFFFF" w:themeFill="background1"/>
            <w:noWrap/>
            <w:vAlign w:val="bottom"/>
          </w:tcPr>
          <w:p w14:paraId="6D9DC346" w14:textId="77777777" w:rsidR="00D637C3" w:rsidRPr="00B8500C" w:rsidRDefault="00D637C3" w:rsidP="009B6F3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7.94</w:t>
            </w:r>
            <w:r w:rsidR="00721856">
              <w:rPr>
                <w:rFonts w:ascii="Times New Roman" w:eastAsia="Times New Roman" w:hAnsi="Times New Roman" w:cs="Times New Roman"/>
                <w:color w:val="auto"/>
                <w:lang w:eastAsia="en-CA"/>
              </w:rPr>
              <w:t>0</w:t>
            </w:r>
          </w:p>
        </w:tc>
      </w:tr>
      <w:tr w:rsidR="00B0400C" w:rsidRPr="00B8500C" w14:paraId="11613817" w14:textId="77777777" w:rsidTr="002E73BB">
        <w:trPr>
          <w:trHeight w:val="283"/>
          <w:jc w:val="center"/>
        </w:trPr>
        <w:tc>
          <w:tcPr>
            <w:cnfStyle w:val="001000000000" w:firstRow="0" w:lastRow="0" w:firstColumn="1" w:lastColumn="0" w:oddVBand="0" w:evenVBand="0" w:oddHBand="0" w:evenHBand="0" w:firstRowFirstColumn="0" w:firstRowLastColumn="0" w:lastRowFirstColumn="0" w:lastRowLastColumn="0"/>
            <w:tcW w:w="3671" w:type="dxa"/>
            <w:gridSpan w:val="2"/>
            <w:tcBorders>
              <w:top w:val="single" w:sz="12" w:space="0" w:color="auto"/>
              <w:left w:val="single" w:sz="12" w:space="0" w:color="auto"/>
              <w:bottom w:val="single" w:sz="12" w:space="0" w:color="auto"/>
              <w:right w:val="single" w:sz="18" w:space="0" w:color="auto"/>
            </w:tcBorders>
            <w:shd w:val="clear" w:color="auto" w:fill="FFFFFF" w:themeFill="background1"/>
            <w:noWrap/>
          </w:tcPr>
          <w:p w14:paraId="721FA9EA" w14:textId="77777777" w:rsidR="00D637C3" w:rsidRPr="00B8500C" w:rsidRDefault="002E73BB" w:rsidP="009B6F3A">
            <w:pPr>
              <w:spacing w:before="0" w:after="0"/>
              <w:rPr>
                <w:rFonts w:ascii="Times New Roman" w:eastAsia="Times New Roman" w:hAnsi="Times New Roman" w:cs="Times New Roman"/>
                <w:b w:val="0"/>
                <w:color w:val="auto"/>
                <w:lang w:eastAsia="en-CA"/>
              </w:rPr>
            </w:pPr>
            <w:r>
              <w:rPr>
                <w:rFonts w:ascii="Times New Roman" w:eastAsia="Times New Roman" w:hAnsi="Times New Roman" w:cs="Times New Roman"/>
                <w:color w:val="auto"/>
                <w:lang w:eastAsia="en-CA"/>
              </w:rPr>
              <w:t xml:space="preserve">Standard Deviation of </w:t>
            </w:r>
            <w:r w:rsidR="00D637C3" w:rsidRPr="00B8500C">
              <w:rPr>
                <w:rFonts w:ascii="Times New Roman" w:eastAsia="Times New Roman" w:hAnsi="Times New Roman" w:cs="Times New Roman"/>
                <w:color w:val="auto"/>
                <w:lang w:eastAsia="en-CA"/>
              </w:rPr>
              <w:t>Endogeneity Component</w:t>
            </w:r>
            <w:r w:rsidR="000B0F03">
              <w:rPr>
                <w:rFonts w:ascii="Times New Roman" w:eastAsia="Times New Roman" w:hAnsi="Times New Roman" w:cs="Times New Roman"/>
                <w:color w:val="auto"/>
                <w:lang w:eastAsia="en-CA"/>
              </w:rPr>
              <w:t xml:space="preserve"> (</w:t>
            </w:r>
            <m:oMath>
              <m:sSub>
                <m:sSubPr>
                  <m:ctrlPr>
                    <w:rPr>
                      <w:rFonts w:ascii="Cambria Math" w:hAnsi="Cambria Math" w:cs="Times New Roman"/>
                      <w:i/>
                    </w:rPr>
                  </m:ctrlPr>
                </m:sSubPr>
                <m:e>
                  <m:r>
                    <m:rPr>
                      <m:sty m:val="bi"/>
                    </m:rPr>
                    <w:rPr>
                      <w:rFonts w:ascii="Cambria Math" w:hAnsi="Cambria Math" w:cs="Times New Roman"/>
                    </w:rPr>
                    <m:t>η</m:t>
                  </m:r>
                </m:e>
                <m:sub>
                  <m:r>
                    <m:rPr>
                      <m:sty m:val="bi"/>
                    </m:rPr>
                    <w:rPr>
                      <w:rFonts w:ascii="Cambria Math" w:hAnsi="Cambria Math" w:cs="Times New Roman"/>
                    </w:rPr>
                    <m:t>q</m:t>
                  </m:r>
                </m:sub>
              </m:sSub>
            </m:oMath>
            <w:r w:rsidR="000B0F03">
              <w:rPr>
                <w:rFonts w:ascii="Times New Roman" w:eastAsia="Times New Roman" w:hAnsi="Times New Roman" w:cs="Times New Roman"/>
                <w:color w:val="auto"/>
                <w:lang w:eastAsia="en-CA"/>
              </w:rPr>
              <w:t>)</w:t>
            </w:r>
          </w:p>
        </w:tc>
        <w:tc>
          <w:tcPr>
            <w:tcW w:w="1089" w:type="dxa"/>
            <w:tcBorders>
              <w:top w:val="single" w:sz="12" w:space="0" w:color="auto"/>
              <w:left w:val="single" w:sz="18" w:space="0" w:color="auto"/>
              <w:bottom w:val="single" w:sz="12" w:space="0" w:color="auto"/>
            </w:tcBorders>
            <w:shd w:val="clear" w:color="auto" w:fill="auto"/>
            <w:vAlign w:val="center"/>
          </w:tcPr>
          <w:p w14:paraId="43C66A72" w14:textId="77777777" w:rsidR="00D637C3" w:rsidRPr="00B8500C" w:rsidRDefault="00D637C3" w:rsidP="009C2E5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1.1585</w:t>
            </w:r>
          </w:p>
        </w:tc>
        <w:tc>
          <w:tcPr>
            <w:tcW w:w="1089" w:type="dxa"/>
            <w:tcBorders>
              <w:top w:val="single" w:sz="12" w:space="0" w:color="auto"/>
              <w:bottom w:val="single" w:sz="12" w:space="0" w:color="auto"/>
              <w:right w:val="single" w:sz="18" w:space="0" w:color="auto"/>
            </w:tcBorders>
            <w:shd w:val="clear" w:color="auto" w:fill="auto"/>
            <w:vAlign w:val="center"/>
          </w:tcPr>
          <w:p w14:paraId="2DEE7BBF" w14:textId="77777777" w:rsidR="00D637C3" w:rsidRPr="00B8500C" w:rsidRDefault="00D637C3" w:rsidP="004C745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10.294</w:t>
            </w:r>
          </w:p>
        </w:tc>
        <w:tc>
          <w:tcPr>
            <w:tcW w:w="1089" w:type="dxa"/>
            <w:tcBorders>
              <w:top w:val="single" w:sz="12" w:space="0" w:color="auto"/>
              <w:left w:val="single" w:sz="18" w:space="0" w:color="auto"/>
              <w:bottom w:val="single" w:sz="12" w:space="0" w:color="auto"/>
            </w:tcBorders>
            <w:shd w:val="clear" w:color="auto" w:fill="FFFFFF" w:themeFill="background1"/>
            <w:noWrap/>
            <w:vAlign w:val="center"/>
          </w:tcPr>
          <w:p w14:paraId="310E0A2E" w14:textId="77777777" w:rsidR="00D637C3" w:rsidRPr="00B8500C" w:rsidRDefault="00D637C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1.1585</w:t>
            </w:r>
          </w:p>
        </w:tc>
        <w:tc>
          <w:tcPr>
            <w:tcW w:w="1089" w:type="dxa"/>
            <w:tcBorders>
              <w:top w:val="single" w:sz="12" w:space="0" w:color="auto"/>
              <w:bottom w:val="single" w:sz="12" w:space="0" w:color="auto"/>
            </w:tcBorders>
            <w:shd w:val="clear" w:color="auto" w:fill="FFFFFF" w:themeFill="background1"/>
            <w:noWrap/>
            <w:vAlign w:val="center"/>
          </w:tcPr>
          <w:p w14:paraId="02A95E9B" w14:textId="77777777" w:rsidR="00D637C3" w:rsidRPr="00B8500C" w:rsidRDefault="00D637C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10.294</w:t>
            </w:r>
          </w:p>
        </w:tc>
        <w:tc>
          <w:tcPr>
            <w:tcW w:w="1089" w:type="dxa"/>
            <w:tcBorders>
              <w:top w:val="single" w:sz="12" w:space="0" w:color="auto"/>
              <w:left w:val="single" w:sz="18" w:space="0" w:color="auto"/>
              <w:bottom w:val="single" w:sz="12" w:space="0" w:color="auto"/>
            </w:tcBorders>
            <w:shd w:val="clear" w:color="auto" w:fill="FFFFFF" w:themeFill="background1"/>
            <w:vAlign w:val="center"/>
          </w:tcPr>
          <w:p w14:paraId="369F1642" w14:textId="77777777" w:rsidR="00D637C3" w:rsidRPr="00B8500C" w:rsidRDefault="00D637C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1.1585</w:t>
            </w:r>
          </w:p>
        </w:tc>
        <w:tc>
          <w:tcPr>
            <w:tcW w:w="1089" w:type="dxa"/>
            <w:tcBorders>
              <w:top w:val="single" w:sz="12" w:space="0" w:color="auto"/>
              <w:bottom w:val="single" w:sz="12" w:space="0" w:color="auto"/>
              <w:right w:val="single" w:sz="12" w:space="0" w:color="auto"/>
            </w:tcBorders>
            <w:shd w:val="clear" w:color="auto" w:fill="FFFFFF" w:themeFill="background1"/>
            <w:noWrap/>
            <w:vAlign w:val="center"/>
          </w:tcPr>
          <w:p w14:paraId="1025B36E" w14:textId="77777777" w:rsidR="00D637C3" w:rsidRPr="00B8500C" w:rsidRDefault="00D637C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CA"/>
              </w:rPr>
            </w:pPr>
            <w:r w:rsidRPr="00B8500C">
              <w:rPr>
                <w:rFonts w:ascii="Times New Roman" w:eastAsia="Times New Roman" w:hAnsi="Times New Roman" w:cs="Times New Roman"/>
                <w:color w:val="auto"/>
                <w:lang w:eastAsia="en-CA"/>
              </w:rPr>
              <w:t>10.294</w:t>
            </w:r>
          </w:p>
        </w:tc>
      </w:tr>
    </w:tbl>
    <w:p w14:paraId="59B17583" w14:textId="77777777" w:rsidR="003C62AC" w:rsidRPr="008A07C9" w:rsidRDefault="003C62AC" w:rsidP="003C62AC">
      <w:pPr>
        <w:rPr>
          <w:rFonts w:cs="Times New Roman"/>
        </w:rPr>
        <w:sectPr w:rsidR="003C62AC" w:rsidRPr="008A07C9" w:rsidSect="005A1BF9">
          <w:pgSz w:w="12240" w:h="15840"/>
          <w:pgMar w:top="1440" w:right="1440" w:bottom="1440" w:left="1440" w:header="708" w:footer="708" w:gutter="0"/>
          <w:cols w:space="708"/>
          <w:docGrid w:linePitch="360"/>
        </w:sectPr>
      </w:pPr>
    </w:p>
    <w:p w14:paraId="07F61469" w14:textId="77153404" w:rsidR="009B6F3A" w:rsidRDefault="009B6F3A" w:rsidP="0029064A">
      <w:pPr>
        <w:pStyle w:val="Caption"/>
        <w:keepNext/>
        <w:spacing w:before="0" w:after="0"/>
        <w:jc w:val="center"/>
        <w:rPr>
          <w:rFonts w:cs="Times New Roman"/>
          <w:color w:val="auto"/>
          <w:sz w:val="24"/>
          <w:szCs w:val="24"/>
        </w:rPr>
      </w:pPr>
      <w:r w:rsidRPr="008A07C9">
        <w:rPr>
          <w:rFonts w:cs="Times New Roman"/>
          <w:color w:val="auto"/>
          <w:sz w:val="24"/>
          <w:szCs w:val="24"/>
        </w:rPr>
        <w:lastRenderedPageBreak/>
        <w:t xml:space="preserve">Table </w:t>
      </w:r>
      <w:r w:rsidR="0029064A">
        <w:rPr>
          <w:rFonts w:cs="Times New Roman"/>
          <w:color w:val="auto"/>
          <w:sz w:val="24"/>
          <w:szCs w:val="24"/>
        </w:rPr>
        <w:t>4</w:t>
      </w:r>
      <w:r>
        <w:rPr>
          <w:rFonts w:cs="Times New Roman"/>
          <w:color w:val="auto"/>
          <w:sz w:val="24"/>
          <w:szCs w:val="24"/>
        </w:rPr>
        <w:t>:</w:t>
      </w:r>
      <w:r w:rsidRPr="008A07C9">
        <w:rPr>
          <w:rFonts w:cs="Times New Roman"/>
          <w:color w:val="auto"/>
          <w:sz w:val="24"/>
          <w:szCs w:val="24"/>
        </w:rPr>
        <w:t xml:space="preserve"> </w:t>
      </w:r>
      <w:r>
        <w:rPr>
          <w:rFonts w:cs="Times New Roman"/>
          <w:color w:val="auto"/>
          <w:sz w:val="24"/>
          <w:szCs w:val="24"/>
        </w:rPr>
        <w:t>Elasticity</w:t>
      </w:r>
      <w:r w:rsidRPr="008A07C9">
        <w:rPr>
          <w:rFonts w:cs="Times New Roman"/>
          <w:color w:val="auto"/>
          <w:sz w:val="24"/>
          <w:szCs w:val="24"/>
        </w:rPr>
        <w:t xml:space="preserve"> Effects</w:t>
      </w:r>
      <w:r>
        <w:rPr>
          <w:rFonts w:cs="Times New Roman"/>
          <w:color w:val="auto"/>
          <w:sz w:val="24"/>
          <w:szCs w:val="24"/>
        </w:rPr>
        <w:t xml:space="preserve"> (and its standard deviation)</w:t>
      </w:r>
      <w:r w:rsidRPr="008A07C9">
        <w:rPr>
          <w:rFonts w:cs="Times New Roman"/>
          <w:color w:val="auto"/>
          <w:sz w:val="24"/>
          <w:szCs w:val="24"/>
        </w:rPr>
        <w:t xml:space="preserve"> for TAZ Arrival and Departure Rates</w:t>
      </w:r>
    </w:p>
    <w:tbl>
      <w:tblPr>
        <w:tblW w:w="12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45"/>
        <w:gridCol w:w="1110"/>
        <w:gridCol w:w="836"/>
        <w:gridCol w:w="836"/>
        <w:gridCol w:w="1110"/>
        <w:gridCol w:w="836"/>
        <w:gridCol w:w="836"/>
        <w:gridCol w:w="1110"/>
        <w:gridCol w:w="836"/>
        <w:gridCol w:w="836"/>
      </w:tblGrid>
      <w:tr w:rsidR="009B6F3A" w:rsidRPr="008A07C9" w14:paraId="77084BF3" w14:textId="77777777" w:rsidTr="009B6F3A">
        <w:trPr>
          <w:trHeight w:val="300"/>
        </w:trPr>
        <w:tc>
          <w:tcPr>
            <w:tcW w:w="426" w:type="dxa"/>
            <w:tcBorders>
              <w:top w:val="nil"/>
              <w:left w:val="nil"/>
              <w:bottom w:val="nil"/>
              <w:right w:val="nil"/>
            </w:tcBorders>
          </w:tcPr>
          <w:p w14:paraId="0679B041" w14:textId="77777777" w:rsidR="009B6F3A" w:rsidRPr="008A07C9" w:rsidRDefault="009B6F3A" w:rsidP="009B6F3A">
            <w:pPr>
              <w:spacing w:before="0" w:after="0"/>
              <w:rPr>
                <w:rFonts w:eastAsia="Times New Roman" w:cs="Times New Roman"/>
                <w:color w:val="000000"/>
                <w:lang w:eastAsia="en-CA"/>
              </w:rPr>
            </w:pPr>
          </w:p>
        </w:tc>
        <w:tc>
          <w:tcPr>
            <w:tcW w:w="3745" w:type="dxa"/>
            <w:tcBorders>
              <w:top w:val="nil"/>
              <w:left w:val="nil"/>
              <w:bottom w:val="nil"/>
            </w:tcBorders>
            <w:shd w:val="clear" w:color="auto" w:fill="auto"/>
            <w:noWrap/>
            <w:vAlign w:val="bottom"/>
          </w:tcPr>
          <w:p w14:paraId="056B5242" w14:textId="77777777" w:rsidR="009B6F3A" w:rsidRPr="008A07C9" w:rsidRDefault="009B6F3A" w:rsidP="009B6F3A">
            <w:pPr>
              <w:spacing w:before="0" w:after="0"/>
              <w:rPr>
                <w:rFonts w:eastAsia="Times New Roman" w:cs="Times New Roman"/>
                <w:color w:val="000000"/>
                <w:lang w:eastAsia="en-CA"/>
              </w:rPr>
            </w:pPr>
          </w:p>
        </w:tc>
        <w:tc>
          <w:tcPr>
            <w:tcW w:w="2782" w:type="dxa"/>
            <w:gridSpan w:val="3"/>
            <w:shd w:val="clear" w:color="auto" w:fill="auto"/>
            <w:noWrap/>
            <w:vAlign w:val="center"/>
          </w:tcPr>
          <w:p w14:paraId="013F5AA3"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3OL</w:t>
            </w:r>
          </w:p>
        </w:tc>
        <w:tc>
          <w:tcPr>
            <w:tcW w:w="2782" w:type="dxa"/>
            <w:gridSpan w:val="3"/>
            <w:shd w:val="clear" w:color="auto" w:fill="auto"/>
            <w:noWrap/>
            <w:vAlign w:val="center"/>
          </w:tcPr>
          <w:p w14:paraId="7684DC94"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2P</w:t>
            </w:r>
            <w:r w:rsidR="00963F4E">
              <w:rPr>
                <w:rFonts w:eastAsia="Times New Roman" w:cs="Times New Roman"/>
                <w:b/>
                <w:bCs/>
                <w:color w:val="000000"/>
                <w:lang w:eastAsia="en-CA"/>
              </w:rPr>
              <w:t>M</w:t>
            </w:r>
            <w:r w:rsidRPr="008A07C9">
              <w:rPr>
                <w:rFonts w:eastAsia="Times New Roman" w:cs="Times New Roman"/>
                <w:b/>
                <w:bCs/>
                <w:color w:val="000000"/>
                <w:lang w:eastAsia="en-CA"/>
              </w:rPr>
              <w:t>MOL</w:t>
            </w:r>
          </w:p>
        </w:tc>
        <w:tc>
          <w:tcPr>
            <w:tcW w:w="2782" w:type="dxa"/>
            <w:gridSpan w:val="3"/>
            <w:shd w:val="clear" w:color="auto" w:fill="auto"/>
            <w:noWrap/>
            <w:vAlign w:val="center"/>
          </w:tcPr>
          <w:p w14:paraId="620F10E7"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3P</w:t>
            </w:r>
            <w:r w:rsidR="00963F4E">
              <w:rPr>
                <w:rFonts w:eastAsia="Times New Roman" w:cs="Times New Roman"/>
                <w:b/>
                <w:bCs/>
                <w:color w:val="000000"/>
                <w:lang w:eastAsia="en-CA"/>
              </w:rPr>
              <w:t>M</w:t>
            </w:r>
            <w:r w:rsidRPr="008A07C9">
              <w:rPr>
                <w:rFonts w:eastAsia="Times New Roman" w:cs="Times New Roman"/>
                <w:b/>
                <w:bCs/>
                <w:color w:val="000000"/>
                <w:lang w:eastAsia="en-CA"/>
              </w:rPr>
              <w:t>MOL</w:t>
            </w:r>
          </w:p>
        </w:tc>
      </w:tr>
      <w:tr w:rsidR="009B6F3A" w:rsidRPr="008A07C9" w14:paraId="013001C7" w14:textId="77777777" w:rsidTr="009B6F3A">
        <w:trPr>
          <w:trHeight w:val="300"/>
        </w:trPr>
        <w:tc>
          <w:tcPr>
            <w:tcW w:w="426" w:type="dxa"/>
            <w:tcBorders>
              <w:top w:val="nil"/>
              <w:left w:val="nil"/>
              <w:right w:val="nil"/>
            </w:tcBorders>
          </w:tcPr>
          <w:p w14:paraId="1456A7E9" w14:textId="77777777" w:rsidR="009B6F3A" w:rsidRPr="008A07C9" w:rsidRDefault="009B6F3A" w:rsidP="009B6F3A">
            <w:pPr>
              <w:spacing w:before="0" w:after="0"/>
              <w:rPr>
                <w:rFonts w:eastAsia="Times New Roman" w:cs="Times New Roman"/>
                <w:color w:val="000000"/>
                <w:lang w:eastAsia="en-CA"/>
              </w:rPr>
            </w:pPr>
          </w:p>
        </w:tc>
        <w:tc>
          <w:tcPr>
            <w:tcW w:w="3745" w:type="dxa"/>
            <w:tcBorders>
              <w:top w:val="nil"/>
              <w:left w:val="nil"/>
              <w:bottom w:val="single" w:sz="4" w:space="0" w:color="auto"/>
            </w:tcBorders>
            <w:shd w:val="clear" w:color="auto" w:fill="auto"/>
            <w:noWrap/>
            <w:vAlign w:val="bottom"/>
            <w:hideMark/>
          </w:tcPr>
          <w:p w14:paraId="5B744838" w14:textId="77777777" w:rsidR="009B6F3A" w:rsidRPr="008A07C9" w:rsidRDefault="009B6F3A" w:rsidP="009B6F3A">
            <w:pPr>
              <w:spacing w:before="0" w:after="0"/>
              <w:rPr>
                <w:rFonts w:eastAsia="Times New Roman" w:cs="Times New Roman"/>
                <w:color w:val="000000"/>
                <w:lang w:eastAsia="en-CA"/>
              </w:rPr>
            </w:pPr>
          </w:p>
        </w:tc>
        <w:tc>
          <w:tcPr>
            <w:tcW w:w="1110" w:type="dxa"/>
            <w:tcBorders>
              <w:bottom w:val="single" w:sz="4" w:space="0" w:color="auto"/>
            </w:tcBorders>
            <w:shd w:val="clear" w:color="auto" w:fill="auto"/>
            <w:noWrap/>
            <w:vAlign w:val="center"/>
            <w:hideMark/>
          </w:tcPr>
          <w:p w14:paraId="17037D7D"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Overall</w:t>
            </w:r>
          </w:p>
        </w:tc>
        <w:tc>
          <w:tcPr>
            <w:tcW w:w="836" w:type="dxa"/>
            <w:tcBorders>
              <w:bottom w:val="single" w:sz="4" w:space="0" w:color="auto"/>
            </w:tcBorders>
            <w:shd w:val="clear" w:color="auto" w:fill="auto"/>
            <w:noWrap/>
            <w:vAlign w:val="center"/>
            <w:hideMark/>
          </w:tcPr>
          <w:p w14:paraId="7BF1E286"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AM</w:t>
            </w:r>
          </w:p>
        </w:tc>
        <w:tc>
          <w:tcPr>
            <w:tcW w:w="836" w:type="dxa"/>
            <w:tcBorders>
              <w:bottom w:val="single" w:sz="4" w:space="0" w:color="auto"/>
            </w:tcBorders>
            <w:shd w:val="clear" w:color="auto" w:fill="auto"/>
            <w:noWrap/>
            <w:vAlign w:val="center"/>
            <w:hideMark/>
          </w:tcPr>
          <w:p w14:paraId="098C1EC7"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PM</w:t>
            </w:r>
          </w:p>
        </w:tc>
        <w:tc>
          <w:tcPr>
            <w:tcW w:w="1110" w:type="dxa"/>
            <w:tcBorders>
              <w:bottom w:val="single" w:sz="4" w:space="0" w:color="auto"/>
            </w:tcBorders>
            <w:shd w:val="clear" w:color="auto" w:fill="auto"/>
            <w:noWrap/>
            <w:vAlign w:val="center"/>
          </w:tcPr>
          <w:p w14:paraId="5F856194"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Overall</w:t>
            </w:r>
          </w:p>
        </w:tc>
        <w:tc>
          <w:tcPr>
            <w:tcW w:w="836" w:type="dxa"/>
            <w:tcBorders>
              <w:bottom w:val="single" w:sz="4" w:space="0" w:color="auto"/>
            </w:tcBorders>
            <w:shd w:val="clear" w:color="auto" w:fill="auto"/>
            <w:noWrap/>
            <w:vAlign w:val="center"/>
          </w:tcPr>
          <w:p w14:paraId="1AFD47D4"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AM</w:t>
            </w:r>
          </w:p>
        </w:tc>
        <w:tc>
          <w:tcPr>
            <w:tcW w:w="836" w:type="dxa"/>
            <w:tcBorders>
              <w:bottom w:val="single" w:sz="4" w:space="0" w:color="auto"/>
            </w:tcBorders>
            <w:shd w:val="clear" w:color="auto" w:fill="auto"/>
            <w:noWrap/>
            <w:vAlign w:val="center"/>
          </w:tcPr>
          <w:p w14:paraId="01B95A6C"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PM</w:t>
            </w:r>
          </w:p>
        </w:tc>
        <w:tc>
          <w:tcPr>
            <w:tcW w:w="1110" w:type="dxa"/>
            <w:tcBorders>
              <w:bottom w:val="single" w:sz="4" w:space="0" w:color="auto"/>
            </w:tcBorders>
            <w:shd w:val="clear" w:color="auto" w:fill="auto"/>
            <w:noWrap/>
            <w:vAlign w:val="center"/>
          </w:tcPr>
          <w:p w14:paraId="3ECEA2DF"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Overall</w:t>
            </w:r>
          </w:p>
        </w:tc>
        <w:tc>
          <w:tcPr>
            <w:tcW w:w="836" w:type="dxa"/>
            <w:tcBorders>
              <w:bottom w:val="single" w:sz="4" w:space="0" w:color="auto"/>
            </w:tcBorders>
            <w:shd w:val="clear" w:color="auto" w:fill="auto"/>
            <w:noWrap/>
            <w:vAlign w:val="center"/>
          </w:tcPr>
          <w:p w14:paraId="184B235A"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AM</w:t>
            </w:r>
          </w:p>
        </w:tc>
        <w:tc>
          <w:tcPr>
            <w:tcW w:w="836" w:type="dxa"/>
            <w:tcBorders>
              <w:bottom w:val="single" w:sz="4" w:space="0" w:color="auto"/>
            </w:tcBorders>
            <w:shd w:val="clear" w:color="auto" w:fill="auto"/>
            <w:noWrap/>
            <w:vAlign w:val="center"/>
          </w:tcPr>
          <w:p w14:paraId="1597F21D" w14:textId="77777777" w:rsidR="009B6F3A" w:rsidRPr="008A07C9" w:rsidRDefault="009B6F3A" w:rsidP="009B6F3A">
            <w:pPr>
              <w:spacing w:before="0" w:after="0"/>
              <w:jc w:val="center"/>
              <w:rPr>
                <w:rFonts w:eastAsia="Times New Roman" w:cs="Times New Roman"/>
                <w:b/>
                <w:bCs/>
                <w:color w:val="000000"/>
                <w:lang w:eastAsia="en-CA"/>
              </w:rPr>
            </w:pPr>
            <w:r w:rsidRPr="008A07C9">
              <w:rPr>
                <w:rFonts w:eastAsia="Times New Roman" w:cs="Times New Roman"/>
                <w:b/>
                <w:bCs/>
                <w:color w:val="000000"/>
                <w:lang w:eastAsia="en-CA"/>
              </w:rPr>
              <w:t>PM</w:t>
            </w:r>
          </w:p>
        </w:tc>
      </w:tr>
      <w:tr w:rsidR="009B6F3A" w:rsidRPr="008A07C9" w14:paraId="461D8E04" w14:textId="77777777" w:rsidTr="009B6F3A">
        <w:trPr>
          <w:trHeight w:val="300"/>
        </w:trPr>
        <w:tc>
          <w:tcPr>
            <w:tcW w:w="426" w:type="dxa"/>
            <w:vMerge w:val="restart"/>
            <w:textDirection w:val="btLr"/>
            <w:vAlign w:val="center"/>
          </w:tcPr>
          <w:p w14:paraId="29C0EE76" w14:textId="77777777" w:rsidR="009B6F3A" w:rsidRPr="0053110A" w:rsidRDefault="009B6F3A" w:rsidP="009B6F3A">
            <w:pPr>
              <w:spacing w:before="0" w:after="0"/>
              <w:ind w:left="113" w:right="113"/>
              <w:jc w:val="center"/>
              <w:rPr>
                <w:rFonts w:eastAsia="Times New Roman" w:cs="Times New Roman"/>
                <w:b/>
                <w:lang w:eastAsia="en-CA"/>
              </w:rPr>
            </w:pPr>
            <w:r w:rsidRPr="0053110A">
              <w:rPr>
                <w:rFonts w:eastAsia="Times New Roman" w:cs="Times New Roman"/>
                <w:b/>
                <w:lang w:eastAsia="en-CA"/>
              </w:rPr>
              <w:t>Arrivals</w:t>
            </w:r>
          </w:p>
        </w:tc>
        <w:tc>
          <w:tcPr>
            <w:tcW w:w="3745" w:type="dxa"/>
            <w:tcBorders>
              <w:bottom w:val="nil"/>
            </w:tcBorders>
            <w:shd w:val="clear" w:color="auto" w:fill="auto"/>
            <w:noWrap/>
            <w:vAlign w:val="center"/>
            <w:hideMark/>
          </w:tcPr>
          <w:p w14:paraId="6988DD10"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No. of Stations +3, same capacity</w:t>
            </w:r>
          </w:p>
        </w:tc>
        <w:tc>
          <w:tcPr>
            <w:tcW w:w="1110" w:type="dxa"/>
            <w:tcBorders>
              <w:bottom w:val="nil"/>
              <w:right w:val="nil"/>
            </w:tcBorders>
            <w:shd w:val="clear" w:color="auto" w:fill="auto"/>
            <w:noWrap/>
            <w:vAlign w:val="center"/>
            <w:hideMark/>
          </w:tcPr>
          <w:p w14:paraId="42959CFF" w14:textId="77777777" w:rsidR="009B6F3A" w:rsidRPr="00861097" w:rsidRDefault="009B6F3A" w:rsidP="009B6F3A">
            <w:pPr>
              <w:spacing w:before="0" w:after="0"/>
              <w:jc w:val="center"/>
              <w:rPr>
                <w:rFonts w:cs="Times New Roman"/>
                <w:color w:val="000000"/>
              </w:rPr>
            </w:pPr>
            <w:r w:rsidRPr="00861097">
              <w:rPr>
                <w:rFonts w:cs="Times New Roman"/>
                <w:color w:val="000000"/>
              </w:rPr>
              <w:t>3.86 (0.04)</w:t>
            </w:r>
          </w:p>
        </w:tc>
        <w:tc>
          <w:tcPr>
            <w:tcW w:w="836" w:type="dxa"/>
            <w:tcBorders>
              <w:left w:val="nil"/>
              <w:bottom w:val="nil"/>
              <w:right w:val="nil"/>
            </w:tcBorders>
            <w:shd w:val="clear" w:color="auto" w:fill="auto"/>
            <w:noWrap/>
            <w:vAlign w:val="center"/>
            <w:hideMark/>
          </w:tcPr>
          <w:p w14:paraId="00B4AD45" w14:textId="77777777" w:rsidR="009B6F3A" w:rsidRPr="00861097" w:rsidRDefault="009B6F3A" w:rsidP="009B6F3A">
            <w:pPr>
              <w:spacing w:before="0" w:after="0"/>
              <w:jc w:val="center"/>
              <w:rPr>
                <w:rFonts w:cs="Times New Roman"/>
                <w:color w:val="000000"/>
              </w:rPr>
            </w:pPr>
            <w:r w:rsidRPr="00861097">
              <w:rPr>
                <w:rFonts w:cs="Times New Roman"/>
                <w:color w:val="000000"/>
              </w:rPr>
              <w:t>3.97 (0.04)</w:t>
            </w:r>
          </w:p>
        </w:tc>
        <w:tc>
          <w:tcPr>
            <w:tcW w:w="836" w:type="dxa"/>
            <w:tcBorders>
              <w:left w:val="nil"/>
              <w:bottom w:val="nil"/>
            </w:tcBorders>
            <w:shd w:val="clear" w:color="auto" w:fill="auto"/>
            <w:noWrap/>
            <w:vAlign w:val="center"/>
            <w:hideMark/>
          </w:tcPr>
          <w:p w14:paraId="2E67E03F" w14:textId="77777777" w:rsidR="009B6F3A" w:rsidRPr="00861097" w:rsidRDefault="009B6F3A" w:rsidP="009B6F3A">
            <w:pPr>
              <w:spacing w:before="0" w:after="0"/>
              <w:jc w:val="center"/>
              <w:rPr>
                <w:rFonts w:cs="Times New Roman"/>
                <w:color w:val="000000"/>
              </w:rPr>
            </w:pPr>
            <w:r w:rsidRPr="00861097">
              <w:rPr>
                <w:rFonts w:cs="Times New Roman"/>
                <w:color w:val="000000"/>
              </w:rPr>
              <w:t>3.72 (0.03)</w:t>
            </w:r>
          </w:p>
        </w:tc>
        <w:tc>
          <w:tcPr>
            <w:tcW w:w="1110" w:type="dxa"/>
            <w:tcBorders>
              <w:bottom w:val="nil"/>
              <w:right w:val="nil"/>
            </w:tcBorders>
            <w:shd w:val="clear" w:color="auto" w:fill="auto"/>
            <w:noWrap/>
            <w:vAlign w:val="center"/>
          </w:tcPr>
          <w:p w14:paraId="6212A2DC" w14:textId="77777777" w:rsidR="009B6F3A" w:rsidRPr="00861097" w:rsidRDefault="009B6F3A" w:rsidP="009B6F3A">
            <w:pPr>
              <w:spacing w:before="0" w:after="0"/>
              <w:jc w:val="center"/>
              <w:rPr>
                <w:rFonts w:cs="Times New Roman"/>
                <w:color w:val="000000"/>
              </w:rPr>
            </w:pPr>
            <w:r w:rsidRPr="00861097">
              <w:rPr>
                <w:rFonts w:cs="Times New Roman"/>
                <w:color w:val="000000"/>
              </w:rPr>
              <w:t>3.88 (0.32)</w:t>
            </w:r>
          </w:p>
        </w:tc>
        <w:tc>
          <w:tcPr>
            <w:tcW w:w="836" w:type="dxa"/>
            <w:tcBorders>
              <w:left w:val="nil"/>
              <w:bottom w:val="nil"/>
              <w:right w:val="nil"/>
            </w:tcBorders>
            <w:shd w:val="clear" w:color="auto" w:fill="auto"/>
            <w:noWrap/>
            <w:vAlign w:val="center"/>
          </w:tcPr>
          <w:p w14:paraId="7FFEAC52" w14:textId="77777777" w:rsidR="009B6F3A" w:rsidRPr="00861097" w:rsidRDefault="009B6F3A" w:rsidP="009B6F3A">
            <w:pPr>
              <w:spacing w:before="0" w:after="0"/>
              <w:jc w:val="center"/>
              <w:rPr>
                <w:rFonts w:cs="Times New Roman"/>
                <w:color w:val="000000"/>
              </w:rPr>
            </w:pPr>
            <w:r w:rsidRPr="00861097">
              <w:rPr>
                <w:rFonts w:cs="Times New Roman"/>
                <w:color w:val="000000"/>
              </w:rPr>
              <w:t>4.21 (0.34)</w:t>
            </w:r>
          </w:p>
        </w:tc>
        <w:tc>
          <w:tcPr>
            <w:tcW w:w="836" w:type="dxa"/>
            <w:tcBorders>
              <w:left w:val="nil"/>
              <w:bottom w:val="nil"/>
            </w:tcBorders>
            <w:shd w:val="clear" w:color="auto" w:fill="auto"/>
            <w:noWrap/>
            <w:vAlign w:val="center"/>
          </w:tcPr>
          <w:p w14:paraId="6825B894" w14:textId="77777777" w:rsidR="009B6F3A" w:rsidRPr="00861097" w:rsidRDefault="009B6F3A" w:rsidP="009B6F3A">
            <w:pPr>
              <w:spacing w:before="0" w:after="0"/>
              <w:jc w:val="center"/>
              <w:rPr>
                <w:rFonts w:cs="Times New Roman"/>
                <w:color w:val="000000"/>
              </w:rPr>
            </w:pPr>
            <w:r w:rsidRPr="00861097">
              <w:rPr>
                <w:rFonts w:cs="Times New Roman"/>
                <w:color w:val="000000"/>
              </w:rPr>
              <w:t>3.76 (0.34)</w:t>
            </w:r>
          </w:p>
        </w:tc>
        <w:tc>
          <w:tcPr>
            <w:tcW w:w="1110" w:type="dxa"/>
            <w:tcBorders>
              <w:bottom w:val="nil"/>
              <w:right w:val="nil"/>
            </w:tcBorders>
            <w:shd w:val="clear" w:color="auto" w:fill="auto"/>
            <w:noWrap/>
            <w:vAlign w:val="center"/>
          </w:tcPr>
          <w:p w14:paraId="0A26EA19" w14:textId="77777777" w:rsidR="009B6F3A" w:rsidRPr="00861097" w:rsidRDefault="009B6F3A" w:rsidP="009B6F3A">
            <w:pPr>
              <w:spacing w:before="0" w:after="0"/>
              <w:jc w:val="center"/>
              <w:rPr>
                <w:rFonts w:cs="Times New Roman"/>
                <w:color w:val="000000"/>
              </w:rPr>
            </w:pPr>
            <w:r w:rsidRPr="00861097">
              <w:rPr>
                <w:rFonts w:cs="Times New Roman"/>
                <w:color w:val="000000"/>
              </w:rPr>
              <w:t>2.33 (0.33)</w:t>
            </w:r>
          </w:p>
        </w:tc>
        <w:tc>
          <w:tcPr>
            <w:tcW w:w="836" w:type="dxa"/>
            <w:tcBorders>
              <w:left w:val="nil"/>
              <w:bottom w:val="nil"/>
              <w:right w:val="nil"/>
            </w:tcBorders>
            <w:shd w:val="clear" w:color="auto" w:fill="auto"/>
            <w:noWrap/>
            <w:vAlign w:val="center"/>
          </w:tcPr>
          <w:p w14:paraId="11EF7CE1" w14:textId="77777777" w:rsidR="009B6F3A" w:rsidRPr="00861097" w:rsidRDefault="009B6F3A" w:rsidP="009B6F3A">
            <w:pPr>
              <w:spacing w:before="0" w:after="0"/>
              <w:jc w:val="center"/>
              <w:rPr>
                <w:rFonts w:cs="Times New Roman"/>
                <w:color w:val="000000"/>
              </w:rPr>
            </w:pPr>
            <w:r w:rsidRPr="00861097">
              <w:rPr>
                <w:rFonts w:cs="Times New Roman"/>
                <w:color w:val="000000"/>
              </w:rPr>
              <w:t>2.62 (0.39)</w:t>
            </w:r>
          </w:p>
        </w:tc>
        <w:tc>
          <w:tcPr>
            <w:tcW w:w="836" w:type="dxa"/>
            <w:tcBorders>
              <w:left w:val="nil"/>
              <w:bottom w:val="nil"/>
            </w:tcBorders>
            <w:shd w:val="clear" w:color="auto" w:fill="auto"/>
            <w:noWrap/>
            <w:vAlign w:val="center"/>
          </w:tcPr>
          <w:p w14:paraId="2B967544" w14:textId="77777777" w:rsidR="009B6F3A" w:rsidRPr="00861097" w:rsidRDefault="009B6F3A" w:rsidP="009B6F3A">
            <w:pPr>
              <w:spacing w:before="0" w:after="0"/>
              <w:jc w:val="center"/>
              <w:rPr>
                <w:rFonts w:cs="Times New Roman"/>
                <w:color w:val="000000"/>
              </w:rPr>
            </w:pPr>
            <w:r w:rsidRPr="00861097">
              <w:rPr>
                <w:rFonts w:cs="Times New Roman"/>
                <w:color w:val="000000"/>
              </w:rPr>
              <w:t>2.17 (0.32)</w:t>
            </w:r>
          </w:p>
        </w:tc>
      </w:tr>
      <w:tr w:rsidR="009B6F3A" w:rsidRPr="008A07C9" w14:paraId="4EEDEE29" w14:textId="77777777" w:rsidTr="009B6F3A">
        <w:trPr>
          <w:trHeight w:val="300"/>
        </w:trPr>
        <w:tc>
          <w:tcPr>
            <w:tcW w:w="426" w:type="dxa"/>
            <w:vMerge/>
          </w:tcPr>
          <w:p w14:paraId="76DE00E6" w14:textId="77777777" w:rsidR="009B6F3A" w:rsidRPr="0053110A" w:rsidRDefault="009B6F3A" w:rsidP="009B6F3A">
            <w:pPr>
              <w:spacing w:before="0" w:after="0"/>
              <w:rPr>
                <w:rFonts w:eastAsia="Times New Roman" w:cs="Times New Roman"/>
                <w:b/>
                <w:lang w:eastAsia="en-CA"/>
              </w:rPr>
            </w:pPr>
          </w:p>
        </w:tc>
        <w:tc>
          <w:tcPr>
            <w:tcW w:w="3745" w:type="dxa"/>
            <w:tcBorders>
              <w:top w:val="nil"/>
              <w:bottom w:val="nil"/>
            </w:tcBorders>
            <w:shd w:val="clear" w:color="auto" w:fill="auto"/>
            <w:noWrap/>
            <w:vAlign w:val="center"/>
            <w:hideMark/>
          </w:tcPr>
          <w:p w14:paraId="3DD56267"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Capacity +25, same No. of Stations</w:t>
            </w:r>
          </w:p>
        </w:tc>
        <w:tc>
          <w:tcPr>
            <w:tcW w:w="1110" w:type="dxa"/>
            <w:tcBorders>
              <w:top w:val="nil"/>
              <w:bottom w:val="nil"/>
              <w:right w:val="nil"/>
            </w:tcBorders>
            <w:shd w:val="clear" w:color="auto" w:fill="auto"/>
            <w:noWrap/>
            <w:vAlign w:val="center"/>
            <w:hideMark/>
          </w:tcPr>
          <w:p w14:paraId="3E2CE428" w14:textId="77777777" w:rsidR="009B6F3A" w:rsidRPr="00861097" w:rsidRDefault="009B6F3A" w:rsidP="009B6F3A">
            <w:pPr>
              <w:spacing w:before="0" w:after="0"/>
              <w:jc w:val="center"/>
              <w:rPr>
                <w:rFonts w:cs="Times New Roman"/>
                <w:color w:val="000000"/>
              </w:rPr>
            </w:pPr>
            <w:r w:rsidRPr="00861097">
              <w:rPr>
                <w:rFonts w:cs="Times New Roman"/>
                <w:color w:val="000000"/>
              </w:rPr>
              <w:t>4.4 (0.04)</w:t>
            </w:r>
          </w:p>
        </w:tc>
        <w:tc>
          <w:tcPr>
            <w:tcW w:w="836" w:type="dxa"/>
            <w:tcBorders>
              <w:top w:val="nil"/>
              <w:left w:val="nil"/>
              <w:bottom w:val="nil"/>
              <w:right w:val="nil"/>
            </w:tcBorders>
            <w:shd w:val="clear" w:color="auto" w:fill="auto"/>
            <w:noWrap/>
            <w:vAlign w:val="center"/>
            <w:hideMark/>
          </w:tcPr>
          <w:p w14:paraId="5B39AB18" w14:textId="77777777" w:rsidR="009B6F3A" w:rsidRPr="00861097" w:rsidRDefault="009B6F3A" w:rsidP="009B6F3A">
            <w:pPr>
              <w:spacing w:before="0" w:after="0"/>
              <w:jc w:val="center"/>
              <w:rPr>
                <w:rFonts w:cs="Times New Roman"/>
                <w:color w:val="000000"/>
              </w:rPr>
            </w:pPr>
            <w:r w:rsidRPr="00861097">
              <w:rPr>
                <w:rFonts w:cs="Times New Roman"/>
                <w:color w:val="000000"/>
              </w:rPr>
              <w:t>4.42 (0.05)</w:t>
            </w:r>
          </w:p>
        </w:tc>
        <w:tc>
          <w:tcPr>
            <w:tcW w:w="836" w:type="dxa"/>
            <w:tcBorders>
              <w:top w:val="nil"/>
              <w:left w:val="nil"/>
              <w:bottom w:val="nil"/>
            </w:tcBorders>
            <w:shd w:val="clear" w:color="auto" w:fill="auto"/>
            <w:noWrap/>
            <w:vAlign w:val="center"/>
            <w:hideMark/>
          </w:tcPr>
          <w:p w14:paraId="4E65AC62" w14:textId="77777777" w:rsidR="009B6F3A" w:rsidRPr="00861097" w:rsidRDefault="009B6F3A" w:rsidP="009B6F3A">
            <w:pPr>
              <w:spacing w:before="0" w:after="0"/>
              <w:jc w:val="center"/>
              <w:rPr>
                <w:rFonts w:cs="Times New Roman"/>
                <w:color w:val="000000"/>
              </w:rPr>
            </w:pPr>
            <w:r w:rsidRPr="00861097">
              <w:rPr>
                <w:rFonts w:cs="Times New Roman"/>
                <w:color w:val="000000"/>
              </w:rPr>
              <w:t>4.46 (0.04)</w:t>
            </w:r>
          </w:p>
        </w:tc>
        <w:tc>
          <w:tcPr>
            <w:tcW w:w="1110" w:type="dxa"/>
            <w:tcBorders>
              <w:top w:val="nil"/>
              <w:bottom w:val="nil"/>
              <w:right w:val="nil"/>
            </w:tcBorders>
            <w:shd w:val="clear" w:color="auto" w:fill="auto"/>
            <w:noWrap/>
            <w:vAlign w:val="center"/>
          </w:tcPr>
          <w:p w14:paraId="2D92FE53" w14:textId="77777777" w:rsidR="009B6F3A" w:rsidRPr="00861097" w:rsidRDefault="009B6F3A" w:rsidP="009B6F3A">
            <w:pPr>
              <w:spacing w:before="0" w:after="0"/>
              <w:jc w:val="center"/>
              <w:rPr>
                <w:rFonts w:cs="Times New Roman"/>
                <w:color w:val="000000"/>
              </w:rPr>
            </w:pPr>
            <w:r w:rsidRPr="00861097">
              <w:rPr>
                <w:rFonts w:cs="Times New Roman"/>
                <w:color w:val="000000"/>
              </w:rPr>
              <w:t>4.25 (0.45)</w:t>
            </w:r>
          </w:p>
        </w:tc>
        <w:tc>
          <w:tcPr>
            <w:tcW w:w="836" w:type="dxa"/>
            <w:tcBorders>
              <w:top w:val="nil"/>
              <w:left w:val="nil"/>
              <w:bottom w:val="nil"/>
              <w:right w:val="nil"/>
            </w:tcBorders>
            <w:shd w:val="clear" w:color="auto" w:fill="auto"/>
            <w:noWrap/>
            <w:vAlign w:val="center"/>
          </w:tcPr>
          <w:p w14:paraId="7B337E01" w14:textId="77777777" w:rsidR="009B6F3A" w:rsidRPr="00861097" w:rsidRDefault="009B6F3A" w:rsidP="009B6F3A">
            <w:pPr>
              <w:spacing w:before="0" w:after="0"/>
              <w:jc w:val="center"/>
              <w:rPr>
                <w:rFonts w:cs="Times New Roman"/>
                <w:color w:val="000000"/>
              </w:rPr>
            </w:pPr>
            <w:r w:rsidRPr="00861097">
              <w:rPr>
                <w:rFonts w:cs="Times New Roman"/>
                <w:color w:val="000000"/>
              </w:rPr>
              <w:t>4.39 (0.43)</w:t>
            </w:r>
          </w:p>
        </w:tc>
        <w:tc>
          <w:tcPr>
            <w:tcW w:w="836" w:type="dxa"/>
            <w:tcBorders>
              <w:top w:val="nil"/>
              <w:left w:val="nil"/>
              <w:bottom w:val="nil"/>
            </w:tcBorders>
            <w:shd w:val="clear" w:color="auto" w:fill="auto"/>
            <w:noWrap/>
            <w:vAlign w:val="center"/>
          </w:tcPr>
          <w:p w14:paraId="0175F3FD" w14:textId="77777777" w:rsidR="009B6F3A" w:rsidRPr="00861097" w:rsidRDefault="009B6F3A" w:rsidP="009B6F3A">
            <w:pPr>
              <w:spacing w:before="0" w:after="0"/>
              <w:jc w:val="center"/>
              <w:rPr>
                <w:rFonts w:cs="Times New Roman"/>
                <w:color w:val="000000"/>
              </w:rPr>
            </w:pPr>
            <w:r w:rsidRPr="00861097">
              <w:rPr>
                <w:rFonts w:cs="Times New Roman"/>
                <w:color w:val="000000"/>
              </w:rPr>
              <w:t>4.44 (0.53)</w:t>
            </w:r>
          </w:p>
        </w:tc>
        <w:tc>
          <w:tcPr>
            <w:tcW w:w="1110" w:type="dxa"/>
            <w:tcBorders>
              <w:top w:val="nil"/>
              <w:bottom w:val="nil"/>
              <w:right w:val="nil"/>
            </w:tcBorders>
            <w:shd w:val="clear" w:color="auto" w:fill="auto"/>
            <w:noWrap/>
            <w:vAlign w:val="center"/>
          </w:tcPr>
          <w:p w14:paraId="251DDBB2" w14:textId="77777777" w:rsidR="009B6F3A" w:rsidRPr="00861097" w:rsidRDefault="009B6F3A" w:rsidP="009B6F3A">
            <w:pPr>
              <w:spacing w:before="0" w:after="0"/>
              <w:jc w:val="center"/>
              <w:rPr>
                <w:rFonts w:cs="Times New Roman"/>
                <w:color w:val="000000"/>
              </w:rPr>
            </w:pPr>
            <w:r w:rsidRPr="00861097">
              <w:rPr>
                <w:rFonts w:cs="Times New Roman"/>
                <w:color w:val="000000"/>
              </w:rPr>
              <w:t>2.07 (0.45)</w:t>
            </w:r>
          </w:p>
        </w:tc>
        <w:tc>
          <w:tcPr>
            <w:tcW w:w="836" w:type="dxa"/>
            <w:tcBorders>
              <w:top w:val="nil"/>
              <w:left w:val="nil"/>
              <w:bottom w:val="nil"/>
              <w:right w:val="nil"/>
            </w:tcBorders>
            <w:shd w:val="clear" w:color="auto" w:fill="auto"/>
            <w:noWrap/>
            <w:vAlign w:val="center"/>
          </w:tcPr>
          <w:p w14:paraId="05820AA5" w14:textId="77777777" w:rsidR="009B6F3A" w:rsidRPr="00861097" w:rsidRDefault="009B6F3A" w:rsidP="009B6F3A">
            <w:pPr>
              <w:spacing w:before="0" w:after="0"/>
              <w:jc w:val="center"/>
              <w:rPr>
                <w:rFonts w:cs="Times New Roman"/>
                <w:color w:val="000000"/>
              </w:rPr>
            </w:pPr>
            <w:r w:rsidRPr="00861097">
              <w:rPr>
                <w:rFonts w:cs="Times New Roman"/>
                <w:color w:val="000000"/>
              </w:rPr>
              <w:t>2.3 (0.44)</w:t>
            </w:r>
          </w:p>
        </w:tc>
        <w:tc>
          <w:tcPr>
            <w:tcW w:w="836" w:type="dxa"/>
            <w:tcBorders>
              <w:top w:val="nil"/>
              <w:left w:val="nil"/>
              <w:bottom w:val="nil"/>
            </w:tcBorders>
            <w:shd w:val="clear" w:color="auto" w:fill="auto"/>
            <w:noWrap/>
            <w:vAlign w:val="center"/>
          </w:tcPr>
          <w:p w14:paraId="68DF05C9" w14:textId="77777777" w:rsidR="009B6F3A" w:rsidRPr="00861097" w:rsidRDefault="009B6F3A" w:rsidP="009B6F3A">
            <w:pPr>
              <w:spacing w:before="0" w:after="0"/>
              <w:jc w:val="center"/>
              <w:rPr>
                <w:rFonts w:cs="Times New Roman"/>
                <w:color w:val="000000"/>
              </w:rPr>
            </w:pPr>
            <w:r w:rsidRPr="00861097">
              <w:rPr>
                <w:rFonts w:cs="Times New Roman"/>
                <w:color w:val="000000"/>
              </w:rPr>
              <w:t>2.09 (0.47)</w:t>
            </w:r>
          </w:p>
        </w:tc>
      </w:tr>
      <w:tr w:rsidR="009B6F3A" w:rsidRPr="008A07C9" w14:paraId="6D8B9697" w14:textId="77777777" w:rsidTr="009B6F3A">
        <w:trPr>
          <w:trHeight w:val="300"/>
        </w:trPr>
        <w:tc>
          <w:tcPr>
            <w:tcW w:w="426" w:type="dxa"/>
            <w:vMerge/>
          </w:tcPr>
          <w:p w14:paraId="18D67FE7" w14:textId="77777777" w:rsidR="009B6F3A" w:rsidRPr="0053110A" w:rsidRDefault="009B6F3A" w:rsidP="009B6F3A">
            <w:pPr>
              <w:spacing w:before="0" w:after="0"/>
              <w:rPr>
                <w:rFonts w:eastAsia="Times New Roman" w:cs="Times New Roman"/>
                <w:b/>
                <w:lang w:eastAsia="en-CA"/>
              </w:rPr>
            </w:pPr>
          </w:p>
        </w:tc>
        <w:tc>
          <w:tcPr>
            <w:tcW w:w="3745" w:type="dxa"/>
            <w:tcBorders>
              <w:top w:val="nil"/>
              <w:bottom w:val="nil"/>
            </w:tcBorders>
            <w:shd w:val="clear" w:color="auto" w:fill="auto"/>
            <w:noWrap/>
            <w:vAlign w:val="center"/>
            <w:hideMark/>
          </w:tcPr>
          <w:p w14:paraId="77F56EB2"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No. of Stations +3, Capacity +15</w:t>
            </w:r>
          </w:p>
        </w:tc>
        <w:tc>
          <w:tcPr>
            <w:tcW w:w="1110" w:type="dxa"/>
            <w:tcBorders>
              <w:top w:val="nil"/>
              <w:bottom w:val="nil"/>
              <w:right w:val="nil"/>
            </w:tcBorders>
            <w:shd w:val="clear" w:color="auto" w:fill="auto"/>
            <w:noWrap/>
            <w:vAlign w:val="center"/>
            <w:hideMark/>
          </w:tcPr>
          <w:p w14:paraId="1DA4A232" w14:textId="77777777" w:rsidR="009B6F3A" w:rsidRPr="00861097" w:rsidRDefault="009B6F3A" w:rsidP="009B6F3A">
            <w:pPr>
              <w:spacing w:before="0" w:after="0"/>
              <w:jc w:val="center"/>
              <w:rPr>
                <w:rFonts w:cs="Times New Roman"/>
                <w:color w:val="000000"/>
              </w:rPr>
            </w:pPr>
            <w:r w:rsidRPr="00861097">
              <w:rPr>
                <w:rFonts w:cs="Times New Roman"/>
                <w:color w:val="000000"/>
              </w:rPr>
              <w:t>6.93 (0.06)</w:t>
            </w:r>
          </w:p>
        </w:tc>
        <w:tc>
          <w:tcPr>
            <w:tcW w:w="836" w:type="dxa"/>
            <w:tcBorders>
              <w:top w:val="nil"/>
              <w:left w:val="nil"/>
              <w:bottom w:val="nil"/>
              <w:right w:val="nil"/>
            </w:tcBorders>
            <w:shd w:val="clear" w:color="auto" w:fill="auto"/>
            <w:noWrap/>
            <w:vAlign w:val="center"/>
            <w:hideMark/>
          </w:tcPr>
          <w:p w14:paraId="4FEF11A2" w14:textId="77777777" w:rsidR="009B6F3A" w:rsidRPr="00861097" w:rsidRDefault="009B6F3A" w:rsidP="009B6F3A">
            <w:pPr>
              <w:spacing w:before="0" w:after="0"/>
              <w:jc w:val="center"/>
              <w:rPr>
                <w:rFonts w:cs="Times New Roman"/>
                <w:color w:val="000000"/>
              </w:rPr>
            </w:pPr>
            <w:r w:rsidRPr="00861097">
              <w:rPr>
                <w:rFonts w:cs="Times New Roman"/>
                <w:color w:val="000000"/>
              </w:rPr>
              <w:t>7.03 (0.07)</w:t>
            </w:r>
          </w:p>
        </w:tc>
        <w:tc>
          <w:tcPr>
            <w:tcW w:w="836" w:type="dxa"/>
            <w:tcBorders>
              <w:top w:val="nil"/>
              <w:left w:val="nil"/>
              <w:bottom w:val="nil"/>
            </w:tcBorders>
            <w:shd w:val="clear" w:color="auto" w:fill="auto"/>
            <w:noWrap/>
            <w:vAlign w:val="center"/>
            <w:hideMark/>
          </w:tcPr>
          <w:p w14:paraId="218459E8" w14:textId="77777777" w:rsidR="009B6F3A" w:rsidRPr="00861097" w:rsidRDefault="009B6F3A" w:rsidP="009B6F3A">
            <w:pPr>
              <w:spacing w:before="0" w:after="0"/>
              <w:jc w:val="center"/>
              <w:rPr>
                <w:rFonts w:cs="Times New Roman"/>
                <w:color w:val="000000"/>
              </w:rPr>
            </w:pPr>
            <w:r w:rsidRPr="00861097">
              <w:rPr>
                <w:rFonts w:cs="Times New Roman"/>
                <w:color w:val="000000"/>
              </w:rPr>
              <w:t>6.85 (0.06)</w:t>
            </w:r>
          </w:p>
        </w:tc>
        <w:tc>
          <w:tcPr>
            <w:tcW w:w="1110" w:type="dxa"/>
            <w:tcBorders>
              <w:top w:val="nil"/>
              <w:bottom w:val="nil"/>
              <w:right w:val="nil"/>
            </w:tcBorders>
            <w:shd w:val="clear" w:color="auto" w:fill="auto"/>
            <w:noWrap/>
            <w:vAlign w:val="center"/>
          </w:tcPr>
          <w:p w14:paraId="6D79DBE4" w14:textId="77777777" w:rsidR="009B6F3A" w:rsidRPr="00861097" w:rsidRDefault="009B6F3A" w:rsidP="009B6F3A">
            <w:pPr>
              <w:spacing w:before="0" w:after="0"/>
              <w:jc w:val="center"/>
              <w:rPr>
                <w:rFonts w:cs="Times New Roman"/>
                <w:color w:val="000000"/>
              </w:rPr>
            </w:pPr>
            <w:r w:rsidRPr="00861097">
              <w:rPr>
                <w:rFonts w:cs="Times New Roman"/>
                <w:color w:val="000000"/>
              </w:rPr>
              <w:t>6.79 (0.65)</w:t>
            </w:r>
          </w:p>
        </w:tc>
        <w:tc>
          <w:tcPr>
            <w:tcW w:w="836" w:type="dxa"/>
            <w:tcBorders>
              <w:top w:val="nil"/>
              <w:left w:val="nil"/>
              <w:bottom w:val="nil"/>
              <w:right w:val="nil"/>
            </w:tcBorders>
            <w:shd w:val="clear" w:color="auto" w:fill="auto"/>
            <w:noWrap/>
            <w:vAlign w:val="center"/>
          </w:tcPr>
          <w:p w14:paraId="76F5A606" w14:textId="77777777" w:rsidR="009B6F3A" w:rsidRPr="00861097" w:rsidRDefault="009B6F3A" w:rsidP="009B6F3A">
            <w:pPr>
              <w:spacing w:before="0" w:after="0"/>
              <w:jc w:val="center"/>
              <w:rPr>
                <w:rFonts w:cs="Times New Roman"/>
                <w:color w:val="000000"/>
              </w:rPr>
            </w:pPr>
            <w:r w:rsidRPr="00861097">
              <w:rPr>
                <w:rFonts w:cs="Times New Roman"/>
                <w:color w:val="000000"/>
              </w:rPr>
              <w:t>7.29 (0.67)</w:t>
            </w:r>
          </w:p>
        </w:tc>
        <w:tc>
          <w:tcPr>
            <w:tcW w:w="836" w:type="dxa"/>
            <w:tcBorders>
              <w:top w:val="nil"/>
              <w:left w:val="nil"/>
              <w:bottom w:val="nil"/>
            </w:tcBorders>
            <w:shd w:val="clear" w:color="auto" w:fill="auto"/>
            <w:noWrap/>
            <w:vAlign w:val="center"/>
          </w:tcPr>
          <w:p w14:paraId="48EF191C" w14:textId="77777777" w:rsidR="009B6F3A" w:rsidRPr="00861097" w:rsidRDefault="009B6F3A" w:rsidP="009B6F3A">
            <w:pPr>
              <w:spacing w:before="0" w:after="0"/>
              <w:jc w:val="center"/>
              <w:rPr>
                <w:rFonts w:cs="Times New Roman"/>
                <w:color w:val="000000"/>
              </w:rPr>
            </w:pPr>
            <w:r w:rsidRPr="00861097">
              <w:rPr>
                <w:rFonts w:cs="Times New Roman"/>
                <w:color w:val="000000"/>
              </w:rPr>
              <w:t>6.72 (0.74)</w:t>
            </w:r>
          </w:p>
        </w:tc>
        <w:tc>
          <w:tcPr>
            <w:tcW w:w="1110" w:type="dxa"/>
            <w:tcBorders>
              <w:top w:val="nil"/>
              <w:bottom w:val="nil"/>
              <w:right w:val="nil"/>
            </w:tcBorders>
            <w:shd w:val="clear" w:color="auto" w:fill="auto"/>
            <w:noWrap/>
            <w:vAlign w:val="center"/>
          </w:tcPr>
          <w:p w14:paraId="17A3146D" w14:textId="77777777" w:rsidR="009B6F3A" w:rsidRPr="00861097" w:rsidRDefault="009B6F3A" w:rsidP="009B6F3A">
            <w:pPr>
              <w:spacing w:before="0" w:after="0"/>
              <w:jc w:val="center"/>
              <w:rPr>
                <w:rFonts w:cs="Times New Roman"/>
                <w:color w:val="000000"/>
              </w:rPr>
            </w:pPr>
            <w:r w:rsidRPr="00861097">
              <w:rPr>
                <w:rFonts w:cs="Times New Roman"/>
                <w:color w:val="000000"/>
              </w:rPr>
              <w:t>3.6 (0.65)</w:t>
            </w:r>
          </w:p>
        </w:tc>
        <w:tc>
          <w:tcPr>
            <w:tcW w:w="836" w:type="dxa"/>
            <w:tcBorders>
              <w:top w:val="nil"/>
              <w:left w:val="nil"/>
              <w:bottom w:val="nil"/>
              <w:right w:val="nil"/>
            </w:tcBorders>
            <w:shd w:val="clear" w:color="auto" w:fill="auto"/>
            <w:noWrap/>
            <w:vAlign w:val="center"/>
          </w:tcPr>
          <w:p w14:paraId="6653577D" w14:textId="77777777" w:rsidR="009B6F3A" w:rsidRPr="00861097" w:rsidRDefault="009B6F3A" w:rsidP="009B6F3A">
            <w:pPr>
              <w:spacing w:before="0" w:after="0"/>
              <w:jc w:val="center"/>
              <w:rPr>
                <w:rFonts w:cs="Times New Roman"/>
                <w:color w:val="000000"/>
              </w:rPr>
            </w:pPr>
            <w:r w:rsidRPr="00861097">
              <w:rPr>
                <w:rFonts w:cs="Times New Roman"/>
                <w:color w:val="000000"/>
              </w:rPr>
              <w:t>4.07 (0.68)</w:t>
            </w:r>
          </w:p>
        </w:tc>
        <w:tc>
          <w:tcPr>
            <w:tcW w:w="836" w:type="dxa"/>
            <w:tcBorders>
              <w:top w:val="nil"/>
              <w:left w:val="nil"/>
              <w:bottom w:val="nil"/>
            </w:tcBorders>
            <w:shd w:val="clear" w:color="auto" w:fill="auto"/>
            <w:noWrap/>
            <w:vAlign w:val="center"/>
          </w:tcPr>
          <w:p w14:paraId="2650319A" w14:textId="77777777" w:rsidR="009B6F3A" w:rsidRPr="00861097" w:rsidRDefault="009B6F3A" w:rsidP="009B6F3A">
            <w:pPr>
              <w:spacing w:before="0" w:after="0"/>
              <w:jc w:val="center"/>
              <w:rPr>
                <w:rFonts w:cs="Times New Roman"/>
                <w:color w:val="000000"/>
              </w:rPr>
            </w:pPr>
            <w:r w:rsidRPr="00861097">
              <w:rPr>
                <w:rFonts w:cs="Times New Roman"/>
                <w:color w:val="000000"/>
              </w:rPr>
              <w:t>3.39 (0.68)</w:t>
            </w:r>
          </w:p>
        </w:tc>
      </w:tr>
      <w:tr w:rsidR="009B6F3A" w:rsidRPr="008A07C9" w14:paraId="424F1BDD" w14:textId="77777777" w:rsidTr="009B6F3A">
        <w:trPr>
          <w:trHeight w:val="300"/>
        </w:trPr>
        <w:tc>
          <w:tcPr>
            <w:tcW w:w="426" w:type="dxa"/>
            <w:vMerge/>
          </w:tcPr>
          <w:p w14:paraId="1F1D2128" w14:textId="77777777" w:rsidR="009B6F3A" w:rsidRPr="0053110A" w:rsidRDefault="009B6F3A" w:rsidP="009B6F3A">
            <w:pPr>
              <w:spacing w:before="0" w:after="0"/>
              <w:rPr>
                <w:rFonts w:eastAsia="Times New Roman" w:cs="Times New Roman"/>
                <w:b/>
                <w:lang w:eastAsia="en-CA"/>
              </w:rPr>
            </w:pPr>
          </w:p>
        </w:tc>
        <w:tc>
          <w:tcPr>
            <w:tcW w:w="3745" w:type="dxa"/>
            <w:tcBorders>
              <w:top w:val="nil"/>
              <w:bottom w:val="nil"/>
            </w:tcBorders>
            <w:shd w:val="clear" w:color="auto" w:fill="auto"/>
            <w:noWrap/>
            <w:vAlign w:val="center"/>
            <w:hideMark/>
          </w:tcPr>
          <w:p w14:paraId="3B8DD093"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Population Density +25%</w:t>
            </w:r>
          </w:p>
        </w:tc>
        <w:tc>
          <w:tcPr>
            <w:tcW w:w="1110" w:type="dxa"/>
            <w:tcBorders>
              <w:top w:val="nil"/>
              <w:bottom w:val="nil"/>
              <w:right w:val="nil"/>
            </w:tcBorders>
            <w:shd w:val="clear" w:color="auto" w:fill="auto"/>
            <w:noWrap/>
            <w:vAlign w:val="center"/>
            <w:hideMark/>
          </w:tcPr>
          <w:p w14:paraId="4A877776" w14:textId="77777777" w:rsidR="009B6F3A" w:rsidRPr="00861097" w:rsidRDefault="009B6F3A" w:rsidP="009B6F3A">
            <w:pPr>
              <w:spacing w:before="0" w:after="0"/>
              <w:jc w:val="center"/>
              <w:rPr>
                <w:rFonts w:cs="Times New Roman"/>
                <w:color w:val="000000"/>
              </w:rPr>
            </w:pPr>
            <w:r w:rsidRPr="00861097">
              <w:rPr>
                <w:rFonts w:cs="Times New Roman"/>
                <w:color w:val="000000"/>
              </w:rPr>
              <w:t>-0.71 (0.06)</w:t>
            </w:r>
          </w:p>
        </w:tc>
        <w:tc>
          <w:tcPr>
            <w:tcW w:w="836" w:type="dxa"/>
            <w:tcBorders>
              <w:top w:val="nil"/>
              <w:left w:val="nil"/>
              <w:bottom w:val="nil"/>
              <w:right w:val="nil"/>
            </w:tcBorders>
            <w:shd w:val="clear" w:color="auto" w:fill="auto"/>
            <w:noWrap/>
            <w:vAlign w:val="center"/>
            <w:hideMark/>
          </w:tcPr>
          <w:p w14:paraId="49FEBE76" w14:textId="77777777" w:rsidR="009B6F3A" w:rsidRPr="00861097" w:rsidRDefault="009B6F3A" w:rsidP="009B6F3A">
            <w:pPr>
              <w:spacing w:before="0" w:after="0"/>
              <w:jc w:val="center"/>
              <w:rPr>
                <w:rFonts w:cs="Times New Roman"/>
                <w:color w:val="000000"/>
              </w:rPr>
            </w:pPr>
            <w:r w:rsidRPr="00861097">
              <w:rPr>
                <w:rFonts w:cs="Times New Roman"/>
                <w:color w:val="000000"/>
              </w:rPr>
              <w:t>-3.99 (0.37)</w:t>
            </w:r>
          </w:p>
        </w:tc>
        <w:tc>
          <w:tcPr>
            <w:tcW w:w="836" w:type="dxa"/>
            <w:tcBorders>
              <w:top w:val="nil"/>
              <w:left w:val="nil"/>
              <w:bottom w:val="nil"/>
            </w:tcBorders>
            <w:shd w:val="clear" w:color="auto" w:fill="auto"/>
            <w:noWrap/>
            <w:vAlign w:val="center"/>
            <w:hideMark/>
          </w:tcPr>
          <w:p w14:paraId="4CDD917A" w14:textId="77777777" w:rsidR="009B6F3A" w:rsidRDefault="009B6F3A" w:rsidP="009B6F3A">
            <w:pPr>
              <w:spacing w:before="0" w:after="0"/>
              <w:jc w:val="center"/>
              <w:rPr>
                <w:rFonts w:cs="Times New Roman"/>
                <w:color w:val="000000"/>
              </w:rPr>
            </w:pPr>
            <w:r w:rsidRPr="00861097">
              <w:rPr>
                <w:rFonts w:cs="Times New Roman"/>
                <w:color w:val="000000"/>
              </w:rPr>
              <w:t>0</w:t>
            </w:r>
          </w:p>
          <w:p w14:paraId="6B22E2A3"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c>
          <w:tcPr>
            <w:tcW w:w="1110" w:type="dxa"/>
            <w:tcBorders>
              <w:top w:val="nil"/>
              <w:bottom w:val="nil"/>
              <w:right w:val="nil"/>
            </w:tcBorders>
            <w:shd w:val="clear" w:color="auto" w:fill="auto"/>
            <w:noWrap/>
            <w:vAlign w:val="center"/>
          </w:tcPr>
          <w:p w14:paraId="345D87F1" w14:textId="77777777" w:rsidR="009B6F3A" w:rsidRPr="00861097" w:rsidRDefault="009B6F3A" w:rsidP="009B6F3A">
            <w:pPr>
              <w:spacing w:before="0" w:after="0"/>
              <w:jc w:val="center"/>
              <w:rPr>
                <w:rFonts w:cs="Times New Roman"/>
                <w:color w:val="000000"/>
              </w:rPr>
            </w:pPr>
            <w:r w:rsidRPr="00861097">
              <w:rPr>
                <w:rFonts w:cs="Times New Roman"/>
                <w:color w:val="000000"/>
              </w:rPr>
              <w:t>-0.67 (0.05)</w:t>
            </w:r>
          </w:p>
        </w:tc>
        <w:tc>
          <w:tcPr>
            <w:tcW w:w="836" w:type="dxa"/>
            <w:tcBorders>
              <w:top w:val="nil"/>
              <w:left w:val="nil"/>
              <w:bottom w:val="nil"/>
              <w:right w:val="nil"/>
            </w:tcBorders>
            <w:shd w:val="clear" w:color="auto" w:fill="auto"/>
            <w:noWrap/>
            <w:vAlign w:val="center"/>
          </w:tcPr>
          <w:p w14:paraId="033504CB" w14:textId="77777777" w:rsidR="009B6F3A" w:rsidRPr="00861097" w:rsidRDefault="009B6F3A" w:rsidP="009B6F3A">
            <w:pPr>
              <w:spacing w:before="0" w:after="0"/>
              <w:jc w:val="center"/>
              <w:rPr>
                <w:rFonts w:cs="Times New Roman"/>
                <w:color w:val="000000"/>
              </w:rPr>
            </w:pPr>
            <w:r w:rsidRPr="00861097">
              <w:rPr>
                <w:rFonts w:cs="Times New Roman"/>
                <w:color w:val="000000"/>
              </w:rPr>
              <w:t>-3.75 (0.38)</w:t>
            </w:r>
          </w:p>
        </w:tc>
        <w:tc>
          <w:tcPr>
            <w:tcW w:w="836" w:type="dxa"/>
            <w:tcBorders>
              <w:top w:val="nil"/>
              <w:left w:val="nil"/>
              <w:bottom w:val="nil"/>
            </w:tcBorders>
            <w:shd w:val="clear" w:color="auto" w:fill="auto"/>
            <w:noWrap/>
            <w:vAlign w:val="center"/>
          </w:tcPr>
          <w:p w14:paraId="240583DD" w14:textId="77777777" w:rsidR="009B6F3A" w:rsidRDefault="009B6F3A" w:rsidP="009B6F3A">
            <w:pPr>
              <w:spacing w:before="0" w:after="0"/>
              <w:jc w:val="center"/>
              <w:rPr>
                <w:rFonts w:cs="Times New Roman"/>
                <w:color w:val="000000"/>
              </w:rPr>
            </w:pPr>
            <w:r w:rsidRPr="00861097">
              <w:rPr>
                <w:rFonts w:cs="Times New Roman"/>
                <w:color w:val="000000"/>
              </w:rPr>
              <w:t>0</w:t>
            </w:r>
          </w:p>
          <w:p w14:paraId="02A07DE6"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c>
          <w:tcPr>
            <w:tcW w:w="1110" w:type="dxa"/>
            <w:tcBorders>
              <w:top w:val="nil"/>
              <w:bottom w:val="nil"/>
              <w:right w:val="nil"/>
            </w:tcBorders>
            <w:shd w:val="clear" w:color="auto" w:fill="auto"/>
            <w:noWrap/>
            <w:vAlign w:val="center"/>
          </w:tcPr>
          <w:p w14:paraId="620A850B" w14:textId="77777777" w:rsidR="009B6F3A" w:rsidRPr="00861097" w:rsidRDefault="009B6F3A" w:rsidP="009B6F3A">
            <w:pPr>
              <w:spacing w:before="0" w:after="0"/>
              <w:jc w:val="center"/>
              <w:rPr>
                <w:rFonts w:cs="Times New Roman"/>
                <w:color w:val="000000"/>
              </w:rPr>
            </w:pPr>
            <w:r w:rsidRPr="00861097">
              <w:rPr>
                <w:rFonts w:cs="Times New Roman"/>
                <w:color w:val="000000"/>
              </w:rPr>
              <w:t>-0.69 (0.07)</w:t>
            </w:r>
          </w:p>
        </w:tc>
        <w:tc>
          <w:tcPr>
            <w:tcW w:w="836" w:type="dxa"/>
            <w:tcBorders>
              <w:top w:val="nil"/>
              <w:left w:val="nil"/>
              <w:bottom w:val="nil"/>
              <w:right w:val="nil"/>
            </w:tcBorders>
            <w:shd w:val="clear" w:color="auto" w:fill="auto"/>
            <w:noWrap/>
            <w:vAlign w:val="center"/>
          </w:tcPr>
          <w:p w14:paraId="489EE272" w14:textId="77777777" w:rsidR="009B6F3A" w:rsidRPr="00861097" w:rsidRDefault="009B6F3A" w:rsidP="009B6F3A">
            <w:pPr>
              <w:spacing w:before="0" w:after="0"/>
              <w:jc w:val="center"/>
              <w:rPr>
                <w:rFonts w:cs="Times New Roman"/>
                <w:color w:val="000000"/>
              </w:rPr>
            </w:pPr>
            <w:r w:rsidRPr="00861097">
              <w:rPr>
                <w:rFonts w:cs="Times New Roman"/>
                <w:color w:val="000000"/>
              </w:rPr>
              <w:t>-3.82 (0.48)</w:t>
            </w:r>
          </w:p>
        </w:tc>
        <w:tc>
          <w:tcPr>
            <w:tcW w:w="836" w:type="dxa"/>
            <w:tcBorders>
              <w:top w:val="nil"/>
              <w:left w:val="nil"/>
              <w:bottom w:val="nil"/>
            </w:tcBorders>
            <w:shd w:val="clear" w:color="auto" w:fill="auto"/>
            <w:noWrap/>
            <w:vAlign w:val="center"/>
          </w:tcPr>
          <w:p w14:paraId="12620C07" w14:textId="77777777" w:rsidR="009B6F3A" w:rsidRDefault="009B6F3A" w:rsidP="009B6F3A">
            <w:pPr>
              <w:spacing w:before="0" w:after="0"/>
              <w:jc w:val="center"/>
              <w:rPr>
                <w:rFonts w:cs="Times New Roman"/>
                <w:color w:val="000000"/>
              </w:rPr>
            </w:pPr>
            <w:r w:rsidRPr="00861097">
              <w:rPr>
                <w:rFonts w:cs="Times New Roman"/>
                <w:color w:val="000000"/>
              </w:rPr>
              <w:t>0</w:t>
            </w:r>
          </w:p>
          <w:p w14:paraId="56742F80"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r>
      <w:tr w:rsidR="009B6F3A" w:rsidRPr="008A07C9" w14:paraId="73C45C0E" w14:textId="77777777" w:rsidTr="009B6F3A">
        <w:trPr>
          <w:trHeight w:val="300"/>
        </w:trPr>
        <w:tc>
          <w:tcPr>
            <w:tcW w:w="426" w:type="dxa"/>
            <w:vMerge/>
          </w:tcPr>
          <w:p w14:paraId="6FECC95F" w14:textId="77777777" w:rsidR="009B6F3A" w:rsidRPr="0053110A" w:rsidRDefault="009B6F3A" w:rsidP="009B6F3A">
            <w:pPr>
              <w:spacing w:before="0" w:after="0"/>
              <w:rPr>
                <w:rFonts w:eastAsia="Times New Roman" w:cs="Times New Roman"/>
                <w:b/>
                <w:lang w:eastAsia="en-CA"/>
              </w:rPr>
            </w:pPr>
          </w:p>
        </w:tc>
        <w:tc>
          <w:tcPr>
            <w:tcW w:w="3745" w:type="dxa"/>
            <w:tcBorders>
              <w:top w:val="nil"/>
              <w:bottom w:val="nil"/>
            </w:tcBorders>
            <w:shd w:val="clear" w:color="auto" w:fill="auto"/>
            <w:noWrap/>
            <w:vAlign w:val="center"/>
            <w:hideMark/>
          </w:tcPr>
          <w:p w14:paraId="69F6246A"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Job Density +25%</w:t>
            </w:r>
          </w:p>
        </w:tc>
        <w:tc>
          <w:tcPr>
            <w:tcW w:w="1110" w:type="dxa"/>
            <w:tcBorders>
              <w:top w:val="nil"/>
              <w:bottom w:val="nil"/>
              <w:right w:val="nil"/>
            </w:tcBorders>
            <w:shd w:val="clear" w:color="auto" w:fill="auto"/>
            <w:noWrap/>
            <w:vAlign w:val="center"/>
            <w:hideMark/>
          </w:tcPr>
          <w:p w14:paraId="22DFEDB9" w14:textId="77777777" w:rsidR="009B6F3A" w:rsidRPr="00861097" w:rsidRDefault="009B6F3A" w:rsidP="009B6F3A">
            <w:pPr>
              <w:spacing w:before="0" w:after="0"/>
              <w:jc w:val="center"/>
              <w:rPr>
                <w:rFonts w:cs="Times New Roman"/>
                <w:color w:val="000000"/>
              </w:rPr>
            </w:pPr>
            <w:r w:rsidRPr="00861097">
              <w:rPr>
                <w:rFonts w:cs="Times New Roman"/>
                <w:color w:val="000000"/>
              </w:rPr>
              <w:t>0.16 (0.03)</w:t>
            </w:r>
          </w:p>
        </w:tc>
        <w:tc>
          <w:tcPr>
            <w:tcW w:w="836" w:type="dxa"/>
            <w:tcBorders>
              <w:top w:val="nil"/>
              <w:left w:val="nil"/>
              <w:bottom w:val="nil"/>
              <w:right w:val="nil"/>
            </w:tcBorders>
            <w:shd w:val="clear" w:color="auto" w:fill="auto"/>
            <w:noWrap/>
            <w:vAlign w:val="center"/>
            <w:hideMark/>
          </w:tcPr>
          <w:p w14:paraId="03AF8550" w14:textId="77777777" w:rsidR="009B6F3A" w:rsidRPr="00861097" w:rsidRDefault="009B6F3A" w:rsidP="009B6F3A">
            <w:pPr>
              <w:spacing w:before="0" w:after="0"/>
              <w:jc w:val="center"/>
              <w:rPr>
                <w:rFonts w:cs="Times New Roman"/>
                <w:color w:val="000000"/>
              </w:rPr>
            </w:pPr>
            <w:r w:rsidRPr="00861097">
              <w:rPr>
                <w:rFonts w:cs="Times New Roman"/>
                <w:color w:val="000000"/>
              </w:rPr>
              <w:t>0.88 (0.14)</w:t>
            </w:r>
          </w:p>
        </w:tc>
        <w:tc>
          <w:tcPr>
            <w:tcW w:w="836" w:type="dxa"/>
            <w:tcBorders>
              <w:top w:val="nil"/>
              <w:left w:val="nil"/>
              <w:bottom w:val="nil"/>
            </w:tcBorders>
            <w:shd w:val="clear" w:color="auto" w:fill="auto"/>
            <w:noWrap/>
            <w:vAlign w:val="center"/>
            <w:hideMark/>
          </w:tcPr>
          <w:p w14:paraId="7F99FCE4" w14:textId="77777777" w:rsidR="009B6F3A" w:rsidRDefault="009B6F3A" w:rsidP="009B6F3A">
            <w:pPr>
              <w:spacing w:before="0" w:after="0"/>
              <w:jc w:val="center"/>
              <w:rPr>
                <w:rFonts w:cs="Times New Roman"/>
                <w:color w:val="000000"/>
              </w:rPr>
            </w:pPr>
            <w:r w:rsidRPr="00861097">
              <w:rPr>
                <w:rFonts w:cs="Times New Roman"/>
                <w:color w:val="000000"/>
              </w:rPr>
              <w:t>0</w:t>
            </w:r>
          </w:p>
          <w:p w14:paraId="5187A4D2"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c>
          <w:tcPr>
            <w:tcW w:w="1110" w:type="dxa"/>
            <w:tcBorders>
              <w:top w:val="nil"/>
              <w:bottom w:val="nil"/>
              <w:right w:val="nil"/>
            </w:tcBorders>
            <w:shd w:val="clear" w:color="auto" w:fill="auto"/>
            <w:noWrap/>
            <w:vAlign w:val="center"/>
          </w:tcPr>
          <w:p w14:paraId="5BCAFF01" w14:textId="77777777" w:rsidR="009B6F3A" w:rsidRPr="00861097" w:rsidRDefault="009B6F3A" w:rsidP="009B6F3A">
            <w:pPr>
              <w:spacing w:before="0" w:after="0"/>
              <w:jc w:val="center"/>
              <w:rPr>
                <w:rFonts w:cs="Times New Roman"/>
                <w:color w:val="000000"/>
              </w:rPr>
            </w:pPr>
            <w:r w:rsidRPr="00861097">
              <w:rPr>
                <w:rFonts w:cs="Times New Roman"/>
                <w:color w:val="000000"/>
              </w:rPr>
              <w:t>0.33 (0.05)</w:t>
            </w:r>
          </w:p>
        </w:tc>
        <w:tc>
          <w:tcPr>
            <w:tcW w:w="836" w:type="dxa"/>
            <w:tcBorders>
              <w:top w:val="nil"/>
              <w:left w:val="nil"/>
              <w:bottom w:val="nil"/>
              <w:right w:val="nil"/>
            </w:tcBorders>
            <w:shd w:val="clear" w:color="auto" w:fill="auto"/>
            <w:noWrap/>
            <w:vAlign w:val="center"/>
          </w:tcPr>
          <w:p w14:paraId="15A5A6BA" w14:textId="77777777" w:rsidR="009B6F3A" w:rsidRPr="00861097" w:rsidRDefault="009B6F3A" w:rsidP="009B6F3A">
            <w:pPr>
              <w:spacing w:before="0" w:after="0"/>
              <w:jc w:val="center"/>
              <w:rPr>
                <w:rFonts w:cs="Times New Roman"/>
                <w:color w:val="000000"/>
              </w:rPr>
            </w:pPr>
            <w:r w:rsidRPr="00861097">
              <w:rPr>
                <w:rFonts w:cs="Times New Roman"/>
                <w:color w:val="000000"/>
              </w:rPr>
              <w:t>1.84 (0.28)</w:t>
            </w:r>
          </w:p>
        </w:tc>
        <w:tc>
          <w:tcPr>
            <w:tcW w:w="836" w:type="dxa"/>
            <w:tcBorders>
              <w:top w:val="nil"/>
              <w:left w:val="nil"/>
              <w:bottom w:val="nil"/>
            </w:tcBorders>
            <w:shd w:val="clear" w:color="auto" w:fill="auto"/>
            <w:noWrap/>
            <w:vAlign w:val="center"/>
          </w:tcPr>
          <w:p w14:paraId="0EF9ED7D" w14:textId="77777777" w:rsidR="009B6F3A" w:rsidRDefault="009B6F3A" w:rsidP="009B6F3A">
            <w:pPr>
              <w:spacing w:before="0" w:after="0"/>
              <w:jc w:val="center"/>
              <w:rPr>
                <w:rFonts w:cs="Times New Roman"/>
                <w:color w:val="000000"/>
              </w:rPr>
            </w:pPr>
            <w:r w:rsidRPr="00861097">
              <w:rPr>
                <w:rFonts w:cs="Times New Roman"/>
                <w:color w:val="000000"/>
              </w:rPr>
              <w:t>0</w:t>
            </w:r>
          </w:p>
          <w:p w14:paraId="25188591"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c>
          <w:tcPr>
            <w:tcW w:w="1110" w:type="dxa"/>
            <w:tcBorders>
              <w:top w:val="nil"/>
              <w:bottom w:val="nil"/>
              <w:right w:val="nil"/>
            </w:tcBorders>
            <w:shd w:val="clear" w:color="auto" w:fill="auto"/>
            <w:noWrap/>
            <w:vAlign w:val="center"/>
          </w:tcPr>
          <w:p w14:paraId="38C8C526" w14:textId="77777777" w:rsidR="009B6F3A" w:rsidRPr="00861097" w:rsidRDefault="009B6F3A" w:rsidP="009B6F3A">
            <w:pPr>
              <w:spacing w:before="0" w:after="0"/>
              <w:jc w:val="center"/>
              <w:rPr>
                <w:rFonts w:cs="Times New Roman"/>
                <w:color w:val="000000"/>
              </w:rPr>
            </w:pPr>
            <w:r w:rsidRPr="00861097">
              <w:rPr>
                <w:rFonts w:cs="Times New Roman"/>
                <w:color w:val="000000"/>
              </w:rPr>
              <w:t>0.37 (0.07)</w:t>
            </w:r>
          </w:p>
        </w:tc>
        <w:tc>
          <w:tcPr>
            <w:tcW w:w="836" w:type="dxa"/>
            <w:tcBorders>
              <w:top w:val="nil"/>
              <w:left w:val="nil"/>
              <w:bottom w:val="nil"/>
              <w:right w:val="nil"/>
            </w:tcBorders>
            <w:shd w:val="clear" w:color="auto" w:fill="auto"/>
            <w:noWrap/>
            <w:vAlign w:val="center"/>
          </w:tcPr>
          <w:p w14:paraId="0940027F" w14:textId="77777777" w:rsidR="009B6F3A" w:rsidRPr="00861097" w:rsidRDefault="009B6F3A" w:rsidP="009B6F3A">
            <w:pPr>
              <w:spacing w:before="0" w:after="0"/>
              <w:jc w:val="center"/>
              <w:rPr>
                <w:rFonts w:cs="Times New Roman"/>
                <w:color w:val="000000"/>
              </w:rPr>
            </w:pPr>
            <w:r w:rsidRPr="00861097">
              <w:rPr>
                <w:rFonts w:cs="Times New Roman"/>
                <w:color w:val="000000"/>
              </w:rPr>
              <w:t>2.06 (0.39)</w:t>
            </w:r>
          </w:p>
        </w:tc>
        <w:tc>
          <w:tcPr>
            <w:tcW w:w="836" w:type="dxa"/>
            <w:tcBorders>
              <w:top w:val="nil"/>
              <w:left w:val="nil"/>
              <w:bottom w:val="nil"/>
            </w:tcBorders>
            <w:shd w:val="clear" w:color="auto" w:fill="auto"/>
            <w:noWrap/>
            <w:vAlign w:val="center"/>
          </w:tcPr>
          <w:p w14:paraId="77AC84BF" w14:textId="77777777" w:rsidR="009B6F3A" w:rsidRDefault="009B6F3A" w:rsidP="009B6F3A">
            <w:pPr>
              <w:spacing w:before="0" w:after="0"/>
              <w:jc w:val="center"/>
              <w:rPr>
                <w:rFonts w:cs="Times New Roman"/>
                <w:color w:val="000000"/>
              </w:rPr>
            </w:pPr>
            <w:r w:rsidRPr="00861097">
              <w:rPr>
                <w:rFonts w:cs="Times New Roman"/>
                <w:color w:val="000000"/>
              </w:rPr>
              <w:t>0</w:t>
            </w:r>
          </w:p>
          <w:p w14:paraId="306D7F96"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r>
      <w:tr w:rsidR="009B6F3A" w:rsidRPr="008A07C9" w14:paraId="3B6FCF72" w14:textId="77777777" w:rsidTr="009B6F3A">
        <w:trPr>
          <w:trHeight w:val="300"/>
        </w:trPr>
        <w:tc>
          <w:tcPr>
            <w:tcW w:w="426" w:type="dxa"/>
            <w:vMerge/>
          </w:tcPr>
          <w:p w14:paraId="4F0C78A0" w14:textId="77777777" w:rsidR="009B6F3A" w:rsidRPr="0053110A" w:rsidRDefault="009B6F3A" w:rsidP="009B6F3A">
            <w:pPr>
              <w:spacing w:before="0" w:after="0"/>
              <w:rPr>
                <w:rFonts w:eastAsia="Times New Roman" w:cs="Times New Roman"/>
                <w:b/>
                <w:lang w:eastAsia="en-CA"/>
              </w:rPr>
            </w:pPr>
          </w:p>
        </w:tc>
        <w:tc>
          <w:tcPr>
            <w:tcW w:w="3745" w:type="dxa"/>
            <w:tcBorders>
              <w:top w:val="nil"/>
              <w:bottom w:val="nil"/>
            </w:tcBorders>
            <w:shd w:val="clear" w:color="auto" w:fill="auto"/>
            <w:noWrap/>
            <w:vAlign w:val="center"/>
          </w:tcPr>
          <w:p w14:paraId="2C7C6F90" w14:textId="77777777" w:rsidR="009B6F3A" w:rsidRPr="008A07C9" w:rsidRDefault="009B6F3A" w:rsidP="009B6F3A">
            <w:pPr>
              <w:spacing w:before="0" w:after="0"/>
              <w:jc w:val="left"/>
              <w:rPr>
                <w:rFonts w:eastAsia="Times New Roman" w:cs="Times New Roman"/>
                <w:color w:val="000000"/>
                <w:lang w:eastAsia="en-CA"/>
              </w:rPr>
            </w:pPr>
            <w:r w:rsidRPr="008A07C9">
              <w:rPr>
                <w:rFonts w:eastAsia="Times New Roman" w:cs="Times New Roman"/>
                <w:lang w:eastAsia="en-CA"/>
              </w:rPr>
              <w:t>Bicycle Facility Density +10%</w:t>
            </w:r>
          </w:p>
        </w:tc>
        <w:tc>
          <w:tcPr>
            <w:tcW w:w="1110" w:type="dxa"/>
            <w:tcBorders>
              <w:top w:val="nil"/>
              <w:bottom w:val="nil"/>
              <w:right w:val="nil"/>
            </w:tcBorders>
            <w:shd w:val="clear" w:color="auto" w:fill="auto"/>
            <w:noWrap/>
            <w:vAlign w:val="center"/>
          </w:tcPr>
          <w:p w14:paraId="3CD0AE32" w14:textId="77777777" w:rsidR="009B6F3A" w:rsidRPr="00861097" w:rsidRDefault="009B6F3A" w:rsidP="009B6F3A">
            <w:pPr>
              <w:spacing w:before="0" w:after="0"/>
              <w:jc w:val="center"/>
              <w:rPr>
                <w:rFonts w:cs="Times New Roman"/>
                <w:color w:val="000000"/>
              </w:rPr>
            </w:pPr>
            <w:r w:rsidRPr="00861097">
              <w:rPr>
                <w:rFonts w:cs="Times New Roman"/>
                <w:color w:val="000000"/>
              </w:rPr>
              <w:t>1.19 (0.02)</w:t>
            </w:r>
          </w:p>
        </w:tc>
        <w:tc>
          <w:tcPr>
            <w:tcW w:w="836" w:type="dxa"/>
            <w:tcBorders>
              <w:top w:val="nil"/>
              <w:left w:val="nil"/>
              <w:bottom w:val="nil"/>
              <w:right w:val="nil"/>
            </w:tcBorders>
            <w:shd w:val="clear" w:color="auto" w:fill="auto"/>
            <w:noWrap/>
            <w:vAlign w:val="center"/>
          </w:tcPr>
          <w:p w14:paraId="2CB78790" w14:textId="77777777" w:rsidR="009B6F3A" w:rsidRPr="00861097" w:rsidRDefault="009B6F3A" w:rsidP="009B6F3A">
            <w:pPr>
              <w:spacing w:before="0" w:after="0"/>
              <w:jc w:val="center"/>
              <w:rPr>
                <w:rFonts w:cs="Times New Roman"/>
                <w:color w:val="000000"/>
              </w:rPr>
            </w:pPr>
            <w:r w:rsidRPr="00861097">
              <w:rPr>
                <w:rFonts w:cs="Times New Roman"/>
                <w:color w:val="000000"/>
              </w:rPr>
              <w:t>1.3 (0.02)</w:t>
            </w:r>
          </w:p>
        </w:tc>
        <w:tc>
          <w:tcPr>
            <w:tcW w:w="836" w:type="dxa"/>
            <w:tcBorders>
              <w:top w:val="nil"/>
              <w:left w:val="nil"/>
              <w:bottom w:val="nil"/>
            </w:tcBorders>
            <w:shd w:val="clear" w:color="auto" w:fill="auto"/>
            <w:noWrap/>
            <w:vAlign w:val="center"/>
          </w:tcPr>
          <w:p w14:paraId="17D85929" w14:textId="77777777" w:rsidR="009B6F3A" w:rsidRPr="00861097" w:rsidRDefault="009B6F3A" w:rsidP="009B6F3A">
            <w:pPr>
              <w:spacing w:before="0" w:after="0"/>
              <w:jc w:val="center"/>
              <w:rPr>
                <w:rFonts w:cs="Times New Roman"/>
                <w:color w:val="000000"/>
              </w:rPr>
            </w:pPr>
            <w:r w:rsidRPr="00861097">
              <w:rPr>
                <w:rFonts w:cs="Times New Roman"/>
                <w:color w:val="000000"/>
              </w:rPr>
              <w:t>1</w:t>
            </w:r>
            <w:r>
              <w:rPr>
                <w:rFonts w:cs="Times New Roman"/>
                <w:color w:val="000000"/>
              </w:rPr>
              <w:t>.00</w:t>
            </w:r>
            <w:r w:rsidRPr="00861097">
              <w:rPr>
                <w:rFonts w:cs="Times New Roman"/>
                <w:color w:val="000000"/>
              </w:rPr>
              <w:t xml:space="preserve"> (0.02)</w:t>
            </w:r>
          </w:p>
        </w:tc>
        <w:tc>
          <w:tcPr>
            <w:tcW w:w="1110" w:type="dxa"/>
            <w:tcBorders>
              <w:top w:val="nil"/>
              <w:bottom w:val="nil"/>
              <w:right w:val="nil"/>
            </w:tcBorders>
            <w:shd w:val="clear" w:color="auto" w:fill="auto"/>
            <w:noWrap/>
            <w:vAlign w:val="center"/>
          </w:tcPr>
          <w:p w14:paraId="61E1360F" w14:textId="77777777" w:rsidR="009B6F3A" w:rsidRPr="00861097" w:rsidRDefault="009B6F3A" w:rsidP="009B6F3A">
            <w:pPr>
              <w:spacing w:before="0" w:after="0"/>
              <w:jc w:val="center"/>
              <w:rPr>
                <w:rFonts w:cs="Times New Roman"/>
                <w:color w:val="000000"/>
              </w:rPr>
            </w:pPr>
            <w:r w:rsidRPr="00861097">
              <w:rPr>
                <w:rFonts w:cs="Times New Roman"/>
                <w:color w:val="000000"/>
              </w:rPr>
              <w:t>1.69 (0.36)</w:t>
            </w:r>
          </w:p>
        </w:tc>
        <w:tc>
          <w:tcPr>
            <w:tcW w:w="836" w:type="dxa"/>
            <w:tcBorders>
              <w:top w:val="nil"/>
              <w:left w:val="nil"/>
              <w:bottom w:val="nil"/>
              <w:right w:val="nil"/>
            </w:tcBorders>
            <w:shd w:val="clear" w:color="auto" w:fill="auto"/>
            <w:noWrap/>
            <w:vAlign w:val="center"/>
          </w:tcPr>
          <w:p w14:paraId="17E3D82F" w14:textId="77777777" w:rsidR="009B6F3A" w:rsidRPr="00861097" w:rsidRDefault="009B6F3A" w:rsidP="009B6F3A">
            <w:pPr>
              <w:spacing w:before="0" w:after="0"/>
              <w:jc w:val="center"/>
              <w:rPr>
                <w:rFonts w:cs="Times New Roman"/>
                <w:color w:val="000000"/>
              </w:rPr>
            </w:pPr>
            <w:r w:rsidRPr="00861097">
              <w:rPr>
                <w:rFonts w:cs="Times New Roman"/>
                <w:color w:val="000000"/>
              </w:rPr>
              <w:t>1.81 (0.4)</w:t>
            </w:r>
          </w:p>
        </w:tc>
        <w:tc>
          <w:tcPr>
            <w:tcW w:w="836" w:type="dxa"/>
            <w:tcBorders>
              <w:top w:val="nil"/>
              <w:left w:val="nil"/>
              <w:bottom w:val="nil"/>
            </w:tcBorders>
            <w:shd w:val="clear" w:color="auto" w:fill="auto"/>
            <w:noWrap/>
            <w:vAlign w:val="center"/>
          </w:tcPr>
          <w:p w14:paraId="1AE94AC8" w14:textId="77777777" w:rsidR="009B6F3A" w:rsidRPr="00861097" w:rsidRDefault="009B6F3A" w:rsidP="009B6F3A">
            <w:pPr>
              <w:spacing w:before="0" w:after="0"/>
              <w:jc w:val="center"/>
              <w:rPr>
                <w:rFonts w:cs="Times New Roman"/>
                <w:color w:val="000000"/>
              </w:rPr>
            </w:pPr>
            <w:r w:rsidRPr="00861097">
              <w:rPr>
                <w:rFonts w:cs="Times New Roman"/>
                <w:color w:val="000000"/>
              </w:rPr>
              <w:t>1.45 (0.29)</w:t>
            </w:r>
          </w:p>
        </w:tc>
        <w:tc>
          <w:tcPr>
            <w:tcW w:w="1110" w:type="dxa"/>
            <w:tcBorders>
              <w:top w:val="nil"/>
              <w:bottom w:val="nil"/>
              <w:right w:val="nil"/>
            </w:tcBorders>
            <w:shd w:val="clear" w:color="auto" w:fill="auto"/>
            <w:noWrap/>
            <w:vAlign w:val="center"/>
          </w:tcPr>
          <w:p w14:paraId="02E6ADFB" w14:textId="77777777" w:rsidR="009B6F3A" w:rsidRPr="00861097" w:rsidRDefault="009B6F3A" w:rsidP="009B6F3A">
            <w:pPr>
              <w:spacing w:before="0" w:after="0"/>
              <w:jc w:val="center"/>
              <w:rPr>
                <w:rFonts w:cs="Times New Roman"/>
                <w:color w:val="000000"/>
              </w:rPr>
            </w:pPr>
            <w:r w:rsidRPr="00861097">
              <w:rPr>
                <w:rFonts w:cs="Times New Roman"/>
                <w:color w:val="000000"/>
              </w:rPr>
              <w:t>1.46 (0.26)</w:t>
            </w:r>
          </w:p>
        </w:tc>
        <w:tc>
          <w:tcPr>
            <w:tcW w:w="836" w:type="dxa"/>
            <w:tcBorders>
              <w:top w:val="nil"/>
              <w:left w:val="nil"/>
              <w:bottom w:val="nil"/>
              <w:right w:val="nil"/>
            </w:tcBorders>
            <w:shd w:val="clear" w:color="auto" w:fill="auto"/>
            <w:noWrap/>
            <w:vAlign w:val="center"/>
          </w:tcPr>
          <w:p w14:paraId="66AD290F" w14:textId="77777777" w:rsidR="009B6F3A" w:rsidRPr="00861097" w:rsidRDefault="009B6F3A" w:rsidP="009B6F3A">
            <w:pPr>
              <w:spacing w:before="0" w:after="0"/>
              <w:jc w:val="center"/>
              <w:rPr>
                <w:rFonts w:cs="Times New Roman"/>
                <w:color w:val="000000"/>
              </w:rPr>
            </w:pPr>
            <w:r w:rsidRPr="00861097">
              <w:rPr>
                <w:rFonts w:cs="Times New Roman"/>
                <w:color w:val="000000"/>
              </w:rPr>
              <w:t>1.49 (0.28)</w:t>
            </w:r>
          </w:p>
        </w:tc>
        <w:tc>
          <w:tcPr>
            <w:tcW w:w="836" w:type="dxa"/>
            <w:tcBorders>
              <w:top w:val="nil"/>
              <w:left w:val="nil"/>
              <w:bottom w:val="nil"/>
            </w:tcBorders>
            <w:shd w:val="clear" w:color="auto" w:fill="auto"/>
            <w:noWrap/>
            <w:vAlign w:val="center"/>
          </w:tcPr>
          <w:p w14:paraId="1C0D0B1B" w14:textId="77777777" w:rsidR="009B6F3A" w:rsidRPr="00861097" w:rsidRDefault="009B6F3A" w:rsidP="009B6F3A">
            <w:pPr>
              <w:spacing w:before="0" w:after="0"/>
              <w:jc w:val="center"/>
              <w:rPr>
                <w:rFonts w:cs="Times New Roman"/>
                <w:color w:val="000000"/>
              </w:rPr>
            </w:pPr>
            <w:r w:rsidRPr="00861097">
              <w:rPr>
                <w:rFonts w:cs="Times New Roman"/>
                <w:color w:val="000000"/>
              </w:rPr>
              <w:t>1.36 (0.23)</w:t>
            </w:r>
          </w:p>
        </w:tc>
      </w:tr>
      <w:tr w:rsidR="009B6F3A" w:rsidRPr="008A07C9" w14:paraId="6F0E011E" w14:textId="77777777" w:rsidTr="009B6F3A">
        <w:trPr>
          <w:trHeight w:val="300"/>
        </w:trPr>
        <w:tc>
          <w:tcPr>
            <w:tcW w:w="426" w:type="dxa"/>
            <w:vMerge/>
          </w:tcPr>
          <w:p w14:paraId="4B760A93" w14:textId="77777777" w:rsidR="009B6F3A" w:rsidRPr="0053110A" w:rsidRDefault="009B6F3A" w:rsidP="009B6F3A">
            <w:pPr>
              <w:spacing w:before="0" w:after="0"/>
              <w:rPr>
                <w:rFonts w:eastAsia="Times New Roman" w:cs="Times New Roman"/>
                <w:b/>
                <w:lang w:eastAsia="en-CA"/>
              </w:rPr>
            </w:pPr>
          </w:p>
        </w:tc>
        <w:tc>
          <w:tcPr>
            <w:tcW w:w="3745" w:type="dxa"/>
            <w:tcBorders>
              <w:top w:val="nil"/>
              <w:bottom w:val="nil"/>
            </w:tcBorders>
            <w:shd w:val="clear" w:color="auto" w:fill="auto"/>
            <w:noWrap/>
            <w:vAlign w:val="center"/>
          </w:tcPr>
          <w:p w14:paraId="0A809228" w14:textId="77777777" w:rsidR="009B6F3A" w:rsidRPr="008A07C9" w:rsidRDefault="009B6F3A" w:rsidP="009B6F3A">
            <w:pPr>
              <w:spacing w:before="0" w:after="0"/>
              <w:jc w:val="left"/>
              <w:rPr>
                <w:rFonts w:eastAsia="Times New Roman" w:cs="Times New Roman"/>
                <w:b/>
                <w:lang w:eastAsia="en-CA"/>
              </w:rPr>
            </w:pPr>
            <w:r w:rsidRPr="008A07C9">
              <w:rPr>
                <w:rFonts w:eastAsia="Times New Roman" w:cs="Times New Roman"/>
                <w:lang w:eastAsia="en-CA"/>
              </w:rPr>
              <w:t>Bicycle Facility Density +25%</w:t>
            </w:r>
          </w:p>
        </w:tc>
        <w:tc>
          <w:tcPr>
            <w:tcW w:w="1110" w:type="dxa"/>
            <w:tcBorders>
              <w:top w:val="nil"/>
              <w:bottom w:val="nil"/>
              <w:right w:val="nil"/>
            </w:tcBorders>
            <w:shd w:val="clear" w:color="auto" w:fill="auto"/>
            <w:noWrap/>
            <w:vAlign w:val="center"/>
          </w:tcPr>
          <w:p w14:paraId="0173B977" w14:textId="77777777" w:rsidR="009B6F3A" w:rsidRPr="00861097" w:rsidRDefault="009B6F3A" w:rsidP="009B6F3A">
            <w:pPr>
              <w:spacing w:before="0" w:after="0"/>
              <w:jc w:val="center"/>
              <w:rPr>
                <w:rFonts w:cs="Times New Roman"/>
                <w:color w:val="000000"/>
              </w:rPr>
            </w:pPr>
            <w:r w:rsidRPr="00861097">
              <w:rPr>
                <w:rFonts w:cs="Times New Roman"/>
                <w:color w:val="000000"/>
              </w:rPr>
              <w:t>2.99 (0.05)</w:t>
            </w:r>
          </w:p>
        </w:tc>
        <w:tc>
          <w:tcPr>
            <w:tcW w:w="836" w:type="dxa"/>
            <w:tcBorders>
              <w:top w:val="nil"/>
              <w:left w:val="nil"/>
              <w:bottom w:val="nil"/>
              <w:right w:val="nil"/>
            </w:tcBorders>
            <w:shd w:val="clear" w:color="auto" w:fill="auto"/>
            <w:noWrap/>
            <w:vAlign w:val="center"/>
          </w:tcPr>
          <w:p w14:paraId="4F9EAECB" w14:textId="77777777" w:rsidR="009B6F3A" w:rsidRPr="00861097" w:rsidRDefault="009B6F3A" w:rsidP="009B6F3A">
            <w:pPr>
              <w:spacing w:before="0" w:after="0"/>
              <w:jc w:val="center"/>
              <w:rPr>
                <w:rFonts w:cs="Times New Roman"/>
                <w:color w:val="000000"/>
              </w:rPr>
            </w:pPr>
            <w:r w:rsidRPr="00861097">
              <w:rPr>
                <w:rFonts w:cs="Times New Roman"/>
                <w:color w:val="000000"/>
              </w:rPr>
              <w:t>3.28 (0.06)</w:t>
            </w:r>
          </w:p>
        </w:tc>
        <w:tc>
          <w:tcPr>
            <w:tcW w:w="836" w:type="dxa"/>
            <w:tcBorders>
              <w:top w:val="nil"/>
              <w:left w:val="nil"/>
              <w:bottom w:val="nil"/>
            </w:tcBorders>
            <w:shd w:val="clear" w:color="auto" w:fill="auto"/>
            <w:noWrap/>
            <w:vAlign w:val="center"/>
          </w:tcPr>
          <w:p w14:paraId="15A4942A" w14:textId="77777777" w:rsidR="009B6F3A" w:rsidRPr="00861097" w:rsidRDefault="009B6F3A" w:rsidP="009B6F3A">
            <w:pPr>
              <w:spacing w:before="0" w:after="0"/>
              <w:jc w:val="center"/>
              <w:rPr>
                <w:rFonts w:cs="Times New Roman"/>
                <w:color w:val="000000"/>
              </w:rPr>
            </w:pPr>
            <w:r w:rsidRPr="00861097">
              <w:rPr>
                <w:rFonts w:cs="Times New Roman"/>
                <w:color w:val="000000"/>
              </w:rPr>
              <w:t>2.52 (0.06)</w:t>
            </w:r>
          </w:p>
        </w:tc>
        <w:tc>
          <w:tcPr>
            <w:tcW w:w="1110" w:type="dxa"/>
            <w:tcBorders>
              <w:top w:val="nil"/>
              <w:bottom w:val="nil"/>
              <w:right w:val="nil"/>
            </w:tcBorders>
            <w:shd w:val="clear" w:color="auto" w:fill="auto"/>
            <w:noWrap/>
            <w:vAlign w:val="center"/>
          </w:tcPr>
          <w:p w14:paraId="65D4DC35" w14:textId="77777777" w:rsidR="009B6F3A" w:rsidRPr="00861097" w:rsidRDefault="009B6F3A" w:rsidP="009B6F3A">
            <w:pPr>
              <w:spacing w:before="0" w:after="0"/>
              <w:jc w:val="center"/>
              <w:rPr>
                <w:rFonts w:cs="Times New Roman"/>
                <w:color w:val="000000"/>
              </w:rPr>
            </w:pPr>
            <w:r w:rsidRPr="00861097">
              <w:rPr>
                <w:rFonts w:cs="Times New Roman"/>
                <w:color w:val="000000"/>
              </w:rPr>
              <w:t>4.27 (0.9)</w:t>
            </w:r>
          </w:p>
        </w:tc>
        <w:tc>
          <w:tcPr>
            <w:tcW w:w="836" w:type="dxa"/>
            <w:tcBorders>
              <w:top w:val="nil"/>
              <w:left w:val="nil"/>
              <w:bottom w:val="nil"/>
              <w:right w:val="nil"/>
            </w:tcBorders>
            <w:shd w:val="clear" w:color="auto" w:fill="auto"/>
            <w:noWrap/>
            <w:vAlign w:val="center"/>
          </w:tcPr>
          <w:p w14:paraId="3210CC00" w14:textId="77777777" w:rsidR="009B6F3A" w:rsidRPr="00861097" w:rsidRDefault="009B6F3A" w:rsidP="009B6F3A">
            <w:pPr>
              <w:spacing w:before="0" w:after="0"/>
              <w:jc w:val="center"/>
              <w:rPr>
                <w:rFonts w:cs="Times New Roman"/>
                <w:color w:val="000000"/>
              </w:rPr>
            </w:pPr>
            <w:r w:rsidRPr="00861097">
              <w:rPr>
                <w:rFonts w:cs="Times New Roman"/>
                <w:color w:val="000000"/>
              </w:rPr>
              <w:t>4.6 (1.03)</w:t>
            </w:r>
          </w:p>
        </w:tc>
        <w:tc>
          <w:tcPr>
            <w:tcW w:w="836" w:type="dxa"/>
            <w:tcBorders>
              <w:top w:val="nil"/>
              <w:left w:val="nil"/>
              <w:bottom w:val="nil"/>
            </w:tcBorders>
            <w:shd w:val="clear" w:color="auto" w:fill="auto"/>
            <w:noWrap/>
            <w:vAlign w:val="center"/>
          </w:tcPr>
          <w:p w14:paraId="496EE14F" w14:textId="77777777" w:rsidR="009B6F3A" w:rsidRPr="00861097" w:rsidRDefault="009B6F3A" w:rsidP="009B6F3A">
            <w:pPr>
              <w:spacing w:before="0" w:after="0"/>
              <w:jc w:val="center"/>
              <w:rPr>
                <w:rFonts w:cs="Times New Roman"/>
                <w:color w:val="000000"/>
              </w:rPr>
            </w:pPr>
            <w:r w:rsidRPr="00861097">
              <w:rPr>
                <w:rFonts w:cs="Times New Roman"/>
                <w:color w:val="000000"/>
              </w:rPr>
              <w:t>3.64 (0.71)</w:t>
            </w:r>
          </w:p>
        </w:tc>
        <w:tc>
          <w:tcPr>
            <w:tcW w:w="1110" w:type="dxa"/>
            <w:tcBorders>
              <w:top w:val="nil"/>
              <w:bottom w:val="nil"/>
              <w:right w:val="nil"/>
            </w:tcBorders>
            <w:shd w:val="clear" w:color="auto" w:fill="auto"/>
            <w:noWrap/>
            <w:vAlign w:val="center"/>
          </w:tcPr>
          <w:p w14:paraId="3DC66E37" w14:textId="77777777" w:rsidR="009B6F3A" w:rsidRPr="00861097" w:rsidRDefault="009B6F3A" w:rsidP="009B6F3A">
            <w:pPr>
              <w:spacing w:before="0" w:after="0"/>
              <w:jc w:val="center"/>
              <w:rPr>
                <w:rFonts w:cs="Times New Roman"/>
                <w:color w:val="000000"/>
              </w:rPr>
            </w:pPr>
            <w:r w:rsidRPr="00861097">
              <w:rPr>
                <w:rFonts w:cs="Times New Roman"/>
                <w:color w:val="000000"/>
              </w:rPr>
              <w:t>3.71 (0.66)</w:t>
            </w:r>
          </w:p>
        </w:tc>
        <w:tc>
          <w:tcPr>
            <w:tcW w:w="836" w:type="dxa"/>
            <w:tcBorders>
              <w:top w:val="nil"/>
              <w:left w:val="nil"/>
              <w:bottom w:val="nil"/>
              <w:right w:val="nil"/>
            </w:tcBorders>
            <w:shd w:val="clear" w:color="auto" w:fill="auto"/>
            <w:noWrap/>
            <w:vAlign w:val="center"/>
          </w:tcPr>
          <w:p w14:paraId="007EF7A5" w14:textId="77777777" w:rsidR="009B6F3A" w:rsidRPr="00861097" w:rsidRDefault="009B6F3A" w:rsidP="009B6F3A">
            <w:pPr>
              <w:spacing w:before="0" w:after="0"/>
              <w:jc w:val="center"/>
              <w:rPr>
                <w:rFonts w:cs="Times New Roman"/>
                <w:color w:val="000000"/>
              </w:rPr>
            </w:pPr>
            <w:r w:rsidRPr="00861097">
              <w:rPr>
                <w:rFonts w:cs="Times New Roman"/>
                <w:color w:val="000000"/>
              </w:rPr>
              <w:t>3.78 (0.73)</w:t>
            </w:r>
          </w:p>
        </w:tc>
        <w:tc>
          <w:tcPr>
            <w:tcW w:w="836" w:type="dxa"/>
            <w:tcBorders>
              <w:top w:val="nil"/>
              <w:left w:val="nil"/>
              <w:bottom w:val="nil"/>
            </w:tcBorders>
            <w:shd w:val="clear" w:color="auto" w:fill="auto"/>
            <w:noWrap/>
            <w:vAlign w:val="center"/>
          </w:tcPr>
          <w:p w14:paraId="21EF293E" w14:textId="77777777" w:rsidR="009B6F3A" w:rsidRPr="00861097" w:rsidRDefault="009B6F3A" w:rsidP="009B6F3A">
            <w:pPr>
              <w:spacing w:before="0" w:after="0"/>
              <w:jc w:val="center"/>
              <w:rPr>
                <w:rFonts w:cs="Times New Roman"/>
                <w:color w:val="000000"/>
              </w:rPr>
            </w:pPr>
            <w:r w:rsidRPr="00861097">
              <w:rPr>
                <w:rFonts w:cs="Times New Roman"/>
                <w:color w:val="000000"/>
              </w:rPr>
              <w:t>3.41 (0.59)</w:t>
            </w:r>
          </w:p>
        </w:tc>
      </w:tr>
      <w:tr w:rsidR="009B6F3A" w:rsidRPr="008A07C9" w14:paraId="036D9C04" w14:textId="77777777" w:rsidTr="009B6F3A">
        <w:trPr>
          <w:trHeight w:val="300"/>
        </w:trPr>
        <w:tc>
          <w:tcPr>
            <w:tcW w:w="426" w:type="dxa"/>
            <w:vMerge w:val="restart"/>
            <w:textDirection w:val="btLr"/>
            <w:vAlign w:val="center"/>
          </w:tcPr>
          <w:p w14:paraId="074DE030" w14:textId="77777777" w:rsidR="009B6F3A" w:rsidRPr="0053110A" w:rsidRDefault="009B6F3A" w:rsidP="009B6F3A">
            <w:pPr>
              <w:spacing w:before="0" w:after="0"/>
              <w:ind w:left="113" w:right="113"/>
              <w:jc w:val="center"/>
              <w:rPr>
                <w:rFonts w:eastAsia="Times New Roman" w:cs="Times New Roman"/>
                <w:b/>
                <w:lang w:eastAsia="en-CA"/>
              </w:rPr>
            </w:pPr>
            <w:r w:rsidRPr="0053110A">
              <w:rPr>
                <w:rFonts w:eastAsia="Times New Roman" w:cs="Times New Roman"/>
                <w:b/>
                <w:lang w:eastAsia="en-CA"/>
              </w:rPr>
              <w:t>Departures</w:t>
            </w:r>
          </w:p>
        </w:tc>
        <w:tc>
          <w:tcPr>
            <w:tcW w:w="3745" w:type="dxa"/>
            <w:tcBorders>
              <w:bottom w:val="nil"/>
            </w:tcBorders>
            <w:shd w:val="clear" w:color="auto" w:fill="auto"/>
            <w:noWrap/>
            <w:vAlign w:val="center"/>
          </w:tcPr>
          <w:p w14:paraId="519E4C1B"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No. of Stations +3, same capacity</w:t>
            </w:r>
          </w:p>
        </w:tc>
        <w:tc>
          <w:tcPr>
            <w:tcW w:w="1110" w:type="dxa"/>
            <w:tcBorders>
              <w:bottom w:val="nil"/>
              <w:right w:val="nil"/>
            </w:tcBorders>
            <w:shd w:val="clear" w:color="auto" w:fill="auto"/>
            <w:noWrap/>
            <w:vAlign w:val="center"/>
          </w:tcPr>
          <w:p w14:paraId="40DA8A44" w14:textId="77777777" w:rsidR="009B6F3A" w:rsidRPr="00861097" w:rsidRDefault="009B6F3A" w:rsidP="009B6F3A">
            <w:pPr>
              <w:spacing w:before="0" w:after="0"/>
              <w:jc w:val="center"/>
              <w:rPr>
                <w:rFonts w:cs="Times New Roman"/>
                <w:color w:val="000000"/>
              </w:rPr>
            </w:pPr>
            <w:r w:rsidRPr="00861097">
              <w:rPr>
                <w:rFonts w:cs="Times New Roman"/>
                <w:color w:val="000000"/>
              </w:rPr>
              <w:t>3.86 (0.04)</w:t>
            </w:r>
          </w:p>
        </w:tc>
        <w:tc>
          <w:tcPr>
            <w:tcW w:w="836" w:type="dxa"/>
            <w:tcBorders>
              <w:left w:val="nil"/>
              <w:bottom w:val="nil"/>
              <w:right w:val="nil"/>
            </w:tcBorders>
            <w:shd w:val="clear" w:color="auto" w:fill="auto"/>
            <w:noWrap/>
            <w:vAlign w:val="center"/>
          </w:tcPr>
          <w:p w14:paraId="1AF7201B" w14:textId="77777777" w:rsidR="009B6F3A" w:rsidRPr="00861097" w:rsidRDefault="009B6F3A" w:rsidP="009B6F3A">
            <w:pPr>
              <w:spacing w:before="0" w:after="0"/>
              <w:jc w:val="center"/>
              <w:rPr>
                <w:rFonts w:cs="Times New Roman"/>
                <w:color w:val="000000"/>
              </w:rPr>
            </w:pPr>
            <w:r w:rsidRPr="00861097">
              <w:rPr>
                <w:rFonts w:cs="Times New Roman"/>
                <w:color w:val="000000"/>
              </w:rPr>
              <w:t>3.94 (0.06)</w:t>
            </w:r>
          </w:p>
        </w:tc>
        <w:tc>
          <w:tcPr>
            <w:tcW w:w="836" w:type="dxa"/>
            <w:tcBorders>
              <w:left w:val="nil"/>
              <w:bottom w:val="nil"/>
            </w:tcBorders>
            <w:shd w:val="clear" w:color="auto" w:fill="auto"/>
            <w:noWrap/>
            <w:vAlign w:val="center"/>
          </w:tcPr>
          <w:p w14:paraId="159777A4" w14:textId="77777777" w:rsidR="009B6F3A" w:rsidRPr="00861097" w:rsidRDefault="009B6F3A" w:rsidP="009B6F3A">
            <w:pPr>
              <w:spacing w:before="0" w:after="0"/>
              <w:jc w:val="center"/>
              <w:rPr>
                <w:rFonts w:cs="Times New Roman"/>
                <w:color w:val="000000"/>
              </w:rPr>
            </w:pPr>
            <w:r w:rsidRPr="00861097">
              <w:rPr>
                <w:rFonts w:cs="Times New Roman"/>
                <w:color w:val="000000"/>
              </w:rPr>
              <w:t>3.71 (0.04)</w:t>
            </w:r>
          </w:p>
        </w:tc>
        <w:tc>
          <w:tcPr>
            <w:tcW w:w="1110" w:type="dxa"/>
            <w:tcBorders>
              <w:bottom w:val="nil"/>
              <w:right w:val="nil"/>
            </w:tcBorders>
            <w:shd w:val="clear" w:color="auto" w:fill="auto"/>
            <w:noWrap/>
            <w:vAlign w:val="center"/>
          </w:tcPr>
          <w:p w14:paraId="6ED57B28" w14:textId="77777777" w:rsidR="009B6F3A" w:rsidRPr="00861097" w:rsidRDefault="009B6F3A" w:rsidP="009B6F3A">
            <w:pPr>
              <w:spacing w:before="0" w:after="0"/>
              <w:jc w:val="center"/>
              <w:rPr>
                <w:rFonts w:cs="Times New Roman"/>
                <w:color w:val="000000"/>
              </w:rPr>
            </w:pPr>
            <w:r w:rsidRPr="00861097">
              <w:rPr>
                <w:rFonts w:cs="Times New Roman"/>
                <w:color w:val="000000"/>
              </w:rPr>
              <w:t>3.83 (0.3)</w:t>
            </w:r>
          </w:p>
        </w:tc>
        <w:tc>
          <w:tcPr>
            <w:tcW w:w="836" w:type="dxa"/>
            <w:tcBorders>
              <w:left w:val="nil"/>
              <w:bottom w:val="nil"/>
              <w:right w:val="nil"/>
            </w:tcBorders>
            <w:shd w:val="clear" w:color="auto" w:fill="auto"/>
            <w:noWrap/>
            <w:vAlign w:val="center"/>
          </w:tcPr>
          <w:p w14:paraId="0EE2B0A9" w14:textId="77777777" w:rsidR="009B6F3A" w:rsidRPr="00861097" w:rsidRDefault="009B6F3A" w:rsidP="009B6F3A">
            <w:pPr>
              <w:spacing w:before="0" w:after="0"/>
              <w:jc w:val="center"/>
              <w:rPr>
                <w:rFonts w:cs="Times New Roman"/>
                <w:color w:val="000000"/>
              </w:rPr>
            </w:pPr>
            <w:r w:rsidRPr="00861097">
              <w:rPr>
                <w:rFonts w:cs="Times New Roman"/>
                <w:color w:val="000000"/>
              </w:rPr>
              <w:t>3.91 (0.36)</w:t>
            </w:r>
          </w:p>
        </w:tc>
        <w:tc>
          <w:tcPr>
            <w:tcW w:w="836" w:type="dxa"/>
            <w:tcBorders>
              <w:left w:val="nil"/>
              <w:bottom w:val="nil"/>
            </w:tcBorders>
            <w:shd w:val="clear" w:color="auto" w:fill="auto"/>
            <w:noWrap/>
            <w:vAlign w:val="center"/>
          </w:tcPr>
          <w:p w14:paraId="299FF214" w14:textId="77777777" w:rsidR="009B6F3A" w:rsidRPr="00861097" w:rsidRDefault="009B6F3A" w:rsidP="009B6F3A">
            <w:pPr>
              <w:spacing w:before="0" w:after="0"/>
              <w:jc w:val="center"/>
              <w:rPr>
                <w:rFonts w:cs="Times New Roman"/>
                <w:color w:val="000000"/>
              </w:rPr>
            </w:pPr>
            <w:r w:rsidRPr="00861097">
              <w:rPr>
                <w:rFonts w:cs="Times New Roman"/>
                <w:color w:val="000000"/>
              </w:rPr>
              <w:t>3.77 (0.28)</w:t>
            </w:r>
          </w:p>
        </w:tc>
        <w:tc>
          <w:tcPr>
            <w:tcW w:w="1110" w:type="dxa"/>
            <w:tcBorders>
              <w:bottom w:val="nil"/>
              <w:right w:val="nil"/>
            </w:tcBorders>
            <w:shd w:val="clear" w:color="auto" w:fill="auto"/>
            <w:noWrap/>
            <w:vAlign w:val="center"/>
          </w:tcPr>
          <w:p w14:paraId="7816A2F5" w14:textId="77777777" w:rsidR="009B6F3A" w:rsidRPr="00861097" w:rsidRDefault="009B6F3A" w:rsidP="009B6F3A">
            <w:pPr>
              <w:spacing w:before="0" w:after="0"/>
              <w:jc w:val="center"/>
              <w:rPr>
                <w:rFonts w:cs="Times New Roman"/>
                <w:color w:val="000000"/>
              </w:rPr>
            </w:pPr>
            <w:r w:rsidRPr="00861097">
              <w:rPr>
                <w:rFonts w:cs="Times New Roman"/>
                <w:color w:val="000000"/>
              </w:rPr>
              <w:t>2.29 (0.39)</w:t>
            </w:r>
          </w:p>
        </w:tc>
        <w:tc>
          <w:tcPr>
            <w:tcW w:w="836" w:type="dxa"/>
            <w:tcBorders>
              <w:left w:val="nil"/>
              <w:bottom w:val="nil"/>
              <w:right w:val="nil"/>
            </w:tcBorders>
            <w:shd w:val="clear" w:color="auto" w:fill="auto"/>
            <w:noWrap/>
            <w:vAlign w:val="center"/>
          </w:tcPr>
          <w:p w14:paraId="17768BF7" w14:textId="77777777" w:rsidR="009B6F3A" w:rsidRPr="00861097" w:rsidRDefault="009B6F3A" w:rsidP="009B6F3A">
            <w:pPr>
              <w:spacing w:before="0" w:after="0"/>
              <w:jc w:val="center"/>
              <w:rPr>
                <w:rFonts w:cs="Times New Roman"/>
                <w:color w:val="000000"/>
              </w:rPr>
            </w:pPr>
            <w:r w:rsidRPr="00861097">
              <w:rPr>
                <w:rFonts w:cs="Times New Roman"/>
                <w:color w:val="000000"/>
              </w:rPr>
              <w:t>2.39 (0.42)</w:t>
            </w:r>
          </w:p>
        </w:tc>
        <w:tc>
          <w:tcPr>
            <w:tcW w:w="836" w:type="dxa"/>
            <w:tcBorders>
              <w:left w:val="nil"/>
              <w:bottom w:val="nil"/>
            </w:tcBorders>
            <w:shd w:val="clear" w:color="auto" w:fill="auto"/>
            <w:noWrap/>
            <w:vAlign w:val="center"/>
          </w:tcPr>
          <w:p w14:paraId="39E4390E" w14:textId="77777777" w:rsidR="009B6F3A" w:rsidRPr="00861097" w:rsidRDefault="009B6F3A" w:rsidP="009B6F3A">
            <w:pPr>
              <w:spacing w:before="0" w:after="0"/>
              <w:jc w:val="center"/>
              <w:rPr>
                <w:rFonts w:cs="Times New Roman"/>
                <w:color w:val="000000"/>
              </w:rPr>
            </w:pPr>
            <w:r w:rsidRPr="00861097">
              <w:rPr>
                <w:rFonts w:cs="Times New Roman"/>
                <w:color w:val="000000"/>
              </w:rPr>
              <w:t>2.2 (0.39)</w:t>
            </w:r>
          </w:p>
        </w:tc>
      </w:tr>
      <w:tr w:rsidR="009B6F3A" w:rsidRPr="008A07C9" w14:paraId="10585886" w14:textId="77777777" w:rsidTr="009B6F3A">
        <w:trPr>
          <w:trHeight w:val="300"/>
        </w:trPr>
        <w:tc>
          <w:tcPr>
            <w:tcW w:w="426" w:type="dxa"/>
            <w:vMerge/>
          </w:tcPr>
          <w:p w14:paraId="1F06F556" w14:textId="77777777" w:rsidR="009B6F3A" w:rsidRPr="008A07C9" w:rsidRDefault="009B6F3A" w:rsidP="009B6F3A">
            <w:pPr>
              <w:spacing w:before="0" w:after="0"/>
              <w:rPr>
                <w:rFonts w:eastAsia="Times New Roman" w:cs="Times New Roman"/>
                <w:lang w:eastAsia="en-CA"/>
              </w:rPr>
            </w:pPr>
          </w:p>
        </w:tc>
        <w:tc>
          <w:tcPr>
            <w:tcW w:w="3745" w:type="dxa"/>
            <w:tcBorders>
              <w:top w:val="nil"/>
              <w:bottom w:val="nil"/>
            </w:tcBorders>
            <w:shd w:val="clear" w:color="auto" w:fill="auto"/>
            <w:noWrap/>
            <w:vAlign w:val="center"/>
          </w:tcPr>
          <w:p w14:paraId="68FE9A57"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Capacity +25, same No. of Stations</w:t>
            </w:r>
          </w:p>
        </w:tc>
        <w:tc>
          <w:tcPr>
            <w:tcW w:w="1110" w:type="dxa"/>
            <w:tcBorders>
              <w:top w:val="nil"/>
              <w:bottom w:val="nil"/>
              <w:right w:val="nil"/>
            </w:tcBorders>
            <w:shd w:val="clear" w:color="auto" w:fill="auto"/>
            <w:noWrap/>
            <w:vAlign w:val="center"/>
          </w:tcPr>
          <w:p w14:paraId="0A73DAFE" w14:textId="77777777" w:rsidR="009B6F3A" w:rsidRPr="00861097" w:rsidRDefault="009B6F3A" w:rsidP="009B6F3A">
            <w:pPr>
              <w:spacing w:before="0" w:after="0"/>
              <w:jc w:val="center"/>
              <w:rPr>
                <w:rFonts w:cs="Times New Roman"/>
                <w:color w:val="000000"/>
              </w:rPr>
            </w:pPr>
            <w:r w:rsidRPr="00861097">
              <w:rPr>
                <w:rFonts w:cs="Times New Roman"/>
                <w:color w:val="000000"/>
              </w:rPr>
              <w:t>4.36 (0.05)</w:t>
            </w:r>
          </w:p>
        </w:tc>
        <w:tc>
          <w:tcPr>
            <w:tcW w:w="836" w:type="dxa"/>
            <w:tcBorders>
              <w:top w:val="nil"/>
              <w:left w:val="nil"/>
              <w:bottom w:val="nil"/>
              <w:right w:val="nil"/>
            </w:tcBorders>
            <w:shd w:val="clear" w:color="auto" w:fill="auto"/>
            <w:noWrap/>
            <w:vAlign w:val="center"/>
          </w:tcPr>
          <w:p w14:paraId="19A4FE85" w14:textId="77777777" w:rsidR="009B6F3A" w:rsidRPr="00861097" w:rsidRDefault="009B6F3A" w:rsidP="009B6F3A">
            <w:pPr>
              <w:spacing w:before="0" w:after="0"/>
              <w:jc w:val="center"/>
              <w:rPr>
                <w:rFonts w:cs="Times New Roman"/>
                <w:color w:val="000000"/>
              </w:rPr>
            </w:pPr>
            <w:r w:rsidRPr="00861097">
              <w:rPr>
                <w:rFonts w:cs="Times New Roman"/>
                <w:color w:val="000000"/>
              </w:rPr>
              <w:t>4.44 (0.07)</w:t>
            </w:r>
          </w:p>
        </w:tc>
        <w:tc>
          <w:tcPr>
            <w:tcW w:w="836" w:type="dxa"/>
            <w:tcBorders>
              <w:top w:val="nil"/>
              <w:left w:val="nil"/>
              <w:bottom w:val="nil"/>
            </w:tcBorders>
            <w:shd w:val="clear" w:color="auto" w:fill="auto"/>
            <w:noWrap/>
            <w:vAlign w:val="center"/>
          </w:tcPr>
          <w:p w14:paraId="69C4E94A" w14:textId="77777777" w:rsidR="009B6F3A" w:rsidRPr="00861097" w:rsidRDefault="009B6F3A" w:rsidP="009B6F3A">
            <w:pPr>
              <w:spacing w:before="0" w:after="0"/>
              <w:jc w:val="center"/>
              <w:rPr>
                <w:rFonts w:cs="Times New Roman"/>
                <w:color w:val="000000"/>
              </w:rPr>
            </w:pPr>
            <w:r w:rsidRPr="00861097">
              <w:rPr>
                <w:rFonts w:cs="Times New Roman"/>
                <w:color w:val="000000"/>
              </w:rPr>
              <w:t>4.35 (0.05)</w:t>
            </w:r>
          </w:p>
        </w:tc>
        <w:tc>
          <w:tcPr>
            <w:tcW w:w="1110" w:type="dxa"/>
            <w:tcBorders>
              <w:top w:val="nil"/>
              <w:bottom w:val="nil"/>
              <w:right w:val="nil"/>
            </w:tcBorders>
            <w:shd w:val="clear" w:color="auto" w:fill="auto"/>
            <w:noWrap/>
            <w:vAlign w:val="center"/>
          </w:tcPr>
          <w:p w14:paraId="4236A5D5" w14:textId="77777777" w:rsidR="009B6F3A" w:rsidRPr="00861097" w:rsidRDefault="009B6F3A" w:rsidP="009B6F3A">
            <w:pPr>
              <w:spacing w:before="0" w:after="0"/>
              <w:jc w:val="center"/>
              <w:rPr>
                <w:rFonts w:cs="Times New Roman"/>
                <w:color w:val="000000"/>
              </w:rPr>
            </w:pPr>
            <w:r w:rsidRPr="00861097">
              <w:rPr>
                <w:rFonts w:cs="Times New Roman"/>
                <w:color w:val="000000"/>
              </w:rPr>
              <w:t>4.2 (0.46)</w:t>
            </w:r>
          </w:p>
        </w:tc>
        <w:tc>
          <w:tcPr>
            <w:tcW w:w="836" w:type="dxa"/>
            <w:tcBorders>
              <w:top w:val="nil"/>
              <w:left w:val="nil"/>
              <w:bottom w:val="nil"/>
              <w:right w:val="nil"/>
            </w:tcBorders>
            <w:shd w:val="clear" w:color="auto" w:fill="auto"/>
            <w:noWrap/>
            <w:vAlign w:val="center"/>
          </w:tcPr>
          <w:p w14:paraId="4584B013" w14:textId="77777777" w:rsidR="009B6F3A" w:rsidRPr="00861097" w:rsidRDefault="009B6F3A" w:rsidP="009B6F3A">
            <w:pPr>
              <w:spacing w:before="0" w:after="0"/>
              <w:jc w:val="center"/>
              <w:rPr>
                <w:rFonts w:cs="Times New Roman"/>
                <w:color w:val="000000"/>
              </w:rPr>
            </w:pPr>
            <w:r w:rsidRPr="00861097">
              <w:rPr>
                <w:rFonts w:cs="Times New Roman"/>
                <w:color w:val="000000"/>
              </w:rPr>
              <w:t>4.14 (0.52)</w:t>
            </w:r>
          </w:p>
        </w:tc>
        <w:tc>
          <w:tcPr>
            <w:tcW w:w="836" w:type="dxa"/>
            <w:tcBorders>
              <w:top w:val="nil"/>
              <w:left w:val="nil"/>
              <w:bottom w:val="nil"/>
            </w:tcBorders>
            <w:shd w:val="clear" w:color="auto" w:fill="auto"/>
            <w:noWrap/>
            <w:vAlign w:val="center"/>
          </w:tcPr>
          <w:p w14:paraId="0E639EA0" w14:textId="77777777" w:rsidR="009B6F3A" w:rsidRPr="00861097" w:rsidRDefault="009B6F3A" w:rsidP="009B6F3A">
            <w:pPr>
              <w:spacing w:before="0" w:after="0"/>
              <w:jc w:val="center"/>
              <w:rPr>
                <w:rFonts w:cs="Times New Roman"/>
                <w:color w:val="000000"/>
              </w:rPr>
            </w:pPr>
            <w:r w:rsidRPr="00861097">
              <w:rPr>
                <w:rFonts w:cs="Times New Roman"/>
                <w:color w:val="000000"/>
              </w:rPr>
              <w:t>4.35 (0.47)</w:t>
            </w:r>
          </w:p>
        </w:tc>
        <w:tc>
          <w:tcPr>
            <w:tcW w:w="1110" w:type="dxa"/>
            <w:tcBorders>
              <w:top w:val="nil"/>
              <w:bottom w:val="nil"/>
              <w:right w:val="nil"/>
            </w:tcBorders>
            <w:shd w:val="clear" w:color="auto" w:fill="auto"/>
            <w:noWrap/>
            <w:vAlign w:val="center"/>
          </w:tcPr>
          <w:p w14:paraId="1EC90BD0" w14:textId="77777777" w:rsidR="009B6F3A" w:rsidRPr="00861097" w:rsidRDefault="009B6F3A" w:rsidP="009B6F3A">
            <w:pPr>
              <w:spacing w:before="0" w:after="0"/>
              <w:jc w:val="center"/>
              <w:rPr>
                <w:rFonts w:cs="Times New Roman"/>
                <w:color w:val="000000"/>
              </w:rPr>
            </w:pPr>
            <w:r w:rsidRPr="00861097">
              <w:rPr>
                <w:rFonts w:cs="Times New Roman"/>
                <w:color w:val="000000"/>
              </w:rPr>
              <w:t>2</w:t>
            </w:r>
            <w:r>
              <w:rPr>
                <w:rFonts w:cs="Times New Roman"/>
                <w:color w:val="000000"/>
              </w:rPr>
              <w:t xml:space="preserve">.00 </w:t>
            </w:r>
            <w:r w:rsidRPr="00861097">
              <w:rPr>
                <w:rFonts w:cs="Times New Roman"/>
                <w:color w:val="000000"/>
              </w:rPr>
              <w:t>(0.58)</w:t>
            </w:r>
          </w:p>
        </w:tc>
        <w:tc>
          <w:tcPr>
            <w:tcW w:w="836" w:type="dxa"/>
            <w:tcBorders>
              <w:top w:val="nil"/>
              <w:left w:val="nil"/>
              <w:bottom w:val="nil"/>
              <w:right w:val="nil"/>
            </w:tcBorders>
            <w:shd w:val="clear" w:color="auto" w:fill="auto"/>
            <w:noWrap/>
            <w:vAlign w:val="center"/>
          </w:tcPr>
          <w:p w14:paraId="21D6DA12" w14:textId="77777777" w:rsidR="009B6F3A" w:rsidRPr="00861097" w:rsidRDefault="009B6F3A" w:rsidP="009B6F3A">
            <w:pPr>
              <w:spacing w:before="0" w:after="0"/>
              <w:jc w:val="center"/>
              <w:rPr>
                <w:rFonts w:cs="Times New Roman"/>
                <w:color w:val="000000"/>
              </w:rPr>
            </w:pPr>
            <w:r w:rsidRPr="00861097">
              <w:rPr>
                <w:rFonts w:cs="Times New Roman"/>
                <w:color w:val="000000"/>
              </w:rPr>
              <w:t>1.93 (0.61)</w:t>
            </w:r>
          </w:p>
        </w:tc>
        <w:tc>
          <w:tcPr>
            <w:tcW w:w="836" w:type="dxa"/>
            <w:tcBorders>
              <w:top w:val="nil"/>
              <w:left w:val="nil"/>
              <w:bottom w:val="nil"/>
            </w:tcBorders>
            <w:shd w:val="clear" w:color="auto" w:fill="auto"/>
            <w:noWrap/>
            <w:vAlign w:val="center"/>
          </w:tcPr>
          <w:p w14:paraId="4A789E29" w14:textId="77777777" w:rsidR="009B6F3A" w:rsidRPr="00861097" w:rsidRDefault="009B6F3A" w:rsidP="009B6F3A">
            <w:pPr>
              <w:spacing w:before="0" w:after="0"/>
              <w:jc w:val="center"/>
              <w:rPr>
                <w:rFonts w:cs="Times New Roman"/>
                <w:color w:val="000000"/>
              </w:rPr>
            </w:pPr>
            <w:r w:rsidRPr="00861097">
              <w:rPr>
                <w:rFonts w:cs="Times New Roman"/>
                <w:color w:val="000000"/>
              </w:rPr>
              <w:t>2.09 (0.58)</w:t>
            </w:r>
          </w:p>
        </w:tc>
      </w:tr>
      <w:tr w:rsidR="009B6F3A" w:rsidRPr="008A07C9" w14:paraId="17AF4A53" w14:textId="77777777" w:rsidTr="009B6F3A">
        <w:trPr>
          <w:trHeight w:val="300"/>
        </w:trPr>
        <w:tc>
          <w:tcPr>
            <w:tcW w:w="426" w:type="dxa"/>
            <w:vMerge/>
          </w:tcPr>
          <w:p w14:paraId="2848C70D" w14:textId="77777777" w:rsidR="009B6F3A" w:rsidRPr="008A07C9" w:rsidRDefault="009B6F3A" w:rsidP="009B6F3A">
            <w:pPr>
              <w:spacing w:before="0" w:after="0"/>
              <w:rPr>
                <w:rFonts w:eastAsia="Times New Roman" w:cs="Times New Roman"/>
                <w:lang w:eastAsia="en-CA"/>
              </w:rPr>
            </w:pPr>
          </w:p>
        </w:tc>
        <w:tc>
          <w:tcPr>
            <w:tcW w:w="3745" w:type="dxa"/>
            <w:tcBorders>
              <w:top w:val="nil"/>
              <w:bottom w:val="nil"/>
            </w:tcBorders>
            <w:shd w:val="clear" w:color="auto" w:fill="auto"/>
            <w:noWrap/>
            <w:vAlign w:val="center"/>
          </w:tcPr>
          <w:p w14:paraId="0B09044F"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No. of Stations +3, Capacity +15</w:t>
            </w:r>
          </w:p>
        </w:tc>
        <w:tc>
          <w:tcPr>
            <w:tcW w:w="1110" w:type="dxa"/>
            <w:tcBorders>
              <w:top w:val="nil"/>
              <w:bottom w:val="nil"/>
              <w:right w:val="nil"/>
            </w:tcBorders>
            <w:shd w:val="clear" w:color="auto" w:fill="auto"/>
            <w:noWrap/>
            <w:vAlign w:val="center"/>
          </w:tcPr>
          <w:p w14:paraId="73F70238" w14:textId="77777777" w:rsidR="009B6F3A" w:rsidRPr="00861097" w:rsidRDefault="009B6F3A" w:rsidP="009B6F3A">
            <w:pPr>
              <w:spacing w:before="0" w:after="0"/>
              <w:jc w:val="center"/>
              <w:rPr>
                <w:rFonts w:cs="Times New Roman"/>
                <w:color w:val="000000"/>
              </w:rPr>
            </w:pPr>
            <w:r w:rsidRPr="00861097">
              <w:rPr>
                <w:rFonts w:cs="Times New Roman"/>
                <w:color w:val="000000"/>
              </w:rPr>
              <w:t>6.9 (0.08)</w:t>
            </w:r>
          </w:p>
        </w:tc>
        <w:tc>
          <w:tcPr>
            <w:tcW w:w="836" w:type="dxa"/>
            <w:tcBorders>
              <w:top w:val="nil"/>
              <w:left w:val="nil"/>
              <w:bottom w:val="nil"/>
              <w:right w:val="nil"/>
            </w:tcBorders>
            <w:shd w:val="clear" w:color="auto" w:fill="auto"/>
            <w:noWrap/>
            <w:vAlign w:val="center"/>
          </w:tcPr>
          <w:p w14:paraId="661D0F09" w14:textId="77777777" w:rsidR="009B6F3A" w:rsidRPr="00861097" w:rsidRDefault="009B6F3A" w:rsidP="009B6F3A">
            <w:pPr>
              <w:spacing w:before="0" w:after="0"/>
              <w:jc w:val="center"/>
              <w:rPr>
                <w:rFonts w:cs="Times New Roman"/>
                <w:color w:val="000000"/>
              </w:rPr>
            </w:pPr>
            <w:r w:rsidRPr="00861097">
              <w:rPr>
                <w:rFonts w:cs="Times New Roman"/>
                <w:color w:val="000000"/>
              </w:rPr>
              <w:t>7.11 (0.1)</w:t>
            </w:r>
          </w:p>
        </w:tc>
        <w:tc>
          <w:tcPr>
            <w:tcW w:w="836" w:type="dxa"/>
            <w:tcBorders>
              <w:top w:val="nil"/>
              <w:left w:val="nil"/>
              <w:bottom w:val="nil"/>
            </w:tcBorders>
            <w:shd w:val="clear" w:color="auto" w:fill="auto"/>
            <w:noWrap/>
            <w:vAlign w:val="center"/>
          </w:tcPr>
          <w:p w14:paraId="03D6AD4E" w14:textId="77777777" w:rsidR="009B6F3A" w:rsidRPr="00861097" w:rsidRDefault="009B6F3A" w:rsidP="009B6F3A">
            <w:pPr>
              <w:spacing w:before="0" w:after="0"/>
              <w:jc w:val="center"/>
              <w:rPr>
                <w:rFonts w:cs="Times New Roman"/>
                <w:color w:val="000000"/>
              </w:rPr>
            </w:pPr>
            <w:r w:rsidRPr="00861097">
              <w:rPr>
                <w:rFonts w:cs="Times New Roman"/>
                <w:color w:val="000000"/>
              </w:rPr>
              <w:t>6.72 (0.08)</w:t>
            </w:r>
          </w:p>
        </w:tc>
        <w:tc>
          <w:tcPr>
            <w:tcW w:w="1110" w:type="dxa"/>
            <w:tcBorders>
              <w:top w:val="nil"/>
              <w:bottom w:val="nil"/>
              <w:right w:val="nil"/>
            </w:tcBorders>
            <w:shd w:val="clear" w:color="auto" w:fill="auto"/>
            <w:noWrap/>
            <w:vAlign w:val="center"/>
          </w:tcPr>
          <w:p w14:paraId="5DC3456D" w14:textId="77777777" w:rsidR="009B6F3A" w:rsidRPr="00861097" w:rsidRDefault="009B6F3A" w:rsidP="009B6F3A">
            <w:pPr>
              <w:spacing w:before="0" w:after="0"/>
              <w:jc w:val="center"/>
              <w:rPr>
                <w:rFonts w:cs="Times New Roman"/>
                <w:color w:val="000000"/>
              </w:rPr>
            </w:pPr>
            <w:r w:rsidRPr="00861097">
              <w:rPr>
                <w:rFonts w:cs="Times New Roman"/>
                <w:color w:val="000000"/>
              </w:rPr>
              <w:t>6.73 (0.64)</w:t>
            </w:r>
          </w:p>
        </w:tc>
        <w:tc>
          <w:tcPr>
            <w:tcW w:w="836" w:type="dxa"/>
            <w:tcBorders>
              <w:top w:val="nil"/>
              <w:left w:val="nil"/>
              <w:bottom w:val="nil"/>
              <w:right w:val="nil"/>
            </w:tcBorders>
            <w:shd w:val="clear" w:color="auto" w:fill="auto"/>
            <w:noWrap/>
            <w:vAlign w:val="center"/>
          </w:tcPr>
          <w:p w14:paraId="274B5A5D" w14:textId="77777777" w:rsidR="009B6F3A" w:rsidRPr="00861097" w:rsidRDefault="009B6F3A" w:rsidP="009B6F3A">
            <w:pPr>
              <w:spacing w:before="0" w:after="0"/>
              <w:jc w:val="center"/>
              <w:rPr>
                <w:rFonts w:cs="Times New Roman"/>
                <w:color w:val="000000"/>
              </w:rPr>
            </w:pPr>
            <w:r w:rsidRPr="00861097">
              <w:rPr>
                <w:rFonts w:cs="Times New Roman"/>
                <w:color w:val="000000"/>
              </w:rPr>
              <w:t>6.85 (0.73)</w:t>
            </w:r>
          </w:p>
        </w:tc>
        <w:tc>
          <w:tcPr>
            <w:tcW w:w="836" w:type="dxa"/>
            <w:tcBorders>
              <w:top w:val="nil"/>
              <w:left w:val="nil"/>
              <w:bottom w:val="nil"/>
            </w:tcBorders>
            <w:shd w:val="clear" w:color="auto" w:fill="auto"/>
            <w:noWrap/>
            <w:vAlign w:val="center"/>
          </w:tcPr>
          <w:p w14:paraId="10D66D9E" w14:textId="77777777" w:rsidR="009B6F3A" w:rsidRPr="00861097" w:rsidRDefault="009B6F3A" w:rsidP="009B6F3A">
            <w:pPr>
              <w:spacing w:before="0" w:after="0"/>
              <w:jc w:val="center"/>
              <w:rPr>
                <w:rFonts w:cs="Times New Roman"/>
                <w:color w:val="000000"/>
              </w:rPr>
            </w:pPr>
            <w:r w:rsidRPr="00861097">
              <w:rPr>
                <w:rFonts w:cs="Times New Roman"/>
                <w:color w:val="000000"/>
              </w:rPr>
              <w:t>6.65 (0.66)</w:t>
            </w:r>
          </w:p>
        </w:tc>
        <w:tc>
          <w:tcPr>
            <w:tcW w:w="1110" w:type="dxa"/>
            <w:tcBorders>
              <w:top w:val="nil"/>
              <w:bottom w:val="nil"/>
              <w:right w:val="nil"/>
            </w:tcBorders>
            <w:shd w:val="clear" w:color="auto" w:fill="auto"/>
            <w:noWrap/>
            <w:vAlign w:val="center"/>
          </w:tcPr>
          <w:p w14:paraId="0D37F2FC" w14:textId="77777777" w:rsidR="009B6F3A" w:rsidRPr="00861097" w:rsidRDefault="009B6F3A" w:rsidP="009B6F3A">
            <w:pPr>
              <w:spacing w:before="0" w:after="0"/>
              <w:jc w:val="center"/>
              <w:rPr>
                <w:rFonts w:cs="Times New Roman"/>
                <w:color w:val="000000"/>
              </w:rPr>
            </w:pPr>
            <w:r w:rsidRPr="00861097">
              <w:rPr>
                <w:rFonts w:cs="Times New Roman"/>
                <w:color w:val="000000"/>
              </w:rPr>
              <w:t>3.52 (0.8)</w:t>
            </w:r>
          </w:p>
        </w:tc>
        <w:tc>
          <w:tcPr>
            <w:tcW w:w="836" w:type="dxa"/>
            <w:tcBorders>
              <w:top w:val="nil"/>
              <w:left w:val="nil"/>
              <w:bottom w:val="nil"/>
              <w:right w:val="nil"/>
            </w:tcBorders>
            <w:shd w:val="clear" w:color="auto" w:fill="auto"/>
            <w:noWrap/>
            <w:vAlign w:val="center"/>
          </w:tcPr>
          <w:p w14:paraId="367163F2" w14:textId="77777777" w:rsidR="009B6F3A" w:rsidRPr="00861097" w:rsidRDefault="009B6F3A" w:rsidP="009B6F3A">
            <w:pPr>
              <w:spacing w:before="0" w:after="0"/>
              <w:jc w:val="center"/>
              <w:rPr>
                <w:rFonts w:cs="Times New Roman"/>
                <w:color w:val="000000"/>
              </w:rPr>
            </w:pPr>
            <w:r w:rsidRPr="00861097">
              <w:rPr>
                <w:rFonts w:cs="Times New Roman"/>
                <w:color w:val="000000"/>
              </w:rPr>
              <w:t>3.65 (0.84)</w:t>
            </w:r>
          </w:p>
        </w:tc>
        <w:tc>
          <w:tcPr>
            <w:tcW w:w="836" w:type="dxa"/>
            <w:tcBorders>
              <w:top w:val="nil"/>
              <w:left w:val="nil"/>
              <w:bottom w:val="nil"/>
            </w:tcBorders>
            <w:shd w:val="clear" w:color="auto" w:fill="auto"/>
            <w:noWrap/>
            <w:vAlign w:val="center"/>
          </w:tcPr>
          <w:p w14:paraId="37140FCF" w14:textId="77777777" w:rsidR="009B6F3A" w:rsidRPr="00861097" w:rsidRDefault="009B6F3A" w:rsidP="009B6F3A">
            <w:pPr>
              <w:spacing w:before="0" w:after="0"/>
              <w:jc w:val="center"/>
              <w:rPr>
                <w:rFonts w:cs="Times New Roman"/>
                <w:color w:val="000000"/>
              </w:rPr>
            </w:pPr>
            <w:r w:rsidRPr="00861097">
              <w:rPr>
                <w:rFonts w:cs="Times New Roman"/>
                <w:color w:val="000000"/>
              </w:rPr>
              <w:t>3.39 (0.8)</w:t>
            </w:r>
          </w:p>
        </w:tc>
      </w:tr>
      <w:tr w:rsidR="009B6F3A" w:rsidRPr="008A07C9" w14:paraId="51E82A55" w14:textId="77777777" w:rsidTr="009B6F3A">
        <w:trPr>
          <w:trHeight w:val="300"/>
        </w:trPr>
        <w:tc>
          <w:tcPr>
            <w:tcW w:w="426" w:type="dxa"/>
            <w:vMerge/>
          </w:tcPr>
          <w:p w14:paraId="3AC308A0" w14:textId="77777777" w:rsidR="009B6F3A" w:rsidRPr="008A07C9" w:rsidRDefault="009B6F3A" w:rsidP="009B6F3A">
            <w:pPr>
              <w:spacing w:before="0" w:after="0"/>
              <w:rPr>
                <w:rFonts w:eastAsia="Times New Roman" w:cs="Times New Roman"/>
                <w:lang w:eastAsia="en-CA"/>
              </w:rPr>
            </w:pPr>
          </w:p>
        </w:tc>
        <w:tc>
          <w:tcPr>
            <w:tcW w:w="3745" w:type="dxa"/>
            <w:tcBorders>
              <w:top w:val="nil"/>
              <w:bottom w:val="nil"/>
            </w:tcBorders>
            <w:shd w:val="clear" w:color="auto" w:fill="auto"/>
            <w:noWrap/>
            <w:vAlign w:val="center"/>
          </w:tcPr>
          <w:p w14:paraId="672EBDFC"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Population Density +25%</w:t>
            </w:r>
          </w:p>
        </w:tc>
        <w:tc>
          <w:tcPr>
            <w:tcW w:w="1110" w:type="dxa"/>
            <w:tcBorders>
              <w:top w:val="nil"/>
              <w:bottom w:val="nil"/>
              <w:right w:val="nil"/>
            </w:tcBorders>
            <w:shd w:val="clear" w:color="auto" w:fill="auto"/>
            <w:noWrap/>
            <w:vAlign w:val="center"/>
          </w:tcPr>
          <w:p w14:paraId="073B60EA" w14:textId="77777777" w:rsidR="009B6F3A" w:rsidRPr="00861097" w:rsidRDefault="009B6F3A" w:rsidP="009B6F3A">
            <w:pPr>
              <w:spacing w:before="0" w:after="0"/>
              <w:jc w:val="center"/>
              <w:rPr>
                <w:rFonts w:cs="Times New Roman"/>
                <w:color w:val="000000"/>
              </w:rPr>
            </w:pPr>
            <w:r w:rsidRPr="00861097">
              <w:rPr>
                <w:rFonts w:cs="Times New Roman"/>
                <w:color w:val="000000"/>
              </w:rPr>
              <w:t>0.09 (0.16)</w:t>
            </w:r>
          </w:p>
        </w:tc>
        <w:tc>
          <w:tcPr>
            <w:tcW w:w="836" w:type="dxa"/>
            <w:tcBorders>
              <w:top w:val="nil"/>
              <w:left w:val="nil"/>
              <w:bottom w:val="nil"/>
              <w:right w:val="nil"/>
            </w:tcBorders>
            <w:shd w:val="clear" w:color="auto" w:fill="auto"/>
            <w:noWrap/>
            <w:vAlign w:val="center"/>
          </w:tcPr>
          <w:p w14:paraId="0C01A7DC" w14:textId="77777777" w:rsidR="009B6F3A" w:rsidRPr="00861097" w:rsidRDefault="009B6F3A" w:rsidP="009B6F3A">
            <w:pPr>
              <w:spacing w:before="0" w:after="0"/>
              <w:jc w:val="center"/>
              <w:rPr>
                <w:rFonts w:cs="Times New Roman"/>
                <w:color w:val="000000"/>
              </w:rPr>
            </w:pPr>
            <w:r w:rsidRPr="00861097">
              <w:rPr>
                <w:rFonts w:cs="Times New Roman"/>
                <w:color w:val="000000"/>
              </w:rPr>
              <w:t>3.97 (0.31)</w:t>
            </w:r>
          </w:p>
        </w:tc>
        <w:tc>
          <w:tcPr>
            <w:tcW w:w="836" w:type="dxa"/>
            <w:tcBorders>
              <w:top w:val="nil"/>
              <w:left w:val="nil"/>
              <w:bottom w:val="nil"/>
            </w:tcBorders>
            <w:shd w:val="clear" w:color="auto" w:fill="auto"/>
            <w:noWrap/>
            <w:vAlign w:val="center"/>
          </w:tcPr>
          <w:p w14:paraId="369154E6" w14:textId="77777777" w:rsidR="009B6F3A" w:rsidRPr="00861097" w:rsidRDefault="009B6F3A" w:rsidP="009B6F3A">
            <w:pPr>
              <w:spacing w:before="0" w:after="0"/>
              <w:jc w:val="center"/>
              <w:rPr>
                <w:rFonts w:cs="Times New Roman"/>
                <w:color w:val="000000"/>
              </w:rPr>
            </w:pPr>
            <w:r w:rsidRPr="00861097">
              <w:rPr>
                <w:rFonts w:cs="Times New Roman"/>
                <w:color w:val="000000"/>
              </w:rPr>
              <w:t>-2.49 (0.46)</w:t>
            </w:r>
          </w:p>
        </w:tc>
        <w:tc>
          <w:tcPr>
            <w:tcW w:w="1110" w:type="dxa"/>
            <w:tcBorders>
              <w:top w:val="nil"/>
              <w:bottom w:val="nil"/>
              <w:right w:val="nil"/>
            </w:tcBorders>
            <w:shd w:val="clear" w:color="auto" w:fill="auto"/>
            <w:noWrap/>
            <w:vAlign w:val="center"/>
          </w:tcPr>
          <w:p w14:paraId="0072DB51" w14:textId="77777777" w:rsidR="009B6F3A" w:rsidRPr="00861097" w:rsidRDefault="009B6F3A" w:rsidP="009B6F3A">
            <w:pPr>
              <w:spacing w:before="0" w:after="0"/>
              <w:jc w:val="center"/>
              <w:rPr>
                <w:rFonts w:cs="Times New Roman"/>
                <w:color w:val="000000"/>
              </w:rPr>
            </w:pPr>
            <w:r w:rsidRPr="00861097">
              <w:rPr>
                <w:rFonts w:cs="Times New Roman"/>
                <w:color w:val="000000"/>
              </w:rPr>
              <w:t>0.2 (0.19)</w:t>
            </w:r>
          </w:p>
        </w:tc>
        <w:tc>
          <w:tcPr>
            <w:tcW w:w="836" w:type="dxa"/>
            <w:tcBorders>
              <w:top w:val="nil"/>
              <w:left w:val="nil"/>
              <w:bottom w:val="nil"/>
              <w:right w:val="nil"/>
            </w:tcBorders>
            <w:shd w:val="clear" w:color="auto" w:fill="auto"/>
            <w:noWrap/>
            <w:vAlign w:val="center"/>
          </w:tcPr>
          <w:p w14:paraId="51546B25" w14:textId="77777777" w:rsidR="009B6F3A" w:rsidRPr="00861097" w:rsidRDefault="009B6F3A" w:rsidP="009B6F3A">
            <w:pPr>
              <w:spacing w:before="0" w:after="0"/>
              <w:jc w:val="center"/>
              <w:rPr>
                <w:rFonts w:cs="Times New Roman"/>
                <w:color w:val="000000"/>
              </w:rPr>
            </w:pPr>
            <w:r w:rsidRPr="00861097">
              <w:rPr>
                <w:rFonts w:cs="Times New Roman"/>
                <w:color w:val="000000"/>
              </w:rPr>
              <w:t>4.75 (0.56)</w:t>
            </w:r>
          </w:p>
        </w:tc>
        <w:tc>
          <w:tcPr>
            <w:tcW w:w="836" w:type="dxa"/>
            <w:tcBorders>
              <w:top w:val="nil"/>
              <w:left w:val="nil"/>
              <w:bottom w:val="nil"/>
            </w:tcBorders>
            <w:shd w:val="clear" w:color="auto" w:fill="auto"/>
            <w:noWrap/>
            <w:vAlign w:val="center"/>
          </w:tcPr>
          <w:p w14:paraId="2E9F578A" w14:textId="77777777" w:rsidR="009B6F3A" w:rsidRPr="00861097" w:rsidRDefault="009B6F3A" w:rsidP="009B6F3A">
            <w:pPr>
              <w:spacing w:before="0" w:after="0"/>
              <w:jc w:val="center"/>
              <w:rPr>
                <w:rFonts w:cs="Times New Roman"/>
                <w:color w:val="000000"/>
              </w:rPr>
            </w:pPr>
            <w:r w:rsidRPr="00861097">
              <w:rPr>
                <w:rFonts w:cs="Times New Roman"/>
                <w:color w:val="000000"/>
              </w:rPr>
              <w:t>-2.55 (0.49)</w:t>
            </w:r>
          </w:p>
        </w:tc>
        <w:tc>
          <w:tcPr>
            <w:tcW w:w="1110" w:type="dxa"/>
            <w:tcBorders>
              <w:top w:val="nil"/>
              <w:bottom w:val="nil"/>
              <w:right w:val="nil"/>
            </w:tcBorders>
            <w:shd w:val="clear" w:color="auto" w:fill="auto"/>
            <w:noWrap/>
            <w:vAlign w:val="center"/>
          </w:tcPr>
          <w:p w14:paraId="31EE1A0E" w14:textId="77777777" w:rsidR="009B6F3A" w:rsidRPr="00861097" w:rsidRDefault="009B6F3A" w:rsidP="009B6F3A">
            <w:pPr>
              <w:spacing w:before="0" w:after="0"/>
              <w:jc w:val="center"/>
              <w:rPr>
                <w:rFonts w:cs="Times New Roman"/>
                <w:color w:val="000000"/>
              </w:rPr>
            </w:pPr>
            <w:r w:rsidRPr="00861097">
              <w:rPr>
                <w:rFonts w:cs="Times New Roman"/>
                <w:color w:val="000000"/>
              </w:rPr>
              <w:t>0.19 (0.17)</w:t>
            </w:r>
          </w:p>
        </w:tc>
        <w:tc>
          <w:tcPr>
            <w:tcW w:w="836" w:type="dxa"/>
            <w:tcBorders>
              <w:top w:val="nil"/>
              <w:left w:val="nil"/>
              <w:bottom w:val="nil"/>
              <w:right w:val="nil"/>
            </w:tcBorders>
            <w:shd w:val="clear" w:color="auto" w:fill="auto"/>
            <w:noWrap/>
            <w:vAlign w:val="center"/>
          </w:tcPr>
          <w:p w14:paraId="166A6B86" w14:textId="77777777" w:rsidR="009B6F3A" w:rsidRPr="00861097" w:rsidRDefault="009B6F3A" w:rsidP="009B6F3A">
            <w:pPr>
              <w:spacing w:before="0" w:after="0"/>
              <w:jc w:val="center"/>
              <w:rPr>
                <w:rFonts w:cs="Times New Roman"/>
                <w:color w:val="000000"/>
              </w:rPr>
            </w:pPr>
            <w:r w:rsidRPr="00861097">
              <w:rPr>
                <w:rFonts w:cs="Times New Roman"/>
                <w:color w:val="000000"/>
              </w:rPr>
              <w:t>4.68 (0.63)</w:t>
            </w:r>
          </w:p>
        </w:tc>
        <w:tc>
          <w:tcPr>
            <w:tcW w:w="836" w:type="dxa"/>
            <w:tcBorders>
              <w:top w:val="nil"/>
              <w:left w:val="nil"/>
              <w:bottom w:val="nil"/>
            </w:tcBorders>
            <w:shd w:val="clear" w:color="auto" w:fill="auto"/>
            <w:noWrap/>
            <w:vAlign w:val="center"/>
          </w:tcPr>
          <w:p w14:paraId="0BAB9E64" w14:textId="77777777" w:rsidR="009B6F3A" w:rsidRPr="00861097" w:rsidRDefault="009B6F3A" w:rsidP="009B6F3A">
            <w:pPr>
              <w:spacing w:before="0" w:after="0"/>
              <w:jc w:val="center"/>
              <w:rPr>
                <w:rFonts w:cs="Times New Roman"/>
                <w:color w:val="000000"/>
              </w:rPr>
            </w:pPr>
            <w:r w:rsidRPr="00861097">
              <w:rPr>
                <w:rFonts w:cs="Times New Roman"/>
                <w:color w:val="000000"/>
              </w:rPr>
              <w:t>-2.51 (0.49)</w:t>
            </w:r>
          </w:p>
        </w:tc>
      </w:tr>
      <w:tr w:rsidR="009B6F3A" w:rsidRPr="008A07C9" w14:paraId="572A20C5" w14:textId="77777777" w:rsidTr="009B6F3A">
        <w:trPr>
          <w:trHeight w:val="300"/>
        </w:trPr>
        <w:tc>
          <w:tcPr>
            <w:tcW w:w="426" w:type="dxa"/>
            <w:vMerge/>
          </w:tcPr>
          <w:p w14:paraId="52ACEE12" w14:textId="77777777" w:rsidR="009B6F3A" w:rsidRPr="008A07C9" w:rsidRDefault="009B6F3A" w:rsidP="009B6F3A">
            <w:pPr>
              <w:spacing w:before="0" w:after="0"/>
              <w:rPr>
                <w:rFonts w:eastAsia="Times New Roman" w:cs="Times New Roman"/>
                <w:lang w:eastAsia="en-CA"/>
              </w:rPr>
            </w:pPr>
          </w:p>
        </w:tc>
        <w:tc>
          <w:tcPr>
            <w:tcW w:w="3745" w:type="dxa"/>
            <w:tcBorders>
              <w:top w:val="nil"/>
              <w:bottom w:val="nil"/>
            </w:tcBorders>
            <w:shd w:val="clear" w:color="auto" w:fill="auto"/>
            <w:noWrap/>
            <w:vAlign w:val="center"/>
          </w:tcPr>
          <w:p w14:paraId="4F3617A8" w14:textId="77777777" w:rsidR="009B6F3A" w:rsidRPr="008A07C9" w:rsidRDefault="009B6F3A" w:rsidP="009B6F3A">
            <w:pPr>
              <w:spacing w:before="0" w:after="0"/>
              <w:jc w:val="left"/>
              <w:rPr>
                <w:rFonts w:eastAsia="Times New Roman" w:cs="Times New Roman"/>
                <w:lang w:eastAsia="en-CA"/>
              </w:rPr>
            </w:pPr>
            <w:r w:rsidRPr="008A07C9">
              <w:rPr>
                <w:rFonts w:eastAsia="Times New Roman" w:cs="Times New Roman"/>
                <w:lang w:eastAsia="en-CA"/>
              </w:rPr>
              <w:t>Job Density +25%</w:t>
            </w:r>
          </w:p>
        </w:tc>
        <w:tc>
          <w:tcPr>
            <w:tcW w:w="1110" w:type="dxa"/>
            <w:tcBorders>
              <w:top w:val="nil"/>
              <w:bottom w:val="nil"/>
              <w:right w:val="nil"/>
            </w:tcBorders>
            <w:shd w:val="clear" w:color="auto" w:fill="auto"/>
            <w:noWrap/>
            <w:vAlign w:val="center"/>
          </w:tcPr>
          <w:p w14:paraId="6936702E" w14:textId="77777777" w:rsidR="009B6F3A" w:rsidRPr="00861097" w:rsidRDefault="009B6F3A" w:rsidP="009B6F3A">
            <w:pPr>
              <w:spacing w:before="0" w:after="0"/>
              <w:jc w:val="center"/>
              <w:rPr>
                <w:rFonts w:cs="Times New Roman"/>
                <w:color w:val="000000"/>
              </w:rPr>
            </w:pPr>
            <w:r w:rsidRPr="00861097">
              <w:rPr>
                <w:rFonts w:cs="Times New Roman"/>
                <w:color w:val="000000"/>
              </w:rPr>
              <w:t>-0.18 (0.01)</w:t>
            </w:r>
          </w:p>
        </w:tc>
        <w:tc>
          <w:tcPr>
            <w:tcW w:w="836" w:type="dxa"/>
            <w:tcBorders>
              <w:top w:val="nil"/>
              <w:left w:val="nil"/>
              <w:bottom w:val="nil"/>
              <w:right w:val="nil"/>
            </w:tcBorders>
            <w:shd w:val="clear" w:color="auto" w:fill="auto"/>
            <w:noWrap/>
            <w:vAlign w:val="center"/>
          </w:tcPr>
          <w:p w14:paraId="687A80FB" w14:textId="77777777" w:rsidR="009B6F3A" w:rsidRPr="00861097" w:rsidRDefault="009B6F3A" w:rsidP="009B6F3A">
            <w:pPr>
              <w:spacing w:before="0" w:after="0"/>
              <w:jc w:val="center"/>
              <w:rPr>
                <w:rFonts w:cs="Times New Roman"/>
                <w:color w:val="000000"/>
              </w:rPr>
            </w:pPr>
            <w:r w:rsidRPr="00861097">
              <w:rPr>
                <w:rFonts w:cs="Times New Roman"/>
                <w:color w:val="000000"/>
              </w:rPr>
              <w:t>-0.83 (0.05)</w:t>
            </w:r>
          </w:p>
        </w:tc>
        <w:tc>
          <w:tcPr>
            <w:tcW w:w="836" w:type="dxa"/>
            <w:tcBorders>
              <w:top w:val="nil"/>
              <w:left w:val="nil"/>
              <w:bottom w:val="nil"/>
            </w:tcBorders>
            <w:shd w:val="clear" w:color="auto" w:fill="auto"/>
            <w:noWrap/>
            <w:vAlign w:val="center"/>
          </w:tcPr>
          <w:p w14:paraId="3EB30915" w14:textId="77777777" w:rsidR="009B6F3A" w:rsidRDefault="009B6F3A" w:rsidP="009B6F3A">
            <w:pPr>
              <w:spacing w:before="0" w:after="0"/>
              <w:jc w:val="center"/>
              <w:rPr>
                <w:rFonts w:cs="Times New Roman"/>
                <w:color w:val="000000"/>
              </w:rPr>
            </w:pPr>
            <w:r w:rsidRPr="00861097">
              <w:rPr>
                <w:rFonts w:cs="Times New Roman"/>
                <w:color w:val="000000"/>
              </w:rPr>
              <w:t>0</w:t>
            </w:r>
          </w:p>
          <w:p w14:paraId="757033AE"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c>
          <w:tcPr>
            <w:tcW w:w="1110" w:type="dxa"/>
            <w:tcBorders>
              <w:top w:val="nil"/>
              <w:bottom w:val="nil"/>
              <w:right w:val="nil"/>
            </w:tcBorders>
            <w:shd w:val="clear" w:color="auto" w:fill="auto"/>
            <w:noWrap/>
            <w:vAlign w:val="center"/>
          </w:tcPr>
          <w:p w14:paraId="6C7B9E3B" w14:textId="77777777" w:rsidR="009B6F3A" w:rsidRPr="00861097" w:rsidRDefault="009B6F3A" w:rsidP="009B6F3A">
            <w:pPr>
              <w:spacing w:before="0" w:after="0"/>
              <w:jc w:val="center"/>
              <w:rPr>
                <w:rFonts w:cs="Times New Roman"/>
                <w:color w:val="000000"/>
              </w:rPr>
            </w:pPr>
            <w:r w:rsidRPr="00861097">
              <w:rPr>
                <w:rFonts w:cs="Times New Roman"/>
                <w:color w:val="000000"/>
              </w:rPr>
              <w:t>-0.11 (0.02)</w:t>
            </w:r>
          </w:p>
        </w:tc>
        <w:tc>
          <w:tcPr>
            <w:tcW w:w="836" w:type="dxa"/>
            <w:tcBorders>
              <w:top w:val="nil"/>
              <w:left w:val="nil"/>
              <w:bottom w:val="nil"/>
              <w:right w:val="nil"/>
            </w:tcBorders>
            <w:shd w:val="clear" w:color="auto" w:fill="auto"/>
            <w:noWrap/>
            <w:vAlign w:val="center"/>
          </w:tcPr>
          <w:p w14:paraId="5D723FBC" w14:textId="77777777" w:rsidR="009B6F3A" w:rsidRPr="00861097" w:rsidRDefault="009B6F3A" w:rsidP="009B6F3A">
            <w:pPr>
              <w:spacing w:before="0" w:after="0"/>
              <w:jc w:val="center"/>
              <w:rPr>
                <w:rFonts w:cs="Times New Roman"/>
                <w:color w:val="000000"/>
              </w:rPr>
            </w:pPr>
            <w:r w:rsidRPr="00861097">
              <w:rPr>
                <w:rFonts w:cs="Times New Roman"/>
                <w:color w:val="000000"/>
              </w:rPr>
              <w:t>-0.53 (0.12)</w:t>
            </w:r>
          </w:p>
        </w:tc>
        <w:tc>
          <w:tcPr>
            <w:tcW w:w="836" w:type="dxa"/>
            <w:tcBorders>
              <w:top w:val="nil"/>
              <w:left w:val="nil"/>
              <w:bottom w:val="nil"/>
            </w:tcBorders>
            <w:shd w:val="clear" w:color="auto" w:fill="auto"/>
            <w:noWrap/>
            <w:vAlign w:val="center"/>
          </w:tcPr>
          <w:p w14:paraId="0303E458" w14:textId="77777777" w:rsidR="009B6F3A" w:rsidRDefault="009B6F3A" w:rsidP="009B6F3A">
            <w:pPr>
              <w:spacing w:before="0" w:after="0"/>
              <w:jc w:val="center"/>
              <w:rPr>
                <w:rFonts w:cs="Times New Roman"/>
                <w:color w:val="000000"/>
              </w:rPr>
            </w:pPr>
            <w:r w:rsidRPr="00861097">
              <w:rPr>
                <w:rFonts w:cs="Times New Roman"/>
                <w:color w:val="000000"/>
              </w:rPr>
              <w:t>0</w:t>
            </w:r>
          </w:p>
          <w:p w14:paraId="475BBDAA"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c>
          <w:tcPr>
            <w:tcW w:w="1110" w:type="dxa"/>
            <w:tcBorders>
              <w:top w:val="nil"/>
              <w:bottom w:val="nil"/>
              <w:right w:val="nil"/>
            </w:tcBorders>
            <w:shd w:val="clear" w:color="auto" w:fill="auto"/>
            <w:noWrap/>
            <w:vAlign w:val="center"/>
          </w:tcPr>
          <w:p w14:paraId="2587F75B" w14:textId="77777777" w:rsidR="009B6F3A" w:rsidRPr="00861097" w:rsidRDefault="009B6F3A" w:rsidP="009B6F3A">
            <w:pPr>
              <w:spacing w:before="0" w:after="0"/>
              <w:jc w:val="center"/>
              <w:rPr>
                <w:rFonts w:cs="Times New Roman"/>
                <w:color w:val="000000"/>
              </w:rPr>
            </w:pPr>
            <w:r w:rsidRPr="00861097">
              <w:rPr>
                <w:rFonts w:cs="Times New Roman"/>
                <w:color w:val="000000"/>
              </w:rPr>
              <w:t>-0.08 (0.02)</w:t>
            </w:r>
          </w:p>
        </w:tc>
        <w:tc>
          <w:tcPr>
            <w:tcW w:w="836" w:type="dxa"/>
            <w:tcBorders>
              <w:top w:val="nil"/>
              <w:left w:val="nil"/>
              <w:bottom w:val="nil"/>
              <w:right w:val="nil"/>
            </w:tcBorders>
            <w:shd w:val="clear" w:color="auto" w:fill="auto"/>
            <w:noWrap/>
            <w:vAlign w:val="center"/>
          </w:tcPr>
          <w:p w14:paraId="6C292B4F" w14:textId="77777777" w:rsidR="009B6F3A" w:rsidRPr="00861097" w:rsidRDefault="009B6F3A" w:rsidP="009B6F3A">
            <w:pPr>
              <w:spacing w:before="0" w:after="0"/>
              <w:jc w:val="center"/>
              <w:rPr>
                <w:rFonts w:cs="Times New Roman"/>
                <w:color w:val="000000"/>
              </w:rPr>
            </w:pPr>
            <w:r w:rsidRPr="00861097">
              <w:rPr>
                <w:rFonts w:cs="Times New Roman"/>
                <w:color w:val="000000"/>
              </w:rPr>
              <w:t>-0.4 (0.12)</w:t>
            </w:r>
          </w:p>
        </w:tc>
        <w:tc>
          <w:tcPr>
            <w:tcW w:w="836" w:type="dxa"/>
            <w:tcBorders>
              <w:top w:val="nil"/>
              <w:left w:val="nil"/>
              <w:bottom w:val="nil"/>
            </w:tcBorders>
            <w:shd w:val="clear" w:color="auto" w:fill="auto"/>
            <w:noWrap/>
            <w:vAlign w:val="center"/>
          </w:tcPr>
          <w:p w14:paraId="026F59F5" w14:textId="77777777" w:rsidR="009B6F3A" w:rsidRDefault="009B6F3A" w:rsidP="009B6F3A">
            <w:pPr>
              <w:spacing w:before="0" w:after="0"/>
              <w:jc w:val="center"/>
              <w:rPr>
                <w:rFonts w:cs="Times New Roman"/>
                <w:color w:val="000000"/>
              </w:rPr>
            </w:pPr>
            <w:r w:rsidRPr="00861097">
              <w:rPr>
                <w:rFonts w:cs="Times New Roman"/>
                <w:color w:val="000000"/>
              </w:rPr>
              <w:t>0</w:t>
            </w:r>
          </w:p>
          <w:p w14:paraId="04DAC0FB" w14:textId="77777777" w:rsidR="009B6F3A" w:rsidRPr="00861097" w:rsidRDefault="009B6F3A" w:rsidP="009B6F3A">
            <w:pPr>
              <w:spacing w:before="0" w:after="0"/>
              <w:jc w:val="center"/>
              <w:rPr>
                <w:rFonts w:cs="Times New Roman"/>
                <w:color w:val="000000"/>
              </w:rPr>
            </w:pPr>
            <w:r w:rsidRPr="00861097">
              <w:rPr>
                <w:rFonts w:cs="Times New Roman"/>
                <w:color w:val="000000"/>
              </w:rPr>
              <w:t>(0)</w:t>
            </w:r>
          </w:p>
        </w:tc>
      </w:tr>
      <w:tr w:rsidR="009B6F3A" w:rsidRPr="008A07C9" w14:paraId="284EBA3A" w14:textId="77777777" w:rsidTr="009B6F3A">
        <w:trPr>
          <w:trHeight w:val="300"/>
        </w:trPr>
        <w:tc>
          <w:tcPr>
            <w:tcW w:w="426" w:type="dxa"/>
            <w:vMerge/>
          </w:tcPr>
          <w:p w14:paraId="06381042" w14:textId="77777777" w:rsidR="009B6F3A" w:rsidRPr="008A07C9" w:rsidRDefault="009B6F3A" w:rsidP="009B6F3A">
            <w:pPr>
              <w:spacing w:before="0" w:after="0"/>
              <w:rPr>
                <w:rFonts w:eastAsia="Times New Roman" w:cs="Times New Roman"/>
                <w:lang w:eastAsia="en-CA"/>
              </w:rPr>
            </w:pPr>
          </w:p>
        </w:tc>
        <w:tc>
          <w:tcPr>
            <w:tcW w:w="3745" w:type="dxa"/>
            <w:tcBorders>
              <w:top w:val="nil"/>
              <w:bottom w:val="nil"/>
            </w:tcBorders>
            <w:shd w:val="clear" w:color="auto" w:fill="auto"/>
            <w:noWrap/>
            <w:vAlign w:val="center"/>
          </w:tcPr>
          <w:p w14:paraId="2FD47158" w14:textId="77777777" w:rsidR="009B6F3A" w:rsidRPr="008A07C9" w:rsidRDefault="009B6F3A" w:rsidP="009B6F3A">
            <w:pPr>
              <w:spacing w:before="0" w:after="0"/>
              <w:jc w:val="left"/>
              <w:rPr>
                <w:rFonts w:eastAsia="Times New Roman" w:cs="Times New Roman"/>
                <w:color w:val="000000"/>
                <w:lang w:eastAsia="en-CA"/>
              </w:rPr>
            </w:pPr>
            <w:r w:rsidRPr="008A07C9">
              <w:rPr>
                <w:rFonts w:eastAsia="Times New Roman" w:cs="Times New Roman"/>
                <w:lang w:eastAsia="en-CA"/>
              </w:rPr>
              <w:t>Bicycle Facility Density +10%</w:t>
            </w:r>
          </w:p>
        </w:tc>
        <w:tc>
          <w:tcPr>
            <w:tcW w:w="1110" w:type="dxa"/>
            <w:tcBorders>
              <w:top w:val="nil"/>
              <w:bottom w:val="nil"/>
              <w:right w:val="nil"/>
            </w:tcBorders>
            <w:shd w:val="clear" w:color="auto" w:fill="auto"/>
            <w:noWrap/>
            <w:vAlign w:val="center"/>
          </w:tcPr>
          <w:p w14:paraId="040D0DBF" w14:textId="77777777" w:rsidR="009B6F3A" w:rsidRPr="00861097" w:rsidRDefault="009B6F3A" w:rsidP="009B6F3A">
            <w:pPr>
              <w:spacing w:before="0" w:after="0"/>
              <w:jc w:val="center"/>
              <w:rPr>
                <w:rFonts w:cs="Times New Roman"/>
                <w:color w:val="000000"/>
              </w:rPr>
            </w:pPr>
            <w:r w:rsidRPr="00861097">
              <w:rPr>
                <w:rFonts w:cs="Times New Roman"/>
                <w:color w:val="000000"/>
              </w:rPr>
              <w:t>1.19 (0.02)</w:t>
            </w:r>
          </w:p>
        </w:tc>
        <w:tc>
          <w:tcPr>
            <w:tcW w:w="836" w:type="dxa"/>
            <w:tcBorders>
              <w:top w:val="nil"/>
              <w:left w:val="nil"/>
              <w:bottom w:val="nil"/>
              <w:right w:val="nil"/>
            </w:tcBorders>
            <w:shd w:val="clear" w:color="auto" w:fill="auto"/>
            <w:noWrap/>
            <w:vAlign w:val="center"/>
          </w:tcPr>
          <w:p w14:paraId="03D50486" w14:textId="77777777" w:rsidR="009B6F3A" w:rsidRPr="00861097" w:rsidRDefault="009B6F3A" w:rsidP="009B6F3A">
            <w:pPr>
              <w:spacing w:before="0" w:after="0"/>
              <w:jc w:val="center"/>
              <w:rPr>
                <w:rFonts w:cs="Times New Roman"/>
                <w:color w:val="000000"/>
              </w:rPr>
            </w:pPr>
            <w:r w:rsidRPr="00861097">
              <w:rPr>
                <w:rFonts w:cs="Times New Roman"/>
                <w:color w:val="000000"/>
              </w:rPr>
              <w:t>1.25 (0.03)</w:t>
            </w:r>
          </w:p>
        </w:tc>
        <w:tc>
          <w:tcPr>
            <w:tcW w:w="836" w:type="dxa"/>
            <w:tcBorders>
              <w:top w:val="nil"/>
              <w:left w:val="nil"/>
              <w:bottom w:val="nil"/>
            </w:tcBorders>
            <w:shd w:val="clear" w:color="auto" w:fill="auto"/>
            <w:noWrap/>
            <w:vAlign w:val="center"/>
          </w:tcPr>
          <w:p w14:paraId="1E1B3BA2" w14:textId="77777777" w:rsidR="009B6F3A" w:rsidRPr="00861097" w:rsidRDefault="009B6F3A" w:rsidP="009B6F3A">
            <w:pPr>
              <w:spacing w:before="0" w:after="0"/>
              <w:jc w:val="center"/>
              <w:rPr>
                <w:rFonts w:cs="Times New Roman"/>
                <w:color w:val="000000"/>
              </w:rPr>
            </w:pPr>
            <w:r w:rsidRPr="00861097">
              <w:rPr>
                <w:rFonts w:cs="Times New Roman"/>
                <w:color w:val="000000"/>
              </w:rPr>
              <w:t>1.03 (0.02)</w:t>
            </w:r>
          </w:p>
        </w:tc>
        <w:tc>
          <w:tcPr>
            <w:tcW w:w="1110" w:type="dxa"/>
            <w:tcBorders>
              <w:top w:val="nil"/>
              <w:bottom w:val="nil"/>
              <w:right w:val="nil"/>
            </w:tcBorders>
            <w:shd w:val="clear" w:color="auto" w:fill="auto"/>
            <w:noWrap/>
            <w:vAlign w:val="center"/>
          </w:tcPr>
          <w:p w14:paraId="15CB7D1C" w14:textId="77777777" w:rsidR="009B6F3A" w:rsidRPr="00861097" w:rsidRDefault="009B6F3A" w:rsidP="009B6F3A">
            <w:pPr>
              <w:spacing w:before="0" w:after="0"/>
              <w:jc w:val="center"/>
              <w:rPr>
                <w:rFonts w:cs="Times New Roman"/>
                <w:color w:val="000000"/>
              </w:rPr>
            </w:pPr>
            <w:r w:rsidRPr="00861097">
              <w:rPr>
                <w:rFonts w:cs="Times New Roman"/>
                <w:color w:val="000000"/>
              </w:rPr>
              <w:t>1.78 (0.41)</w:t>
            </w:r>
          </w:p>
        </w:tc>
        <w:tc>
          <w:tcPr>
            <w:tcW w:w="836" w:type="dxa"/>
            <w:tcBorders>
              <w:top w:val="nil"/>
              <w:left w:val="nil"/>
              <w:bottom w:val="nil"/>
              <w:right w:val="nil"/>
            </w:tcBorders>
            <w:shd w:val="clear" w:color="auto" w:fill="auto"/>
            <w:noWrap/>
            <w:vAlign w:val="center"/>
          </w:tcPr>
          <w:p w14:paraId="3A8B6B0C" w14:textId="77777777" w:rsidR="009B6F3A" w:rsidRPr="00861097" w:rsidRDefault="009B6F3A" w:rsidP="009B6F3A">
            <w:pPr>
              <w:spacing w:before="0" w:after="0"/>
              <w:jc w:val="center"/>
              <w:rPr>
                <w:rFonts w:cs="Times New Roman"/>
                <w:color w:val="000000"/>
              </w:rPr>
            </w:pPr>
            <w:r w:rsidRPr="00861097">
              <w:rPr>
                <w:rFonts w:cs="Times New Roman"/>
                <w:color w:val="000000"/>
              </w:rPr>
              <w:t>1.89 (0.46)</w:t>
            </w:r>
          </w:p>
        </w:tc>
        <w:tc>
          <w:tcPr>
            <w:tcW w:w="836" w:type="dxa"/>
            <w:tcBorders>
              <w:top w:val="nil"/>
              <w:left w:val="nil"/>
              <w:bottom w:val="nil"/>
            </w:tcBorders>
            <w:shd w:val="clear" w:color="auto" w:fill="auto"/>
            <w:noWrap/>
            <w:vAlign w:val="center"/>
          </w:tcPr>
          <w:p w14:paraId="119676F7" w14:textId="77777777" w:rsidR="009B6F3A" w:rsidRPr="00861097" w:rsidRDefault="009B6F3A" w:rsidP="009B6F3A">
            <w:pPr>
              <w:spacing w:before="0" w:after="0"/>
              <w:jc w:val="center"/>
              <w:rPr>
                <w:rFonts w:cs="Times New Roman"/>
                <w:color w:val="000000"/>
              </w:rPr>
            </w:pPr>
            <w:r w:rsidRPr="00861097">
              <w:rPr>
                <w:rFonts w:cs="Times New Roman"/>
                <w:color w:val="000000"/>
              </w:rPr>
              <w:t>1.55 (0.33)</w:t>
            </w:r>
          </w:p>
        </w:tc>
        <w:tc>
          <w:tcPr>
            <w:tcW w:w="1110" w:type="dxa"/>
            <w:tcBorders>
              <w:top w:val="nil"/>
              <w:bottom w:val="nil"/>
              <w:right w:val="nil"/>
            </w:tcBorders>
            <w:shd w:val="clear" w:color="auto" w:fill="auto"/>
            <w:noWrap/>
            <w:vAlign w:val="center"/>
          </w:tcPr>
          <w:p w14:paraId="545E9FC5" w14:textId="77777777" w:rsidR="009B6F3A" w:rsidRPr="00861097" w:rsidRDefault="009B6F3A" w:rsidP="009B6F3A">
            <w:pPr>
              <w:spacing w:before="0" w:after="0"/>
              <w:jc w:val="center"/>
              <w:rPr>
                <w:rFonts w:cs="Times New Roman"/>
                <w:color w:val="000000"/>
              </w:rPr>
            </w:pPr>
            <w:r w:rsidRPr="00861097">
              <w:rPr>
                <w:rFonts w:cs="Times New Roman"/>
                <w:color w:val="000000"/>
              </w:rPr>
              <w:t>1.48 (0.32)</w:t>
            </w:r>
          </w:p>
        </w:tc>
        <w:tc>
          <w:tcPr>
            <w:tcW w:w="836" w:type="dxa"/>
            <w:tcBorders>
              <w:top w:val="nil"/>
              <w:left w:val="nil"/>
              <w:bottom w:val="nil"/>
              <w:right w:val="nil"/>
            </w:tcBorders>
            <w:shd w:val="clear" w:color="auto" w:fill="auto"/>
            <w:noWrap/>
            <w:vAlign w:val="center"/>
          </w:tcPr>
          <w:p w14:paraId="4D2431B1" w14:textId="77777777" w:rsidR="009B6F3A" w:rsidRPr="00861097" w:rsidRDefault="009B6F3A" w:rsidP="009B6F3A">
            <w:pPr>
              <w:spacing w:before="0" w:after="0"/>
              <w:jc w:val="center"/>
              <w:rPr>
                <w:rFonts w:cs="Times New Roman"/>
                <w:color w:val="000000"/>
              </w:rPr>
            </w:pPr>
            <w:r w:rsidRPr="00861097">
              <w:rPr>
                <w:rFonts w:cs="Times New Roman"/>
                <w:color w:val="000000"/>
              </w:rPr>
              <w:t>1.52 (0.34)</w:t>
            </w:r>
          </w:p>
        </w:tc>
        <w:tc>
          <w:tcPr>
            <w:tcW w:w="836" w:type="dxa"/>
            <w:tcBorders>
              <w:top w:val="nil"/>
              <w:left w:val="nil"/>
              <w:bottom w:val="nil"/>
            </w:tcBorders>
            <w:shd w:val="clear" w:color="auto" w:fill="auto"/>
            <w:noWrap/>
            <w:vAlign w:val="center"/>
          </w:tcPr>
          <w:p w14:paraId="00932713" w14:textId="77777777" w:rsidR="009B6F3A" w:rsidRPr="00861097" w:rsidRDefault="009B6F3A" w:rsidP="009B6F3A">
            <w:pPr>
              <w:spacing w:before="0" w:after="0"/>
              <w:jc w:val="center"/>
              <w:rPr>
                <w:rFonts w:cs="Times New Roman"/>
                <w:color w:val="000000"/>
              </w:rPr>
            </w:pPr>
            <w:r w:rsidRPr="00861097">
              <w:rPr>
                <w:rFonts w:cs="Times New Roman"/>
                <w:color w:val="000000"/>
              </w:rPr>
              <w:t>1.37 (0.27)</w:t>
            </w:r>
          </w:p>
        </w:tc>
      </w:tr>
      <w:tr w:rsidR="009B6F3A" w:rsidRPr="008A07C9" w14:paraId="30250BD0" w14:textId="77777777" w:rsidTr="009B6F3A">
        <w:trPr>
          <w:trHeight w:val="300"/>
        </w:trPr>
        <w:tc>
          <w:tcPr>
            <w:tcW w:w="426" w:type="dxa"/>
            <w:vMerge/>
          </w:tcPr>
          <w:p w14:paraId="6F4B10FF" w14:textId="77777777" w:rsidR="009B6F3A" w:rsidRPr="008A07C9" w:rsidRDefault="009B6F3A" w:rsidP="009B6F3A">
            <w:pPr>
              <w:spacing w:before="0" w:after="0"/>
              <w:rPr>
                <w:rFonts w:eastAsia="Times New Roman" w:cs="Times New Roman"/>
                <w:lang w:eastAsia="en-CA"/>
              </w:rPr>
            </w:pPr>
          </w:p>
        </w:tc>
        <w:tc>
          <w:tcPr>
            <w:tcW w:w="3745" w:type="dxa"/>
            <w:tcBorders>
              <w:top w:val="nil"/>
              <w:bottom w:val="single" w:sz="4" w:space="0" w:color="auto"/>
            </w:tcBorders>
            <w:shd w:val="clear" w:color="auto" w:fill="auto"/>
            <w:noWrap/>
            <w:vAlign w:val="center"/>
          </w:tcPr>
          <w:p w14:paraId="2DD7E862" w14:textId="77777777" w:rsidR="009B6F3A" w:rsidRPr="008A07C9" w:rsidRDefault="009B6F3A" w:rsidP="009B6F3A">
            <w:pPr>
              <w:spacing w:before="0" w:after="0"/>
              <w:jc w:val="left"/>
              <w:rPr>
                <w:rFonts w:eastAsia="Times New Roman" w:cs="Times New Roman"/>
                <w:b/>
                <w:lang w:eastAsia="en-CA"/>
              </w:rPr>
            </w:pPr>
            <w:r w:rsidRPr="008A07C9">
              <w:rPr>
                <w:rFonts w:eastAsia="Times New Roman" w:cs="Times New Roman"/>
                <w:lang w:eastAsia="en-CA"/>
              </w:rPr>
              <w:t>Bicycle Facility Density +25%</w:t>
            </w:r>
          </w:p>
        </w:tc>
        <w:tc>
          <w:tcPr>
            <w:tcW w:w="1110" w:type="dxa"/>
            <w:tcBorders>
              <w:top w:val="nil"/>
              <w:bottom w:val="single" w:sz="4" w:space="0" w:color="auto"/>
              <w:right w:val="nil"/>
            </w:tcBorders>
            <w:shd w:val="clear" w:color="auto" w:fill="auto"/>
            <w:noWrap/>
            <w:vAlign w:val="center"/>
          </w:tcPr>
          <w:p w14:paraId="4EFABC76" w14:textId="77777777" w:rsidR="009B6F3A" w:rsidRPr="00861097" w:rsidRDefault="009B6F3A" w:rsidP="009B6F3A">
            <w:pPr>
              <w:spacing w:before="0" w:after="0"/>
              <w:jc w:val="center"/>
              <w:rPr>
                <w:rFonts w:cs="Times New Roman"/>
                <w:color w:val="000000"/>
              </w:rPr>
            </w:pPr>
            <w:r w:rsidRPr="00861097">
              <w:rPr>
                <w:rFonts w:cs="Times New Roman"/>
                <w:color w:val="000000"/>
              </w:rPr>
              <w:t>2.99 (0.06)</w:t>
            </w:r>
          </w:p>
        </w:tc>
        <w:tc>
          <w:tcPr>
            <w:tcW w:w="836" w:type="dxa"/>
            <w:tcBorders>
              <w:top w:val="nil"/>
              <w:left w:val="nil"/>
              <w:bottom w:val="single" w:sz="4" w:space="0" w:color="auto"/>
              <w:right w:val="nil"/>
            </w:tcBorders>
            <w:shd w:val="clear" w:color="auto" w:fill="auto"/>
            <w:noWrap/>
            <w:vAlign w:val="center"/>
          </w:tcPr>
          <w:p w14:paraId="041CD1F0" w14:textId="77777777" w:rsidR="009B6F3A" w:rsidRPr="00861097" w:rsidRDefault="009B6F3A" w:rsidP="009B6F3A">
            <w:pPr>
              <w:spacing w:before="0" w:after="0"/>
              <w:jc w:val="center"/>
              <w:rPr>
                <w:rFonts w:cs="Times New Roman"/>
                <w:color w:val="000000"/>
              </w:rPr>
            </w:pPr>
            <w:r w:rsidRPr="00861097">
              <w:rPr>
                <w:rFonts w:cs="Times New Roman"/>
                <w:color w:val="000000"/>
              </w:rPr>
              <w:t>3.16 (0.07)</w:t>
            </w:r>
          </w:p>
        </w:tc>
        <w:tc>
          <w:tcPr>
            <w:tcW w:w="836" w:type="dxa"/>
            <w:tcBorders>
              <w:top w:val="nil"/>
              <w:left w:val="nil"/>
              <w:bottom w:val="single" w:sz="4" w:space="0" w:color="auto"/>
            </w:tcBorders>
            <w:shd w:val="clear" w:color="auto" w:fill="auto"/>
            <w:noWrap/>
            <w:vAlign w:val="center"/>
          </w:tcPr>
          <w:p w14:paraId="60AE9A36" w14:textId="77777777" w:rsidR="009B6F3A" w:rsidRPr="00861097" w:rsidRDefault="009B6F3A" w:rsidP="009B6F3A">
            <w:pPr>
              <w:spacing w:before="0" w:after="0"/>
              <w:jc w:val="center"/>
              <w:rPr>
                <w:rFonts w:cs="Times New Roman"/>
                <w:color w:val="000000"/>
              </w:rPr>
            </w:pPr>
            <w:r w:rsidRPr="00861097">
              <w:rPr>
                <w:rFonts w:cs="Times New Roman"/>
                <w:color w:val="000000"/>
              </w:rPr>
              <w:t>2.58 (0.06)</w:t>
            </w:r>
          </w:p>
        </w:tc>
        <w:tc>
          <w:tcPr>
            <w:tcW w:w="1110" w:type="dxa"/>
            <w:tcBorders>
              <w:top w:val="nil"/>
              <w:bottom w:val="single" w:sz="4" w:space="0" w:color="auto"/>
              <w:right w:val="nil"/>
            </w:tcBorders>
            <w:shd w:val="clear" w:color="auto" w:fill="auto"/>
            <w:noWrap/>
            <w:vAlign w:val="center"/>
          </w:tcPr>
          <w:p w14:paraId="255EE209" w14:textId="77777777" w:rsidR="009B6F3A" w:rsidRPr="00861097" w:rsidRDefault="009B6F3A" w:rsidP="009B6F3A">
            <w:pPr>
              <w:spacing w:before="0" w:after="0"/>
              <w:jc w:val="center"/>
              <w:rPr>
                <w:rFonts w:cs="Times New Roman"/>
                <w:color w:val="000000"/>
              </w:rPr>
            </w:pPr>
            <w:r w:rsidRPr="00861097">
              <w:rPr>
                <w:rFonts w:cs="Times New Roman"/>
                <w:color w:val="000000"/>
              </w:rPr>
              <w:t>4.5 (1.06)</w:t>
            </w:r>
          </w:p>
        </w:tc>
        <w:tc>
          <w:tcPr>
            <w:tcW w:w="836" w:type="dxa"/>
            <w:tcBorders>
              <w:top w:val="nil"/>
              <w:left w:val="nil"/>
              <w:bottom w:val="single" w:sz="4" w:space="0" w:color="auto"/>
              <w:right w:val="nil"/>
            </w:tcBorders>
            <w:shd w:val="clear" w:color="auto" w:fill="auto"/>
            <w:noWrap/>
            <w:vAlign w:val="center"/>
          </w:tcPr>
          <w:p w14:paraId="441233A2" w14:textId="77777777" w:rsidR="009B6F3A" w:rsidRPr="00861097" w:rsidRDefault="009B6F3A" w:rsidP="009B6F3A">
            <w:pPr>
              <w:spacing w:before="0" w:after="0"/>
              <w:jc w:val="center"/>
              <w:rPr>
                <w:rFonts w:cs="Times New Roman"/>
                <w:color w:val="000000"/>
              </w:rPr>
            </w:pPr>
            <w:r w:rsidRPr="00861097">
              <w:rPr>
                <w:rFonts w:cs="Times New Roman"/>
                <w:color w:val="000000"/>
              </w:rPr>
              <w:t>4.79 (1.15)</w:t>
            </w:r>
          </w:p>
        </w:tc>
        <w:tc>
          <w:tcPr>
            <w:tcW w:w="836" w:type="dxa"/>
            <w:tcBorders>
              <w:top w:val="nil"/>
              <w:left w:val="nil"/>
              <w:bottom w:val="single" w:sz="4" w:space="0" w:color="auto"/>
            </w:tcBorders>
            <w:shd w:val="clear" w:color="auto" w:fill="auto"/>
            <w:noWrap/>
            <w:vAlign w:val="center"/>
          </w:tcPr>
          <w:p w14:paraId="0953A8D1" w14:textId="77777777" w:rsidR="009B6F3A" w:rsidRPr="00861097" w:rsidRDefault="009B6F3A" w:rsidP="009B6F3A">
            <w:pPr>
              <w:spacing w:before="0" w:after="0"/>
              <w:jc w:val="center"/>
              <w:rPr>
                <w:rFonts w:cs="Times New Roman"/>
                <w:color w:val="000000"/>
              </w:rPr>
            </w:pPr>
            <w:r w:rsidRPr="00861097">
              <w:rPr>
                <w:rFonts w:cs="Times New Roman"/>
                <w:color w:val="000000"/>
              </w:rPr>
              <w:t>3.88 (0.83)</w:t>
            </w:r>
          </w:p>
        </w:tc>
        <w:tc>
          <w:tcPr>
            <w:tcW w:w="1110" w:type="dxa"/>
            <w:tcBorders>
              <w:top w:val="nil"/>
              <w:bottom w:val="single" w:sz="4" w:space="0" w:color="auto"/>
              <w:right w:val="nil"/>
            </w:tcBorders>
            <w:shd w:val="clear" w:color="auto" w:fill="auto"/>
            <w:noWrap/>
            <w:vAlign w:val="center"/>
          </w:tcPr>
          <w:p w14:paraId="69802108" w14:textId="77777777" w:rsidR="009B6F3A" w:rsidRPr="00861097" w:rsidRDefault="009B6F3A" w:rsidP="009B6F3A">
            <w:pPr>
              <w:spacing w:before="0" w:after="0"/>
              <w:jc w:val="center"/>
              <w:rPr>
                <w:rFonts w:cs="Times New Roman"/>
                <w:color w:val="000000"/>
              </w:rPr>
            </w:pPr>
            <w:r w:rsidRPr="00861097">
              <w:rPr>
                <w:rFonts w:cs="Times New Roman"/>
                <w:color w:val="000000"/>
              </w:rPr>
              <w:t>3.74 (0.81)</w:t>
            </w:r>
          </w:p>
        </w:tc>
        <w:tc>
          <w:tcPr>
            <w:tcW w:w="836" w:type="dxa"/>
            <w:tcBorders>
              <w:top w:val="nil"/>
              <w:left w:val="nil"/>
              <w:bottom w:val="single" w:sz="4" w:space="0" w:color="auto"/>
              <w:right w:val="nil"/>
            </w:tcBorders>
            <w:shd w:val="clear" w:color="auto" w:fill="auto"/>
            <w:noWrap/>
            <w:vAlign w:val="center"/>
          </w:tcPr>
          <w:p w14:paraId="73801834" w14:textId="77777777" w:rsidR="009B6F3A" w:rsidRPr="00861097" w:rsidRDefault="009B6F3A" w:rsidP="009B6F3A">
            <w:pPr>
              <w:spacing w:before="0" w:after="0"/>
              <w:jc w:val="center"/>
              <w:rPr>
                <w:rFonts w:cs="Times New Roman"/>
                <w:color w:val="000000"/>
              </w:rPr>
            </w:pPr>
            <w:r w:rsidRPr="00861097">
              <w:rPr>
                <w:rFonts w:cs="Times New Roman"/>
                <w:color w:val="000000"/>
              </w:rPr>
              <w:t>3.86 (0.88)</w:t>
            </w:r>
          </w:p>
        </w:tc>
        <w:tc>
          <w:tcPr>
            <w:tcW w:w="836" w:type="dxa"/>
            <w:tcBorders>
              <w:top w:val="nil"/>
              <w:left w:val="nil"/>
              <w:bottom w:val="single" w:sz="4" w:space="0" w:color="auto"/>
            </w:tcBorders>
            <w:shd w:val="clear" w:color="auto" w:fill="auto"/>
            <w:noWrap/>
            <w:vAlign w:val="center"/>
          </w:tcPr>
          <w:p w14:paraId="142D7D1A" w14:textId="77777777" w:rsidR="009B6F3A" w:rsidRPr="00861097" w:rsidRDefault="009B6F3A" w:rsidP="009B6F3A">
            <w:pPr>
              <w:spacing w:before="0" w:after="0"/>
              <w:jc w:val="center"/>
              <w:rPr>
                <w:rFonts w:cs="Times New Roman"/>
                <w:color w:val="000000"/>
              </w:rPr>
            </w:pPr>
            <w:r w:rsidRPr="00861097">
              <w:rPr>
                <w:rFonts w:cs="Times New Roman"/>
                <w:color w:val="000000"/>
              </w:rPr>
              <w:t>3.46 (0.69)</w:t>
            </w:r>
          </w:p>
        </w:tc>
      </w:tr>
    </w:tbl>
    <w:p w14:paraId="1842FB57" w14:textId="77777777" w:rsidR="00AC680D" w:rsidRPr="008A07C9" w:rsidRDefault="00AC680D" w:rsidP="003C62AC">
      <w:pPr>
        <w:spacing w:before="0" w:after="0"/>
        <w:jc w:val="center"/>
        <w:rPr>
          <w:rFonts w:cs="Times New Roman"/>
        </w:rPr>
      </w:pPr>
    </w:p>
    <w:sectPr w:rsidR="00AC680D" w:rsidRPr="008A07C9" w:rsidSect="003C62A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4C2C1" w14:textId="77777777" w:rsidR="00F33329" w:rsidRDefault="00F33329" w:rsidP="003C62D5">
      <w:pPr>
        <w:spacing w:before="0" w:after="0"/>
      </w:pPr>
      <w:r>
        <w:separator/>
      </w:r>
    </w:p>
  </w:endnote>
  <w:endnote w:type="continuationSeparator" w:id="0">
    <w:p w14:paraId="482DD559" w14:textId="77777777" w:rsidR="00F33329" w:rsidRDefault="00F33329" w:rsidP="003C6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315569"/>
      <w:docPartObj>
        <w:docPartGallery w:val="Page Numbers (Bottom of Page)"/>
        <w:docPartUnique/>
      </w:docPartObj>
    </w:sdtPr>
    <w:sdtEndPr>
      <w:rPr>
        <w:noProof/>
      </w:rPr>
    </w:sdtEndPr>
    <w:sdtContent>
      <w:p w14:paraId="18C94D54" w14:textId="36DDAA3B" w:rsidR="009F1CEF" w:rsidRDefault="009F1CEF">
        <w:pPr>
          <w:pStyle w:val="Footer"/>
          <w:jc w:val="right"/>
        </w:pPr>
        <w:r>
          <w:fldChar w:fldCharType="begin"/>
        </w:r>
        <w:r>
          <w:instrText xml:space="preserve"> PAGE   \* MERGEFORMAT </w:instrText>
        </w:r>
        <w:r>
          <w:fldChar w:fldCharType="separate"/>
        </w:r>
        <w:r w:rsidR="00880796">
          <w:rPr>
            <w:noProof/>
          </w:rPr>
          <w:t>14</w:t>
        </w:r>
        <w:r>
          <w:rPr>
            <w:noProof/>
          </w:rPr>
          <w:fldChar w:fldCharType="end"/>
        </w:r>
      </w:p>
    </w:sdtContent>
  </w:sdt>
  <w:p w14:paraId="7DA83C2B" w14:textId="77777777" w:rsidR="009F1CEF" w:rsidRDefault="009F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D1742" w14:textId="77777777" w:rsidR="00F33329" w:rsidRDefault="00F33329" w:rsidP="003C62D5">
      <w:pPr>
        <w:spacing w:before="0" w:after="0"/>
      </w:pPr>
      <w:r>
        <w:separator/>
      </w:r>
    </w:p>
  </w:footnote>
  <w:footnote w:type="continuationSeparator" w:id="0">
    <w:p w14:paraId="75F97733" w14:textId="77777777" w:rsidR="00F33329" w:rsidRDefault="00F33329" w:rsidP="003C62D5">
      <w:pPr>
        <w:spacing w:before="0" w:after="0"/>
      </w:pPr>
      <w:r>
        <w:continuationSeparator/>
      </w:r>
    </w:p>
  </w:footnote>
  <w:footnote w:id="1">
    <w:p w14:paraId="320957FB" w14:textId="77777777" w:rsidR="009F1CEF" w:rsidRPr="00884D67" w:rsidRDefault="009F1CEF">
      <w:pPr>
        <w:pStyle w:val="FootnoteText"/>
        <w:rPr>
          <w:lang w:val="en-US"/>
        </w:rPr>
      </w:pPr>
      <w:r>
        <w:rPr>
          <w:rStyle w:val="FootnoteReference"/>
        </w:rPr>
        <w:footnoteRef/>
      </w:r>
      <w:r>
        <w:t xml:space="preserve"> I</w:t>
      </w:r>
      <w:r w:rsidRPr="00F40C04">
        <w:t>t is not apparent how to define the spatial aggregation of the installation decisions – as it is not possible that each station was decided independently. It is possible to explore a number of spatial aggregation metrics (census tract, block level and Traffic Analysis Zone (TAZ)). However, determining the accurate spatial aggregation employed is quite challenging. Since transportation planners are likely to consider the traffic analysis zone (TAZ), we opt for TAZ system as the spatial aggregation unit. The proposed methodology can be extended appropriately to any spatial aggregation.</w:t>
      </w:r>
    </w:p>
  </w:footnote>
  <w:footnote w:id="2">
    <w:p w14:paraId="2B810D87" w14:textId="4C0A07FC" w:rsidR="009F1CEF" w:rsidRDefault="009F1CEF" w:rsidP="00E67EDB">
      <w:pPr>
        <w:pStyle w:val="FootnoteText"/>
      </w:pPr>
      <w:r>
        <w:rPr>
          <w:rStyle w:val="FootnoteReference"/>
        </w:rPr>
        <w:footnoteRef/>
      </w:r>
      <w:r>
        <w:t xml:space="preserve"> The </w:t>
      </w:r>
      <w:r>
        <w:rPr>
          <w:rFonts w:cs="Times New Roman"/>
        </w:rPr>
        <w:t xml:space="preserve">number of threshold parameters required to be estimated increases linearly with the number of ordered alternatives. However, in the BSS context, the sample sizes are large enough to accommodate for such increases in the number of parameters. The reader would note that an ordered response model with a large number of categories is a true non-linear extension of a continuous linear model which restricts the categories through a single slope </w:t>
      </w:r>
      <w:r w:rsidRPr="00E67EDB">
        <w:rPr>
          <w:rFonts w:cs="Times New Roman"/>
        </w:rPr>
        <w:t>(see Chakour and Eluru, 2016 for similar ordinal discretization)</w:t>
      </w:r>
      <w:r>
        <w:rPr>
          <w:rFonts w:cs="Times New Roman"/>
        </w:rPr>
        <w:t>.</w:t>
      </w:r>
    </w:p>
  </w:footnote>
  <w:footnote w:id="3">
    <w:p w14:paraId="10F0C99D" w14:textId="77777777" w:rsidR="009F1CEF" w:rsidRPr="00884D67" w:rsidRDefault="009F1CEF">
      <w:pPr>
        <w:pStyle w:val="FootnoteText"/>
        <w:rPr>
          <w:lang w:val="en-US"/>
        </w:rPr>
      </w:pPr>
      <w:r>
        <w:rPr>
          <w:rStyle w:val="FootnoteReference"/>
        </w:rPr>
        <w:footnoteRef/>
      </w:r>
      <w:r>
        <w:t xml:space="preserve"> </w:t>
      </w:r>
      <w:r w:rsidRPr="0050687A">
        <w:t xml:space="preserve">For example, a TAZ level variable, population density has one observed variable impact and could potentially have three random parameters – one for each resolution. Thus, we allow for the TAZ population density variable to impact the entire TAZ, TAZ and Day combination or TAZ - Day and Time period combination. Of course, it is possible population density variable does not influence the usage processes at all three possible levels.  </w:t>
      </w:r>
    </w:p>
  </w:footnote>
  <w:footnote w:id="4">
    <w:p w14:paraId="330CB03B" w14:textId="1EDE28E6" w:rsidR="009F1CEF" w:rsidRPr="00D3607A" w:rsidRDefault="009F1CEF">
      <w:pPr>
        <w:pStyle w:val="FootnoteText"/>
        <w:rPr>
          <w:lang w:val="en-US"/>
        </w:rPr>
      </w:pPr>
      <w:r>
        <w:rPr>
          <w:rStyle w:val="FootnoteReference"/>
        </w:rPr>
        <w:footnoteRef/>
      </w:r>
      <w:r>
        <w:t xml:space="preserve"> </w:t>
      </w:r>
      <w:r>
        <w:rPr>
          <w:rFonts w:cs="Times New Roman"/>
        </w:rPr>
        <w:t>It is also important to recognize that the 2PMMOL and 2PMOL models perform substantially better than the 3OL model indicating that considering the impact of unobserved factors influencing arrivals and departures offers substantial improvement in fit. At the same time, we can clearly see that the 2PMMOL model outperforms the 2PMOL model in terms of goodness of fit, demonstrating the benefits of decomposing the unobserved effects in to the three levels.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6D71478"/>
    <w:multiLevelType w:val="multilevel"/>
    <w:tmpl w:val="937A5B1C"/>
    <w:lvl w:ilvl="0">
      <w:start w:val="1"/>
      <w:numFmt w:val="decimal"/>
      <w:pStyle w:val="Heading1"/>
      <w:lvlText w:val="%1."/>
      <w:lvlJc w:val="left"/>
      <w:pPr>
        <w:ind w:left="360" w:hanging="360"/>
      </w:pPr>
      <w:rPr>
        <w:rFonts w:hint="default"/>
        <w:i w:val="0"/>
      </w:rPr>
    </w:lvl>
    <w:lvl w:ilvl="1">
      <w:start w:val="1"/>
      <w:numFmt w:val="decimal"/>
      <w:pStyle w:val="Heading2"/>
      <w:isLgl/>
      <w:lvlText w:val="%1.%2."/>
      <w:lvlJc w:val="left"/>
      <w:pPr>
        <w:ind w:left="780" w:hanging="42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8862B1"/>
    <w:multiLevelType w:val="hybridMultilevel"/>
    <w:tmpl w:val="FA6ED2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CA" w:vendorID="64" w:dllVersion="131078" w:nlCheck="1" w:checkStyle="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C"/>
    <w:rsid w:val="00001C8A"/>
    <w:rsid w:val="00002402"/>
    <w:rsid w:val="00003805"/>
    <w:rsid w:val="00006618"/>
    <w:rsid w:val="00013F48"/>
    <w:rsid w:val="0001493C"/>
    <w:rsid w:val="00016D96"/>
    <w:rsid w:val="0002242E"/>
    <w:rsid w:val="00023D6A"/>
    <w:rsid w:val="00023F4F"/>
    <w:rsid w:val="0002749F"/>
    <w:rsid w:val="00037E87"/>
    <w:rsid w:val="00044F35"/>
    <w:rsid w:val="00045B00"/>
    <w:rsid w:val="00050A3F"/>
    <w:rsid w:val="00053903"/>
    <w:rsid w:val="0006137B"/>
    <w:rsid w:val="00062579"/>
    <w:rsid w:val="0006286A"/>
    <w:rsid w:val="000645BE"/>
    <w:rsid w:val="00065F88"/>
    <w:rsid w:val="00067109"/>
    <w:rsid w:val="000707EC"/>
    <w:rsid w:val="00076BB9"/>
    <w:rsid w:val="0008042B"/>
    <w:rsid w:val="00080FD8"/>
    <w:rsid w:val="00084A90"/>
    <w:rsid w:val="00091869"/>
    <w:rsid w:val="0009480C"/>
    <w:rsid w:val="000954A5"/>
    <w:rsid w:val="00095777"/>
    <w:rsid w:val="00096A00"/>
    <w:rsid w:val="00097AE6"/>
    <w:rsid w:val="000A3417"/>
    <w:rsid w:val="000B0F03"/>
    <w:rsid w:val="000B33D5"/>
    <w:rsid w:val="000B40A5"/>
    <w:rsid w:val="000B65D4"/>
    <w:rsid w:val="000D0AAD"/>
    <w:rsid w:val="000D13D6"/>
    <w:rsid w:val="000D17D8"/>
    <w:rsid w:val="000D1CB1"/>
    <w:rsid w:val="000D48E3"/>
    <w:rsid w:val="000D6623"/>
    <w:rsid w:val="000E1385"/>
    <w:rsid w:val="000E24C5"/>
    <w:rsid w:val="000E5624"/>
    <w:rsid w:val="000F0DAF"/>
    <w:rsid w:val="000F3AB8"/>
    <w:rsid w:val="000F5A42"/>
    <w:rsid w:val="001066A8"/>
    <w:rsid w:val="00106FFA"/>
    <w:rsid w:val="0010781B"/>
    <w:rsid w:val="00113FFE"/>
    <w:rsid w:val="00115740"/>
    <w:rsid w:val="001158BF"/>
    <w:rsid w:val="00117A3A"/>
    <w:rsid w:val="00126999"/>
    <w:rsid w:val="00130AA9"/>
    <w:rsid w:val="00130C48"/>
    <w:rsid w:val="0013326C"/>
    <w:rsid w:val="0013542F"/>
    <w:rsid w:val="00135562"/>
    <w:rsid w:val="00135FC9"/>
    <w:rsid w:val="0014184A"/>
    <w:rsid w:val="0014303E"/>
    <w:rsid w:val="001445D7"/>
    <w:rsid w:val="00144B20"/>
    <w:rsid w:val="00146D6A"/>
    <w:rsid w:val="00147DD2"/>
    <w:rsid w:val="001520FC"/>
    <w:rsid w:val="001535CE"/>
    <w:rsid w:val="001745A2"/>
    <w:rsid w:val="001749B2"/>
    <w:rsid w:val="001757E5"/>
    <w:rsid w:val="00181DA5"/>
    <w:rsid w:val="001822D6"/>
    <w:rsid w:val="0018451B"/>
    <w:rsid w:val="001979F5"/>
    <w:rsid w:val="001A012D"/>
    <w:rsid w:val="001A2E4E"/>
    <w:rsid w:val="001A79C9"/>
    <w:rsid w:val="001B1F17"/>
    <w:rsid w:val="001B4C8D"/>
    <w:rsid w:val="001B5522"/>
    <w:rsid w:val="001C07EE"/>
    <w:rsid w:val="001C085E"/>
    <w:rsid w:val="001C0C3A"/>
    <w:rsid w:val="001C412A"/>
    <w:rsid w:val="001C7A84"/>
    <w:rsid w:val="001D21F3"/>
    <w:rsid w:val="001D6E67"/>
    <w:rsid w:val="001D7797"/>
    <w:rsid w:val="001E10B3"/>
    <w:rsid w:val="001E2B62"/>
    <w:rsid w:val="001E6A1A"/>
    <w:rsid w:val="001F0095"/>
    <w:rsid w:val="001F0B08"/>
    <w:rsid w:val="001F293B"/>
    <w:rsid w:val="001F7B54"/>
    <w:rsid w:val="00200E54"/>
    <w:rsid w:val="00203771"/>
    <w:rsid w:val="00207C50"/>
    <w:rsid w:val="00207ECB"/>
    <w:rsid w:val="00212FB8"/>
    <w:rsid w:val="002175CE"/>
    <w:rsid w:val="00221496"/>
    <w:rsid w:val="002217EF"/>
    <w:rsid w:val="00221838"/>
    <w:rsid w:val="00224527"/>
    <w:rsid w:val="00230C56"/>
    <w:rsid w:val="0023353D"/>
    <w:rsid w:val="00236294"/>
    <w:rsid w:val="00236F37"/>
    <w:rsid w:val="00237CB2"/>
    <w:rsid w:val="00241E05"/>
    <w:rsid w:val="00241ED6"/>
    <w:rsid w:val="00251142"/>
    <w:rsid w:val="0025476E"/>
    <w:rsid w:val="00260329"/>
    <w:rsid w:val="002616B7"/>
    <w:rsid w:val="00266122"/>
    <w:rsid w:val="00270312"/>
    <w:rsid w:val="00273BD5"/>
    <w:rsid w:val="00281C57"/>
    <w:rsid w:val="00281F6D"/>
    <w:rsid w:val="00284FA1"/>
    <w:rsid w:val="002851EB"/>
    <w:rsid w:val="0028585E"/>
    <w:rsid w:val="0029064A"/>
    <w:rsid w:val="002943EC"/>
    <w:rsid w:val="00294D9D"/>
    <w:rsid w:val="002972A5"/>
    <w:rsid w:val="002A0C0B"/>
    <w:rsid w:val="002A2B1B"/>
    <w:rsid w:val="002A2F16"/>
    <w:rsid w:val="002A37CA"/>
    <w:rsid w:val="002A484B"/>
    <w:rsid w:val="002A59A0"/>
    <w:rsid w:val="002A6FEB"/>
    <w:rsid w:val="002B04FF"/>
    <w:rsid w:val="002B076F"/>
    <w:rsid w:val="002B0971"/>
    <w:rsid w:val="002B396D"/>
    <w:rsid w:val="002C04B8"/>
    <w:rsid w:val="002C1524"/>
    <w:rsid w:val="002C7891"/>
    <w:rsid w:val="002D50AD"/>
    <w:rsid w:val="002D666F"/>
    <w:rsid w:val="002D6D5F"/>
    <w:rsid w:val="002D7E4C"/>
    <w:rsid w:val="002D7FBC"/>
    <w:rsid w:val="002E0BCD"/>
    <w:rsid w:val="002E16E8"/>
    <w:rsid w:val="002E73BB"/>
    <w:rsid w:val="002E7C7C"/>
    <w:rsid w:val="002F05ED"/>
    <w:rsid w:val="002F3C65"/>
    <w:rsid w:val="003071E1"/>
    <w:rsid w:val="00322543"/>
    <w:rsid w:val="00322FF5"/>
    <w:rsid w:val="00327999"/>
    <w:rsid w:val="00330C25"/>
    <w:rsid w:val="003344AE"/>
    <w:rsid w:val="0033584D"/>
    <w:rsid w:val="00340B7A"/>
    <w:rsid w:val="00346B15"/>
    <w:rsid w:val="0035161F"/>
    <w:rsid w:val="00355F0F"/>
    <w:rsid w:val="00357DCB"/>
    <w:rsid w:val="00360D88"/>
    <w:rsid w:val="00362BDC"/>
    <w:rsid w:val="0036775C"/>
    <w:rsid w:val="00370F8F"/>
    <w:rsid w:val="00372B84"/>
    <w:rsid w:val="00372F46"/>
    <w:rsid w:val="003732C3"/>
    <w:rsid w:val="0037375A"/>
    <w:rsid w:val="003737F1"/>
    <w:rsid w:val="00377DE3"/>
    <w:rsid w:val="00380CAA"/>
    <w:rsid w:val="00383112"/>
    <w:rsid w:val="00390C65"/>
    <w:rsid w:val="003946F9"/>
    <w:rsid w:val="0039763A"/>
    <w:rsid w:val="003A25CC"/>
    <w:rsid w:val="003A65EA"/>
    <w:rsid w:val="003B500F"/>
    <w:rsid w:val="003B7C4B"/>
    <w:rsid w:val="003C29E8"/>
    <w:rsid w:val="003C389D"/>
    <w:rsid w:val="003C62AC"/>
    <w:rsid w:val="003C62D5"/>
    <w:rsid w:val="003D1D5A"/>
    <w:rsid w:val="003D472F"/>
    <w:rsid w:val="003D5C68"/>
    <w:rsid w:val="003F09F9"/>
    <w:rsid w:val="003F1070"/>
    <w:rsid w:val="003F1816"/>
    <w:rsid w:val="003F209E"/>
    <w:rsid w:val="003F3169"/>
    <w:rsid w:val="003F432F"/>
    <w:rsid w:val="003F4A26"/>
    <w:rsid w:val="003F4C77"/>
    <w:rsid w:val="00400472"/>
    <w:rsid w:val="00400504"/>
    <w:rsid w:val="0040278D"/>
    <w:rsid w:val="004032AD"/>
    <w:rsid w:val="0040503F"/>
    <w:rsid w:val="00407135"/>
    <w:rsid w:val="0041271E"/>
    <w:rsid w:val="00412BEE"/>
    <w:rsid w:val="004141D2"/>
    <w:rsid w:val="00416448"/>
    <w:rsid w:val="00426F1E"/>
    <w:rsid w:val="00437BED"/>
    <w:rsid w:val="004423C3"/>
    <w:rsid w:val="004448FC"/>
    <w:rsid w:val="004458F8"/>
    <w:rsid w:val="00446806"/>
    <w:rsid w:val="0045269D"/>
    <w:rsid w:val="00452FD9"/>
    <w:rsid w:val="00463C02"/>
    <w:rsid w:val="00463E94"/>
    <w:rsid w:val="00467A83"/>
    <w:rsid w:val="004709EA"/>
    <w:rsid w:val="00471DF0"/>
    <w:rsid w:val="004734A7"/>
    <w:rsid w:val="00475AF6"/>
    <w:rsid w:val="004855BA"/>
    <w:rsid w:val="004878DC"/>
    <w:rsid w:val="004925E3"/>
    <w:rsid w:val="00494A74"/>
    <w:rsid w:val="00497B42"/>
    <w:rsid w:val="004A3D38"/>
    <w:rsid w:val="004A68FB"/>
    <w:rsid w:val="004A79E0"/>
    <w:rsid w:val="004B1F54"/>
    <w:rsid w:val="004B6B71"/>
    <w:rsid w:val="004C2025"/>
    <w:rsid w:val="004C20E2"/>
    <w:rsid w:val="004C5C55"/>
    <w:rsid w:val="004C7451"/>
    <w:rsid w:val="004D0F86"/>
    <w:rsid w:val="004D4993"/>
    <w:rsid w:val="004D53C6"/>
    <w:rsid w:val="004D6ABC"/>
    <w:rsid w:val="004D74E8"/>
    <w:rsid w:val="004E2E2C"/>
    <w:rsid w:val="004E4277"/>
    <w:rsid w:val="004F36F3"/>
    <w:rsid w:val="004F5EA7"/>
    <w:rsid w:val="004F721B"/>
    <w:rsid w:val="004F7E4B"/>
    <w:rsid w:val="00502CF3"/>
    <w:rsid w:val="00504DC8"/>
    <w:rsid w:val="0050682E"/>
    <w:rsid w:val="0050687A"/>
    <w:rsid w:val="00510EC1"/>
    <w:rsid w:val="00512AAE"/>
    <w:rsid w:val="00512FFC"/>
    <w:rsid w:val="00513BB4"/>
    <w:rsid w:val="0051576C"/>
    <w:rsid w:val="005162D2"/>
    <w:rsid w:val="00521DC1"/>
    <w:rsid w:val="005234AE"/>
    <w:rsid w:val="0052526D"/>
    <w:rsid w:val="0052581B"/>
    <w:rsid w:val="00525C40"/>
    <w:rsid w:val="0053110A"/>
    <w:rsid w:val="00534BDD"/>
    <w:rsid w:val="00540A84"/>
    <w:rsid w:val="00542AEB"/>
    <w:rsid w:val="00544833"/>
    <w:rsid w:val="00544A23"/>
    <w:rsid w:val="00546512"/>
    <w:rsid w:val="00546A5E"/>
    <w:rsid w:val="00547116"/>
    <w:rsid w:val="00547388"/>
    <w:rsid w:val="005509A3"/>
    <w:rsid w:val="005514BF"/>
    <w:rsid w:val="0055157C"/>
    <w:rsid w:val="00552A5B"/>
    <w:rsid w:val="00553FF2"/>
    <w:rsid w:val="00555C48"/>
    <w:rsid w:val="00557C76"/>
    <w:rsid w:val="0056166A"/>
    <w:rsid w:val="005667D9"/>
    <w:rsid w:val="00566E16"/>
    <w:rsid w:val="00567AD2"/>
    <w:rsid w:val="00573B3C"/>
    <w:rsid w:val="00574C01"/>
    <w:rsid w:val="00574F70"/>
    <w:rsid w:val="00575E49"/>
    <w:rsid w:val="00575F81"/>
    <w:rsid w:val="005865A7"/>
    <w:rsid w:val="005869A2"/>
    <w:rsid w:val="0059175E"/>
    <w:rsid w:val="00593715"/>
    <w:rsid w:val="00594AA0"/>
    <w:rsid w:val="005956E5"/>
    <w:rsid w:val="005A1BF9"/>
    <w:rsid w:val="005A391B"/>
    <w:rsid w:val="005A57AB"/>
    <w:rsid w:val="005A7E08"/>
    <w:rsid w:val="005B5272"/>
    <w:rsid w:val="005C3945"/>
    <w:rsid w:val="005C6A01"/>
    <w:rsid w:val="005D26B0"/>
    <w:rsid w:val="005D3A08"/>
    <w:rsid w:val="005E2572"/>
    <w:rsid w:val="005E5061"/>
    <w:rsid w:val="005E519C"/>
    <w:rsid w:val="005E5A7E"/>
    <w:rsid w:val="005E7AD1"/>
    <w:rsid w:val="006051E3"/>
    <w:rsid w:val="00605EF6"/>
    <w:rsid w:val="00606B26"/>
    <w:rsid w:val="00611284"/>
    <w:rsid w:val="00611418"/>
    <w:rsid w:val="00611F23"/>
    <w:rsid w:val="00616D08"/>
    <w:rsid w:val="0061728E"/>
    <w:rsid w:val="0062259C"/>
    <w:rsid w:val="00623E88"/>
    <w:rsid w:val="006244BF"/>
    <w:rsid w:val="006316BD"/>
    <w:rsid w:val="0063294E"/>
    <w:rsid w:val="006346C0"/>
    <w:rsid w:val="0064058A"/>
    <w:rsid w:val="00640796"/>
    <w:rsid w:val="00647FCF"/>
    <w:rsid w:val="00652A77"/>
    <w:rsid w:val="00653C35"/>
    <w:rsid w:val="00655729"/>
    <w:rsid w:val="00665ABF"/>
    <w:rsid w:val="00665C65"/>
    <w:rsid w:val="00666131"/>
    <w:rsid w:val="0066652F"/>
    <w:rsid w:val="00666EF1"/>
    <w:rsid w:val="006671B1"/>
    <w:rsid w:val="00667394"/>
    <w:rsid w:val="00670CD0"/>
    <w:rsid w:val="006717A8"/>
    <w:rsid w:val="00672622"/>
    <w:rsid w:val="006729AF"/>
    <w:rsid w:val="006756E5"/>
    <w:rsid w:val="006765BE"/>
    <w:rsid w:val="00682BE9"/>
    <w:rsid w:val="00692516"/>
    <w:rsid w:val="00693620"/>
    <w:rsid w:val="00695CC2"/>
    <w:rsid w:val="006A22ED"/>
    <w:rsid w:val="006B03AF"/>
    <w:rsid w:val="006B7DB7"/>
    <w:rsid w:val="006C3314"/>
    <w:rsid w:val="006C4954"/>
    <w:rsid w:val="006C594C"/>
    <w:rsid w:val="006C6968"/>
    <w:rsid w:val="006D1A8D"/>
    <w:rsid w:val="006D4718"/>
    <w:rsid w:val="006D6BAF"/>
    <w:rsid w:val="006D7656"/>
    <w:rsid w:val="006E4E2A"/>
    <w:rsid w:val="006E5A5C"/>
    <w:rsid w:val="006E6961"/>
    <w:rsid w:val="006E7F32"/>
    <w:rsid w:val="006F3A24"/>
    <w:rsid w:val="006F3E92"/>
    <w:rsid w:val="006F4DF4"/>
    <w:rsid w:val="006F765C"/>
    <w:rsid w:val="006F79DF"/>
    <w:rsid w:val="00701157"/>
    <w:rsid w:val="00710C7B"/>
    <w:rsid w:val="00714D35"/>
    <w:rsid w:val="00721856"/>
    <w:rsid w:val="00724094"/>
    <w:rsid w:val="00727C7F"/>
    <w:rsid w:val="0073014E"/>
    <w:rsid w:val="007317A8"/>
    <w:rsid w:val="0073378E"/>
    <w:rsid w:val="00733B35"/>
    <w:rsid w:val="0073563C"/>
    <w:rsid w:val="007412B5"/>
    <w:rsid w:val="00747A1C"/>
    <w:rsid w:val="0075053F"/>
    <w:rsid w:val="00750614"/>
    <w:rsid w:val="00752C39"/>
    <w:rsid w:val="00756C05"/>
    <w:rsid w:val="007626AA"/>
    <w:rsid w:val="00762DD2"/>
    <w:rsid w:val="007644E9"/>
    <w:rsid w:val="007739D6"/>
    <w:rsid w:val="00775DE1"/>
    <w:rsid w:val="00776131"/>
    <w:rsid w:val="00776354"/>
    <w:rsid w:val="00776620"/>
    <w:rsid w:val="007768D6"/>
    <w:rsid w:val="0078082D"/>
    <w:rsid w:val="00781907"/>
    <w:rsid w:val="007827EE"/>
    <w:rsid w:val="00784A54"/>
    <w:rsid w:val="007954E2"/>
    <w:rsid w:val="007A0B3B"/>
    <w:rsid w:val="007A3A8D"/>
    <w:rsid w:val="007A3E37"/>
    <w:rsid w:val="007A6B89"/>
    <w:rsid w:val="007A7F75"/>
    <w:rsid w:val="007B01E1"/>
    <w:rsid w:val="007B0407"/>
    <w:rsid w:val="007B0DF8"/>
    <w:rsid w:val="007B1A27"/>
    <w:rsid w:val="007B21A5"/>
    <w:rsid w:val="007B3606"/>
    <w:rsid w:val="007B6920"/>
    <w:rsid w:val="007B733C"/>
    <w:rsid w:val="007C1131"/>
    <w:rsid w:val="007D1347"/>
    <w:rsid w:val="007D1EE5"/>
    <w:rsid w:val="007E062A"/>
    <w:rsid w:val="007E0731"/>
    <w:rsid w:val="007E4DC1"/>
    <w:rsid w:val="007F0940"/>
    <w:rsid w:val="007F20AA"/>
    <w:rsid w:val="007F4743"/>
    <w:rsid w:val="008013D2"/>
    <w:rsid w:val="0080152B"/>
    <w:rsid w:val="00803901"/>
    <w:rsid w:val="008068DB"/>
    <w:rsid w:val="0080774D"/>
    <w:rsid w:val="00810218"/>
    <w:rsid w:val="00814E0F"/>
    <w:rsid w:val="008155FE"/>
    <w:rsid w:val="00815959"/>
    <w:rsid w:val="008224A5"/>
    <w:rsid w:val="0082397B"/>
    <w:rsid w:val="00836045"/>
    <w:rsid w:val="008538A9"/>
    <w:rsid w:val="00856597"/>
    <w:rsid w:val="0085703F"/>
    <w:rsid w:val="00861459"/>
    <w:rsid w:val="00865335"/>
    <w:rsid w:val="00867054"/>
    <w:rsid w:val="00872BAC"/>
    <w:rsid w:val="00872C2E"/>
    <w:rsid w:val="008744D4"/>
    <w:rsid w:val="00880796"/>
    <w:rsid w:val="00880D96"/>
    <w:rsid w:val="00881499"/>
    <w:rsid w:val="00884D67"/>
    <w:rsid w:val="00892A34"/>
    <w:rsid w:val="00896B60"/>
    <w:rsid w:val="008A07C9"/>
    <w:rsid w:val="008A14EF"/>
    <w:rsid w:val="008A510F"/>
    <w:rsid w:val="008B01ED"/>
    <w:rsid w:val="008B601A"/>
    <w:rsid w:val="008C20C4"/>
    <w:rsid w:val="008C3EFF"/>
    <w:rsid w:val="008D3FA3"/>
    <w:rsid w:val="008D57E7"/>
    <w:rsid w:val="008E03A6"/>
    <w:rsid w:val="008E0494"/>
    <w:rsid w:val="008E2E32"/>
    <w:rsid w:val="008E4073"/>
    <w:rsid w:val="008F2914"/>
    <w:rsid w:val="008F3F12"/>
    <w:rsid w:val="008F608C"/>
    <w:rsid w:val="0090228D"/>
    <w:rsid w:val="00907476"/>
    <w:rsid w:val="0091240F"/>
    <w:rsid w:val="00912E7D"/>
    <w:rsid w:val="009150F6"/>
    <w:rsid w:val="00926F12"/>
    <w:rsid w:val="00933924"/>
    <w:rsid w:val="0093664B"/>
    <w:rsid w:val="00942096"/>
    <w:rsid w:val="009432A5"/>
    <w:rsid w:val="0094595B"/>
    <w:rsid w:val="00961004"/>
    <w:rsid w:val="00961A51"/>
    <w:rsid w:val="00961E5F"/>
    <w:rsid w:val="009620E1"/>
    <w:rsid w:val="00963F4E"/>
    <w:rsid w:val="009646F9"/>
    <w:rsid w:val="00967DB2"/>
    <w:rsid w:val="009753F9"/>
    <w:rsid w:val="009802FF"/>
    <w:rsid w:val="00981DE9"/>
    <w:rsid w:val="00986537"/>
    <w:rsid w:val="00986D9F"/>
    <w:rsid w:val="009904A7"/>
    <w:rsid w:val="009937F9"/>
    <w:rsid w:val="00994C67"/>
    <w:rsid w:val="009A26BA"/>
    <w:rsid w:val="009A27DD"/>
    <w:rsid w:val="009A3669"/>
    <w:rsid w:val="009A5905"/>
    <w:rsid w:val="009B035B"/>
    <w:rsid w:val="009B04F4"/>
    <w:rsid w:val="009B097C"/>
    <w:rsid w:val="009B1495"/>
    <w:rsid w:val="009B37F6"/>
    <w:rsid w:val="009B5B8B"/>
    <w:rsid w:val="009B5FA7"/>
    <w:rsid w:val="009B60DC"/>
    <w:rsid w:val="009B672A"/>
    <w:rsid w:val="009B6F3A"/>
    <w:rsid w:val="009B773F"/>
    <w:rsid w:val="009B7997"/>
    <w:rsid w:val="009C074F"/>
    <w:rsid w:val="009C27F9"/>
    <w:rsid w:val="009C2E5E"/>
    <w:rsid w:val="009C35A2"/>
    <w:rsid w:val="009C3BA1"/>
    <w:rsid w:val="009D1A03"/>
    <w:rsid w:val="009D29C7"/>
    <w:rsid w:val="009E696B"/>
    <w:rsid w:val="009E7EA9"/>
    <w:rsid w:val="009F191A"/>
    <w:rsid w:val="009F1CEF"/>
    <w:rsid w:val="009F1D02"/>
    <w:rsid w:val="00A00863"/>
    <w:rsid w:val="00A0306F"/>
    <w:rsid w:val="00A03247"/>
    <w:rsid w:val="00A075C5"/>
    <w:rsid w:val="00A16B64"/>
    <w:rsid w:val="00A16C5D"/>
    <w:rsid w:val="00A20694"/>
    <w:rsid w:val="00A21CA3"/>
    <w:rsid w:val="00A24D8E"/>
    <w:rsid w:val="00A27F8C"/>
    <w:rsid w:val="00A31475"/>
    <w:rsid w:val="00A31730"/>
    <w:rsid w:val="00A3608F"/>
    <w:rsid w:val="00A436A5"/>
    <w:rsid w:val="00A5694D"/>
    <w:rsid w:val="00A60D05"/>
    <w:rsid w:val="00A63274"/>
    <w:rsid w:val="00A678A6"/>
    <w:rsid w:val="00A72F4C"/>
    <w:rsid w:val="00A74CF0"/>
    <w:rsid w:val="00A75446"/>
    <w:rsid w:val="00A76E89"/>
    <w:rsid w:val="00A7759A"/>
    <w:rsid w:val="00A77682"/>
    <w:rsid w:val="00A8352B"/>
    <w:rsid w:val="00A84EBB"/>
    <w:rsid w:val="00A85607"/>
    <w:rsid w:val="00A90080"/>
    <w:rsid w:val="00A93D86"/>
    <w:rsid w:val="00A94D7C"/>
    <w:rsid w:val="00A97D80"/>
    <w:rsid w:val="00AA70B4"/>
    <w:rsid w:val="00AA7408"/>
    <w:rsid w:val="00AB11CD"/>
    <w:rsid w:val="00AB2AB5"/>
    <w:rsid w:val="00AB776F"/>
    <w:rsid w:val="00AC0BE6"/>
    <w:rsid w:val="00AC680D"/>
    <w:rsid w:val="00AD0424"/>
    <w:rsid w:val="00AD209A"/>
    <w:rsid w:val="00AD25DB"/>
    <w:rsid w:val="00AD356D"/>
    <w:rsid w:val="00AD7EC3"/>
    <w:rsid w:val="00AE1FC7"/>
    <w:rsid w:val="00AE21F3"/>
    <w:rsid w:val="00AE23CA"/>
    <w:rsid w:val="00AE3180"/>
    <w:rsid w:val="00AE5917"/>
    <w:rsid w:val="00AF235F"/>
    <w:rsid w:val="00AF49E3"/>
    <w:rsid w:val="00B0101E"/>
    <w:rsid w:val="00B0400C"/>
    <w:rsid w:val="00B10A71"/>
    <w:rsid w:val="00B10F31"/>
    <w:rsid w:val="00B15011"/>
    <w:rsid w:val="00B15DC3"/>
    <w:rsid w:val="00B167B9"/>
    <w:rsid w:val="00B22365"/>
    <w:rsid w:val="00B223F0"/>
    <w:rsid w:val="00B231A3"/>
    <w:rsid w:val="00B30474"/>
    <w:rsid w:val="00B30B19"/>
    <w:rsid w:val="00B35B92"/>
    <w:rsid w:val="00B375FB"/>
    <w:rsid w:val="00B40C70"/>
    <w:rsid w:val="00B4107D"/>
    <w:rsid w:val="00B42F11"/>
    <w:rsid w:val="00B44C84"/>
    <w:rsid w:val="00B5052D"/>
    <w:rsid w:val="00B509E6"/>
    <w:rsid w:val="00B50B71"/>
    <w:rsid w:val="00B670F3"/>
    <w:rsid w:val="00B70691"/>
    <w:rsid w:val="00B7123C"/>
    <w:rsid w:val="00B7171E"/>
    <w:rsid w:val="00B7321C"/>
    <w:rsid w:val="00B739B3"/>
    <w:rsid w:val="00B74241"/>
    <w:rsid w:val="00B75447"/>
    <w:rsid w:val="00B81150"/>
    <w:rsid w:val="00B81ECF"/>
    <w:rsid w:val="00B8684E"/>
    <w:rsid w:val="00B90720"/>
    <w:rsid w:val="00BA43FF"/>
    <w:rsid w:val="00BB1DC9"/>
    <w:rsid w:val="00BB231A"/>
    <w:rsid w:val="00BB238B"/>
    <w:rsid w:val="00BB5128"/>
    <w:rsid w:val="00BB70D6"/>
    <w:rsid w:val="00BB70E6"/>
    <w:rsid w:val="00BC341B"/>
    <w:rsid w:val="00BC45DF"/>
    <w:rsid w:val="00BC49A9"/>
    <w:rsid w:val="00BC70B1"/>
    <w:rsid w:val="00BD2206"/>
    <w:rsid w:val="00BD60C7"/>
    <w:rsid w:val="00BD6C23"/>
    <w:rsid w:val="00BE21A0"/>
    <w:rsid w:val="00BE6677"/>
    <w:rsid w:val="00BE6EDF"/>
    <w:rsid w:val="00BF2CC3"/>
    <w:rsid w:val="00BF633C"/>
    <w:rsid w:val="00C00262"/>
    <w:rsid w:val="00C0120D"/>
    <w:rsid w:val="00C029C8"/>
    <w:rsid w:val="00C04C00"/>
    <w:rsid w:val="00C04CB1"/>
    <w:rsid w:val="00C062B4"/>
    <w:rsid w:val="00C06C51"/>
    <w:rsid w:val="00C116EB"/>
    <w:rsid w:val="00C1252A"/>
    <w:rsid w:val="00C12F1A"/>
    <w:rsid w:val="00C13776"/>
    <w:rsid w:val="00C14D80"/>
    <w:rsid w:val="00C21034"/>
    <w:rsid w:val="00C24D49"/>
    <w:rsid w:val="00C24E2D"/>
    <w:rsid w:val="00C266E2"/>
    <w:rsid w:val="00C33AC8"/>
    <w:rsid w:val="00C345EA"/>
    <w:rsid w:val="00C357F1"/>
    <w:rsid w:val="00C36C8A"/>
    <w:rsid w:val="00C41967"/>
    <w:rsid w:val="00C466FB"/>
    <w:rsid w:val="00C54549"/>
    <w:rsid w:val="00C61956"/>
    <w:rsid w:val="00C64268"/>
    <w:rsid w:val="00C642A8"/>
    <w:rsid w:val="00C64795"/>
    <w:rsid w:val="00C6568E"/>
    <w:rsid w:val="00C70F7D"/>
    <w:rsid w:val="00C71D48"/>
    <w:rsid w:val="00C7438F"/>
    <w:rsid w:val="00C8392C"/>
    <w:rsid w:val="00C86FEE"/>
    <w:rsid w:val="00C93B77"/>
    <w:rsid w:val="00C944D0"/>
    <w:rsid w:val="00C95319"/>
    <w:rsid w:val="00C955CE"/>
    <w:rsid w:val="00CA1445"/>
    <w:rsid w:val="00CA51C2"/>
    <w:rsid w:val="00CA5897"/>
    <w:rsid w:val="00CA67F9"/>
    <w:rsid w:val="00CB380D"/>
    <w:rsid w:val="00CB7837"/>
    <w:rsid w:val="00CC1438"/>
    <w:rsid w:val="00CC1B0B"/>
    <w:rsid w:val="00CC661F"/>
    <w:rsid w:val="00CC77AB"/>
    <w:rsid w:val="00CD18B4"/>
    <w:rsid w:val="00CD3120"/>
    <w:rsid w:val="00CE1679"/>
    <w:rsid w:val="00CF157E"/>
    <w:rsid w:val="00CF3EDF"/>
    <w:rsid w:val="00CF487C"/>
    <w:rsid w:val="00CF5760"/>
    <w:rsid w:val="00CF73F4"/>
    <w:rsid w:val="00D007EF"/>
    <w:rsid w:val="00D0132A"/>
    <w:rsid w:val="00D03A54"/>
    <w:rsid w:val="00D1309C"/>
    <w:rsid w:val="00D177D9"/>
    <w:rsid w:val="00D179CE"/>
    <w:rsid w:val="00D2342B"/>
    <w:rsid w:val="00D250A4"/>
    <w:rsid w:val="00D27E73"/>
    <w:rsid w:val="00D32310"/>
    <w:rsid w:val="00D32510"/>
    <w:rsid w:val="00D32B68"/>
    <w:rsid w:val="00D341B6"/>
    <w:rsid w:val="00D3607A"/>
    <w:rsid w:val="00D370F0"/>
    <w:rsid w:val="00D401A9"/>
    <w:rsid w:val="00D40954"/>
    <w:rsid w:val="00D4354E"/>
    <w:rsid w:val="00D43C3D"/>
    <w:rsid w:val="00D44198"/>
    <w:rsid w:val="00D45967"/>
    <w:rsid w:val="00D475B9"/>
    <w:rsid w:val="00D547C9"/>
    <w:rsid w:val="00D557D8"/>
    <w:rsid w:val="00D61F67"/>
    <w:rsid w:val="00D63224"/>
    <w:rsid w:val="00D637C3"/>
    <w:rsid w:val="00D671C0"/>
    <w:rsid w:val="00D67A68"/>
    <w:rsid w:val="00D834DB"/>
    <w:rsid w:val="00D8366D"/>
    <w:rsid w:val="00D85931"/>
    <w:rsid w:val="00D85D8C"/>
    <w:rsid w:val="00D93020"/>
    <w:rsid w:val="00D93077"/>
    <w:rsid w:val="00D93330"/>
    <w:rsid w:val="00D94EE0"/>
    <w:rsid w:val="00DA75A5"/>
    <w:rsid w:val="00DB4880"/>
    <w:rsid w:val="00DC017C"/>
    <w:rsid w:val="00DC2185"/>
    <w:rsid w:val="00DC4BA2"/>
    <w:rsid w:val="00DD01B9"/>
    <w:rsid w:val="00DD555A"/>
    <w:rsid w:val="00DD5EFF"/>
    <w:rsid w:val="00DE5B58"/>
    <w:rsid w:val="00DE5B7C"/>
    <w:rsid w:val="00DE5EBB"/>
    <w:rsid w:val="00DE5FD2"/>
    <w:rsid w:val="00DE76B3"/>
    <w:rsid w:val="00DF17B5"/>
    <w:rsid w:val="00DF6734"/>
    <w:rsid w:val="00DF71F5"/>
    <w:rsid w:val="00DF77B0"/>
    <w:rsid w:val="00DF7E69"/>
    <w:rsid w:val="00E0111E"/>
    <w:rsid w:val="00E0304D"/>
    <w:rsid w:val="00E06AA2"/>
    <w:rsid w:val="00E15FC6"/>
    <w:rsid w:val="00E264FE"/>
    <w:rsid w:val="00E27A8B"/>
    <w:rsid w:val="00E3403D"/>
    <w:rsid w:val="00E42629"/>
    <w:rsid w:val="00E429C8"/>
    <w:rsid w:val="00E4348E"/>
    <w:rsid w:val="00E468EA"/>
    <w:rsid w:val="00E532DE"/>
    <w:rsid w:val="00E548C6"/>
    <w:rsid w:val="00E604A6"/>
    <w:rsid w:val="00E63F27"/>
    <w:rsid w:val="00E641EC"/>
    <w:rsid w:val="00E666D9"/>
    <w:rsid w:val="00E66885"/>
    <w:rsid w:val="00E67D5C"/>
    <w:rsid w:val="00E67EDB"/>
    <w:rsid w:val="00E71D4A"/>
    <w:rsid w:val="00E74F1D"/>
    <w:rsid w:val="00E75143"/>
    <w:rsid w:val="00E76B1B"/>
    <w:rsid w:val="00E83D36"/>
    <w:rsid w:val="00E92F2C"/>
    <w:rsid w:val="00E93F8E"/>
    <w:rsid w:val="00E9488E"/>
    <w:rsid w:val="00EA242D"/>
    <w:rsid w:val="00EA46B4"/>
    <w:rsid w:val="00EA541D"/>
    <w:rsid w:val="00EA5A11"/>
    <w:rsid w:val="00EA6AED"/>
    <w:rsid w:val="00EB1E1B"/>
    <w:rsid w:val="00EB5B64"/>
    <w:rsid w:val="00EC5DD5"/>
    <w:rsid w:val="00ED0427"/>
    <w:rsid w:val="00ED0748"/>
    <w:rsid w:val="00ED2DD0"/>
    <w:rsid w:val="00ED4E5B"/>
    <w:rsid w:val="00ED53D4"/>
    <w:rsid w:val="00EE2037"/>
    <w:rsid w:val="00EF0382"/>
    <w:rsid w:val="00EF3F9A"/>
    <w:rsid w:val="00EF49BD"/>
    <w:rsid w:val="00EF5768"/>
    <w:rsid w:val="00EF6919"/>
    <w:rsid w:val="00F00A79"/>
    <w:rsid w:val="00F02746"/>
    <w:rsid w:val="00F04A39"/>
    <w:rsid w:val="00F04C2E"/>
    <w:rsid w:val="00F07EFA"/>
    <w:rsid w:val="00F13602"/>
    <w:rsid w:val="00F138D8"/>
    <w:rsid w:val="00F21769"/>
    <w:rsid w:val="00F23AEF"/>
    <w:rsid w:val="00F26992"/>
    <w:rsid w:val="00F325F4"/>
    <w:rsid w:val="00F33329"/>
    <w:rsid w:val="00F35D11"/>
    <w:rsid w:val="00F40C04"/>
    <w:rsid w:val="00F4546A"/>
    <w:rsid w:val="00F5249A"/>
    <w:rsid w:val="00F57E01"/>
    <w:rsid w:val="00F61821"/>
    <w:rsid w:val="00F6235B"/>
    <w:rsid w:val="00F62360"/>
    <w:rsid w:val="00F62E75"/>
    <w:rsid w:val="00F64118"/>
    <w:rsid w:val="00F70B23"/>
    <w:rsid w:val="00F71BA7"/>
    <w:rsid w:val="00F74208"/>
    <w:rsid w:val="00F745DF"/>
    <w:rsid w:val="00F827E7"/>
    <w:rsid w:val="00F86011"/>
    <w:rsid w:val="00F862FB"/>
    <w:rsid w:val="00F87A3D"/>
    <w:rsid w:val="00F916AC"/>
    <w:rsid w:val="00F93836"/>
    <w:rsid w:val="00F96078"/>
    <w:rsid w:val="00F964C4"/>
    <w:rsid w:val="00F9788B"/>
    <w:rsid w:val="00FA3ED1"/>
    <w:rsid w:val="00FA4A47"/>
    <w:rsid w:val="00FB6448"/>
    <w:rsid w:val="00FB6CF4"/>
    <w:rsid w:val="00FC05CF"/>
    <w:rsid w:val="00FC70BE"/>
    <w:rsid w:val="00FD0100"/>
    <w:rsid w:val="00FD13D6"/>
    <w:rsid w:val="00FD2333"/>
    <w:rsid w:val="00FD4C60"/>
    <w:rsid w:val="00FD5C88"/>
    <w:rsid w:val="00FD6616"/>
    <w:rsid w:val="00FE0AC8"/>
    <w:rsid w:val="00FE2B20"/>
    <w:rsid w:val="00FE5321"/>
    <w:rsid w:val="00FE5632"/>
    <w:rsid w:val="00FF014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01B4"/>
  <w15:docId w15:val="{1DDF66AE-EA06-43A0-A1EF-BD338FAC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D5"/>
    <w:pPr>
      <w:spacing w:before="120" w:after="120"/>
    </w:pPr>
    <w:rPr>
      <w:rFonts w:cstheme="minorBidi"/>
      <w:szCs w:val="22"/>
    </w:rPr>
  </w:style>
  <w:style w:type="paragraph" w:styleId="Heading1">
    <w:name w:val="heading 1"/>
    <w:basedOn w:val="Normal"/>
    <w:next w:val="Normal"/>
    <w:link w:val="Heading1Char"/>
    <w:uiPriority w:val="9"/>
    <w:qFormat/>
    <w:rsid w:val="003C62D5"/>
    <w:pPr>
      <w:numPr>
        <w:numId w:val="2"/>
      </w:numPr>
      <w:outlineLvl w:val="0"/>
    </w:pPr>
    <w:rPr>
      <w:b/>
    </w:rPr>
  </w:style>
  <w:style w:type="paragraph" w:styleId="Heading2">
    <w:name w:val="heading 2"/>
    <w:basedOn w:val="Heading1"/>
    <w:next w:val="Normal"/>
    <w:link w:val="Heading2Char"/>
    <w:uiPriority w:val="9"/>
    <w:unhideWhenUsed/>
    <w:qFormat/>
    <w:rsid w:val="00B509E6"/>
    <w:pPr>
      <w:numPr>
        <w:ilvl w:val="1"/>
      </w:numPr>
      <w:ind w:left="418" w:hanging="418"/>
      <w:outlineLvl w:val="1"/>
    </w:pPr>
    <w:rPr>
      <w:rFonts w:cs="Times New Roman"/>
      <w:b w:val="0"/>
      <w:i/>
      <w:iCs/>
    </w:rPr>
  </w:style>
  <w:style w:type="paragraph" w:styleId="Heading3">
    <w:name w:val="heading 3"/>
    <w:basedOn w:val="Normal"/>
    <w:next w:val="Normal"/>
    <w:link w:val="Heading3Char"/>
    <w:uiPriority w:val="9"/>
    <w:unhideWhenUsed/>
    <w:qFormat/>
    <w:rsid w:val="005E7AD1"/>
    <w:pPr>
      <w:keepNext/>
      <w:ind w:left="720" w:hanging="720"/>
      <w:outlineLvl w:val="2"/>
    </w:pPr>
    <w:rPr>
      <w:rFonts w:eastAsia="Times New Roman"/>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bCs/>
      <w:szCs w:val="26"/>
      <w:u w:val="single"/>
    </w:rPr>
  </w:style>
  <w:style w:type="character" w:customStyle="1" w:styleId="Heading1Char">
    <w:name w:val="Heading 1 Char"/>
    <w:basedOn w:val="DefaultParagraphFont"/>
    <w:link w:val="Heading1"/>
    <w:uiPriority w:val="9"/>
    <w:rsid w:val="003C62D5"/>
    <w:rPr>
      <w:rFonts w:cstheme="minorBidi"/>
      <w:b/>
      <w:szCs w:val="22"/>
    </w:rPr>
  </w:style>
  <w:style w:type="character" w:styleId="Hyperlink">
    <w:name w:val="Hyperlink"/>
    <w:basedOn w:val="DefaultParagraphFont"/>
    <w:uiPriority w:val="99"/>
    <w:unhideWhenUsed/>
    <w:rsid w:val="003C62D5"/>
    <w:rPr>
      <w:color w:val="0000FF" w:themeColor="hyperlink"/>
      <w:u w:val="single"/>
    </w:rPr>
  </w:style>
  <w:style w:type="character" w:styleId="CommentReference">
    <w:name w:val="annotation reference"/>
    <w:basedOn w:val="DefaultParagraphFont"/>
    <w:uiPriority w:val="99"/>
    <w:semiHidden/>
    <w:unhideWhenUsed/>
    <w:rsid w:val="003C62D5"/>
    <w:rPr>
      <w:sz w:val="16"/>
      <w:szCs w:val="16"/>
    </w:rPr>
  </w:style>
  <w:style w:type="paragraph" w:styleId="CommentText">
    <w:name w:val="annotation text"/>
    <w:basedOn w:val="Normal"/>
    <w:link w:val="CommentTextChar"/>
    <w:uiPriority w:val="99"/>
    <w:semiHidden/>
    <w:unhideWhenUsed/>
    <w:rsid w:val="003C62D5"/>
    <w:rPr>
      <w:sz w:val="20"/>
      <w:szCs w:val="20"/>
    </w:rPr>
  </w:style>
  <w:style w:type="character" w:customStyle="1" w:styleId="CommentTextChar">
    <w:name w:val="Comment Text Char"/>
    <w:basedOn w:val="DefaultParagraphFont"/>
    <w:link w:val="CommentText"/>
    <w:uiPriority w:val="99"/>
    <w:semiHidden/>
    <w:rsid w:val="003C62D5"/>
    <w:rPr>
      <w:rFonts w:cstheme="minorBidi"/>
      <w:sz w:val="20"/>
      <w:szCs w:val="20"/>
    </w:rPr>
  </w:style>
  <w:style w:type="paragraph" w:styleId="Caption">
    <w:name w:val="caption"/>
    <w:basedOn w:val="Normal"/>
    <w:next w:val="Normal"/>
    <w:uiPriority w:val="35"/>
    <w:unhideWhenUsed/>
    <w:qFormat/>
    <w:rsid w:val="003C62D5"/>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3C62D5"/>
    <w:rPr>
      <w:sz w:val="20"/>
      <w:szCs w:val="20"/>
    </w:rPr>
  </w:style>
  <w:style w:type="character" w:customStyle="1" w:styleId="FootnoteTextChar">
    <w:name w:val="Footnote Text Char"/>
    <w:basedOn w:val="DefaultParagraphFont"/>
    <w:link w:val="FootnoteText"/>
    <w:uiPriority w:val="99"/>
    <w:semiHidden/>
    <w:rsid w:val="003C62D5"/>
    <w:rPr>
      <w:rFonts w:cstheme="minorBidi"/>
      <w:sz w:val="20"/>
      <w:szCs w:val="20"/>
    </w:rPr>
  </w:style>
  <w:style w:type="character" w:styleId="FootnoteReference">
    <w:name w:val="footnote reference"/>
    <w:basedOn w:val="DefaultParagraphFont"/>
    <w:uiPriority w:val="99"/>
    <w:semiHidden/>
    <w:unhideWhenUsed/>
    <w:rsid w:val="003C62D5"/>
    <w:rPr>
      <w:vertAlign w:val="superscript"/>
    </w:rPr>
  </w:style>
  <w:style w:type="paragraph" w:styleId="BalloonText">
    <w:name w:val="Balloon Text"/>
    <w:basedOn w:val="Normal"/>
    <w:link w:val="BalloonTextChar"/>
    <w:uiPriority w:val="99"/>
    <w:semiHidden/>
    <w:unhideWhenUsed/>
    <w:rsid w:val="003C62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D5"/>
    <w:rPr>
      <w:rFonts w:ascii="Tahoma" w:hAnsi="Tahoma" w:cs="Tahoma"/>
      <w:sz w:val="16"/>
      <w:szCs w:val="16"/>
    </w:rPr>
  </w:style>
  <w:style w:type="character" w:styleId="PlaceholderText">
    <w:name w:val="Placeholder Text"/>
    <w:basedOn w:val="DefaultParagraphFont"/>
    <w:uiPriority w:val="99"/>
    <w:semiHidden/>
    <w:rsid w:val="00372B84"/>
    <w:rPr>
      <w:color w:val="808080"/>
    </w:rPr>
  </w:style>
  <w:style w:type="table" w:styleId="TableGrid">
    <w:name w:val="Table Grid"/>
    <w:basedOn w:val="TableNormal"/>
    <w:uiPriority w:val="59"/>
    <w:rsid w:val="0062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F36F3"/>
    <w:pPr>
      <w:jc w:val="left"/>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8392C"/>
    <w:pPr>
      <w:contextualSpacing/>
    </w:pPr>
  </w:style>
  <w:style w:type="paragraph" w:styleId="CommentSubject">
    <w:name w:val="annotation subject"/>
    <w:basedOn w:val="CommentText"/>
    <w:next w:val="CommentText"/>
    <w:link w:val="CommentSubjectChar"/>
    <w:uiPriority w:val="99"/>
    <w:semiHidden/>
    <w:unhideWhenUsed/>
    <w:rsid w:val="00672622"/>
    <w:rPr>
      <w:b/>
      <w:bCs/>
    </w:rPr>
  </w:style>
  <w:style w:type="character" w:customStyle="1" w:styleId="CommentSubjectChar">
    <w:name w:val="Comment Subject Char"/>
    <w:basedOn w:val="CommentTextChar"/>
    <w:link w:val="CommentSubject"/>
    <w:uiPriority w:val="99"/>
    <w:semiHidden/>
    <w:rsid w:val="00672622"/>
    <w:rPr>
      <w:rFonts w:cstheme="minorBidi"/>
      <w:b/>
      <w:bCs/>
      <w:sz w:val="20"/>
      <w:szCs w:val="20"/>
    </w:rPr>
  </w:style>
  <w:style w:type="paragraph" w:styleId="Revision">
    <w:name w:val="Revision"/>
    <w:hidden/>
    <w:uiPriority w:val="99"/>
    <w:semiHidden/>
    <w:rsid w:val="00C36C8A"/>
    <w:pPr>
      <w:jc w:val="left"/>
    </w:pPr>
    <w:rPr>
      <w:rFonts w:cstheme="minorBidi"/>
      <w:szCs w:val="22"/>
    </w:rPr>
  </w:style>
  <w:style w:type="character" w:customStyle="1" w:styleId="apple-converted-space">
    <w:name w:val="apple-converted-space"/>
    <w:basedOn w:val="DefaultParagraphFont"/>
    <w:rsid w:val="005509A3"/>
  </w:style>
  <w:style w:type="paragraph" w:styleId="Header">
    <w:name w:val="header"/>
    <w:basedOn w:val="Normal"/>
    <w:link w:val="HeaderChar"/>
    <w:uiPriority w:val="99"/>
    <w:unhideWhenUsed/>
    <w:rsid w:val="00574C01"/>
    <w:pPr>
      <w:tabs>
        <w:tab w:val="center" w:pos="4680"/>
        <w:tab w:val="right" w:pos="9360"/>
      </w:tabs>
      <w:spacing w:before="0" w:after="0"/>
    </w:pPr>
  </w:style>
  <w:style w:type="character" w:customStyle="1" w:styleId="HeaderChar">
    <w:name w:val="Header Char"/>
    <w:basedOn w:val="DefaultParagraphFont"/>
    <w:link w:val="Header"/>
    <w:uiPriority w:val="99"/>
    <w:rsid w:val="00574C01"/>
    <w:rPr>
      <w:rFonts w:cstheme="minorBidi"/>
      <w:szCs w:val="22"/>
    </w:rPr>
  </w:style>
  <w:style w:type="paragraph" w:styleId="Footer">
    <w:name w:val="footer"/>
    <w:basedOn w:val="Normal"/>
    <w:link w:val="FooterChar"/>
    <w:uiPriority w:val="99"/>
    <w:unhideWhenUsed/>
    <w:rsid w:val="00574C01"/>
    <w:pPr>
      <w:tabs>
        <w:tab w:val="center" w:pos="4680"/>
        <w:tab w:val="right" w:pos="9360"/>
      </w:tabs>
      <w:spacing w:before="0" w:after="0"/>
    </w:pPr>
  </w:style>
  <w:style w:type="character" w:customStyle="1" w:styleId="FooterChar">
    <w:name w:val="Footer Char"/>
    <w:basedOn w:val="DefaultParagraphFont"/>
    <w:link w:val="Footer"/>
    <w:uiPriority w:val="99"/>
    <w:rsid w:val="00574C01"/>
    <w:rPr>
      <w:rFonts w:cstheme="minorBidi"/>
      <w:szCs w:val="22"/>
    </w:rPr>
  </w:style>
  <w:style w:type="character" w:customStyle="1" w:styleId="Heading2Char">
    <w:name w:val="Heading 2 Char"/>
    <w:basedOn w:val="DefaultParagraphFont"/>
    <w:link w:val="Heading2"/>
    <w:uiPriority w:val="9"/>
    <w:rsid w:val="00B509E6"/>
    <w:rPr>
      <w:i/>
      <w:iCs/>
      <w:szCs w:val="22"/>
    </w:rPr>
  </w:style>
  <w:style w:type="paragraph" w:styleId="PlainText">
    <w:name w:val="Plain Text"/>
    <w:basedOn w:val="Normal"/>
    <w:link w:val="PlainTextChar"/>
    <w:uiPriority w:val="99"/>
    <w:unhideWhenUsed/>
    <w:rsid w:val="00273BD5"/>
    <w:pPr>
      <w:spacing w:before="0" w:after="0"/>
      <w:jc w:val="left"/>
    </w:pPr>
    <w:rPr>
      <w:rFonts w:ascii="Book Antiqua" w:hAnsi="Book Antiqua"/>
      <w:sz w:val="22"/>
      <w:szCs w:val="21"/>
    </w:rPr>
  </w:style>
  <w:style w:type="character" w:customStyle="1" w:styleId="PlainTextChar">
    <w:name w:val="Plain Text Char"/>
    <w:basedOn w:val="DefaultParagraphFont"/>
    <w:link w:val="PlainText"/>
    <w:uiPriority w:val="99"/>
    <w:rsid w:val="00273BD5"/>
    <w:rPr>
      <w:rFonts w:ascii="Book Antiqua" w:hAnsi="Book Antiqua" w:cstheme="minorBidi"/>
      <w:sz w:val="22"/>
      <w:szCs w:val="21"/>
    </w:rPr>
  </w:style>
  <w:style w:type="paragraph" w:styleId="NormalWeb">
    <w:name w:val="Normal (Web)"/>
    <w:basedOn w:val="Normal"/>
    <w:uiPriority w:val="99"/>
    <w:semiHidden/>
    <w:unhideWhenUsed/>
    <w:rsid w:val="00437BED"/>
    <w:pPr>
      <w:spacing w:before="100" w:beforeAutospacing="1" w:after="100" w:afterAutospacing="1"/>
      <w:jc w:val="left"/>
    </w:pPr>
    <w:rPr>
      <w:rFonts w:eastAsiaTheme="minorEastAsia" w:cs="Times New Roman"/>
      <w:szCs w:val="24"/>
      <w:lang w:val="en-US"/>
    </w:rPr>
  </w:style>
  <w:style w:type="paragraph" w:styleId="HTMLPreformatted">
    <w:name w:val="HTML Preformatted"/>
    <w:basedOn w:val="Normal"/>
    <w:link w:val="HTMLPreformattedChar"/>
    <w:uiPriority w:val="99"/>
    <w:semiHidden/>
    <w:unhideWhenUsed/>
    <w:rsid w:val="006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3294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57420">
      <w:bodyDiv w:val="1"/>
      <w:marLeft w:val="0"/>
      <w:marRight w:val="0"/>
      <w:marTop w:val="0"/>
      <w:marBottom w:val="0"/>
      <w:divBdr>
        <w:top w:val="none" w:sz="0" w:space="0" w:color="auto"/>
        <w:left w:val="none" w:sz="0" w:space="0" w:color="auto"/>
        <w:bottom w:val="none" w:sz="0" w:space="0" w:color="auto"/>
        <w:right w:val="none" w:sz="0" w:space="0" w:color="auto"/>
      </w:divBdr>
    </w:div>
    <w:div w:id="566427989">
      <w:bodyDiv w:val="1"/>
      <w:marLeft w:val="0"/>
      <w:marRight w:val="0"/>
      <w:marTop w:val="0"/>
      <w:marBottom w:val="0"/>
      <w:divBdr>
        <w:top w:val="none" w:sz="0" w:space="0" w:color="auto"/>
        <w:left w:val="none" w:sz="0" w:space="0" w:color="auto"/>
        <w:bottom w:val="none" w:sz="0" w:space="0" w:color="auto"/>
        <w:right w:val="none" w:sz="0" w:space="0" w:color="auto"/>
      </w:divBdr>
    </w:div>
    <w:div w:id="620108899">
      <w:bodyDiv w:val="1"/>
      <w:marLeft w:val="0"/>
      <w:marRight w:val="0"/>
      <w:marTop w:val="0"/>
      <w:marBottom w:val="0"/>
      <w:divBdr>
        <w:top w:val="none" w:sz="0" w:space="0" w:color="auto"/>
        <w:left w:val="none" w:sz="0" w:space="0" w:color="auto"/>
        <w:bottom w:val="none" w:sz="0" w:space="0" w:color="auto"/>
        <w:right w:val="none" w:sz="0" w:space="0" w:color="auto"/>
      </w:divBdr>
    </w:div>
    <w:div w:id="648871954">
      <w:bodyDiv w:val="1"/>
      <w:marLeft w:val="0"/>
      <w:marRight w:val="0"/>
      <w:marTop w:val="0"/>
      <w:marBottom w:val="0"/>
      <w:divBdr>
        <w:top w:val="none" w:sz="0" w:space="0" w:color="auto"/>
        <w:left w:val="none" w:sz="0" w:space="0" w:color="auto"/>
        <w:bottom w:val="none" w:sz="0" w:space="0" w:color="auto"/>
        <w:right w:val="none" w:sz="0" w:space="0" w:color="auto"/>
      </w:divBdr>
    </w:div>
    <w:div w:id="651443051">
      <w:bodyDiv w:val="1"/>
      <w:marLeft w:val="0"/>
      <w:marRight w:val="0"/>
      <w:marTop w:val="0"/>
      <w:marBottom w:val="0"/>
      <w:divBdr>
        <w:top w:val="none" w:sz="0" w:space="0" w:color="auto"/>
        <w:left w:val="none" w:sz="0" w:space="0" w:color="auto"/>
        <w:bottom w:val="none" w:sz="0" w:space="0" w:color="auto"/>
        <w:right w:val="none" w:sz="0" w:space="0" w:color="auto"/>
      </w:divBdr>
    </w:div>
    <w:div w:id="676663314">
      <w:bodyDiv w:val="1"/>
      <w:marLeft w:val="0"/>
      <w:marRight w:val="0"/>
      <w:marTop w:val="0"/>
      <w:marBottom w:val="0"/>
      <w:divBdr>
        <w:top w:val="none" w:sz="0" w:space="0" w:color="auto"/>
        <w:left w:val="none" w:sz="0" w:space="0" w:color="auto"/>
        <w:bottom w:val="none" w:sz="0" w:space="0" w:color="auto"/>
        <w:right w:val="none" w:sz="0" w:space="0" w:color="auto"/>
      </w:divBdr>
    </w:div>
    <w:div w:id="732659455">
      <w:bodyDiv w:val="1"/>
      <w:marLeft w:val="0"/>
      <w:marRight w:val="0"/>
      <w:marTop w:val="0"/>
      <w:marBottom w:val="0"/>
      <w:divBdr>
        <w:top w:val="none" w:sz="0" w:space="0" w:color="auto"/>
        <w:left w:val="none" w:sz="0" w:space="0" w:color="auto"/>
        <w:bottom w:val="none" w:sz="0" w:space="0" w:color="auto"/>
        <w:right w:val="none" w:sz="0" w:space="0" w:color="auto"/>
      </w:divBdr>
    </w:div>
    <w:div w:id="745110203">
      <w:bodyDiv w:val="1"/>
      <w:marLeft w:val="0"/>
      <w:marRight w:val="0"/>
      <w:marTop w:val="0"/>
      <w:marBottom w:val="0"/>
      <w:divBdr>
        <w:top w:val="none" w:sz="0" w:space="0" w:color="auto"/>
        <w:left w:val="none" w:sz="0" w:space="0" w:color="auto"/>
        <w:bottom w:val="none" w:sz="0" w:space="0" w:color="auto"/>
        <w:right w:val="none" w:sz="0" w:space="0" w:color="auto"/>
      </w:divBdr>
    </w:div>
    <w:div w:id="896286570">
      <w:bodyDiv w:val="1"/>
      <w:marLeft w:val="0"/>
      <w:marRight w:val="0"/>
      <w:marTop w:val="0"/>
      <w:marBottom w:val="0"/>
      <w:divBdr>
        <w:top w:val="none" w:sz="0" w:space="0" w:color="auto"/>
        <w:left w:val="none" w:sz="0" w:space="0" w:color="auto"/>
        <w:bottom w:val="none" w:sz="0" w:space="0" w:color="auto"/>
        <w:right w:val="none" w:sz="0" w:space="0" w:color="auto"/>
      </w:divBdr>
    </w:div>
    <w:div w:id="909314252">
      <w:bodyDiv w:val="1"/>
      <w:marLeft w:val="0"/>
      <w:marRight w:val="0"/>
      <w:marTop w:val="0"/>
      <w:marBottom w:val="0"/>
      <w:divBdr>
        <w:top w:val="none" w:sz="0" w:space="0" w:color="auto"/>
        <w:left w:val="none" w:sz="0" w:space="0" w:color="auto"/>
        <w:bottom w:val="none" w:sz="0" w:space="0" w:color="auto"/>
        <w:right w:val="none" w:sz="0" w:space="0" w:color="auto"/>
      </w:divBdr>
    </w:div>
    <w:div w:id="1069495641">
      <w:bodyDiv w:val="1"/>
      <w:marLeft w:val="0"/>
      <w:marRight w:val="0"/>
      <w:marTop w:val="0"/>
      <w:marBottom w:val="0"/>
      <w:divBdr>
        <w:top w:val="none" w:sz="0" w:space="0" w:color="auto"/>
        <w:left w:val="none" w:sz="0" w:space="0" w:color="auto"/>
        <w:bottom w:val="none" w:sz="0" w:space="0" w:color="auto"/>
        <w:right w:val="none" w:sz="0" w:space="0" w:color="auto"/>
      </w:divBdr>
      <w:divsChild>
        <w:div w:id="111020454">
          <w:marLeft w:val="504"/>
          <w:marRight w:val="0"/>
          <w:marTop w:val="0"/>
          <w:marBottom w:val="0"/>
          <w:divBdr>
            <w:top w:val="none" w:sz="0" w:space="0" w:color="auto"/>
            <w:left w:val="none" w:sz="0" w:space="0" w:color="auto"/>
            <w:bottom w:val="none" w:sz="0" w:space="0" w:color="auto"/>
            <w:right w:val="none" w:sz="0" w:space="0" w:color="auto"/>
          </w:divBdr>
        </w:div>
      </w:divsChild>
    </w:div>
    <w:div w:id="1088959723">
      <w:bodyDiv w:val="1"/>
      <w:marLeft w:val="0"/>
      <w:marRight w:val="0"/>
      <w:marTop w:val="0"/>
      <w:marBottom w:val="0"/>
      <w:divBdr>
        <w:top w:val="none" w:sz="0" w:space="0" w:color="auto"/>
        <w:left w:val="none" w:sz="0" w:space="0" w:color="auto"/>
        <w:bottom w:val="none" w:sz="0" w:space="0" w:color="auto"/>
        <w:right w:val="none" w:sz="0" w:space="0" w:color="auto"/>
      </w:divBdr>
    </w:div>
    <w:div w:id="1285231238">
      <w:bodyDiv w:val="1"/>
      <w:marLeft w:val="0"/>
      <w:marRight w:val="0"/>
      <w:marTop w:val="0"/>
      <w:marBottom w:val="0"/>
      <w:divBdr>
        <w:top w:val="none" w:sz="0" w:space="0" w:color="auto"/>
        <w:left w:val="none" w:sz="0" w:space="0" w:color="auto"/>
        <w:bottom w:val="none" w:sz="0" w:space="0" w:color="auto"/>
        <w:right w:val="none" w:sz="0" w:space="0" w:color="auto"/>
      </w:divBdr>
    </w:div>
    <w:div w:id="1321159647">
      <w:bodyDiv w:val="1"/>
      <w:marLeft w:val="0"/>
      <w:marRight w:val="0"/>
      <w:marTop w:val="0"/>
      <w:marBottom w:val="0"/>
      <w:divBdr>
        <w:top w:val="none" w:sz="0" w:space="0" w:color="auto"/>
        <w:left w:val="none" w:sz="0" w:space="0" w:color="auto"/>
        <w:bottom w:val="none" w:sz="0" w:space="0" w:color="auto"/>
        <w:right w:val="none" w:sz="0" w:space="0" w:color="auto"/>
      </w:divBdr>
    </w:div>
    <w:div w:id="1394886694">
      <w:bodyDiv w:val="1"/>
      <w:marLeft w:val="0"/>
      <w:marRight w:val="0"/>
      <w:marTop w:val="0"/>
      <w:marBottom w:val="0"/>
      <w:divBdr>
        <w:top w:val="none" w:sz="0" w:space="0" w:color="auto"/>
        <w:left w:val="none" w:sz="0" w:space="0" w:color="auto"/>
        <w:bottom w:val="none" w:sz="0" w:space="0" w:color="auto"/>
        <w:right w:val="none" w:sz="0" w:space="0" w:color="auto"/>
      </w:divBdr>
    </w:div>
    <w:div w:id="1502507024">
      <w:bodyDiv w:val="1"/>
      <w:marLeft w:val="0"/>
      <w:marRight w:val="0"/>
      <w:marTop w:val="0"/>
      <w:marBottom w:val="0"/>
      <w:divBdr>
        <w:top w:val="none" w:sz="0" w:space="0" w:color="auto"/>
        <w:left w:val="none" w:sz="0" w:space="0" w:color="auto"/>
        <w:bottom w:val="none" w:sz="0" w:space="0" w:color="auto"/>
        <w:right w:val="none" w:sz="0" w:space="0" w:color="auto"/>
      </w:divBdr>
    </w:div>
    <w:div w:id="1516378471">
      <w:bodyDiv w:val="1"/>
      <w:marLeft w:val="0"/>
      <w:marRight w:val="0"/>
      <w:marTop w:val="0"/>
      <w:marBottom w:val="0"/>
      <w:divBdr>
        <w:top w:val="none" w:sz="0" w:space="0" w:color="auto"/>
        <w:left w:val="none" w:sz="0" w:space="0" w:color="auto"/>
        <w:bottom w:val="none" w:sz="0" w:space="0" w:color="auto"/>
        <w:right w:val="none" w:sz="0" w:space="0" w:color="auto"/>
      </w:divBdr>
    </w:div>
    <w:div w:id="1850486013">
      <w:bodyDiv w:val="1"/>
      <w:marLeft w:val="0"/>
      <w:marRight w:val="0"/>
      <w:marTop w:val="0"/>
      <w:marBottom w:val="0"/>
      <w:divBdr>
        <w:top w:val="none" w:sz="0" w:space="0" w:color="auto"/>
        <w:left w:val="none" w:sz="0" w:space="0" w:color="auto"/>
        <w:bottom w:val="none" w:sz="0" w:space="0" w:color="auto"/>
        <w:right w:val="none" w:sz="0" w:space="0" w:color="auto"/>
      </w:divBdr>
    </w:div>
    <w:div w:id="19005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ed.faghihimani@mail.mcgill.ca" TargetMode="External"/><Relationship Id="rId13" Type="http://schemas.openxmlformats.org/officeDocument/2006/relationships/oleObject" Target="embeddings/oleObject2.bin"/><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image" Target="media/image2.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lnaz\Documents\ahmadreza\TAZBIXI\Figur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Sheet1!$F$1</c:f>
              <c:strCache>
                <c:ptCount val="1"/>
                <c:pt idx="0">
                  <c:v>1 station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Sheet1!$F$2:$F$31</c:f>
              <c:numCache>
                <c:formatCode>General</c:formatCode>
                <c:ptCount val="30"/>
                <c:pt idx="0">
                  <c:v>-1.1286602269265562</c:v>
                </c:pt>
                <c:pt idx="1">
                  <c:v>-0.43551304636661098</c:v>
                </c:pt>
                <c:pt idx="2">
                  <c:v>-3.0047938258446389E-2</c:v>
                </c:pt>
                <c:pt idx="3">
                  <c:v>0.25763413419333431</c:v>
                </c:pt>
                <c:pt idx="4">
                  <c:v>0.48077768550754429</c:v>
                </c:pt>
                <c:pt idx="5">
                  <c:v>0.66309924230149897</c:v>
                </c:pt>
                <c:pt idx="6">
                  <c:v>0.81724992212875713</c:v>
                </c:pt>
                <c:pt idx="7">
                  <c:v>0.95078131475327965</c:v>
                </c:pt>
                <c:pt idx="8">
                  <c:v>1.0685643504096634</c:v>
                </c:pt>
                <c:pt idx="9">
                  <c:v>1.1739248660674895</c:v>
                </c:pt>
                <c:pt idx="10">
                  <c:v>1.2692350458718145</c:v>
                </c:pt>
                <c:pt idx="11">
                  <c:v>1.3562464228614441</c:v>
                </c:pt>
                <c:pt idx="12">
                  <c:v>1.4362891305349805</c:v>
                </c:pt>
                <c:pt idx="13">
                  <c:v>1.5103971026887024</c:v>
                </c:pt>
                <c:pt idx="14">
                  <c:v>1.5793899741756539</c:v>
                </c:pt>
                <c:pt idx="15">
                  <c:v>1.6439284953132249</c:v>
                </c:pt>
                <c:pt idx="16">
                  <c:v>1.70455311712966</c:v>
                </c:pt>
                <c:pt idx="17">
                  <c:v>1.7617115309696085</c:v>
                </c:pt>
                <c:pt idx="18">
                  <c:v>1.8157787522398843</c:v>
                </c:pt>
                <c:pt idx="19">
                  <c:v>1.8670720466274349</c:v>
                </c:pt>
                <c:pt idx="20">
                  <c:v>1.915862210796867</c:v>
                </c:pt>
                <c:pt idx="21">
                  <c:v>1.9623822264317599</c:v>
                </c:pt>
                <c:pt idx="22">
                  <c:v>2.0068339890025935</c:v>
                </c:pt>
                <c:pt idx="23">
                  <c:v>2.0493936034213895</c:v>
                </c:pt>
                <c:pt idx="24">
                  <c:v>2.0902155979416448</c:v>
                </c:pt>
                <c:pt idx="25">
                  <c:v>2.1294363110949259</c:v>
                </c:pt>
                <c:pt idx="26">
                  <c:v>2.1671766390777729</c:v>
                </c:pt>
                <c:pt idx="27">
                  <c:v>2.2035442832486476</c:v>
                </c:pt>
                <c:pt idx="28">
                  <c:v>2.2386356030599179</c:v>
                </c:pt>
                <c:pt idx="29">
                  <c:v>2.2725371547355993</c:v>
                </c:pt>
              </c:numCache>
            </c:numRef>
          </c:yVal>
          <c:smooth val="1"/>
          <c:extLst xmlns:c16r2="http://schemas.microsoft.com/office/drawing/2015/06/chart">
            <c:ext xmlns:c16="http://schemas.microsoft.com/office/drawing/2014/chart" uri="{C3380CC4-5D6E-409C-BE32-E72D297353CC}">
              <c16:uniqueId val="{00000000-B55D-4031-9308-25E40AE6E3B7}"/>
            </c:ext>
          </c:extLst>
        </c:ser>
        <c:ser>
          <c:idx val="1"/>
          <c:order val="1"/>
          <c:tx>
            <c:strRef>
              <c:f>Sheet1!$G$1</c:f>
              <c:strCache>
                <c:ptCount val="1"/>
                <c:pt idx="0">
                  <c:v>2 stations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Sheet1!$G$2:$G$31</c:f>
              <c:numCache>
                <c:formatCode>General</c:formatCode>
                <c:ptCount val="30"/>
                <c:pt idx="0">
                  <c:v>-0.43551304636661098</c:v>
                </c:pt>
                <c:pt idx="1">
                  <c:v>0.25763413419333431</c:v>
                </c:pt>
                <c:pt idx="2">
                  <c:v>0.66309924230149897</c:v>
                </c:pt>
                <c:pt idx="3">
                  <c:v>0.95078131475327965</c:v>
                </c:pt>
                <c:pt idx="4">
                  <c:v>1.1739248660674895</c:v>
                </c:pt>
                <c:pt idx="5">
                  <c:v>1.3562464228614441</c:v>
                </c:pt>
                <c:pt idx="6">
                  <c:v>1.5103971026887024</c:v>
                </c:pt>
                <c:pt idx="7">
                  <c:v>1.6439284953132249</c:v>
                </c:pt>
                <c:pt idx="8">
                  <c:v>1.7617115309696085</c:v>
                </c:pt>
                <c:pt idx="9">
                  <c:v>1.8670720466274349</c:v>
                </c:pt>
                <c:pt idx="10">
                  <c:v>1.9623822264317599</c:v>
                </c:pt>
                <c:pt idx="11">
                  <c:v>2.0493936034213895</c:v>
                </c:pt>
                <c:pt idx="12">
                  <c:v>2.1294363110949259</c:v>
                </c:pt>
                <c:pt idx="13">
                  <c:v>2.2035442832486476</c:v>
                </c:pt>
                <c:pt idx="14">
                  <c:v>2.2725371547355993</c:v>
                </c:pt>
                <c:pt idx="15">
                  <c:v>2.3370756758731703</c:v>
                </c:pt>
                <c:pt idx="16">
                  <c:v>2.3977002976896054</c:v>
                </c:pt>
                <c:pt idx="17">
                  <c:v>2.4548587115295537</c:v>
                </c:pt>
                <c:pt idx="18">
                  <c:v>2.5089259327998295</c:v>
                </c:pt>
                <c:pt idx="19">
                  <c:v>2.56021922718738</c:v>
                </c:pt>
                <c:pt idx="20">
                  <c:v>2.6090093913568122</c:v>
                </c:pt>
                <c:pt idx="21">
                  <c:v>2.6555294069917053</c:v>
                </c:pt>
                <c:pt idx="22">
                  <c:v>2.6999811695625389</c:v>
                </c:pt>
                <c:pt idx="23">
                  <c:v>2.7425407839813349</c:v>
                </c:pt>
                <c:pt idx="24">
                  <c:v>2.7833627785015898</c:v>
                </c:pt>
                <c:pt idx="25">
                  <c:v>2.8225834916548709</c:v>
                </c:pt>
                <c:pt idx="26">
                  <c:v>2.8603238196377183</c:v>
                </c:pt>
                <c:pt idx="27">
                  <c:v>2.896691463808593</c:v>
                </c:pt>
                <c:pt idx="28">
                  <c:v>2.9317827836198633</c:v>
                </c:pt>
                <c:pt idx="29">
                  <c:v>2.9656843352955446</c:v>
                </c:pt>
              </c:numCache>
            </c:numRef>
          </c:yVal>
          <c:smooth val="1"/>
          <c:extLst xmlns:c16r2="http://schemas.microsoft.com/office/drawing/2015/06/chart">
            <c:ext xmlns:c16="http://schemas.microsoft.com/office/drawing/2014/chart" uri="{C3380CC4-5D6E-409C-BE32-E72D297353CC}">
              <c16:uniqueId val="{00000001-B55D-4031-9308-25E40AE6E3B7}"/>
            </c:ext>
          </c:extLst>
        </c:ser>
        <c:ser>
          <c:idx val="2"/>
          <c:order val="2"/>
          <c:tx>
            <c:strRef>
              <c:f>Sheet1!$H$1</c:f>
              <c:strCache>
                <c:ptCount val="1"/>
                <c:pt idx="0">
                  <c:v>3 stations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Sheet1!$H$2:$H$31</c:f>
              <c:numCache>
                <c:formatCode>General</c:formatCode>
                <c:ptCount val="30"/>
                <c:pt idx="0">
                  <c:v>-3.0047938258446389E-2</c:v>
                </c:pt>
                <c:pt idx="1">
                  <c:v>0.66309924230149897</c:v>
                </c:pt>
                <c:pt idx="2">
                  <c:v>1.0685643504096634</c:v>
                </c:pt>
                <c:pt idx="3">
                  <c:v>1.3562464228614441</c:v>
                </c:pt>
                <c:pt idx="4">
                  <c:v>1.5793899741756539</c:v>
                </c:pt>
                <c:pt idx="5">
                  <c:v>1.7617115309696085</c:v>
                </c:pt>
                <c:pt idx="6">
                  <c:v>1.915862210796867</c:v>
                </c:pt>
                <c:pt idx="7">
                  <c:v>2.0493936034213895</c:v>
                </c:pt>
                <c:pt idx="8">
                  <c:v>2.1671766390777729</c:v>
                </c:pt>
                <c:pt idx="9">
                  <c:v>2.2725371547355993</c:v>
                </c:pt>
                <c:pt idx="10">
                  <c:v>2.367847334539924</c:v>
                </c:pt>
                <c:pt idx="11">
                  <c:v>2.4548587115295537</c:v>
                </c:pt>
                <c:pt idx="12">
                  <c:v>2.5349014192030901</c:v>
                </c:pt>
                <c:pt idx="13">
                  <c:v>2.6090093913568122</c:v>
                </c:pt>
                <c:pt idx="14">
                  <c:v>2.6780022628437634</c:v>
                </c:pt>
                <c:pt idx="15">
                  <c:v>2.7425407839813349</c:v>
                </c:pt>
                <c:pt idx="16">
                  <c:v>2.8031654057977695</c:v>
                </c:pt>
                <c:pt idx="17">
                  <c:v>2.8603238196377183</c:v>
                </c:pt>
                <c:pt idx="18">
                  <c:v>2.9143910409079941</c:v>
                </c:pt>
                <c:pt idx="19">
                  <c:v>2.9656843352955446</c:v>
                </c:pt>
                <c:pt idx="20">
                  <c:v>3.0144744994649768</c:v>
                </c:pt>
                <c:pt idx="21">
                  <c:v>3.0609945150998694</c:v>
                </c:pt>
                <c:pt idx="22">
                  <c:v>3.105446277670703</c:v>
                </c:pt>
                <c:pt idx="23">
                  <c:v>3.1480058920894991</c:v>
                </c:pt>
                <c:pt idx="24">
                  <c:v>3.1888278866097544</c:v>
                </c:pt>
                <c:pt idx="25">
                  <c:v>3.2280485997630355</c:v>
                </c:pt>
                <c:pt idx="26">
                  <c:v>3.2657889277458825</c:v>
                </c:pt>
                <c:pt idx="27">
                  <c:v>3.3021565719167576</c:v>
                </c:pt>
                <c:pt idx="28">
                  <c:v>3.3372478917280279</c:v>
                </c:pt>
                <c:pt idx="29">
                  <c:v>3.3711494434037088</c:v>
                </c:pt>
              </c:numCache>
            </c:numRef>
          </c:yVal>
          <c:smooth val="1"/>
          <c:extLst xmlns:c16r2="http://schemas.microsoft.com/office/drawing/2015/06/chart">
            <c:ext xmlns:c16="http://schemas.microsoft.com/office/drawing/2014/chart" uri="{C3380CC4-5D6E-409C-BE32-E72D297353CC}">
              <c16:uniqueId val="{00000002-B55D-4031-9308-25E40AE6E3B7}"/>
            </c:ext>
          </c:extLst>
        </c:ser>
        <c:ser>
          <c:idx val="3"/>
          <c:order val="3"/>
          <c:tx>
            <c:strRef>
              <c:f>Sheet1!$I$1</c:f>
              <c:strCache>
                <c:ptCount val="1"/>
                <c:pt idx="0">
                  <c:v>4 stations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Sheet1!$I$2:$I$31</c:f>
              <c:numCache>
                <c:formatCode>General</c:formatCode>
                <c:ptCount val="30"/>
                <c:pt idx="0">
                  <c:v>0.25763413419333431</c:v>
                </c:pt>
                <c:pt idx="1">
                  <c:v>0.95078131475327965</c:v>
                </c:pt>
                <c:pt idx="2">
                  <c:v>1.3562464228614441</c:v>
                </c:pt>
                <c:pt idx="3">
                  <c:v>1.6439284953132249</c:v>
                </c:pt>
                <c:pt idx="4">
                  <c:v>1.8670720466274349</c:v>
                </c:pt>
                <c:pt idx="5">
                  <c:v>2.0493936034213895</c:v>
                </c:pt>
                <c:pt idx="6">
                  <c:v>2.2035442832486476</c:v>
                </c:pt>
                <c:pt idx="7">
                  <c:v>2.3370756758731703</c:v>
                </c:pt>
                <c:pt idx="8">
                  <c:v>2.4548587115295537</c:v>
                </c:pt>
                <c:pt idx="9">
                  <c:v>2.56021922718738</c:v>
                </c:pt>
                <c:pt idx="10">
                  <c:v>2.6555294069917053</c:v>
                </c:pt>
                <c:pt idx="11">
                  <c:v>2.7425407839813349</c:v>
                </c:pt>
                <c:pt idx="12">
                  <c:v>2.8225834916548709</c:v>
                </c:pt>
                <c:pt idx="13">
                  <c:v>2.896691463808593</c:v>
                </c:pt>
                <c:pt idx="14">
                  <c:v>2.9656843352955446</c:v>
                </c:pt>
                <c:pt idx="15">
                  <c:v>3.0302228564331157</c:v>
                </c:pt>
                <c:pt idx="16">
                  <c:v>3.0908474782495503</c:v>
                </c:pt>
                <c:pt idx="17">
                  <c:v>3.1480058920894991</c:v>
                </c:pt>
                <c:pt idx="18">
                  <c:v>3.2020731133597748</c:v>
                </c:pt>
                <c:pt idx="19">
                  <c:v>3.2533664077473254</c:v>
                </c:pt>
                <c:pt idx="20">
                  <c:v>3.3021565719167576</c:v>
                </c:pt>
                <c:pt idx="21">
                  <c:v>3.3486765875516502</c:v>
                </c:pt>
                <c:pt idx="22">
                  <c:v>3.3931283501224843</c:v>
                </c:pt>
                <c:pt idx="23">
                  <c:v>3.4356879645412803</c:v>
                </c:pt>
                <c:pt idx="24">
                  <c:v>3.4765099590615351</c:v>
                </c:pt>
                <c:pt idx="25">
                  <c:v>3.5157306722148163</c:v>
                </c:pt>
                <c:pt idx="26">
                  <c:v>3.5534710001976637</c:v>
                </c:pt>
                <c:pt idx="27">
                  <c:v>3.5898386443685384</c:v>
                </c:pt>
                <c:pt idx="28">
                  <c:v>3.6249299641798087</c:v>
                </c:pt>
                <c:pt idx="29">
                  <c:v>3.6588315158554896</c:v>
                </c:pt>
              </c:numCache>
            </c:numRef>
          </c:yVal>
          <c:smooth val="1"/>
          <c:extLst xmlns:c16r2="http://schemas.microsoft.com/office/drawing/2015/06/chart">
            <c:ext xmlns:c16="http://schemas.microsoft.com/office/drawing/2014/chart" uri="{C3380CC4-5D6E-409C-BE32-E72D297353CC}">
              <c16:uniqueId val="{00000003-B55D-4031-9308-25E40AE6E3B7}"/>
            </c:ext>
          </c:extLst>
        </c:ser>
        <c:ser>
          <c:idx val="4"/>
          <c:order val="4"/>
          <c:tx>
            <c:strRef>
              <c:f>Sheet1!$J$1</c:f>
              <c:strCache>
                <c:ptCount val="1"/>
                <c:pt idx="0">
                  <c:v>5 stations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Sheet1!$J$2:$J$31</c:f>
              <c:numCache>
                <c:formatCode>General</c:formatCode>
                <c:ptCount val="30"/>
                <c:pt idx="0">
                  <c:v>0.48077768550754413</c:v>
                </c:pt>
                <c:pt idx="1">
                  <c:v>1.1739248660674895</c:v>
                </c:pt>
                <c:pt idx="2">
                  <c:v>1.5793899741756539</c:v>
                </c:pt>
                <c:pt idx="3">
                  <c:v>1.8670720466274346</c:v>
                </c:pt>
                <c:pt idx="4">
                  <c:v>2.0902155979416448</c:v>
                </c:pt>
                <c:pt idx="5">
                  <c:v>2.2725371547355993</c:v>
                </c:pt>
                <c:pt idx="6">
                  <c:v>2.4266878345628573</c:v>
                </c:pt>
                <c:pt idx="7">
                  <c:v>2.56021922718738</c:v>
                </c:pt>
                <c:pt idx="8">
                  <c:v>2.6780022628437634</c:v>
                </c:pt>
                <c:pt idx="9">
                  <c:v>2.7833627785015898</c:v>
                </c:pt>
                <c:pt idx="10">
                  <c:v>2.8786729583059145</c:v>
                </c:pt>
                <c:pt idx="11">
                  <c:v>2.9656843352955446</c:v>
                </c:pt>
                <c:pt idx="12">
                  <c:v>3.045727042969081</c:v>
                </c:pt>
                <c:pt idx="13">
                  <c:v>3.1198350151228027</c:v>
                </c:pt>
                <c:pt idx="14">
                  <c:v>3.1888278866097539</c:v>
                </c:pt>
                <c:pt idx="15">
                  <c:v>3.2533664077473254</c:v>
                </c:pt>
                <c:pt idx="16">
                  <c:v>3.31399102956376</c:v>
                </c:pt>
                <c:pt idx="17">
                  <c:v>3.3711494434037088</c:v>
                </c:pt>
                <c:pt idx="18">
                  <c:v>3.4252166646739846</c:v>
                </c:pt>
                <c:pt idx="19">
                  <c:v>3.4765099590615351</c:v>
                </c:pt>
                <c:pt idx="20">
                  <c:v>3.5253001232309673</c:v>
                </c:pt>
                <c:pt idx="21">
                  <c:v>3.5718201388658599</c:v>
                </c:pt>
                <c:pt idx="22">
                  <c:v>3.616271901436694</c:v>
                </c:pt>
                <c:pt idx="23">
                  <c:v>3.6588315158554896</c:v>
                </c:pt>
                <c:pt idx="24">
                  <c:v>3.6996535103757449</c:v>
                </c:pt>
                <c:pt idx="25">
                  <c:v>3.738874223529026</c:v>
                </c:pt>
                <c:pt idx="26">
                  <c:v>3.7766145515118734</c:v>
                </c:pt>
                <c:pt idx="27">
                  <c:v>3.8129821956827481</c:v>
                </c:pt>
                <c:pt idx="28">
                  <c:v>3.8480735154940184</c:v>
                </c:pt>
                <c:pt idx="29">
                  <c:v>3.8819750671696993</c:v>
                </c:pt>
              </c:numCache>
            </c:numRef>
          </c:yVal>
          <c:smooth val="1"/>
          <c:extLst xmlns:c16r2="http://schemas.microsoft.com/office/drawing/2015/06/chart">
            <c:ext xmlns:c16="http://schemas.microsoft.com/office/drawing/2014/chart" uri="{C3380CC4-5D6E-409C-BE32-E72D297353CC}">
              <c16:uniqueId val="{00000004-B55D-4031-9308-25E40AE6E3B7}"/>
            </c:ext>
          </c:extLst>
        </c:ser>
        <c:ser>
          <c:idx val="5"/>
          <c:order val="5"/>
          <c:tx>
            <c:strRef>
              <c:f>Sheet1!$K$1</c:f>
              <c:strCache>
                <c:ptCount val="1"/>
                <c:pt idx="0">
                  <c:v>6 stations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Sheet1!$K$2:$K$31</c:f>
              <c:numCache>
                <c:formatCode>General</c:formatCode>
                <c:ptCount val="30"/>
                <c:pt idx="0">
                  <c:v>0.66309924230149897</c:v>
                </c:pt>
                <c:pt idx="1">
                  <c:v>1.3562464228614441</c:v>
                </c:pt>
                <c:pt idx="2">
                  <c:v>1.7617115309696085</c:v>
                </c:pt>
                <c:pt idx="3">
                  <c:v>2.0493936034213895</c:v>
                </c:pt>
                <c:pt idx="4">
                  <c:v>2.2725371547355993</c:v>
                </c:pt>
                <c:pt idx="5">
                  <c:v>2.4548587115295537</c:v>
                </c:pt>
                <c:pt idx="6">
                  <c:v>2.6090093913568122</c:v>
                </c:pt>
                <c:pt idx="7">
                  <c:v>2.7425407839813349</c:v>
                </c:pt>
                <c:pt idx="8">
                  <c:v>2.8603238196377183</c:v>
                </c:pt>
                <c:pt idx="9">
                  <c:v>2.9656843352955446</c:v>
                </c:pt>
                <c:pt idx="10">
                  <c:v>3.0609945150998694</c:v>
                </c:pt>
                <c:pt idx="11">
                  <c:v>3.1480058920894991</c:v>
                </c:pt>
                <c:pt idx="12">
                  <c:v>3.2280485997630355</c:v>
                </c:pt>
                <c:pt idx="13">
                  <c:v>3.3021565719167576</c:v>
                </c:pt>
                <c:pt idx="14">
                  <c:v>3.3711494434037088</c:v>
                </c:pt>
                <c:pt idx="15">
                  <c:v>3.4356879645412803</c:v>
                </c:pt>
                <c:pt idx="16">
                  <c:v>3.4963125863577149</c:v>
                </c:pt>
                <c:pt idx="17">
                  <c:v>3.5534710001976637</c:v>
                </c:pt>
                <c:pt idx="18">
                  <c:v>3.6075382214679395</c:v>
                </c:pt>
                <c:pt idx="19">
                  <c:v>3.6588315158554896</c:v>
                </c:pt>
                <c:pt idx="20">
                  <c:v>3.7076216800249222</c:v>
                </c:pt>
                <c:pt idx="21">
                  <c:v>3.7541416956598148</c:v>
                </c:pt>
                <c:pt idx="22">
                  <c:v>3.7985934582306484</c:v>
                </c:pt>
                <c:pt idx="23">
                  <c:v>3.8411530726494445</c:v>
                </c:pt>
                <c:pt idx="24">
                  <c:v>3.8819750671696998</c:v>
                </c:pt>
                <c:pt idx="25">
                  <c:v>3.9211957803229809</c:v>
                </c:pt>
                <c:pt idx="26">
                  <c:v>3.9589361083058279</c:v>
                </c:pt>
                <c:pt idx="27">
                  <c:v>3.995303752476703</c:v>
                </c:pt>
                <c:pt idx="28">
                  <c:v>4.0303950722879733</c:v>
                </c:pt>
                <c:pt idx="29">
                  <c:v>4.0642966239636538</c:v>
                </c:pt>
              </c:numCache>
            </c:numRef>
          </c:yVal>
          <c:smooth val="1"/>
          <c:extLst xmlns:c16r2="http://schemas.microsoft.com/office/drawing/2015/06/chart">
            <c:ext xmlns:c16="http://schemas.microsoft.com/office/drawing/2014/chart" uri="{C3380CC4-5D6E-409C-BE32-E72D297353CC}">
              <c16:uniqueId val="{00000005-B55D-4031-9308-25E40AE6E3B7}"/>
            </c:ext>
          </c:extLst>
        </c:ser>
        <c:ser>
          <c:idx val="6"/>
          <c:order val="6"/>
          <c:tx>
            <c:strRef>
              <c:f>Sheet1!$L$1</c:f>
              <c:strCache>
                <c:ptCount val="1"/>
                <c:pt idx="0">
                  <c:v>7 stations in TAZ</c:v>
                </c:pt>
              </c:strCache>
            </c:strRef>
          </c:tx>
          <c:marker>
            <c:symbol val="none"/>
          </c:marker>
          <c:xVal>
            <c:numRef>
              <c:f>Sheet1!$E$2:$E$31</c:f>
              <c:numCache>
                <c:formatCode>General</c:formatCode>
                <c:ptCount val="3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numCache>
            </c:numRef>
          </c:xVal>
          <c:yVal>
            <c:numRef>
              <c:f>Sheet1!$L$2:$L$31</c:f>
              <c:numCache>
                <c:formatCode>General</c:formatCode>
                <c:ptCount val="30"/>
                <c:pt idx="0">
                  <c:v>0.81724992212875713</c:v>
                </c:pt>
                <c:pt idx="1">
                  <c:v>1.5103971026887024</c:v>
                </c:pt>
                <c:pt idx="2">
                  <c:v>1.915862210796867</c:v>
                </c:pt>
                <c:pt idx="3">
                  <c:v>2.2035442832486476</c:v>
                </c:pt>
                <c:pt idx="4">
                  <c:v>2.4266878345628577</c:v>
                </c:pt>
                <c:pt idx="5">
                  <c:v>2.6090093913568122</c:v>
                </c:pt>
                <c:pt idx="6">
                  <c:v>2.7631600711840707</c:v>
                </c:pt>
                <c:pt idx="7">
                  <c:v>2.896691463808593</c:v>
                </c:pt>
                <c:pt idx="8">
                  <c:v>3.0144744994649768</c:v>
                </c:pt>
                <c:pt idx="9">
                  <c:v>3.1198350151228031</c:v>
                </c:pt>
                <c:pt idx="10">
                  <c:v>3.2151451949271275</c:v>
                </c:pt>
                <c:pt idx="11">
                  <c:v>3.3021565719167576</c:v>
                </c:pt>
                <c:pt idx="12">
                  <c:v>3.382199279590294</c:v>
                </c:pt>
                <c:pt idx="13">
                  <c:v>3.4563072517440161</c:v>
                </c:pt>
                <c:pt idx="14">
                  <c:v>3.5253001232309673</c:v>
                </c:pt>
                <c:pt idx="15">
                  <c:v>3.5898386443685384</c:v>
                </c:pt>
                <c:pt idx="16">
                  <c:v>3.6504632661849734</c:v>
                </c:pt>
                <c:pt idx="17">
                  <c:v>3.7076216800249222</c:v>
                </c:pt>
                <c:pt idx="18">
                  <c:v>3.7616889012951975</c:v>
                </c:pt>
                <c:pt idx="19">
                  <c:v>3.8129821956827481</c:v>
                </c:pt>
                <c:pt idx="20">
                  <c:v>3.8617723598521803</c:v>
                </c:pt>
                <c:pt idx="21">
                  <c:v>3.9082923754870729</c:v>
                </c:pt>
                <c:pt idx="22">
                  <c:v>3.9527441380579069</c:v>
                </c:pt>
                <c:pt idx="23">
                  <c:v>3.995303752476703</c:v>
                </c:pt>
                <c:pt idx="24">
                  <c:v>4.0361257469969578</c:v>
                </c:pt>
                <c:pt idx="25">
                  <c:v>4.0753464601502394</c:v>
                </c:pt>
                <c:pt idx="26">
                  <c:v>4.1130867881330859</c:v>
                </c:pt>
                <c:pt idx="27">
                  <c:v>4.149454432303961</c:v>
                </c:pt>
                <c:pt idx="28">
                  <c:v>4.1845457521152314</c:v>
                </c:pt>
                <c:pt idx="29">
                  <c:v>4.2184473037909127</c:v>
                </c:pt>
              </c:numCache>
            </c:numRef>
          </c:yVal>
          <c:smooth val="1"/>
          <c:extLst xmlns:c16r2="http://schemas.microsoft.com/office/drawing/2015/06/chart">
            <c:ext xmlns:c16="http://schemas.microsoft.com/office/drawing/2014/chart" uri="{C3380CC4-5D6E-409C-BE32-E72D297353CC}">
              <c16:uniqueId val="{00000006-B55D-4031-9308-25E40AE6E3B7}"/>
            </c:ext>
          </c:extLst>
        </c:ser>
        <c:dLbls>
          <c:showLegendKey val="0"/>
          <c:showVal val="0"/>
          <c:showCatName val="0"/>
          <c:showSerName val="0"/>
          <c:showPercent val="0"/>
          <c:showBubbleSize val="0"/>
        </c:dLbls>
        <c:axId val="223613400"/>
        <c:axId val="454678832"/>
      </c:scatterChart>
      <c:valAx>
        <c:axId val="223613400"/>
        <c:scaling>
          <c:orientation val="minMax"/>
          <c:max val="160"/>
          <c:min val="0"/>
        </c:scaling>
        <c:delete val="0"/>
        <c:axPos val="b"/>
        <c:title>
          <c:tx>
            <c:rich>
              <a:bodyPr/>
              <a:lstStyle/>
              <a:p>
                <a:pPr>
                  <a:defRPr/>
                </a:pPr>
                <a:r>
                  <a:rPr lang="en-CA"/>
                  <a:t>TAZ</a:t>
                </a:r>
                <a:r>
                  <a:rPr lang="en-CA" baseline="0"/>
                  <a:t> capacity</a:t>
                </a:r>
                <a:endParaRPr lang="en-CA"/>
              </a:p>
            </c:rich>
          </c:tx>
          <c:overlay val="0"/>
        </c:title>
        <c:numFmt formatCode="General" sourceLinked="1"/>
        <c:majorTickMark val="out"/>
        <c:minorTickMark val="out"/>
        <c:tickLblPos val="nextTo"/>
        <c:crossAx val="454678832"/>
        <c:crosses val="autoZero"/>
        <c:crossBetween val="midCat"/>
      </c:valAx>
      <c:valAx>
        <c:axId val="454678832"/>
        <c:scaling>
          <c:orientation val="minMax"/>
          <c:min val="-2"/>
        </c:scaling>
        <c:delete val="0"/>
        <c:axPos val="l"/>
        <c:majorGridlines/>
        <c:title>
          <c:tx>
            <c:rich>
              <a:bodyPr rot="-5400000" vert="horz"/>
              <a:lstStyle/>
              <a:p>
                <a:pPr>
                  <a:defRPr/>
                </a:pPr>
                <a:r>
                  <a:rPr lang="en-CA"/>
                  <a:t>BSS</a:t>
                </a:r>
                <a:r>
                  <a:rPr lang="en-CA" baseline="0"/>
                  <a:t> infrastructure Index</a:t>
                </a:r>
                <a:endParaRPr lang="en-CA"/>
              </a:p>
            </c:rich>
          </c:tx>
          <c:overlay val="0"/>
        </c:title>
        <c:numFmt formatCode="General" sourceLinked="1"/>
        <c:majorTickMark val="out"/>
        <c:minorTickMark val="out"/>
        <c:tickLblPos val="nextTo"/>
        <c:crossAx val="223613400"/>
        <c:crosses val="autoZero"/>
        <c:crossBetween val="midCat"/>
        <c:minorUnit val="0.5"/>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0995-184C-4D30-90B8-6DE06A5E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9388</Words>
  <Characters>53516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62779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Eluru, Prof</dc:creator>
  <cp:lastModifiedBy>Naveen Eluru</cp:lastModifiedBy>
  <cp:revision>6</cp:revision>
  <cp:lastPrinted>2016-10-21T02:42:00Z</cp:lastPrinted>
  <dcterms:created xsi:type="dcterms:W3CDTF">2016-10-20T15:15:00Z</dcterms:created>
  <dcterms:modified xsi:type="dcterms:W3CDTF">2016-10-21T14:07:00Z</dcterms:modified>
</cp:coreProperties>
</file>