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3FF13D" w14:textId="77777777" w:rsidR="00AC6F54" w:rsidRDefault="00AC6F54" w:rsidP="00774FB3">
      <w:pPr>
        <w:spacing w:after="0"/>
        <w:jc w:val="center"/>
      </w:pPr>
    </w:p>
    <w:p w14:paraId="145CB199" w14:textId="28CE9B5E" w:rsidR="000008AF" w:rsidRPr="00AB3AA4" w:rsidRDefault="00BD3AFF" w:rsidP="002E2681">
      <w:pPr>
        <w:spacing w:after="0"/>
        <w:jc w:val="center"/>
        <w:rPr>
          <w:rFonts w:asciiTheme="majorBidi" w:hAnsiTheme="majorBidi" w:cstheme="majorBidi"/>
          <w:b/>
          <w:bCs/>
          <w:sz w:val="32"/>
          <w:szCs w:val="32"/>
        </w:rPr>
      </w:pPr>
      <w:r w:rsidRPr="00AB3AA4">
        <w:rPr>
          <w:rFonts w:asciiTheme="majorBidi" w:hAnsiTheme="majorBidi" w:cstheme="majorBidi"/>
          <w:b/>
          <w:bCs/>
          <w:color w:val="000000"/>
          <w:sz w:val="32"/>
          <w:szCs w:val="32"/>
          <w:shd w:val="clear" w:color="auto" w:fill="FFFFFF"/>
        </w:rPr>
        <w:t xml:space="preserve">Exploring </w:t>
      </w:r>
      <w:r w:rsidR="008A6367" w:rsidRPr="00AB3AA4">
        <w:rPr>
          <w:rFonts w:asciiTheme="majorBidi" w:hAnsiTheme="majorBidi" w:cstheme="majorBidi"/>
          <w:b/>
          <w:bCs/>
          <w:color w:val="000000"/>
          <w:sz w:val="32"/>
          <w:szCs w:val="32"/>
          <w:shd w:val="clear" w:color="auto" w:fill="FFFFFF"/>
        </w:rPr>
        <w:t xml:space="preserve">the </w:t>
      </w:r>
      <w:r w:rsidRPr="00AB3AA4">
        <w:rPr>
          <w:rFonts w:asciiTheme="majorBidi" w:hAnsiTheme="majorBidi" w:cstheme="majorBidi"/>
          <w:b/>
          <w:bCs/>
          <w:color w:val="000000"/>
          <w:sz w:val="32"/>
          <w:szCs w:val="32"/>
          <w:shd w:val="clear" w:color="auto" w:fill="FFFFFF"/>
        </w:rPr>
        <w:t>Transferability of Safety Performance Functions</w:t>
      </w:r>
      <w:r w:rsidR="008A6367" w:rsidRPr="00AB3AA4">
        <w:rPr>
          <w:rFonts w:asciiTheme="majorBidi" w:hAnsiTheme="majorBidi" w:cstheme="majorBidi"/>
          <w:b/>
          <w:bCs/>
          <w:color w:val="000000"/>
          <w:sz w:val="32"/>
          <w:szCs w:val="32"/>
          <w:shd w:val="clear" w:color="auto" w:fill="FFFFFF"/>
        </w:rPr>
        <w:t xml:space="preserve"> </w:t>
      </w:r>
    </w:p>
    <w:p w14:paraId="4315F4CD" w14:textId="77777777" w:rsidR="000008AF" w:rsidRPr="00AB3AA4" w:rsidRDefault="000008AF" w:rsidP="00774FB3">
      <w:pPr>
        <w:spacing w:after="0" w:line="240" w:lineRule="auto"/>
      </w:pPr>
    </w:p>
    <w:p w14:paraId="3F20EA9B" w14:textId="77777777" w:rsidR="00AC6F54" w:rsidRPr="00AB3AA4" w:rsidRDefault="00AC6F54" w:rsidP="00774FB3">
      <w:pPr>
        <w:spacing w:after="0" w:line="240" w:lineRule="auto"/>
        <w:contextualSpacing/>
        <w:jc w:val="center"/>
        <w:rPr>
          <w:b/>
          <w:bCs/>
        </w:rPr>
      </w:pPr>
    </w:p>
    <w:p w14:paraId="34DC02E1" w14:textId="77777777" w:rsidR="00AC6F54" w:rsidRPr="00AB3AA4" w:rsidRDefault="00AC6F54" w:rsidP="00774FB3">
      <w:pPr>
        <w:spacing w:after="0" w:line="240" w:lineRule="auto"/>
        <w:contextualSpacing/>
        <w:jc w:val="center"/>
        <w:rPr>
          <w:b/>
          <w:bCs/>
        </w:rPr>
      </w:pPr>
    </w:p>
    <w:p w14:paraId="6CD5147F" w14:textId="77777777" w:rsidR="00AC6F54" w:rsidRPr="00AB3AA4" w:rsidRDefault="00AC6F54" w:rsidP="00774FB3">
      <w:pPr>
        <w:spacing w:after="0" w:line="240" w:lineRule="auto"/>
        <w:contextualSpacing/>
        <w:jc w:val="center"/>
        <w:rPr>
          <w:b/>
          <w:bCs/>
        </w:rPr>
      </w:pPr>
    </w:p>
    <w:p w14:paraId="15189CB1" w14:textId="77777777" w:rsidR="00AC6F54" w:rsidRPr="00AB3AA4" w:rsidRDefault="00AC6F54" w:rsidP="00774FB3">
      <w:pPr>
        <w:spacing w:after="0" w:line="240" w:lineRule="auto"/>
        <w:contextualSpacing/>
        <w:jc w:val="center"/>
        <w:rPr>
          <w:b/>
          <w:bCs/>
        </w:rPr>
      </w:pPr>
    </w:p>
    <w:p w14:paraId="10EFC23F" w14:textId="77777777" w:rsidR="00B9583B" w:rsidRPr="00AB3AA4" w:rsidRDefault="000008AF" w:rsidP="00774FB3">
      <w:pPr>
        <w:spacing w:after="0" w:line="240" w:lineRule="auto"/>
        <w:jc w:val="center"/>
        <w:rPr>
          <w:b/>
          <w:bCs/>
        </w:rPr>
      </w:pPr>
      <w:r w:rsidRPr="00AB3AA4">
        <w:rPr>
          <w:b/>
          <w:bCs/>
        </w:rPr>
        <w:t>Ahmed Farid*, Graduate Research Assistant</w:t>
      </w:r>
    </w:p>
    <w:p w14:paraId="298D66D4" w14:textId="58FBA242" w:rsidR="00644A2F" w:rsidRPr="00AB3AA4" w:rsidRDefault="000E1F38" w:rsidP="00774FB3">
      <w:pPr>
        <w:spacing w:after="0" w:line="240" w:lineRule="auto"/>
        <w:jc w:val="center"/>
        <w:rPr>
          <w:shd w:val="clear" w:color="auto" w:fill="FFFFFF"/>
        </w:rPr>
      </w:pPr>
      <w:r w:rsidRPr="00AB3AA4">
        <w:rPr>
          <w:b/>
          <w:bCs/>
        </w:rPr>
        <w:t>Mohamed Abdel-Aty, Ph.D</w:t>
      </w:r>
      <w:r w:rsidR="00D073E3" w:rsidRPr="00AB3AA4">
        <w:rPr>
          <w:b/>
          <w:bCs/>
        </w:rPr>
        <w:t>.</w:t>
      </w:r>
      <w:r w:rsidRPr="00AB3AA4">
        <w:rPr>
          <w:b/>
          <w:bCs/>
        </w:rPr>
        <w:t>, P.E.</w:t>
      </w:r>
    </w:p>
    <w:p w14:paraId="6447CFBF" w14:textId="1D3ABF52" w:rsidR="004A3420" w:rsidRPr="00AB3AA4" w:rsidRDefault="004A3420" w:rsidP="00774FB3">
      <w:pPr>
        <w:spacing w:after="0" w:line="240" w:lineRule="auto"/>
        <w:jc w:val="center"/>
        <w:rPr>
          <w:b/>
          <w:bCs/>
        </w:rPr>
      </w:pPr>
      <w:r w:rsidRPr="00AB3AA4">
        <w:rPr>
          <w:b/>
          <w:bCs/>
        </w:rPr>
        <w:t>Jaeyoung Lee, Ph.D</w:t>
      </w:r>
      <w:r w:rsidR="00D073E3" w:rsidRPr="00AB3AA4">
        <w:rPr>
          <w:b/>
          <w:bCs/>
        </w:rPr>
        <w:t>.</w:t>
      </w:r>
    </w:p>
    <w:p w14:paraId="2B6E2E54" w14:textId="3657E218" w:rsidR="00363379" w:rsidRPr="00AB3AA4" w:rsidRDefault="004A3420" w:rsidP="00774FB3">
      <w:pPr>
        <w:spacing w:after="0" w:line="240" w:lineRule="auto"/>
        <w:jc w:val="center"/>
        <w:rPr>
          <w:shd w:val="clear" w:color="auto" w:fill="FFFFFF"/>
        </w:rPr>
      </w:pPr>
      <w:r w:rsidRPr="00AB3AA4">
        <w:rPr>
          <w:b/>
          <w:bCs/>
        </w:rPr>
        <w:t>Naveen Eluru, Ph.D</w:t>
      </w:r>
      <w:r w:rsidR="00D073E3" w:rsidRPr="00AB3AA4">
        <w:rPr>
          <w:b/>
          <w:bCs/>
        </w:rPr>
        <w:t>.</w:t>
      </w:r>
    </w:p>
    <w:p w14:paraId="58A859E3" w14:textId="3931EBD8" w:rsidR="00363379" w:rsidRPr="00AB3AA4" w:rsidRDefault="00363379" w:rsidP="00774FB3">
      <w:pPr>
        <w:spacing w:after="0" w:line="240" w:lineRule="auto"/>
        <w:jc w:val="center"/>
        <w:rPr>
          <w:b/>
          <w:bCs/>
          <w:shd w:val="clear" w:color="auto" w:fill="FFFFFF"/>
        </w:rPr>
      </w:pPr>
      <w:r w:rsidRPr="00AB3AA4">
        <w:rPr>
          <w:b/>
          <w:bCs/>
          <w:shd w:val="clear" w:color="auto" w:fill="FFFFFF"/>
        </w:rPr>
        <w:t xml:space="preserve">Jung-Han Wang, </w:t>
      </w:r>
      <w:r w:rsidR="00D073E3" w:rsidRPr="00AB3AA4">
        <w:rPr>
          <w:b/>
          <w:bCs/>
          <w:shd w:val="clear" w:color="auto" w:fill="FFFFFF"/>
        </w:rPr>
        <w:t xml:space="preserve">M.Sc., </w:t>
      </w:r>
      <w:r w:rsidRPr="00AB3AA4">
        <w:rPr>
          <w:b/>
          <w:bCs/>
          <w:shd w:val="clear" w:color="auto" w:fill="FFFFFF"/>
        </w:rPr>
        <w:t>Ph.D</w:t>
      </w:r>
      <w:r w:rsidR="004B4617" w:rsidRPr="00AB3AA4">
        <w:rPr>
          <w:b/>
          <w:bCs/>
          <w:shd w:val="clear" w:color="auto" w:fill="FFFFFF"/>
        </w:rPr>
        <w:t>.</w:t>
      </w:r>
      <w:r w:rsidRPr="00AB3AA4">
        <w:rPr>
          <w:b/>
          <w:bCs/>
          <w:shd w:val="clear" w:color="auto" w:fill="FFFFFF"/>
        </w:rPr>
        <w:t xml:space="preserve"> Candidate</w:t>
      </w:r>
    </w:p>
    <w:p w14:paraId="74D6F6C3" w14:textId="77777777" w:rsidR="00AC6F54" w:rsidRPr="00AB3AA4" w:rsidRDefault="00AC6F54" w:rsidP="00774FB3">
      <w:pPr>
        <w:spacing w:line="240" w:lineRule="auto"/>
        <w:contextualSpacing/>
        <w:jc w:val="center"/>
      </w:pPr>
    </w:p>
    <w:p w14:paraId="75C5831C" w14:textId="77777777" w:rsidR="00AC6F54" w:rsidRPr="00AB3AA4" w:rsidRDefault="00AC6F54" w:rsidP="00774FB3">
      <w:pPr>
        <w:spacing w:after="0" w:line="240" w:lineRule="auto"/>
        <w:jc w:val="center"/>
      </w:pPr>
    </w:p>
    <w:p w14:paraId="3543B525" w14:textId="77777777" w:rsidR="00AC6F54" w:rsidRPr="00AB3AA4" w:rsidRDefault="00AC6F54" w:rsidP="00774FB3">
      <w:pPr>
        <w:spacing w:after="0" w:line="240" w:lineRule="auto"/>
        <w:jc w:val="center"/>
      </w:pPr>
    </w:p>
    <w:p w14:paraId="01891C8B" w14:textId="77777777" w:rsidR="00AC6F54" w:rsidRPr="00AB3AA4" w:rsidRDefault="00AC6F54" w:rsidP="00774FB3">
      <w:pPr>
        <w:spacing w:after="0" w:line="240" w:lineRule="auto"/>
        <w:jc w:val="center"/>
      </w:pPr>
    </w:p>
    <w:p w14:paraId="2BE0489F" w14:textId="77777777" w:rsidR="00D815E1" w:rsidRPr="00AB3AA4" w:rsidRDefault="00D815E1" w:rsidP="00774FB3">
      <w:pPr>
        <w:spacing w:line="240" w:lineRule="auto"/>
        <w:contextualSpacing/>
        <w:jc w:val="center"/>
      </w:pPr>
    </w:p>
    <w:p w14:paraId="48A56B91" w14:textId="77777777" w:rsidR="00AC6F54" w:rsidRPr="00AB3AA4" w:rsidRDefault="00AC6F54" w:rsidP="00774FB3">
      <w:pPr>
        <w:spacing w:line="240" w:lineRule="auto"/>
        <w:contextualSpacing/>
        <w:jc w:val="center"/>
      </w:pPr>
    </w:p>
    <w:p w14:paraId="0D1C6342" w14:textId="77777777" w:rsidR="00AC6F54" w:rsidRPr="00AB3AA4" w:rsidRDefault="00AC6F54" w:rsidP="00774FB3">
      <w:pPr>
        <w:spacing w:line="240" w:lineRule="auto"/>
        <w:contextualSpacing/>
        <w:jc w:val="center"/>
      </w:pPr>
    </w:p>
    <w:p w14:paraId="6F2D87E6" w14:textId="4B3181CE" w:rsidR="00AC6F54" w:rsidRPr="00AB3AA4" w:rsidRDefault="00D41CB0" w:rsidP="00774FB3">
      <w:pPr>
        <w:spacing w:after="0" w:line="240" w:lineRule="auto"/>
        <w:jc w:val="center"/>
      </w:pPr>
      <w:r w:rsidRPr="00AB3AA4">
        <w:t>*Corresponding Author</w:t>
      </w:r>
    </w:p>
    <w:p w14:paraId="40C386BA" w14:textId="77777777" w:rsidR="00AC6F54" w:rsidRPr="00AB3AA4" w:rsidRDefault="00AC6F54" w:rsidP="00774FB3">
      <w:pPr>
        <w:spacing w:after="0" w:line="240" w:lineRule="auto"/>
        <w:jc w:val="center"/>
      </w:pPr>
    </w:p>
    <w:p w14:paraId="34315D66" w14:textId="77777777" w:rsidR="00AC6F54" w:rsidRPr="00AB3AA4" w:rsidRDefault="00AC6F54" w:rsidP="00AC6F54">
      <w:pPr>
        <w:spacing w:after="0" w:line="240" w:lineRule="auto"/>
        <w:contextualSpacing/>
        <w:jc w:val="center"/>
      </w:pPr>
      <w:r w:rsidRPr="00AB3AA4">
        <w:t>Department of Civil, Environmental and Construction Engineering</w:t>
      </w:r>
    </w:p>
    <w:p w14:paraId="64D8F422" w14:textId="77777777" w:rsidR="00AC6F54" w:rsidRPr="00AB3AA4" w:rsidRDefault="00AC6F54" w:rsidP="00AC6F54">
      <w:pPr>
        <w:spacing w:after="0" w:line="240" w:lineRule="auto"/>
        <w:contextualSpacing/>
        <w:jc w:val="center"/>
      </w:pPr>
      <w:r w:rsidRPr="00AB3AA4">
        <w:t>University of Central Florida</w:t>
      </w:r>
    </w:p>
    <w:p w14:paraId="721AB3A2" w14:textId="23BCD40E" w:rsidR="00AC6F54" w:rsidRPr="00AB3AA4" w:rsidRDefault="00AC6F54" w:rsidP="00AC6F54">
      <w:pPr>
        <w:spacing w:after="0" w:line="240" w:lineRule="auto"/>
        <w:contextualSpacing/>
        <w:jc w:val="center"/>
      </w:pPr>
      <w:r w:rsidRPr="00AB3AA4">
        <w:t>Orlando, Florida 32816</w:t>
      </w:r>
      <w:r w:rsidR="00612B6B" w:rsidRPr="00AB3AA4">
        <w:t>-2450</w:t>
      </w:r>
    </w:p>
    <w:p w14:paraId="056A54A7" w14:textId="77777777" w:rsidR="00AC6F54" w:rsidRPr="00AB3AA4" w:rsidRDefault="00AC6F54" w:rsidP="00AC6F54">
      <w:pPr>
        <w:spacing w:after="0" w:line="240" w:lineRule="auto"/>
        <w:contextualSpacing/>
        <w:jc w:val="center"/>
      </w:pPr>
      <w:r w:rsidRPr="00AB3AA4">
        <w:t>(407) 530-9360</w:t>
      </w:r>
    </w:p>
    <w:p w14:paraId="5B3E3573" w14:textId="77777777" w:rsidR="00AC6F54" w:rsidRPr="00AB3AA4" w:rsidRDefault="00AC6F54" w:rsidP="00AC6F54">
      <w:pPr>
        <w:spacing w:after="0" w:line="240" w:lineRule="auto"/>
        <w:contextualSpacing/>
        <w:jc w:val="center"/>
      </w:pPr>
      <w:r w:rsidRPr="00AB3AA4">
        <w:t>Ahmedtf91@knights.ucf.edu</w:t>
      </w:r>
    </w:p>
    <w:p w14:paraId="2814774C" w14:textId="77777777" w:rsidR="00AC6F54" w:rsidRPr="00AB3AA4" w:rsidRDefault="00AC6F54" w:rsidP="00774FB3">
      <w:pPr>
        <w:spacing w:after="0" w:line="240" w:lineRule="auto"/>
        <w:jc w:val="center"/>
      </w:pPr>
    </w:p>
    <w:p w14:paraId="6F93A589" w14:textId="77777777" w:rsidR="00D815E1" w:rsidRPr="00AB3AA4" w:rsidRDefault="00D815E1" w:rsidP="00774FB3">
      <w:pPr>
        <w:spacing w:line="240" w:lineRule="auto"/>
        <w:jc w:val="center"/>
      </w:pPr>
    </w:p>
    <w:p w14:paraId="507BCECE" w14:textId="77777777" w:rsidR="00AC6F54" w:rsidRPr="00AB3AA4" w:rsidRDefault="00AC6F54" w:rsidP="00774FB3">
      <w:pPr>
        <w:spacing w:line="240" w:lineRule="auto"/>
        <w:jc w:val="center"/>
      </w:pPr>
    </w:p>
    <w:p w14:paraId="38B985E9" w14:textId="77777777" w:rsidR="00AC6F54" w:rsidRPr="00AB3AA4" w:rsidRDefault="00AC6F54" w:rsidP="00774FB3">
      <w:pPr>
        <w:spacing w:line="240" w:lineRule="auto"/>
        <w:jc w:val="center"/>
      </w:pPr>
    </w:p>
    <w:p w14:paraId="70A0BF67" w14:textId="09D52D04" w:rsidR="0060220D" w:rsidRPr="00AB3AA4" w:rsidRDefault="005B62FD" w:rsidP="0060220D">
      <w:pPr>
        <w:spacing w:line="240" w:lineRule="auto"/>
        <w:jc w:val="center"/>
      </w:pPr>
      <w:r w:rsidRPr="00AB3AA4">
        <w:t>February 2016</w:t>
      </w:r>
    </w:p>
    <w:p w14:paraId="7DFD5BD0" w14:textId="77777777" w:rsidR="00AC6F54" w:rsidRPr="00AB3AA4" w:rsidRDefault="00AC6F54" w:rsidP="00774FB3">
      <w:pPr>
        <w:spacing w:line="240" w:lineRule="auto"/>
        <w:jc w:val="center"/>
      </w:pPr>
    </w:p>
    <w:p w14:paraId="7BB83A16" w14:textId="77777777" w:rsidR="00AC6F54" w:rsidRPr="00AB3AA4" w:rsidRDefault="00AC6F54" w:rsidP="00774FB3">
      <w:pPr>
        <w:spacing w:line="240" w:lineRule="auto"/>
        <w:jc w:val="center"/>
      </w:pPr>
    </w:p>
    <w:p w14:paraId="74873A12" w14:textId="7337A9BD" w:rsidR="00104954" w:rsidRPr="00AB3AA4" w:rsidRDefault="00104954" w:rsidP="002100CA">
      <w:pPr>
        <w:spacing w:after="0" w:line="240" w:lineRule="auto"/>
        <w:jc w:val="center"/>
      </w:pPr>
    </w:p>
    <w:p w14:paraId="5C33B6C5" w14:textId="77777777" w:rsidR="00D41CB0" w:rsidRPr="00AB3AA4" w:rsidRDefault="00D41CB0" w:rsidP="00104954">
      <w:pPr>
        <w:sectPr w:rsidR="00D41CB0" w:rsidRPr="00AB3AA4" w:rsidSect="007D4EBE">
          <w:headerReference w:type="default" r:id="rId8"/>
          <w:type w:val="continuous"/>
          <w:pgSz w:w="12240" w:h="15840"/>
          <w:pgMar w:top="1440" w:right="1440" w:bottom="1440" w:left="1440" w:header="709" w:footer="709" w:gutter="0"/>
          <w:cols w:space="708"/>
          <w:titlePg/>
          <w:docGrid w:linePitch="360"/>
        </w:sectPr>
      </w:pPr>
    </w:p>
    <w:p w14:paraId="790304C9" w14:textId="77777777" w:rsidR="00B6222E" w:rsidRDefault="00B6222E" w:rsidP="00B30016">
      <w:pPr>
        <w:rPr>
          <w:b/>
          <w:bCs/>
          <w:sz w:val="28"/>
          <w:szCs w:val="28"/>
        </w:rPr>
      </w:pPr>
    </w:p>
    <w:p w14:paraId="03DB9E3E" w14:textId="77777777" w:rsidR="00B6222E" w:rsidRDefault="00B6222E" w:rsidP="00B30016">
      <w:pPr>
        <w:rPr>
          <w:b/>
          <w:bCs/>
          <w:sz w:val="28"/>
          <w:szCs w:val="28"/>
        </w:rPr>
      </w:pPr>
    </w:p>
    <w:p w14:paraId="1B525085" w14:textId="77777777" w:rsidR="00B6222E" w:rsidRDefault="00B6222E" w:rsidP="00B30016">
      <w:pPr>
        <w:rPr>
          <w:b/>
          <w:bCs/>
          <w:sz w:val="28"/>
          <w:szCs w:val="28"/>
        </w:rPr>
      </w:pPr>
    </w:p>
    <w:p w14:paraId="3FE7C74C" w14:textId="77777777" w:rsidR="00B6222E" w:rsidRDefault="00B6222E" w:rsidP="00B30016">
      <w:pPr>
        <w:rPr>
          <w:b/>
          <w:bCs/>
          <w:sz w:val="28"/>
          <w:szCs w:val="28"/>
        </w:rPr>
      </w:pPr>
    </w:p>
    <w:p w14:paraId="39D5854D" w14:textId="77777777" w:rsidR="00B6222E" w:rsidRDefault="00B6222E" w:rsidP="00B30016">
      <w:pPr>
        <w:rPr>
          <w:b/>
          <w:bCs/>
          <w:sz w:val="28"/>
          <w:szCs w:val="28"/>
        </w:rPr>
      </w:pPr>
    </w:p>
    <w:p w14:paraId="322A5430" w14:textId="7BEC6474" w:rsidR="00F5082A" w:rsidRPr="00D66514" w:rsidRDefault="00006410" w:rsidP="00B30016">
      <w:bookmarkStart w:id="0" w:name="_GoBack"/>
      <w:bookmarkEnd w:id="0"/>
      <w:r w:rsidRPr="00AB3AA4">
        <w:rPr>
          <w:b/>
          <w:bCs/>
          <w:sz w:val="28"/>
          <w:szCs w:val="28"/>
        </w:rPr>
        <w:lastRenderedPageBreak/>
        <w:t>ABSTRACT</w:t>
      </w:r>
      <w:r w:rsidRPr="00AB3AA4">
        <w:br/>
      </w:r>
      <w:r w:rsidR="00672A2C" w:rsidRPr="00AB3AA4">
        <w:t>Safety performance function</w:t>
      </w:r>
      <w:r w:rsidR="002A7404" w:rsidRPr="00AB3AA4">
        <w:t>s</w:t>
      </w:r>
      <w:r w:rsidR="00C71314" w:rsidRPr="00AB3AA4">
        <w:t xml:space="preserve"> (SPFs)</w:t>
      </w:r>
      <w:r w:rsidR="001B25F4" w:rsidRPr="00AB3AA4">
        <w:t xml:space="preserve"> by predicting the number of crashes on roadway facilities</w:t>
      </w:r>
      <w:r w:rsidR="002A7404" w:rsidRPr="00AB3AA4">
        <w:t xml:space="preserve"> </w:t>
      </w:r>
      <w:r w:rsidR="001B25F4" w:rsidRPr="00AB3AA4">
        <w:t xml:space="preserve">have been a vital tool </w:t>
      </w:r>
      <w:r w:rsidR="002A7404" w:rsidRPr="00AB3AA4">
        <w:t xml:space="preserve">in </w:t>
      </w:r>
      <w:r w:rsidR="001B25F4" w:rsidRPr="00AB3AA4">
        <w:t xml:space="preserve">the </w:t>
      </w:r>
      <w:r w:rsidR="002A7404" w:rsidRPr="00AB3AA4">
        <w:t>highway safety</w:t>
      </w:r>
      <w:r w:rsidR="001B25F4" w:rsidRPr="00AB3AA4">
        <w:t xml:space="preserve"> area</w:t>
      </w:r>
      <w:r w:rsidR="00672A2C" w:rsidRPr="00AB3AA4">
        <w:t>.</w:t>
      </w:r>
      <w:r w:rsidR="00C71314" w:rsidRPr="00AB3AA4">
        <w:t xml:space="preserve"> The SPFs are typically applied for identifying hot spots in network screening and evaluating the effectiveness of road safety countermeasures.</w:t>
      </w:r>
      <w:r w:rsidR="002A7404" w:rsidRPr="00AB3AA4">
        <w:t xml:space="preserve"> </w:t>
      </w:r>
      <w:r w:rsidR="001D6909" w:rsidRPr="00AB3AA4">
        <w:t xml:space="preserve">The Highway Safety Manual (HSM) provides a series of </w:t>
      </w:r>
      <w:r w:rsidR="00D50841" w:rsidRPr="00AB3AA4">
        <w:t xml:space="preserve">SPFs for </w:t>
      </w:r>
      <w:r w:rsidR="0061271A" w:rsidRPr="00AB3AA4">
        <w:t xml:space="preserve">several </w:t>
      </w:r>
      <w:r w:rsidR="00D50841" w:rsidRPr="00AB3AA4">
        <w:t xml:space="preserve">crash types </w:t>
      </w:r>
      <w:r w:rsidR="0061271A" w:rsidRPr="00AB3AA4">
        <w:t xml:space="preserve">by </w:t>
      </w:r>
      <w:r w:rsidR="00D50841" w:rsidRPr="00AB3AA4">
        <w:t xml:space="preserve">various roadway </w:t>
      </w:r>
      <w:r w:rsidR="0061271A" w:rsidRPr="00AB3AA4">
        <w:t>facilities</w:t>
      </w:r>
      <w:r w:rsidR="00CC18EB" w:rsidRPr="00AB3AA4">
        <w:t xml:space="preserve">. </w:t>
      </w:r>
      <w:r w:rsidR="001B25F4" w:rsidRPr="00AB3AA4">
        <w:t>T</w:t>
      </w:r>
      <w:r w:rsidR="00CC18EB" w:rsidRPr="00AB3AA4">
        <w:t xml:space="preserve">he SPFs </w:t>
      </w:r>
      <w:r w:rsidR="001B25F4" w:rsidRPr="00AB3AA4">
        <w:t xml:space="preserve">provided </w:t>
      </w:r>
      <w:r w:rsidR="00CC18EB" w:rsidRPr="00AB3AA4">
        <w:t xml:space="preserve">in the HSM were developed using data from </w:t>
      </w:r>
      <w:r w:rsidR="000625BA" w:rsidRPr="00AB3AA4">
        <w:t>multiple</w:t>
      </w:r>
      <w:r w:rsidR="00CC18EB" w:rsidRPr="00AB3AA4">
        <w:t xml:space="preserve"> states</w:t>
      </w:r>
      <w:r w:rsidR="001B25F4" w:rsidRPr="00AB3AA4">
        <w:t>. In regions without local jurisdiction based SPFs it is common practice to adopt national SPFs for crash prediction. There has been little research to examine the viability of such national level models for local jurisdictions. Towards understanding the influence of SPF transferability</w:t>
      </w:r>
      <w:r w:rsidR="00BD3AFF" w:rsidRPr="00AB3AA4">
        <w:t>,</w:t>
      </w:r>
      <w:r w:rsidR="001B25F4" w:rsidRPr="00AB3AA4">
        <w:t xml:space="preserve"> we examine the </w:t>
      </w:r>
      <w:r w:rsidR="002A7404" w:rsidRPr="00AB3AA4">
        <w:t>rural</w:t>
      </w:r>
      <w:r w:rsidR="000625BA" w:rsidRPr="00AB3AA4">
        <w:t xml:space="preserve"> divided</w:t>
      </w:r>
      <w:r w:rsidR="002A7404" w:rsidRPr="00AB3AA4">
        <w:t xml:space="preserve"> multilane highway models </w:t>
      </w:r>
      <w:r w:rsidR="001B25F4" w:rsidRPr="00AB3AA4">
        <w:t xml:space="preserve">from </w:t>
      </w:r>
      <w:r w:rsidR="002A7404" w:rsidRPr="00AB3AA4">
        <w:t>Florida, Ohio</w:t>
      </w:r>
      <w:r w:rsidR="00FC7318" w:rsidRPr="00AB3AA4">
        <w:t>,</w:t>
      </w:r>
      <w:r w:rsidR="002A7404" w:rsidRPr="00AB3AA4">
        <w:t xml:space="preserve"> and California</w:t>
      </w:r>
      <w:r w:rsidR="00FC7318" w:rsidRPr="00AB3AA4">
        <w:t>.</w:t>
      </w:r>
      <w:r w:rsidR="002A7404" w:rsidRPr="00AB3AA4">
        <w:t xml:space="preserve"> </w:t>
      </w:r>
      <w:r w:rsidR="00FC7318" w:rsidRPr="00AB3AA4">
        <w:t>Traffic</w:t>
      </w:r>
      <w:r w:rsidR="000625BA" w:rsidRPr="00AB3AA4">
        <w:t>, roadway</w:t>
      </w:r>
      <w:r w:rsidR="00277EEB" w:rsidRPr="00AB3AA4">
        <w:t xml:space="preserve"> geometry</w:t>
      </w:r>
      <w:r w:rsidR="00FC7318" w:rsidRPr="00AB3AA4">
        <w:t xml:space="preserve"> and crash </w:t>
      </w:r>
      <w:r w:rsidR="002A7404" w:rsidRPr="00AB3AA4">
        <w:t xml:space="preserve">data from the three states are </w:t>
      </w:r>
      <w:r w:rsidR="001B25F4" w:rsidRPr="00AB3AA4">
        <w:t xml:space="preserve">employed to estimate single state SPFs, two state SPFs and three state SPFs. The SPFs are </w:t>
      </w:r>
      <w:r w:rsidR="008A6367" w:rsidRPr="00AB3AA4">
        <w:t xml:space="preserve">estimated using the </w:t>
      </w:r>
      <w:r w:rsidR="002A7404" w:rsidRPr="00AB3AA4">
        <w:t>negative binomial model</w:t>
      </w:r>
      <w:r w:rsidR="008A6367" w:rsidRPr="00AB3AA4">
        <w:t xml:space="preserve"> formulation</w:t>
      </w:r>
      <w:r w:rsidR="00994C5F" w:rsidRPr="00AB3AA4">
        <w:t xml:space="preserve"> for severity and crash types. </w:t>
      </w:r>
      <w:r w:rsidR="001B25F4" w:rsidRPr="00AB3AA4">
        <w:t xml:space="preserve">To evaluate transferability of models, we estimate a transfer index that allows us to </w:t>
      </w:r>
      <w:r w:rsidR="00994C5F" w:rsidRPr="00AB3AA4">
        <w:t>understand which models transfer adequately to other regions.</w:t>
      </w:r>
      <w:r w:rsidR="001B25F4" w:rsidRPr="00AB3AA4">
        <w:t xml:space="preserve"> </w:t>
      </w:r>
      <w:r w:rsidR="00994C5F" w:rsidRPr="00AB3AA4">
        <w:t>The results indicate that models from Florida and California seem to be more transferable compared to models from Ohio. More importantly, we observe that</w:t>
      </w:r>
      <w:r w:rsidR="000E14A3" w:rsidRPr="00AB3AA4">
        <w:t xml:space="preserve"> the</w:t>
      </w:r>
      <w:r w:rsidR="00994C5F" w:rsidRPr="00AB3AA4">
        <w:t xml:space="preserve"> transfer index increases when we used pooled data (from two or three states). </w:t>
      </w:r>
      <w:r w:rsidR="00E32657" w:rsidRPr="00AB3AA4">
        <w:t>Finally, to assist in model transferability</w:t>
      </w:r>
      <w:r w:rsidR="00E32657" w:rsidRPr="00D66514">
        <w:t>, we propose a Modified Empirical Bayes (MEB) measure that provides segment specific calibration factors for transferring SPFs to local jurisdictions.</w:t>
      </w:r>
      <w:r w:rsidR="00994C5F" w:rsidRPr="00D66514">
        <w:t xml:space="preserve"> </w:t>
      </w:r>
      <w:r w:rsidR="00155CEE" w:rsidRPr="00D66514">
        <w:t>The proposed measure is shown to outperform the HSM calibration factor for transferring SPFs.</w:t>
      </w:r>
    </w:p>
    <w:p w14:paraId="361CC137" w14:textId="77777777" w:rsidR="00F5082A" w:rsidRPr="00D66514" w:rsidRDefault="00F5082A" w:rsidP="00F5082A"/>
    <w:p w14:paraId="4360B11E" w14:textId="302744D0" w:rsidR="00F5082A" w:rsidRPr="00D66514" w:rsidRDefault="005413C4">
      <w:r w:rsidRPr="00D66514">
        <w:rPr>
          <w:b/>
          <w:bCs/>
        </w:rPr>
        <w:t>Keywords:</w:t>
      </w:r>
      <w:r w:rsidR="00EE1CF0" w:rsidRPr="00D66514">
        <w:rPr>
          <w:b/>
          <w:bCs/>
        </w:rPr>
        <w:t xml:space="preserve"> </w:t>
      </w:r>
      <w:r w:rsidRPr="00D66514">
        <w:t>Transferability</w:t>
      </w:r>
      <w:r w:rsidR="00EE1CF0" w:rsidRPr="00D66514">
        <w:t xml:space="preserve"> of</w:t>
      </w:r>
      <w:r w:rsidRPr="00D66514">
        <w:t xml:space="preserve"> Safety Performance Functions, Rural</w:t>
      </w:r>
      <w:r w:rsidR="00277EEB" w:rsidRPr="00D66514">
        <w:t xml:space="preserve"> Divided</w:t>
      </w:r>
      <w:r w:rsidRPr="00D66514">
        <w:t xml:space="preserve"> Multilane Highway Segments, Negative Binomial Models, Highway Safety Manual, </w:t>
      </w:r>
      <w:r w:rsidR="00610C9B" w:rsidRPr="00D66514">
        <w:t xml:space="preserve">Calibration Factor, </w:t>
      </w:r>
      <w:r w:rsidRPr="00D66514">
        <w:t>Empirical Bayes</w:t>
      </w:r>
      <w:r w:rsidR="006160C2" w:rsidRPr="00D66514">
        <w:t xml:space="preserve"> Method</w:t>
      </w:r>
    </w:p>
    <w:p w14:paraId="26C23104" w14:textId="77777777" w:rsidR="00F5082A" w:rsidRPr="00D66514" w:rsidRDefault="00F5082A" w:rsidP="00F5082A"/>
    <w:p w14:paraId="5EC9DCE2" w14:textId="77777777" w:rsidR="00F5082A" w:rsidRPr="00D66514" w:rsidRDefault="00F5082A" w:rsidP="00F5082A"/>
    <w:p w14:paraId="38CADFF7" w14:textId="77777777" w:rsidR="00F5082A" w:rsidRPr="00D66514" w:rsidRDefault="00F5082A" w:rsidP="00F5082A"/>
    <w:p w14:paraId="7BA09CFB" w14:textId="77777777" w:rsidR="00F5082A" w:rsidRPr="00D66514" w:rsidRDefault="00F5082A" w:rsidP="00F5082A"/>
    <w:p w14:paraId="1D717203" w14:textId="77777777" w:rsidR="00F5082A" w:rsidRPr="00D66514" w:rsidRDefault="00F5082A" w:rsidP="00F5082A"/>
    <w:p w14:paraId="3190833C" w14:textId="77777777" w:rsidR="00F5082A" w:rsidRPr="00D66514" w:rsidRDefault="00F5082A" w:rsidP="00F5082A"/>
    <w:p w14:paraId="5B6AC52C" w14:textId="77777777" w:rsidR="00F5082A" w:rsidRPr="00D66514" w:rsidRDefault="00F5082A" w:rsidP="00F5082A"/>
    <w:p w14:paraId="492933A0" w14:textId="77777777" w:rsidR="00F5082A" w:rsidRPr="00D66514" w:rsidRDefault="00F5082A" w:rsidP="00F5082A"/>
    <w:p w14:paraId="10C55D26" w14:textId="77777777" w:rsidR="00F5082A" w:rsidRPr="00D66514" w:rsidRDefault="00F5082A" w:rsidP="00F5082A"/>
    <w:p w14:paraId="6885DDC2" w14:textId="77777777" w:rsidR="00F5082A" w:rsidRPr="00D66514" w:rsidRDefault="00F5082A" w:rsidP="00F5082A"/>
    <w:p w14:paraId="4C07F20D" w14:textId="77777777" w:rsidR="00F5082A" w:rsidRPr="00D66514" w:rsidRDefault="00F5082A" w:rsidP="00F5082A"/>
    <w:p w14:paraId="6EBD8299" w14:textId="77777777" w:rsidR="00965B23" w:rsidRPr="00D66514" w:rsidRDefault="003919BA" w:rsidP="003919BA">
      <w:pPr>
        <w:pStyle w:val="Heading1"/>
      </w:pPr>
      <w:r w:rsidRPr="00D66514">
        <w:lastRenderedPageBreak/>
        <w:t>Introduction</w:t>
      </w:r>
    </w:p>
    <w:p w14:paraId="3AED8E2B" w14:textId="4E326CA4" w:rsidR="00E24458" w:rsidRPr="00D66514" w:rsidRDefault="009B2502" w:rsidP="005B0761">
      <w:r w:rsidRPr="00D66514">
        <w:t>According to the Local and Rural Road Safety Program of</w:t>
      </w:r>
      <w:r w:rsidR="00C639B2" w:rsidRPr="00D66514">
        <w:t xml:space="preserve"> the</w:t>
      </w:r>
      <w:r w:rsidRPr="00D66514">
        <w:t xml:space="preserve"> Federal Highway Administration</w:t>
      </w:r>
      <w:r w:rsidR="00CE5238" w:rsidRPr="00D66514">
        <w:t>,</w:t>
      </w:r>
      <w:r w:rsidRPr="00D66514">
        <w:t xml:space="preserve"> 54% of traffic fatalities in the US occurred </w:t>
      </w:r>
      <w:r w:rsidR="00E24458" w:rsidRPr="00D66514">
        <w:t xml:space="preserve">on </w:t>
      </w:r>
      <w:r w:rsidRPr="00D66514">
        <w:t>rural roads in 2012.</w:t>
      </w:r>
      <w:r w:rsidR="0055724F" w:rsidRPr="00D66514">
        <w:t xml:space="preserve"> </w:t>
      </w:r>
      <w:r w:rsidR="00E24458" w:rsidRPr="00D66514">
        <w:t xml:space="preserve">Hence, it is not surprising that safety on rural roads is identified as an area of critical importance in enhancing traffic safety. Safety Performance Functions (SPF) form a crucial part of improving traffic safety by allowing us to </w:t>
      </w:r>
      <w:r w:rsidR="008105DF" w:rsidRPr="00D66514">
        <w:t>predict crash frequency and identify</w:t>
      </w:r>
      <w:r w:rsidR="00E24458" w:rsidRPr="00D66514">
        <w:t xml:space="preserve"> hot spots. SPFs are employed </w:t>
      </w:r>
      <w:r w:rsidR="0047719B" w:rsidRPr="00D66514">
        <w:t>to predict</w:t>
      </w:r>
      <w:r w:rsidR="0029644D" w:rsidRPr="00D66514">
        <w:t xml:space="preserve"> the number crashes</w:t>
      </w:r>
      <w:r w:rsidR="00C639B2" w:rsidRPr="00D66514">
        <w:t xml:space="preserve"> of any type</w:t>
      </w:r>
      <w:r w:rsidR="00E24458" w:rsidRPr="00D66514">
        <w:t xml:space="preserve"> (vehicular, pedestrian or bicyclist)</w:t>
      </w:r>
      <w:r w:rsidR="00C639B2" w:rsidRPr="00D66514">
        <w:t xml:space="preserve"> or severity level</w:t>
      </w:r>
      <w:r w:rsidR="00E24458" w:rsidRPr="00D66514">
        <w:t xml:space="preserve"> (fatal (K), incapacitating injury (A), non-incapacitating injury (B), possible injury (C) and property damage only (O))</w:t>
      </w:r>
      <w:r w:rsidR="001335CB" w:rsidRPr="00D66514">
        <w:t>.</w:t>
      </w:r>
      <w:r w:rsidR="00C639B2" w:rsidRPr="00D66514">
        <w:t xml:space="preserve"> </w:t>
      </w:r>
      <w:r w:rsidR="0029644D" w:rsidRPr="00D66514">
        <w:t xml:space="preserve">The SPFs are developed by </w:t>
      </w:r>
      <w:r w:rsidR="008105DF" w:rsidRPr="00D66514">
        <w:t xml:space="preserve">regressing crash frequency </w:t>
      </w:r>
      <w:r w:rsidR="0029644D" w:rsidRPr="00D66514">
        <w:t>data</w:t>
      </w:r>
      <w:r w:rsidR="00E24458" w:rsidRPr="00D66514">
        <w:t>,</w:t>
      </w:r>
      <w:r w:rsidR="0029644D" w:rsidRPr="00D66514">
        <w:t xml:space="preserve"> </w:t>
      </w:r>
      <w:r w:rsidR="008105DF" w:rsidRPr="00D66514">
        <w:t xml:space="preserve">with </w:t>
      </w:r>
      <w:r w:rsidR="00E24458" w:rsidRPr="00D66514">
        <w:t xml:space="preserve">traffic volume </w:t>
      </w:r>
      <w:r w:rsidR="0029644D" w:rsidRPr="00D66514">
        <w:t>and geometric chara</w:t>
      </w:r>
      <w:r w:rsidR="0047719B" w:rsidRPr="00D66514">
        <w:t>cteristics of segments or intersections</w:t>
      </w:r>
      <w:r w:rsidR="0029644D" w:rsidRPr="00D66514">
        <w:t xml:space="preserve">. </w:t>
      </w:r>
      <w:r w:rsidR="00B102A4" w:rsidRPr="00D66514">
        <w:t>Ordinary linear regression models are inappropriate since crash</w:t>
      </w:r>
      <w:r w:rsidR="008105DF" w:rsidRPr="00D66514">
        <w:t xml:space="preserve"> frequenci</w:t>
      </w:r>
      <w:r w:rsidR="00B102A4" w:rsidRPr="00D66514">
        <w:t>es are non-negative (</w:t>
      </w:r>
      <w:r w:rsidR="002934D6" w:rsidRPr="00D66514">
        <w:t>Miaou and Lum, 1993; Miaou, 1994; Kim et al., 2005; Garber and Wu, 2001</w:t>
      </w:r>
      <w:r w:rsidR="00B102A4" w:rsidRPr="00D66514">
        <w:t>). Generalized linear regression models have been used in recent studies (</w:t>
      </w:r>
      <w:r w:rsidR="002934D6" w:rsidRPr="00D66514">
        <w:t>Sawalha and Sayed, 2006; Taylor et al., 2002; Harnen et al., 2004; Donnell and Mason, 2006</w:t>
      </w:r>
      <w:r w:rsidR="00B102A4" w:rsidRPr="00D66514">
        <w:t xml:space="preserve">). </w:t>
      </w:r>
      <w:r w:rsidR="004B0EA6" w:rsidRPr="00D66514">
        <w:t>Furthermore, t</w:t>
      </w:r>
      <w:r w:rsidR="00E24458" w:rsidRPr="00D66514">
        <w:t>he mathematically appropriate framework</w:t>
      </w:r>
      <w:r w:rsidR="00E70528" w:rsidRPr="00D66514">
        <w:t>s</w:t>
      </w:r>
      <w:r w:rsidR="00E24458" w:rsidRPr="00D66514">
        <w:t xml:space="preserve"> for SPFs are count modeling approaches </w:t>
      </w:r>
      <w:r w:rsidR="008105DF" w:rsidRPr="00D66514">
        <w:t>such as</w:t>
      </w:r>
      <w:r w:rsidR="00E24458" w:rsidRPr="00D66514">
        <w:t xml:space="preserve"> Poisson and Negative </w:t>
      </w:r>
      <w:r w:rsidR="00542B60" w:rsidRPr="00D66514">
        <w:t>B</w:t>
      </w:r>
      <w:r w:rsidR="00E24458" w:rsidRPr="00D66514">
        <w:t>inomial</w:t>
      </w:r>
      <w:r w:rsidR="00542B60" w:rsidRPr="00D66514">
        <w:t xml:space="preserve"> (NB)</w:t>
      </w:r>
      <w:r w:rsidR="00E24458" w:rsidRPr="00D66514">
        <w:t xml:space="preserve"> models. However, due to </w:t>
      </w:r>
      <w:r w:rsidR="000E14A3" w:rsidRPr="00D66514">
        <w:t xml:space="preserve">the </w:t>
      </w:r>
      <w:r w:rsidR="00E24458" w:rsidRPr="00D66514">
        <w:t xml:space="preserve">assumption of </w:t>
      </w:r>
      <w:r w:rsidR="00542B60" w:rsidRPr="00D66514">
        <w:t xml:space="preserve">equal mean and variance, Poisson models are </w:t>
      </w:r>
      <w:r w:rsidR="008105DF" w:rsidRPr="00D66514">
        <w:t>quite restrictive</w:t>
      </w:r>
      <w:r w:rsidR="00542B60" w:rsidRPr="00D66514">
        <w:t xml:space="preserve"> for crash frequency modeling.</w:t>
      </w:r>
      <w:r w:rsidR="00613C96" w:rsidRPr="00D66514">
        <w:t xml:space="preserve"> That is, the variance of the observed crash frequency per site is usually greater than the mean</w:t>
      </w:r>
      <w:r w:rsidR="00956769" w:rsidRPr="00D66514">
        <w:t xml:space="preserve"> (what is referred to as over-dispersion)</w:t>
      </w:r>
      <w:r w:rsidR="00613C96" w:rsidRPr="00D66514">
        <w:t>.</w:t>
      </w:r>
      <w:r w:rsidR="00542B60" w:rsidRPr="00D66514">
        <w:t xml:space="preserve"> The NB framework</w:t>
      </w:r>
      <w:r w:rsidR="000E14A3" w:rsidRPr="00D66514">
        <w:t>,</w:t>
      </w:r>
      <w:r w:rsidR="00542B60" w:rsidRPr="00D66514">
        <w:t xml:space="preserve"> by allowing for over-dispersion</w:t>
      </w:r>
      <w:r w:rsidR="000E14A3" w:rsidRPr="00D66514">
        <w:t>,</w:t>
      </w:r>
      <w:r w:rsidR="008105DF" w:rsidRPr="00D66514">
        <w:t xml:space="preserve"> is more flexible and </w:t>
      </w:r>
      <w:r w:rsidR="00542B60" w:rsidRPr="00D66514">
        <w:t xml:space="preserve">has been </w:t>
      </w:r>
      <w:r w:rsidR="008105DF" w:rsidRPr="00D66514">
        <w:t xml:space="preserve">used </w:t>
      </w:r>
      <w:r w:rsidR="00542B60" w:rsidRPr="00D66514">
        <w:t xml:space="preserve">as the </w:t>
      </w:r>
      <w:r w:rsidR="00623A5B" w:rsidRPr="00D66514">
        <w:t>pillar</w:t>
      </w:r>
      <w:r w:rsidR="00542B60" w:rsidRPr="00D66514">
        <w:t xml:space="preserve"> for SPF development in the safety literature</w:t>
      </w:r>
      <w:r w:rsidR="00CA15C9" w:rsidRPr="00D66514">
        <w:t xml:space="preserve"> </w:t>
      </w:r>
      <w:r w:rsidR="008128EB" w:rsidRPr="00D66514">
        <w:t>(</w:t>
      </w:r>
      <w:r w:rsidR="002934D6" w:rsidRPr="00D66514">
        <w:t>Miaou and Lum, 1993; Miaou, 1994;</w:t>
      </w:r>
      <w:r w:rsidR="004A6591" w:rsidRPr="00D66514">
        <w:t xml:space="preserve"> </w:t>
      </w:r>
      <w:r w:rsidR="002934D6" w:rsidRPr="00D66514">
        <w:t>Donnell and Mason, 2006</w:t>
      </w:r>
      <w:r w:rsidR="006B6E30" w:rsidRPr="00D66514">
        <w:t xml:space="preserve">; </w:t>
      </w:r>
      <w:r w:rsidR="002934D6" w:rsidRPr="00D66514">
        <w:t>Lord et al., 2005</w:t>
      </w:r>
      <w:r w:rsidR="008128EB" w:rsidRPr="00D66514">
        <w:t>).</w:t>
      </w:r>
    </w:p>
    <w:p w14:paraId="2912796E" w14:textId="31B05D7F" w:rsidR="00BC67C8" w:rsidRPr="00D66514" w:rsidRDefault="00423807" w:rsidP="008448FC">
      <w:r w:rsidRPr="00D66514">
        <w:t>The Highway Safety Manual</w:t>
      </w:r>
      <w:r w:rsidR="000E14A3" w:rsidRPr="00D66514">
        <w:t xml:space="preserve"> (HSM)</w:t>
      </w:r>
      <w:r w:rsidR="00006410" w:rsidRPr="00D66514">
        <w:t>, of the American Association of State Highway and Transport</w:t>
      </w:r>
      <w:r w:rsidR="00004336" w:rsidRPr="00D66514">
        <w:t>ation</w:t>
      </w:r>
      <w:r w:rsidR="00006410" w:rsidRPr="00D66514">
        <w:t xml:space="preserve"> Officials (2010)</w:t>
      </w:r>
      <w:r w:rsidR="00623A5B" w:rsidRPr="00D66514">
        <w:t>,</w:t>
      </w:r>
      <w:r w:rsidR="00006410" w:rsidRPr="00D66514">
        <w:t xml:space="preserve"> includes</w:t>
      </w:r>
      <w:r w:rsidRPr="00D66514">
        <w:t xml:space="preserve"> several NB based SPFs for different types of roadway segments. </w:t>
      </w:r>
      <w:r w:rsidR="00425366" w:rsidRPr="00D66514">
        <w:t>The H</w:t>
      </w:r>
      <w:r w:rsidR="000E14A3" w:rsidRPr="00D66514">
        <w:t>SM</w:t>
      </w:r>
      <w:r w:rsidR="00425366" w:rsidRPr="00D66514">
        <w:t>’</w:t>
      </w:r>
      <w:r w:rsidR="0055724F" w:rsidRPr="00D66514">
        <w:t>s</w:t>
      </w:r>
      <w:r w:rsidR="002934D6" w:rsidRPr="00D66514">
        <w:t xml:space="preserve"> </w:t>
      </w:r>
      <w:r w:rsidR="0055724F" w:rsidRPr="00D66514">
        <w:t>default</w:t>
      </w:r>
      <w:r w:rsidR="00286FA0" w:rsidRPr="00D66514">
        <w:t xml:space="preserve"> NB</w:t>
      </w:r>
      <w:r w:rsidR="0055724F" w:rsidRPr="00D66514">
        <w:t xml:space="preserve"> SPFs </w:t>
      </w:r>
      <w:r w:rsidR="00E74554" w:rsidRPr="00D66514">
        <w:t xml:space="preserve">for divided rural multilane highway segments </w:t>
      </w:r>
      <w:r w:rsidR="00425366" w:rsidRPr="00D66514">
        <w:t xml:space="preserve">are developed based on </w:t>
      </w:r>
      <w:r w:rsidR="00991FF5" w:rsidRPr="00D66514">
        <w:t xml:space="preserve">pooled </w:t>
      </w:r>
      <w:r w:rsidR="00425366" w:rsidRPr="00D66514">
        <w:t xml:space="preserve">data </w:t>
      </w:r>
      <w:r w:rsidR="0010257F" w:rsidRPr="00D66514">
        <w:t xml:space="preserve">from </w:t>
      </w:r>
      <w:r w:rsidR="00425366" w:rsidRPr="00D66514">
        <w:t>California</w:t>
      </w:r>
      <w:r w:rsidR="00991FF5" w:rsidRPr="00D66514">
        <w:t xml:space="preserve"> </w:t>
      </w:r>
      <w:r w:rsidR="00E74554" w:rsidRPr="00D66514">
        <w:t xml:space="preserve">and </w:t>
      </w:r>
      <w:r w:rsidRPr="00D66514">
        <w:t xml:space="preserve">Texas </w:t>
      </w:r>
      <w:r w:rsidR="00D410B8" w:rsidRPr="00D66514">
        <w:t>(</w:t>
      </w:r>
      <w:r w:rsidR="002934D6" w:rsidRPr="00D66514">
        <w:t>Lord et al., 2008</w:t>
      </w:r>
      <w:r w:rsidR="00D410B8" w:rsidRPr="00D66514">
        <w:t xml:space="preserve">). </w:t>
      </w:r>
      <w:r w:rsidR="000371A3" w:rsidRPr="00D66514">
        <w:t xml:space="preserve">The rationale behind providing the HSM’s default SPFs is to employ these SPFs for a particular jurisdiction if the jurisdiction specific SPFs are not available. </w:t>
      </w:r>
      <w:r w:rsidR="008448FC" w:rsidRPr="00D66514">
        <w:t>To elaborate, if a region does not have localized SPFs, the default SPFs from the HSM would be considered as the SPFs and used for crash frequency prediction. Some jurisdictions might not have the expertise or resources to process the data and estimate SPFs. Hence, if the transferred SPFs are shown to be efficient in predicting crashes, the jurisdiction could simply apply the SPFs instead of developing local ones thereby cutting costs and time.</w:t>
      </w:r>
      <w:r w:rsidR="00030D29" w:rsidRPr="00D66514">
        <w:t xml:space="preserve"> </w:t>
      </w:r>
      <w:r w:rsidR="00FE74F3" w:rsidRPr="00D66514">
        <w:t>To customize the SPF for the study region, the SPF is calibrated by using an aggregate correction measure based on</w:t>
      </w:r>
      <w:r w:rsidR="000E14A3" w:rsidRPr="00D66514">
        <w:t xml:space="preserve"> the</w:t>
      </w:r>
      <w:r w:rsidR="00FE74F3" w:rsidRPr="00D66514">
        <w:t xml:space="preserve"> ratio of total observed crashes and total predicted crashes. </w:t>
      </w:r>
      <w:r w:rsidR="005C0166" w:rsidRPr="00D66514">
        <w:t>The</w:t>
      </w:r>
      <w:r w:rsidR="00DD75F9" w:rsidRPr="00D66514">
        <w:t xml:space="preserve"> correction factor can be viewed as </w:t>
      </w:r>
      <w:r w:rsidR="009F71EF" w:rsidRPr="00D66514">
        <w:t>correcting</w:t>
      </w:r>
      <w:r w:rsidR="00DD75F9" w:rsidRPr="00D66514">
        <w:t xml:space="preserve"> the </w:t>
      </w:r>
      <w:r w:rsidR="009F71EF" w:rsidRPr="00D66514">
        <w:t>intercept</w:t>
      </w:r>
      <w:r w:rsidR="00DD75F9" w:rsidRPr="00D66514">
        <w:t xml:space="preserve"> in the SPF to correspond to the study region.</w:t>
      </w:r>
      <w:r w:rsidR="00AF5630" w:rsidRPr="00D66514">
        <w:t xml:space="preserve"> </w:t>
      </w:r>
      <w:r w:rsidR="00991FF5" w:rsidRPr="00D66514">
        <w:t xml:space="preserve">In </w:t>
      </w:r>
      <w:r w:rsidR="00D410B8" w:rsidRPr="00D66514">
        <w:t xml:space="preserve">past studies, the HSM’s default SPFs </w:t>
      </w:r>
      <w:r w:rsidR="00AF5630" w:rsidRPr="00D66514">
        <w:t xml:space="preserve">were </w:t>
      </w:r>
      <w:r w:rsidR="00D410B8" w:rsidRPr="00D66514">
        <w:t>applied to</w:t>
      </w:r>
      <w:r w:rsidR="00D6282C" w:rsidRPr="00D66514">
        <w:t xml:space="preserve"> rural</w:t>
      </w:r>
      <w:r w:rsidR="00991FF5" w:rsidRPr="00D66514">
        <w:t xml:space="preserve"> divided</w:t>
      </w:r>
      <w:r w:rsidR="00D6282C" w:rsidRPr="00D66514">
        <w:t xml:space="preserve"> multilane</w:t>
      </w:r>
      <w:r w:rsidR="00991FF5" w:rsidRPr="00D66514">
        <w:t xml:space="preserve"> highway</w:t>
      </w:r>
      <w:r w:rsidR="00D6282C" w:rsidRPr="00D66514">
        <w:t xml:space="preserve"> segments in</w:t>
      </w:r>
      <w:r w:rsidR="00D410B8" w:rsidRPr="00D66514">
        <w:t xml:space="preserve"> specific states in the US and </w:t>
      </w:r>
      <w:r w:rsidR="00991FF5" w:rsidRPr="00D66514">
        <w:t>abroad</w:t>
      </w:r>
      <w:r w:rsidR="00D410B8" w:rsidRPr="00D66514">
        <w:t xml:space="preserve">. </w:t>
      </w:r>
      <w:r w:rsidR="00D6282C" w:rsidRPr="00D66514">
        <w:t>The observed and predicted crash frequencies were compared to assess the HSM’s SPF prediction accuracy.</w:t>
      </w:r>
      <w:r w:rsidR="00D410B8" w:rsidRPr="00D66514">
        <w:t xml:space="preserve"> </w:t>
      </w:r>
      <w:r w:rsidR="00AF5630" w:rsidRPr="00D66514">
        <w:t>Further</w:t>
      </w:r>
      <w:r w:rsidR="000E14A3" w:rsidRPr="00D66514">
        <w:t>more</w:t>
      </w:r>
      <w:r w:rsidR="0047719B" w:rsidRPr="00D66514">
        <w:t>,</w:t>
      </w:r>
      <w:r w:rsidR="00513B5E" w:rsidRPr="00D66514">
        <w:t xml:space="preserve"> </w:t>
      </w:r>
      <w:r w:rsidR="0047719B" w:rsidRPr="00D66514">
        <w:t>jurisdiction specific SPF’s a</w:t>
      </w:r>
      <w:r w:rsidR="00513B5E" w:rsidRPr="00D66514">
        <w:t>re compared with those of the HSM in terms of goodness of fit measures.</w:t>
      </w:r>
      <w:r w:rsidR="0047719B" w:rsidRPr="00D66514">
        <w:t xml:space="preserve"> </w:t>
      </w:r>
    </w:p>
    <w:p w14:paraId="21A1D004" w14:textId="6BE6644B" w:rsidR="00F876D1" w:rsidRPr="00D66514" w:rsidRDefault="00AF5630">
      <w:r w:rsidRPr="00D66514">
        <w:t xml:space="preserve">The current study contributes to growing literature on SPF transferability </w:t>
      </w:r>
      <w:r w:rsidR="00F55D46" w:rsidRPr="00D66514">
        <w:t xml:space="preserve">by considering a </w:t>
      </w:r>
      <w:r w:rsidR="00423807" w:rsidRPr="00D66514">
        <w:t xml:space="preserve">detailed </w:t>
      </w:r>
      <w:r w:rsidR="00792892" w:rsidRPr="00D66514">
        <w:t xml:space="preserve">and rigorous </w:t>
      </w:r>
      <w:r w:rsidR="00423807" w:rsidRPr="00D66514">
        <w:t>assessment of SPF transferab</w:t>
      </w:r>
      <w:r w:rsidR="00F55D46" w:rsidRPr="00D66514">
        <w:t>ility across multiple regions</w:t>
      </w:r>
      <w:r w:rsidR="00423807" w:rsidRPr="00D66514">
        <w:t xml:space="preserve">. </w:t>
      </w:r>
      <w:r w:rsidR="00343874" w:rsidRPr="00D66514">
        <w:t xml:space="preserve">Specifically, we consider transferability of jurisdiction specific SPFs of Florida (FL), Ohio (OH) and California (CA) and compare their predictive performance across the three states. </w:t>
      </w:r>
      <w:r w:rsidR="00423807" w:rsidRPr="00D66514">
        <w:t>The</w:t>
      </w:r>
      <w:r w:rsidR="009F71EF" w:rsidRPr="00D66514">
        <w:t xml:space="preserve"> study</w:t>
      </w:r>
      <w:r w:rsidR="00423807" w:rsidRPr="00D66514">
        <w:t xml:space="preserve"> effort </w:t>
      </w:r>
      <w:r w:rsidR="009F71EF" w:rsidRPr="00D66514">
        <w:t>has two main objectives</w:t>
      </w:r>
      <w:r w:rsidR="0084263C" w:rsidRPr="00D66514">
        <w:t>. First, we</w:t>
      </w:r>
      <w:r w:rsidR="00423807" w:rsidRPr="00D66514">
        <w:t xml:space="preserve"> explore </w:t>
      </w:r>
      <w:r w:rsidR="0084263C" w:rsidRPr="00D66514">
        <w:t xml:space="preserve">the influence of </w:t>
      </w:r>
      <w:r w:rsidR="00423807" w:rsidRPr="00D66514">
        <w:t xml:space="preserve">pooling data from multiple states </w:t>
      </w:r>
      <w:r w:rsidR="0084263C" w:rsidRPr="00D66514">
        <w:t xml:space="preserve">for SPF </w:t>
      </w:r>
      <w:r w:rsidR="0084263C" w:rsidRPr="00D66514">
        <w:lastRenderedPageBreak/>
        <w:t xml:space="preserve">development </w:t>
      </w:r>
      <w:r w:rsidR="00991FF5" w:rsidRPr="00D66514">
        <w:t xml:space="preserve">and compare </w:t>
      </w:r>
      <w:r w:rsidR="0084263C" w:rsidRPr="00D66514">
        <w:t xml:space="preserve">the </w:t>
      </w:r>
      <w:r w:rsidR="00423807" w:rsidRPr="00D66514">
        <w:t xml:space="preserve">transferability </w:t>
      </w:r>
      <w:r w:rsidR="00F55D46" w:rsidRPr="00D66514">
        <w:t xml:space="preserve">of </w:t>
      </w:r>
      <w:r w:rsidR="0084263C" w:rsidRPr="00D66514">
        <w:t xml:space="preserve">the </w:t>
      </w:r>
      <w:r w:rsidR="00F55D46" w:rsidRPr="00D66514">
        <w:t>SPFs</w:t>
      </w:r>
      <w:r w:rsidR="00991FF5" w:rsidRPr="00D66514">
        <w:t xml:space="preserve"> developed from the pooled data</w:t>
      </w:r>
      <w:r w:rsidR="0084263C" w:rsidRPr="00D66514">
        <w:t xml:space="preserve"> </w:t>
      </w:r>
      <w:r w:rsidR="00991FF5" w:rsidRPr="00D66514">
        <w:t xml:space="preserve">with those developed from </w:t>
      </w:r>
      <w:r w:rsidR="0084263C" w:rsidRPr="00D66514">
        <w:t>single state data. We consider two states and three states for pool</w:t>
      </w:r>
      <w:r w:rsidR="00991FF5" w:rsidRPr="00D66514">
        <w:t xml:space="preserve">ing the data </w:t>
      </w:r>
      <w:r w:rsidR="00CD08D7" w:rsidRPr="00D66514">
        <w:t>for</w:t>
      </w:r>
      <w:r w:rsidR="0084263C" w:rsidRPr="00D66514">
        <w:t xml:space="preserve"> SPF</w:t>
      </w:r>
      <w:r w:rsidR="00CD08D7" w:rsidRPr="00D66514">
        <w:t xml:space="preserve"> development and compari</w:t>
      </w:r>
      <w:r w:rsidR="00991FF5" w:rsidRPr="00D66514">
        <w:t>s</w:t>
      </w:r>
      <w:r w:rsidR="00CD08D7" w:rsidRPr="00D66514">
        <w:t>on</w:t>
      </w:r>
      <w:r w:rsidR="0084263C" w:rsidRPr="00D66514">
        <w:t xml:space="preserve">. </w:t>
      </w:r>
      <w:r w:rsidR="00BA5294" w:rsidRPr="00D66514">
        <w:t>The comparison is undertaken based on a Transfer Index</w:t>
      </w:r>
      <w:r w:rsidR="004B6513" w:rsidRPr="00D66514">
        <w:t xml:space="preserve"> measure</w:t>
      </w:r>
      <w:r w:rsidR="00BA5294" w:rsidRPr="00D66514">
        <w:t xml:space="preserve">. </w:t>
      </w:r>
      <w:r w:rsidR="0084263C" w:rsidRPr="00D66514">
        <w:t xml:space="preserve">Second, </w:t>
      </w:r>
      <w:r w:rsidR="007F3B0A" w:rsidRPr="00D66514">
        <w:t xml:space="preserve">we propose a more disaggregate calibration measure that customizes SPFs from elsewhere for </w:t>
      </w:r>
      <w:r w:rsidR="0084263C" w:rsidRPr="00D66514">
        <w:t xml:space="preserve">the study </w:t>
      </w:r>
      <w:r w:rsidR="007F3B0A" w:rsidRPr="00D66514">
        <w:t xml:space="preserve">region </w:t>
      </w:r>
      <w:r w:rsidR="0084263C" w:rsidRPr="00D66514">
        <w:t>without local SPF</w:t>
      </w:r>
      <w:r w:rsidR="00D82672" w:rsidRPr="00D66514">
        <w:t>s</w:t>
      </w:r>
      <w:r w:rsidR="0084263C" w:rsidRPr="00D66514">
        <w:t xml:space="preserve">. </w:t>
      </w:r>
      <w:r w:rsidR="00792892" w:rsidRPr="00D66514">
        <w:t xml:space="preserve">The predictive performance </w:t>
      </w:r>
      <w:r w:rsidR="0084263C" w:rsidRPr="00D66514">
        <w:t xml:space="preserve">of the calibrated SPF </w:t>
      </w:r>
      <w:r w:rsidR="00792892" w:rsidRPr="00D66514">
        <w:t xml:space="preserve">from the new calibration parameter is compared to the predictive performance of the </w:t>
      </w:r>
      <w:r w:rsidR="0084263C" w:rsidRPr="00D66514">
        <w:t xml:space="preserve">calibrated SPF using </w:t>
      </w:r>
      <w:r w:rsidR="00D82672" w:rsidRPr="00D66514">
        <w:t xml:space="preserve">the </w:t>
      </w:r>
      <w:r w:rsidR="0084263C" w:rsidRPr="00D66514">
        <w:t xml:space="preserve">HSM </w:t>
      </w:r>
      <w:r w:rsidR="00792892" w:rsidRPr="00D66514">
        <w:t xml:space="preserve">calibration </w:t>
      </w:r>
      <w:r w:rsidR="0084263C" w:rsidRPr="00D66514">
        <w:t>approach</w:t>
      </w:r>
      <w:r w:rsidR="00792892" w:rsidRPr="00D66514">
        <w:t>.</w:t>
      </w:r>
      <w:r w:rsidR="00CD08D7" w:rsidRPr="00D66514">
        <w:t xml:space="preserve"> Even though Florida, Ohio and California are distant states that represent different regions of the nation, they are chosen for this study because pooling data from states having different features enriches the data. That is, the pooled data will better represent</w:t>
      </w:r>
      <w:r w:rsidR="00792892" w:rsidRPr="00D66514">
        <w:t xml:space="preserve"> </w:t>
      </w:r>
      <w:r w:rsidR="00805EEA" w:rsidRPr="00D66514">
        <w:t>regions surrounding the three chosen states and hence the SPFs developed from the pooled data may be applicable to the surrounding regions.</w:t>
      </w:r>
      <w:r w:rsidR="000B59BA" w:rsidRPr="00D66514">
        <w:t xml:space="preserve"> It should be noted that transferability research is not limited to microscopic SPFs. For instance, Hadayeghi et al. (2006) assessed the temporal transferability of macroscopic SPFs in Toronto. The concept of transferability is also applicable to travel demand modeling. In one recent study by Sikder et al (2014), transferability of choice models</w:t>
      </w:r>
      <w:r w:rsidR="00957F3C" w:rsidRPr="00D66514">
        <w:t>,</w:t>
      </w:r>
      <w:r w:rsidR="000B59BA" w:rsidRPr="00D66514">
        <w:t xml:space="preserve"> </w:t>
      </w:r>
      <w:r w:rsidR="00957F3C" w:rsidRPr="00D66514">
        <w:t>which</w:t>
      </w:r>
      <w:r w:rsidR="000B59BA" w:rsidRPr="00D66514">
        <w:t xml:space="preserve"> are </w:t>
      </w:r>
      <w:r w:rsidR="00957F3C" w:rsidRPr="00D66514">
        <w:t>based on tours rather than trips,</w:t>
      </w:r>
      <w:r w:rsidR="000B59BA" w:rsidRPr="00D66514">
        <w:t xml:space="preserve"> among San Francisco Bay Area’s counties is evaluated.</w:t>
      </w:r>
      <w:r w:rsidR="00440FAB" w:rsidRPr="00D66514">
        <w:t xml:space="preserve"> </w:t>
      </w:r>
    </w:p>
    <w:p w14:paraId="57B5F2CF" w14:textId="77777777" w:rsidR="009D4E0B" w:rsidRPr="00D66514" w:rsidRDefault="009D4E0B" w:rsidP="00E70528">
      <w:pPr>
        <w:pStyle w:val="Heading1"/>
      </w:pPr>
      <w:r w:rsidRPr="00D66514">
        <w:t>Literature Review</w:t>
      </w:r>
    </w:p>
    <w:p w14:paraId="7A30C25E" w14:textId="6D8C515D" w:rsidR="008058D4" w:rsidRPr="00D66514" w:rsidRDefault="00906AA6">
      <w:r w:rsidRPr="00D66514">
        <w:t>In traffic safety literature, examining t</w:t>
      </w:r>
      <w:r w:rsidR="0029644D" w:rsidRPr="00D66514">
        <w:t xml:space="preserve">ransferability of SPFs </w:t>
      </w:r>
      <w:r w:rsidRPr="00D66514">
        <w:t xml:space="preserve">is a relatively new research topic. The analysis approach involves applying the default </w:t>
      </w:r>
      <w:r w:rsidR="0047719B" w:rsidRPr="00D66514">
        <w:t>HSM</w:t>
      </w:r>
      <w:r w:rsidR="0029644D" w:rsidRPr="00D66514">
        <w:t xml:space="preserve">’s SPFs to a specific jurisdiction </w:t>
      </w:r>
      <w:r w:rsidRPr="00D66514">
        <w:t>with the HSM</w:t>
      </w:r>
      <w:r w:rsidR="004076A9" w:rsidRPr="00D66514">
        <w:t xml:space="preserve"> calibration factor</w:t>
      </w:r>
      <w:r w:rsidRPr="00D66514">
        <w:t xml:space="preserve"> (</w:t>
      </w:r>
      <w:r w:rsidR="00C2403C" w:rsidRPr="00D66514">
        <w:t xml:space="preserve">ratio of the </w:t>
      </w:r>
      <w:r w:rsidR="00CA15C9" w:rsidRPr="00D66514">
        <w:t xml:space="preserve">sum of the </w:t>
      </w:r>
      <w:r w:rsidR="00C2403C" w:rsidRPr="00D66514">
        <w:t>observed number of crashes to that</w:t>
      </w:r>
      <w:r w:rsidR="00CA15C9" w:rsidRPr="00D66514">
        <w:t xml:space="preserve"> of crash frequencies</w:t>
      </w:r>
      <w:r w:rsidR="00C2403C" w:rsidRPr="00D66514">
        <w:t xml:space="preserve"> predicted by the HSM’s SPF</w:t>
      </w:r>
      <w:r w:rsidRPr="00D66514">
        <w:t xml:space="preserve">). In some cases, the </w:t>
      </w:r>
      <w:r w:rsidR="00C2403C" w:rsidRPr="00D66514">
        <w:t xml:space="preserve">jurisdiction specific SPFs are </w:t>
      </w:r>
      <w:r w:rsidRPr="00D66514">
        <w:t xml:space="preserve">also </w:t>
      </w:r>
      <w:r w:rsidR="00C2403C" w:rsidRPr="00D66514">
        <w:t xml:space="preserve">developed using the local data and compared with the HSM’s SPFs multiplied by the calibration factor. </w:t>
      </w:r>
      <w:r w:rsidR="007E77CD" w:rsidRPr="00D66514">
        <w:t>The approach has been employed for studies</w:t>
      </w:r>
      <w:r w:rsidR="003F43B6" w:rsidRPr="00D66514">
        <w:t xml:space="preserve"> of </w:t>
      </w:r>
      <w:r w:rsidR="00805EEA" w:rsidRPr="00D66514">
        <w:t xml:space="preserve">rural </w:t>
      </w:r>
      <w:r w:rsidR="003F43B6" w:rsidRPr="00D66514">
        <w:t>divided multilane highway segments</w:t>
      </w:r>
      <w:r w:rsidR="00925CFB" w:rsidRPr="00D66514">
        <w:t>, among other types of segments and intersections,</w:t>
      </w:r>
      <w:r w:rsidR="007E77CD" w:rsidRPr="00D66514">
        <w:t xml:space="preserve"> in the states of </w:t>
      </w:r>
      <w:r w:rsidR="00C2403C" w:rsidRPr="00D66514">
        <w:t>Missouri, North Carol</w:t>
      </w:r>
      <w:r w:rsidR="008058D4" w:rsidRPr="00D66514">
        <w:t>ina, Oregon</w:t>
      </w:r>
      <w:r w:rsidR="00610C9B" w:rsidRPr="00D66514">
        <w:t>,</w:t>
      </w:r>
      <w:r w:rsidR="008058D4" w:rsidRPr="00D66514">
        <w:t xml:space="preserve"> and Alabama</w:t>
      </w:r>
      <w:r w:rsidR="007E77CD" w:rsidRPr="00D66514">
        <w:t xml:space="preserve"> and internationally for </w:t>
      </w:r>
      <w:r w:rsidR="00CC6A54" w:rsidRPr="00D66514">
        <w:t>Messina-Catania</w:t>
      </w:r>
      <w:r w:rsidR="00CA15C9" w:rsidRPr="00D66514">
        <w:t xml:space="preserve">, </w:t>
      </w:r>
      <w:r w:rsidR="00CC6A54" w:rsidRPr="00D66514">
        <w:t>Italy</w:t>
      </w:r>
      <w:r w:rsidR="00CA15C9" w:rsidRPr="00D66514">
        <w:t xml:space="preserve"> and</w:t>
      </w:r>
      <w:r w:rsidR="008058D4" w:rsidRPr="00D66514">
        <w:t xml:space="preserve"> Riyadh, Saudi Arabia</w:t>
      </w:r>
      <w:r w:rsidR="00ED4AE3" w:rsidRPr="00D66514">
        <w:t xml:space="preserve"> (Sun et al., 2014; Salifu, 2004; Srinivasan and Carter, 2011; Xie et al., 2011; Cafiso et al., 2012; Al Kaaf and Abdel-Aty, 201</w:t>
      </w:r>
      <w:r w:rsidR="00623A5B" w:rsidRPr="00D66514">
        <w:t>5</w:t>
      </w:r>
      <w:r w:rsidR="00ED4AE3" w:rsidRPr="00D66514">
        <w:t>; Mehta and Lou, 2013)</w:t>
      </w:r>
      <w:r w:rsidR="008058D4" w:rsidRPr="00D66514">
        <w:t>.</w:t>
      </w:r>
      <w:r w:rsidR="00ED3940" w:rsidRPr="00D66514">
        <w:t xml:space="preserve"> The same approach was chosen for</w:t>
      </w:r>
      <w:r w:rsidR="00C4581A" w:rsidRPr="00D66514">
        <w:t xml:space="preserve"> roadway facilities other than rural divided multilane highway segments in Louisiana, </w:t>
      </w:r>
      <w:r w:rsidR="000B0A77" w:rsidRPr="00D66514">
        <w:t>Ohio and Regina, Saskatchewan, Canada</w:t>
      </w:r>
      <w:r w:rsidR="00ED4AE3" w:rsidRPr="00D66514">
        <w:t xml:space="preserve"> (Sun et al., 2006; El-Dabaja and McAvoy, 2015; Young and Park, 2012).</w:t>
      </w:r>
    </w:p>
    <w:p w14:paraId="3B9D81D1" w14:textId="1C4B50C9" w:rsidR="00B061CE" w:rsidRPr="00D66514" w:rsidRDefault="00D92E89">
      <w:r w:rsidRPr="00D66514">
        <w:t>Sun et al.</w:t>
      </w:r>
      <w:r w:rsidR="00ED4AE3" w:rsidRPr="00D66514">
        <w:t xml:space="preserve"> (2014)</w:t>
      </w:r>
      <w:r w:rsidRPr="00D66514">
        <w:t xml:space="preserve"> employing</w:t>
      </w:r>
      <w:r w:rsidR="00416B83" w:rsidRPr="00D66514">
        <w:t xml:space="preserve"> KABCO</w:t>
      </w:r>
      <w:r w:rsidRPr="00D66514">
        <w:t xml:space="preserve"> crash data from 2009 to 2011</w:t>
      </w:r>
      <w:r w:rsidR="00D82672" w:rsidRPr="00D66514">
        <w:t>,</w:t>
      </w:r>
      <w:r w:rsidRPr="00D66514">
        <w:t xml:space="preserve"> </w:t>
      </w:r>
      <w:r w:rsidR="00C73BA2" w:rsidRPr="00D66514">
        <w:t>compiled from</w:t>
      </w:r>
      <w:r w:rsidR="00805EEA" w:rsidRPr="00D66514">
        <w:t xml:space="preserve"> the</w:t>
      </w:r>
      <w:r w:rsidR="00C73BA2" w:rsidRPr="00D66514">
        <w:t xml:space="preserve"> </w:t>
      </w:r>
      <w:r w:rsidR="00805EEA" w:rsidRPr="00D66514">
        <w:t xml:space="preserve">Transportation Management System </w:t>
      </w:r>
      <w:r w:rsidR="00C73BA2" w:rsidRPr="00D66514">
        <w:t xml:space="preserve">(TMS) of the Missouri </w:t>
      </w:r>
      <w:r w:rsidR="00805EEA" w:rsidRPr="00D66514">
        <w:t xml:space="preserve">Department </w:t>
      </w:r>
      <w:r w:rsidR="00C73BA2" w:rsidRPr="00D66514">
        <w:t xml:space="preserve">of </w:t>
      </w:r>
      <w:r w:rsidR="00805EEA" w:rsidRPr="00D66514">
        <w:t xml:space="preserve">Transportation </w:t>
      </w:r>
      <w:r w:rsidR="00C73BA2" w:rsidRPr="00D66514">
        <w:t>(DOT)</w:t>
      </w:r>
      <w:r w:rsidR="00D82672" w:rsidRPr="00D66514">
        <w:t>,</w:t>
      </w:r>
      <w:r w:rsidR="00C73BA2" w:rsidRPr="00D66514">
        <w:t xml:space="preserve"> employed </w:t>
      </w:r>
      <w:r w:rsidR="00D82672" w:rsidRPr="00D66514">
        <w:t xml:space="preserve">the </w:t>
      </w:r>
      <w:r w:rsidR="00C73BA2" w:rsidRPr="00D66514">
        <w:t>HSM</w:t>
      </w:r>
      <w:r w:rsidR="00D82672" w:rsidRPr="00D66514">
        <w:t>’s</w:t>
      </w:r>
      <w:r w:rsidR="00C73BA2" w:rsidRPr="00D66514">
        <w:t xml:space="preserve"> SPF. </w:t>
      </w:r>
      <w:r w:rsidR="00B061CE" w:rsidRPr="00D66514">
        <w:t xml:space="preserve">The HSM’s negative binomial model that takes the following form is used to </w:t>
      </w:r>
      <w:r w:rsidR="00D77CC6" w:rsidRPr="00D66514">
        <w:t>predict the number of crashes per segment.</w:t>
      </w:r>
    </w:p>
    <w:p w14:paraId="2489F789" w14:textId="1464E271" w:rsidR="009D4E0B" w:rsidRPr="00D66514" w:rsidRDefault="00805EEA" w:rsidP="008A516D">
      <w:pPr>
        <w:keepNext/>
      </w:pPr>
      <w:r w:rsidRPr="00D66514">
        <w:rPr>
          <w:position w:val="-12"/>
        </w:rPr>
        <w:object w:dxaOrig="3560" w:dyaOrig="360" w14:anchorId="13252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21.75pt" o:ole="">
            <v:imagedata r:id="rId9" o:title=""/>
          </v:shape>
          <o:OLEObject Type="Embed" ProgID="Equation.3" ShapeID="_x0000_i1025" DrawAspect="Content" ObjectID="_1523268509" r:id="rId10"/>
        </w:object>
      </w:r>
      <w:r w:rsidR="00A85441" w:rsidRPr="00D66514">
        <w:tab/>
      </w:r>
      <w:r w:rsidR="00A85441" w:rsidRPr="00D66514">
        <w:tab/>
      </w:r>
      <w:r w:rsidR="00A85441" w:rsidRPr="00D66514">
        <w:tab/>
      </w:r>
      <w:r w:rsidR="00A85441" w:rsidRPr="00D66514">
        <w:tab/>
      </w:r>
      <w:r w:rsidR="00532893" w:rsidRPr="00D66514">
        <w:t xml:space="preserve">                                           </w:t>
      </w:r>
      <w:r w:rsidR="00AC6F54" w:rsidRPr="00D66514">
        <w:t>(</w:t>
      </w:r>
      <w:r w:rsidR="00A226E1">
        <w:fldChar w:fldCharType="begin"/>
      </w:r>
      <w:r w:rsidR="00A226E1">
        <w:instrText xml:space="preserve"> SEQ ( \* ARABIC </w:instrText>
      </w:r>
      <w:r w:rsidR="00A226E1">
        <w:fldChar w:fldCharType="separate"/>
      </w:r>
      <w:r w:rsidR="004F0410">
        <w:rPr>
          <w:noProof/>
        </w:rPr>
        <w:t>1</w:t>
      </w:r>
      <w:r w:rsidR="00A226E1">
        <w:rPr>
          <w:noProof/>
        </w:rPr>
        <w:fldChar w:fldCharType="end"/>
      </w:r>
      <w:r w:rsidR="00AC6F54" w:rsidRPr="00D66514">
        <w:t>)</w:t>
      </w:r>
    </w:p>
    <w:p w14:paraId="56B478CA" w14:textId="7CCD0790" w:rsidR="00250FF3" w:rsidRPr="00D66514" w:rsidRDefault="00D25266">
      <w:r w:rsidRPr="00D66514">
        <w:t>In t</w:t>
      </w:r>
      <w:r w:rsidR="00D77CC6" w:rsidRPr="00D66514">
        <w:t>he model</w:t>
      </w:r>
      <w:r w:rsidRPr="00D66514">
        <w:t xml:space="preserve">, </w:t>
      </w:r>
      <w:r w:rsidRPr="00D66514">
        <w:rPr>
          <w:i/>
          <w:iCs/>
        </w:rPr>
        <w:t>L</w:t>
      </w:r>
      <w:r w:rsidRPr="00D66514">
        <w:t>, represents the segment length</w:t>
      </w:r>
      <w:r w:rsidR="00613C96" w:rsidRPr="00D66514">
        <w:t>, an offset variable,</w:t>
      </w:r>
      <w:r w:rsidR="00EE5EB8" w:rsidRPr="00D66514">
        <w:t xml:space="preserve"> and </w:t>
      </w:r>
      <w:r w:rsidR="00EE5EB8" w:rsidRPr="00D66514">
        <w:rPr>
          <w:i/>
          <w:iCs/>
        </w:rPr>
        <w:t>AADT</w:t>
      </w:r>
      <w:r w:rsidR="00EE5EB8" w:rsidRPr="00D66514">
        <w:t xml:space="preserve"> is the average annual daily traffic</w:t>
      </w:r>
      <w:r w:rsidR="00D82672" w:rsidRPr="00D66514">
        <w:t>,</w:t>
      </w:r>
      <w:r w:rsidR="00EE5EB8" w:rsidRPr="00D66514">
        <w:t xml:space="preserve"> </w:t>
      </w:r>
      <w:r w:rsidR="00956769" w:rsidRPr="00D66514">
        <w:t xml:space="preserve">both of </w:t>
      </w:r>
      <w:r w:rsidR="00EE5EB8" w:rsidRPr="00D66514">
        <w:t>which are</w:t>
      </w:r>
      <w:r w:rsidRPr="00D66514">
        <w:t xml:space="preserve"> exposure measure</w:t>
      </w:r>
      <w:r w:rsidR="00EE5EB8" w:rsidRPr="00D66514">
        <w:t>s</w:t>
      </w:r>
      <w:r w:rsidRPr="00D66514">
        <w:t>. The</w:t>
      </w:r>
      <w:r w:rsidR="00D77CC6" w:rsidRPr="00D66514">
        <w:t xml:space="preserve"> regression coefficients are represented by </w:t>
      </w:r>
      <w:r w:rsidR="00805EEA" w:rsidRPr="00D66514">
        <w:rPr>
          <w:i/>
          <w:iCs/>
        </w:rPr>
        <w:t>A</w:t>
      </w:r>
      <w:r w:rsidR="00805EEA" w:rsidRPr="00D66514">
        <w:t xml:space="preserve"> and </w:t>
      </w:r>
      <w:r w:rsidR="00805EEA" w:rsidRPr="00D66514">
        <w:rPr>
          <w:i/>
          <w:iCs/>
        </w:rPr>
        <w:t>B</w:t>
      </w:r>
      <w:r w:rsidRPr="00D66514">
        <w:t>.</w:t>
      </w:r>
      <w:r w:rsidR="00805EEA" w:rsidRPr="00D66514">
        <w:t xml:space="preserve"> T</w:t>
      </w:r>
      <w:r w:rsidR="00416B83" w:rsidRPr="00D66514">
        <w:t xml:space="preserve">he </w:t>
      </w:r>
      <w:r w:rsidR="00805EEA" w:rsidRPr="00D66514">
        <w:t>model is applicable to segments conforming to the defined base conditions of the HSM only. Therefore, crash modification factors (CMFs) of the HSM are applied to account for</w:t>
      </w:r>
      <w:r w:rsidR="00416B83" w:rsidRPr="00D66514">
        <w:t xml:space="preserve"> deviations from the base conditions.</w:t>
      </w:r>
      <w:r w:rsidRPr="00D66514">
        <w:t xml:space="preserve"> The model</w:t>
      </w:r>
      <w:r w:rsidR="00C73BA2" w:rsidRPr="00D66514">
        <w:t xml:space="preserve">, while simplistic with only </w:t>
      </w:r>
      <w:r w:rsidR="00FF47BA" w:rsidRPr="00D66514">
        <w:t>exposure measures</w:t>
      </w:r>
      <w:r w:rsidR="00C73BA2" w:rsidRPr="00D66514">
        <w:t xml:space="preserve"> is quite </w:t>
      </w:r>
      <w:r w:rsidR="002F1674" w:rsidRPr="00D66514">
        <w:t>useful for identifying the hot spots</w:t>
      </w:r>
      <w:r w:rsidR="00ED4AE3" w:rsidRPr="00D66514">
        <w:t xml:space="preserve"> (Salifu, 2004)</w:t>
      </w:r>
      <w:r w:rsidR="002F1674" w:rsidRPr="00D66514">
        <w:t xml:space="preserve">. </w:t>
      </w:r>
      <w:r w:rsidR="00D77CC6" w:rsidRPr="00D66514">
        <w:t xml:space="preserve">For the case of </w:t>
      </w:r>
      <w:r w:rsidR="00822612" w:rsidRPr="00D66514">
        <w:t>Missouri</w:t>
      </w:r>
      <w:r w:rsidR="00FF47BA" w:rsidRPr="00D66514">
        <w:t>,</w:t>
      </w:r>
      <w:r w:rsidR="00D77CC6" w:rsidRPr="00D66514">
        <w:t xml:space="preserve"> the calibration </w:t>
      </w:r>
      <w:r w:rsidR="00D77CC6" w:rsidRPr="00D66514">
        <w:lastRenderedPageBreak/>
        <w:t xml:space="preserve">factor </w:t>
      </w:r>
      <w:r w:rsidR="00C73BA2" w:rsidRPr="00D66514">
        <w:t>was</w:t>
      </w:r>
      <w:r w:rsidR="00D77CC6" w:rsidRPr="00D66514">
        <w:t xml:space="preserve"> calculated to be 0.98</w:t>
      </w:r>
      <w:r w:rsidR="00C73BA2" w:rsidRPr="00D66514">
        <w:t xml:space="preserve"> indicating that </w:t>
      </w:r>
      <w:r w:rsidR="00416B83" w:rsidRPr="00D66514">
        <w:t xml:space="preserve">the </w:t>
      </w:r>
      <w:r w:rsidR="00D77CC6" w:rsidRPr="00D66514">
        <w:t xml:space="preserve">HSM’s SPF </w:t>
      </w:r>
      <w:r w:rsidR="00C73BA2" w:rsidRPr="00D66514">
        <w:t>marginally</w:t>
      </w:r>
      <w:r w:rsidR="00D77CC6" w:rsidRPr="00D66514">
        <w:t xml:space="preserve"> over-predicts the </w:t>
      </w:r>
      <w:r w:rsidR="00416B83" w:rsidRPr="00D66514">
        <w:t xml:space="preserve">frequency </w:t>
      </w:r>
      <w:r w:rsidR="00D77CC6" w:rsidRPr="00D66514">
        <w:t>of</w:t>
      </w:r>
      <w:r w:rsidR="00416B83" w:rsidRPr="00D66514">
        <w:t xml:space="preserve"> total</w:t>
      </w:r>
      <w:r w:rsidR="00D77CC6" w:rsidRPr="00D66514">
        <w:t xml:space="preserve"> crashes in </w:t>
      </w:r>
      <w:r w:rsidR="00416B83" w:rsidRPr="00D66514">
        <w:t xml:space="preserve">rural </w:t>
      </w:r>
      <w:r w:rsidR="00D77CC6" w:rsidRPr="00D66514">
        <w:t xml:space="preserve">divided multilane highway segments in </w:t>
      </w:r>
      <w:r w:rsidR="00822612" w:rsidRPr="00D66514">
        <w:t>Missouri</w:t>
      </w:r>
      <w:r w:rsidR="00D77CC6" w:rsidRPr="00D66514">
        <w:t>.</w:t>
      </w:r>
      <w:r w:rsidR="00C73BA2" w:rsidRPr="00D66514">
        <w:t xml:space="preserve"> </w:t>
      </w:r>
      <w:r w:rsidR="00123CE9" w:rsidRPr="00D66514">
        <w:t xml:space="preserve">Srinivasan and Carter </w:t>
      </w:r>
      <w:r w:rsidR="00ED4AE3" w:rsidRPr="00D66514">
        <w:t>(2011)</w:t>
      </w:r>
      <w:r w:rsidR="00123CE9" w:rsidRPr="00D66514">
        <w:t xml:space="preserve"> </w:t>
      </w:r>
      <w:r w:rsidR="00C73BA2" w:rsidRPr="00D66514">
        <w:t>undertook a similar exercise for rural divided multilane highway</w:t>
      </w:r>
      <w:r w:rsidR="00416B83" w:rsidRPr="00D66514">
        <w:t xml:space="preserve"> </w:t>
      </w:r>
      <w:r w:rsidR="00C73BA2" w:rsidRPr="00D66514">
        <w:t>s</w:t>
      </w:r>
      <w:r w:rsidR="00416B83" w:rsidRPr="00D66514">
        <w:t>egments</w:t>
      </w:r>
      <w:r w:rsidR="00C73BA2" w:rsidRPr="00D66514">
        <w:t xml:space="preserve"> in North Carolin</w:t>
      </w:r>
      <w:r w:rsidR="003A6B9D" w:rsidRPr="00D66514">
        <w:t>a</w:t>
      </w:r>
      <w:r w:rsidR="00C73BA2" w:rsidRPr="00D66514">
        <w:t xml:space="preserve"> using data </w:t>
      </w:r>
      <w:r w:rsidR="00FC60AF" w:rsidRPr="00D66514">
        <w:t xml:space="preserve">between </w:t>
      </w:r>
      <w:r w:rsidR="004A1408" w:rsidRPr="00D66514">
        <w:t>200</w:t>
      </w:r>
      <w:r w:rsidR="00E53911" w:rsidRPr="00D66514">
        <w:t>4</w:t>
      </w:r>
      <w:r w:rsidR="004A1408" w:rsidRPr="00D66514">
        <w:t xml:space="preserve"> </w:t>
      </w:r>
      <w:r w:rsidR="00FC60AF" w:rsidRPr="00D66514">
        <w:t xml:space="preserve">and </w:t>
      </w:r>
      <w:r w:rsidR="004A1408" w:rsidRPr="00D66514">
        <w:t>200</w:t>
      </w:r>
      <w:r w:rsidR="00E53911" w:rsidRPr="00D66514">
        <w:t>8</w:t>
      </w:r>
      <w:r w:rsidR="00822612" w:rsidRPr="00D66514">
        <w:t xml:space="preserve"> </w:t>
      </w:r>
      <w:r w:rsidR="00123CE9" w:rsidRPr="00D66514">
        <w:t xml:space="preserve">from the accident analysis </w:t>
      </w:r>
      <w:r w:rsidR="00FC60AF" w:rsidRPr="00D66514">
        <w:t>system of the N</w:t>
      </w:r>
      <w:r w:rsidR="00822612" w:rsidRPr="00D66514">
        <w:t xml:space="preserve">orth Carolina </w:t>
      </w:r>
      <w:r w:rsidR="00FC60AF" w:rsidRPr="00D66514">
        <w:t>DOT.</w:t>
      </w:r>
      <w:r w:rsidR="00416B83" w:rsidRPr="00D66514">
        <w:t xml:space="preserve"> The analysis is also conducted for total crashes.</w:t>
      </w:r>
      <w:r w:rsidR="00FC60AF" w:rsidRPr="00D66514">
        <w:t xml:space="preserve"> </w:t>
      </w:r>
      <w:r w:rsidR="00C73BA2" w:rsidRPr="00D66514">
        <w:t xml:space="preserve">The </w:t>
      </w:r>
      <w:r w:rsidR="00FC60AF" w:rsidRPr="00D66514">
        <w:t>HSM</w:t>
      </w:r>
      <w:r w:rsidR="00D82672" w:rsidRPr="00D66514">
        <w:t>’s</w:t>
      </w:r>
      <w:r w:rsidR="00FC60AF" w:rsidRPr="00D66514">
        <w:t xml:space="preserve"> </w:t>
      </w:r>
      <w:r w:rsidR="00C73BA2" w:rsidRPr="00D66514">
        <w:t>SPF marginally over-predicted t</w:t>
      </w:r>
      <w:r w:rsidR="00416B83" w:rsidRPr="00D66514">
        <w:t>otal</w:t>
      </w:r>
      <w:r w:rsidR="00C73BA2" w:rsidRPr="00D66514">
        <w:t xml:space="preserve"> crashes to yield a calibration factor of </w:t>
      </w:r>
      <w:r w:rsidR="00FC60AF" w:rsidRPr="00D66514">
        <w:t>0.97</w:t>
      </w:r>
      <w:r w:rsidR="004076A9" w:rsidRPr="00D66514">
        <w:t>.</w:t>
      </w:r>
      <w:r w:rsidR="00416B83" w:rsidRPr="00D66514">
        <w:t xml:space="preserve"> Likewise,</w:t>
      </w:r>
      <w:r w:rsidR="004076A9" w:rsidRPr="00D66514">
        <w:t xml:space="preserve"> </w:t>
      </w:r>
      <w:r w:rsidR="00FC60AF" w:rsidRPr="00D66514">
        <w:t xml:space="preserve">Xie et al. </w:t>
      </w:r>
      <w:r w:rsidR="00ED4AE3" w:rsidRPr="00D66514">
        <w:t xml:space="preserve">(2011) </w:t>
      </w:r>
      <w:r w:rsidR="003B57AD" w:rsidRPr="00D66514">
        <w:t xml:space="preserve">estimated </w:t>
      </w:r>
      <w:r w:rsidR="00416B83" w:rsidRPr="00D66514">
        <w:t xml:space="preserve">KABCO </w:t>
      </w:r>
      <w:r w:rsidR="003B57AD" w:rsidRPr="00D66514">
        <w:t>crash frequency in</w:t>
      </w:r>
      <w:r w:rsidR="00FC60AF" w:rsidRPr="00D66514">
        <w:t xml:space="preserve"> </w:t>
      </w:r>
      <w:r w:rsidR="00822612" w:rsidRPr="00D66514">
        <w:t>Oregon</w:t>
      </w:r>
      <w:r w:rsidR="003B57AD" w:rsidRPr="00D66514">
        <w:t xml:space="preserve"> using data from </w:t>
      </w:r>
      <w:r w:rsidR="00FC60AF" w:rsidRPr="00D66514">
        <w:t>2004 to 2006</w:t>
      </w:r>
      <w:r w:rsidR="003B57AD" w:rsidRPr="00D66514">
        <w:t>.</w:t>
      </w:r>
      <w:r w:rsidR="00A3174C" w:rsidRPr="00D66514">
        <w:t xml:space="preserve"> The CMFs are also taken into consideration.</w:t>
      </w:r>
      <w:r w:rsidR="0037144E" w:rsidRPr="00D66514">
        <w:t xml:space="preserve"> The </w:t>
      </w:r>
      <w:r w:rsidR="003B57AD" w:rsidRPr="00D66514">
        <w:t>prediction analyses arrived at a</w:t>
      </w:r>
      <w:r w:rsidR="0037144E" w:rsidRPr="00D66514">
        <w:t xml:space="preserve"> calibration factor </w:t>
      </w:r>
      <w:r w:rsidR="003B57AD" w:rsidRPr="00D66514">
        <w:t xml:space="preserve">of </w:t>
      </w:r>
      <w:r w:rsidR="0037144E" w:rsidRPr="00D66514">
        <w:t xml:space="preserve">0.78 for </w:t>
      </w:r>
      <w:r w:rsidR="00416B83" w:rsidRPr="00D66514">
        <w:t xml:space="preserve">rural </w:t>
      </w:r>
      <w:r w:rsidR="0037144E" w:rsidRPr="00D66514">
        <w:t>divided multilane highways</w:t>
      </w:r>
      <w:r w:rsidR="003B57AD" w:rsidRPr="00D66514">
        <w:t xml:space="preserve"> indicating that the national model over-predicts crashes in Oregon</w:t>
      </w:r>
      <w:r w:rsidR="00A3174C" w:rsidRPr="00D66514">
        <w:t xml:space="preserve"> by 22%</w:t>
      </w:r>
      <w:r w:rsidR="003B57AD" w:rsidRPr="00D66514">
        <w:t>.</w:t>
      </w:r>
    </w:p>
    <w:p w14:paraId="398F99ED" w14:textId="1E1BA089" w:rsidR="00C350AF" w:rsidRPr="00D66514" w:rsidRDefault="00C350AF">
      <w:r w:rsidRPr="00D66514">
        <w:t>In Alabama, Mehta and Lou</w:t>
      </w:r>
      <w:r w:rsidR="00ED4AE3" w:rsidRPr="00D66514">
        <w:t xml:space="preserve"> (2013)</w:t>
      </w:r>
      <w:r w:rsidRPr="00D66514">
        <w:t>, expanded on earlier work by estimating the calibration factor as well as developing a local SPF. The authors employed records of KABCO crashes from the years 2006 to 2009. With the calibration factor, the HSM model was adapted to Alabama to yield a calibrated HSM version. Subsequently, the authors developed local SPFs with different functional forms. The predictions from the calibrated HSM were compared with predictions from the local SPF model using a validation dataset of 2000 segments. The comparison exercise included measures such as the mean absolute deviation (MAD), mean predicted bias (MPB), mean squared predicted error (MSPE), and Akaike’s information criterion (AIC).  The local SPF developed with additional parameters such as a dummy variable representing the year, the lane width, coefficient for segment length (restricted to 1 in the HSM SPF) and the posted speed limit outperformed the calibrated HSM SPF.</w:t>
      </w:r>
    </w:p>
    <w:p w14:paraId="2592697B" w14:textId="458D0D29" w:rsidR="00BF21CB" w:rsidRPr="00D66514" w:rsidRDefault="00BF21CB">
      <w:r w:rsidRPr="00D66514">
        <w:t>The calibration of</w:t>
      </w:r>
      <w:r w:rsidR="00D82672" w:rsidRPr="00D66514">
        <w:t xml:space="preserve"> the</w:t>
      </w:r>
      <w:r w:rsidRPr="00D66514">
        <w:t xml:space="preserve"> HSM’s SPFs has been undertaken internationally as well. </w:t>
      </w:r>
      <w:r w:rsidR="00D83B5B" w:rsidRPr="00D66514">
        <w:t>Cafiso et al.</w:t>
      </w:r>
      <w:r w:rsidR="00ED4AE3" w:rsidRPr="00D66514">
        <w:t xml:space="preserve"> (2012)</w:t>
      </w:r>
      <w:r w:rsidR="00D83B5B" w:rsidRPr="00D66514">
        <w:t xml:space="preserve"> conducted a study</w:t>
      </w:r>
      <w:r w:rsidRPr="00D66514">
        <w:t xml:space="preserve"> in the Messina-Catania region in Italy</w:t>
      </w:r>
      <w:r w:rsidR="00D83B5B" w:rsidRPr="00D66514">
        <w:t xml:space="preserve"> </w:t>
      </w:r>
      <w:r w:rsidRPr="00D66514">
        <w:t>using</w:t>
      </w:r>
      <w:r w:rsidR="00A3174C" w:rsidRPr="00D66514">
        <w:t xml:space="preserve"> KAB</w:t>
      </w:r>
      <w:r w:rsidR="0070608B" w:rsidRPr="00D66514">
        <w:t xml:space="preserve"> crash</w:t>
      </w:r>
      <w:r w:rsidR="00D83B5B" w:rsidRPr="00D66514">
        <w:t xml:space="preserve"> data from 2005 to 2008</w:t>
      </w:r>
      <w:r w:rsidR="0070608B" w:rsidRPr="00D66514">
        <w:t>.</w:t>
      </w:r>
      <w:r w:rsidR="00D83B5B" w:rsidRPr="00D66514">
        <w:t xml:space="preserve"> </w:t>
      </w:r>
      <w:r w:rsidRPr="00D66514">
        <w:t>The authors computed calibration factors for every year independently</w:t>
      </w:r>
      <w:r w:rsidR="00A3174C" w:rsidRPr="00D66514">
        <w:t xml:space="preserve"> while taking into account the CMFs</w:t>
      </w:r>
      <w:r w:rsidRPr="00D66514">
        <w:t xml:space="preserve">. </w:t>
      </w:r>
      <w:r w:rsidR="0070608B" w:rsidRPr="00D66514">
        <w:t>The calibration factors range from 1.14 to 1.43. The average calibration factor is 1.26</w:t>
      </w:r>
      <w:r w:rsidR="003A6B9D" w:rsidRPr="00D66514">
        <w:t xml:space="preserve"> </w:t>
      </w:r>
      <w:r w:rsidR="0031267D" w:rsidRPr="00D66514">
        <w:t>indicating that the calibrated model under predicts crashes.</w:t>
      </w:r>
      <w:r w:rsidR="009B45E9" w:rsidRPr="00D66514">
        <w:t xml:space="preserve"> The research team also developed a local SPF with the AADT, segment length, horizontal curvature and grades as variables. The predictions of the local model are compared by those of the calibrated HSM SPF in terms of the root mean square error. The model predictions are not to a large extent different as per the results.</w:t>
      </w:r>
      <w:r w:rsidR="0031267D" w:rsidRPr="00D66514">
        <w:t xml:space="preserve"> In another international study, using data from</w:t>
      </w:r>
      <w:r w:rsidR="000E222D" w:rsidRPr="00D66514">
        <w:t xml:space="preserve"> </w:t>
      </w:r>
      <w:r w:rsidR="00A94F9D" w:rsidRPr="00D66514">
        <w:t>Riyadh, Saudi Arabia</w:t>
      </w:r>
      <w:r w:rsidR="00D82672" w:rsidRPr="00D66514">
        <w:t>,</w:t>
      </w:r>
      <w:r w:rsidR="000E222D" w:rsidRPr="00D66514">
        <w:t xml:space="preserve"> </w:t>
      </w:r>
      <w:r w:rsidR="00A94F9D" w:rsidRPr="00D66514">
        <w:t xml:space="preserve">Al Kaaf and Abdel-Aty </w:t>
      </w:r>
      <w:r w:rsidR="00D173FB" w:rsidRPr="00D66514">
        <w:t>(2014)</w:t>
      </w:r>
      <w:r w:rsidR="0031267D" w:rsidRPr="00D66514">
        <w:rPr>
          <w:i/>
          <w:iCs/>
        </w:rPr>
        <w:t xml:space="preserve"> </w:t>
      </w:r>
      <w:r w:rsidR="0031267D" w:rsidRPr="00D66514">
        <w:rPr>
          <w:iCs/>
        </w:rPr>
        <w:t>calibrated HSM models</w:t>
      </w:r>
      <w:r w:rsidR="009B45E9" w:rsidRPr="00D66514">
        <w:rPr>
          <w:iCs/>
        </w:rPr>
        <w:t xml:space="preserve"> of urban divided multilane roads</w:t>
      </w:r>
      <w:r w:rsidR="0031267D" w:rsidRPr="00D66514">
        <w:rPr>
          <w:iCs/>
        </w:rPr>
        <w:t xml:space="preserve"> for </w:t>
      </w:r>
      <w:r w:rsidR="00D82672" w:rsidRPr="00D66514">
        <w:t>f</w:t>
      </w:r>
      <w:r w:rsidR="00A94F9D" w:rsidRPr="00D66514">
        <w:t xml:space="preserve">atal and injury </w:t>
      </w:r>
      <w:r w:rsidR="009E6CCE" w:rsidRPr="00D66514">
        <w:t xml:space="preserve">(FI) </w:t>
      </w:r>
      <w:r w:rsidR="00A94F9D" w:rsidRPr="00D66514">
        <w:t xml:space="preserve">crash records </w:t>
      </w:r>
      <w:r w:rsidR="0031267D" w:rsidRPr="00D66514">
        <w:t xml:space="preserve">using data from </w:t>
      </w:r>
      <w:r w:rsidR="00A94F9D" w:rsidRPr="00D66514">
        <w:t>2004 to 2009</w:t>
      </w:r>
      <w:r w:rsidR="0031267D" w:rsidRPr="00D66514">
        <w:t xml:space="preserve">. </w:t>
      </w:r>
      <w:r w:rsidR="00DB1F38" w:rsidRPr="00D66514">
        <w:t xml:space="preserve">The calibration factor </w:t>
      </w:r>
      <w:r w:rsidR="0031267D" w:rsidRPr="00D66514">
        <w:t>was</w:t>
      </w:r>
      <w:r w:rsidR="00DB1F38" w:rsidRPr="00D66514">
        <w:t xml:space="preserve"> calculated to be 0.31 using the HSM’s SPFs</w:t>
      </w:r>
      <w:r w:rsidR="0031267D" w:rsidRPr="00D66514">
        <w:t xml:space="preserve"> </w:t>
      </w:r>
      <w:r w:rsidR="009B45E9" w:rsidRPr="00D66514">
        <w:t xml:space="preserve">and CMFs </w:t>
      </w:r>
      <w:r w:rsidR="0031267D" w:rsidRPr="00D66514">
        <w:t>indicating substantial over</w:t>
      </w:r>
      <w:r w:rsidR="00D82672" w:rsidRPr="00D66514">
        <w:t>-</w:t>
      </w:r>
      <w:r w:rsidR="0031267D" w:rsidRPr="00D66514">
        <w:t>prediction of crashes</w:t>
      </w:r>
      <w:r w:rsidR="00DB1F38" w:rsidRPr="00D66514">
        <w:t>.</w:t>
      </w:r>
      <w:r w:rsidR="005308DD" w:rsidRPr="00D66514">
        <w:t xml:space="preserve"> The authors also developed local SPFs with different variables. The local SPF with the log transformation of the AADT, segment length</w:t>
      </w:r>
      <w:r w:rsidR="00250EFF" w:rsidRPr="00D66514">
        <w:t xml:space="preserve"> with a regression coefficient</w:t>
      </w:r>
      <w:r w:rsidR="005308DD" w:rsidRPr="00D66514">
        <w:t>, driveway density</w:t>
      </w:r>
      <w:r w:rsidR="00250EFF" w:rsidRPr="00D66514">
        <w:t xml:space="preserve"> and posted speed limit outperformed all other local models.</w:t>
      </w:r>
    </w:p>
    <w:p w14:paraId="7D5D05F4" w14:textId="0873675C" w:rsidR="00BF21CB" w:rsidRPr="00D66514" w:rsidRDefault="0031267D">
      <w:r w:rsidRPr="00D66514">
        <w:t>Overall, there is</w:t>
      </w:r>
      <w:r w:rsidR="00D82672" w:rsidRPr="00D66514">
        <w:t xml:space="preserve"> a</w:t>
      </w:r>
      <w:r w:rsidRPr="00D66514">
        <w:t xml:space="preserve"> growing interest in exploring the issue of calibrating HSM SPF</w:t>
      </w:r>
      <w:r w:rsidR="00D82672" w:rsidRPr="00D66514">
        <w:t>s</w:t>
      </w:r>
      <w:r w:rsidRPr="00D66514">
        <w:t xml:space="preserve"> for local conditions.</w:t>
      </w:r>
      <w:r w:rsidR="00C350AF" w:rsidRPr="00D66514">
        <w:t xml:space="preserve"> </w:t>
      </w:r>
      <w:r w:rsidRPr="00D66514">
        <w:t xml:space="preserve">However, </w:t>
      </w:r>
      <w:r w:rsidR="00BF69EC" w:rsidRPr="00D66514">
        <w:t xml:space="preserve">the work undertaken so far is still preliminary. </w:t>
      </w:r>
      <w:r w:rsidR="00DC538C" w:rsidRPr="00D66514">
        <w:t>Most studies employ the default HSM SPF</w:t>
      </w:r>
      <w:r w:rsidR="00D82672" w:rsidRPr="00D66514">
        <w:t>s</w:t>
      </w:r>
      <w:r w:rsidR="00DC538C" w:rsidRPr="00D66514">
        <w:t xml:space="preserve"> with calibration. </w:t>
      </w:r>
      <w:r w:rsidR="00C350AF" w:rsidRPr="00D66514">
        <w:t>Not in all of the</w:t>
      </w:r>
      <w:r w:rsidR="00A910C9" w:rsidRPr="00D66514">
        <w:t xml:space="preserve"> </w:t>
      </w:r>
      <w:r w:rsidR="00E320E0" w:rsidRPr="00D66514">
        <w:t>studies</w:t>
      </w:r>
      <w:r w:rsidR="00477FC9" w:rsidRPr="00D66514">
        <w:t>,</w:t>
      </w:r>
      <w:r w:rsidR="00D82672" w:rsidRPr="00D66514">
        <w:t xml:space="preserve"> discussed,</w:t>
      </w:r>
      <w:r w:rsidR="00C350AF" w:rsidRPr="00D66514">
        <w:t xml:space="preserve"> the authors</w:t>
      </w:r>
      <w:r w:rsidR="00477FC9" w:rsidRPr="00D66514">
        <w:t xml:space="preserve"> </w:t>
      </w:r>
      <w:r w:rsidR="00E320E0" w:rsidRPr="00D66514">
        <w:t xml:space="preserve">compared the calibrated HSM model to the local jurisdiction model. </w:t>
      </w:r>
      <w:r w:rsidR="00BF69EC" w:rsidRPr="00D66514">
        <w:t>Moreover</w:t>
      </w:r>
      <w:r w:rsidRPr="00D66514">
        <w:t xml:space="preserve">, there has been </w:t>
      </w:r>
      <w:r w:rsidR="00C350AF" w:rsidRPr="00D66514">
        <w:t xml:space="preserve">limited </w:t>
      </w:r>
      <w:r w:rsidRPr="00D66514">
        <w:t xml:space="preserve">systematic analysis exploring the </w:t>
      </w:r>
      <w:r w:rsidR="00BF69EC" w:rsidRPr="00D66514">
        <w:t>value of pooling data from multiple states to estimate SPFs.</w:t>
      </w:r>
      <w:r w:rsidR="00552119" w:rsidRPr="00D66514">
        <w:t xml:space="preserve"> Only the HSM’s SPFs are developed from pooled data mainly to satisfy a sufficient sample size.</w:t>
      </w:r>
      <w:r w:rsidR="00BF69EC" w:rsidRPr="00D66514">
        <w:t xml:space="preserve"> </w:t>
      </w:r>
      <w:r w:rsidR="00552119" w:rsidRPr="00D66514">
        <w:t xml:space="preserve">Also, the </w:t>
      </w:r>
      <w:r w:rsidR="00DC538C" w:rsidRPr="00D66514">
        <w:t xml:space="preserve">studies </w:t>
      </w:r>
      <w:r w:rsidR="00DC538C" w:rsidRPr="00D66514">
        <w:lastRenderedPageBreak/>
        <w:t xml:space="preserve">employ a simplistic calibration factor to customize </w:t>
      </w:r>
      <w:r w:rsidR="00AC73F5" w:rsidRPr="00D66514">
        <w:t xml:space="preserve">the </w:t>
      </w:r>
      <w:r w:rsidR="00DC538C" w:rsidRPr="00D66514">
        <w:t>HSM</w:t>
      </w:r>
      <w:r w:rsidR="00AC73F5" w:rsidRPr="00D66514">
        <w:t>’s</w:t>
      </w:r>
      <w:r w:rsidR="00DC538C" w:rsidRPr="00D66514">
        <w:t xml:space="preserve"> SPF</w:t>
      </w:r>
      <w:r w:rsidR="00AC73F5" w:rsidRPr="00D66514">
        <w:t>s</w:t>
      </w:r>
      <w:r w:rsidR="00DC538C" w:rsidRPr="00D66514">
        <w:t xml:space="preserve"> to the study region.</w:t>
      </w:r>
      <w:r w:rsidR="00047DBD" w:rsidRPr="00D66514">
        <w:t xml:space="preserve"> </w:t>
      </w:r>
      <w:r w:rsidR="00BF69EC" w:rsidRPr="00D66514">
        <w:t xml:space="preserve">The current study addresses these limitations </w:t>
      </w:r>
      <w:r w:rsidR="00E320E0" w:rsidRPr="00D66514">
        <w:t xml:space="preserve">as follows. </w:t>
      </w:r>
      <w:r w:rsidR="00DC538C" w:rsidRPr="00D66514">
        <w:t>First</w:t>
      </w:r>
      <w:r w:rsidR="00E320E0" w:rsidRPr="00D66514">
        <w:t xml:space="preserve">, we examine the value of pooling data from multiple states (Florida, Ohio and </w:t>
      </w:r>
      <w:r w:rsidR="003A6B9D" w:rsidRPr="00D66514">
        <w:t>Ca</w:t>
      </w:r>
      <w:r w:rsidR="00E320E0" w:rsidRPr="00D66514">
        <w:t>lifornia) in developing SPF</w:t>
      </w:r>
      <w:r w:rsidR="00AC73F5" w:rsidRPr="00D66514">
        <w:t>s</w:t>
      </w:r>
      <w:r w:rsidR="00E320E0" w:rsidRPr="00D66514">
        <w:t>. Specifically, the specification of the SPF developed is augmented with state specific dummy variables</w:t>
      </w:r>
      <w:r w:rsidR="00DC538C" w:rsidRPr="00D66514">
        <w:t xml:space="preserve"> in the count and over-dispersion components</w:t>
      </w:r>
      <w:r w:rsidR="00E320E0" w:rsidRPr="00D66514">
        <w:t>.</w:t>
      </w:r>
      <w:r w:rsidR="00DC538C" w:rsidRPr="00D66514">
        <w:t xml:space="preserve"> Second, we develop a transfer index that evaluates the performance of the SPF developed for various jurisdictions. Finally, we propose and examine the advantage of a disaggregate level (segment) calibration factor on prediction.</w:t>
      </w:r>
    </w:p>
    <w:p w14:paraId="284FFE32" w14:textId="5144A36C" w:rsidR="003919BA" w:rsidRPr="00D66514" w:rsidRDefault="0073473D" w:rsidP="0073473D">
      <w:pPr>
        <w:pStyle w:val="Heading1"/>
      </w:pPr>
      <w:r w:rsidRPr="00D66514">
        <w:t>Data Preparatio</w:t>
      </w:r>
      <w:r w:rsidR="003919BA" w:rsidRPr="00D66514">
        <w:t>n</w:t>
      </w:r>
    </w:p>
    <w:p w14:paraId="3FC246C3" w14:textId="06504A42" w:rsidR="003B2A1C" w:rsidRPr="00D66514" w:rsidRDefault="003919BA" w:rsidP="00464934">
      <w:r w:rsidRPr="00D66514">
        <w:t xml:space="preserve">Crash data are collected </w:t>
      </w:r>
      <w:r w:rsidR="00706752" w:rsidRPr="00D66514">
        <w:t xml:space="preserve">for </w:t>
      </w:r>
      <w:r w:rsidRPr="00D66514">
        <w:t>divided rural multilane highway</w:t>
      </w:r>
      <w:r w:rsidR="00AF7A18" w:rsidRPr="00D66514">
        <w:t xml:space="preserve"> segments</w:t>
      </w:r>
      <w:r w:rsidRPr="00D66514">
        <w:t xml:space="preserve"> in F</w:t>
      </w:r>
      <w:r w:rsidR="00822612" w:rsidRPr="00D66514">
        <w:t>lorida</w:t>
      </w:r>
      <w:r w:rsidRPr="00D66514">
        <w:t>,</w:t>
      </w:r>
      <w:r w:rsidR="00375C39" w:rsidRPr="00D66514">
        <w:t xml:space="preserve"> Ohio </w:t>
      </w:r>
      <w:r w:rsidRPr="00D66514">
        <w:t xml:space="preserve">and </w:t>
      </w:r>
      <w:r w:rsidR="00822612" w:rsidRPr="00D66514">
        <w:t>California</w:t>
      </w:r>
      <w:r w:rsidRPr="00D66514">
        <w:t>.</w:t>
      </w:r>
      <w:r w:rsidR="00AF7A18" w:rsidRPr="00D66514">
        <w:t xml:space="preserve"> I</w:t>
      </w:r>
      <w:r w:rsidR="005F4A85" w:rsidRPr="00D66514">
        <w:t xml:space="preserve">n </w:t>
      </w:r>
      <w:r w:rsidR="00822612" w:rsidRPr="00D66514">
        <w:t>Florida</w:t>
      </w:r>
      <w:r w:rsidR="005F4A85" w:rsidRPr="00D66514">
        <w:t>, the</w:t>
      </w:r>
      <w:r w:rsidR="00AF7A18" w:rsidRPr="00D66514">
        <w:t xml:space="preserve"> data ar</w:t>
      </w:r>
      <w:r w:rsidR="00674011" w:rsidRPr="00D66514">
        <w:t>e collected from</w:t>
      </w:r>
      <w:r w:rsidR="009E6CCE" w:rsidRPr="00D66514">
        <w:t xml:space="preserve"> </w:t>
      </w:r>
      <w:r w:rsidR="00AC73F5" w:rsidRPr="00D66514">
        <w:t xml:space="preserve">the </w:t>
      </w:r>
      <w:r w:rsidR="009E6CCE" w:rsidRPr="00D66514">
        <w:t>F</w:t>
      </w:r>
      <w:r w:rsidR="00822612" w:rsidRPr="00D66514">
        <w:t xml:space="preserve">lorida </w:t>
      </w:r>
      <w:r w:rsidR="009E6CCE" w:rsidRPr="00D66514">
        <w:t>DOT</w:t>
      </w:r>
      <w:r w:rsidR="00503D95" w:rsidRPr="00D66514">
        <w:t>. Specifically, t</w:t>
      </w:r>
      <w:r w:rsidR="00674011" w:rsidRPr="00D66514">
        <w:t>he</w:t>
      </w:r>
      <w:r w:rsidR="00503D95" w:rsidRPr="00D66514">
        <w:t>re are 1,320</w:t>
      </w:r>
      <w:r w:rsidR="00674011" w:rsidRPr="00D66514">
        <w:t xml:space="preserve"> </w:t>
      </w:r>
      <w:r w:rsidR="0073473D" w:rsidRPr="00D66514">
        <w:t xml:space="preserve">segments </w:t>
      </w:r>
      <w:r w:rsidR="00503D95" w:rsidRPr="00D66514">
        <w:t xml:space="preserve">comprising </w:t>
      </w:r>
      <w:r w:rsidR="0073473D" w:rsidRPr="00D66514">
        <w:t>835.86 mi</w:t>
      </w:r>
      <w:r w:rsidR="00503D95" w:rsidRPr="00D66514">
        <w:t xml:space="preserve"> of which data are collected from the Roadway Characteristics Inventory. Data of crashes that occurred between 2009 and 2011 are collected from the Crash Analysis Reporting System. </w:t>
      </w:r>
      <w:r w:rsidR="00706752" w:rsidRPr="00D66514">
        <w:t xml:space="preserve">The data </w:t>
      </w:r>
      <w:r w:rsidR="00503D95" w:rsidRPr="00D66514">
        <w:t xml:space="preserve">of </w:t>
      </w:r>
      <w:r w:rsidR="00375C39" w:rsidRPr="00D66514">
        <w:t xml:space="preserve">Ohio </w:t>
      </w:r>
      <w:r w:rsidR="0073473D" w:rsidRPr="00D66514">
        <w:t xml:space="preserve">is composed </w:t>
      </w:r>
      <w:r w:rsidR="00674011" w:rsidRPr="00D66514">
        <w:t xml:space="preserve">of </w:t>
      </w:r>
      <w:r w:rsidR="00706752" w:rsidRPr="00D66514">
        <w:t xml:space="preserve">crash </w:t>
      </w:r>
      <w:r w:rsidR="00674011" w:rsidRPr="00D66514">
        <w:t xml:space="preserve">records </w:t>
      </w:r>
      <w:r w:rsidR="00706752" w:rsidRPr="00D66514">
        <w:t>from</w:t>
      </w:r>
      <w:r w:rsidR="00674011" w:rsidRPr="00D66514">
        <w:t xml:space="preserve"> 1,261 segments</w:t>
      </w:r>
      <w:r w:rsidR="0073473D" w:rsidRPr="00D66514">
        <w:t xml:space="preserve"> comprising 665.11 mi</w:t>
      </w:r>
      <w:r w:rsidR="00706752" w:rsidRPr="00D66514">
        <w:t xml:space="preserve"> for the period 2009 to 2011</w:t>
      </w:r>
      <w:r w:rsidR="00344AAD" w:rsidRPr="00D66514">
        <w:t xml:space="preserve">. </w:t>
      </w:r>
      <w:r w:rsidR="00512E3D" w:rsidRPr="00D66514">
        <w:t>T</w:t>
      </w:r>
      <w:r w:rsidR="00674011" w:rsidRPr="00D66514">
        <w:t>he</w:t>
      </w:r>
      <w:r w:rsidR="00375C39" w:rsidRPr="00D66514">
        <w:t xml:space="preserve"> California </w:t>
      </w:r>
      <w:r w:rsidR="00674011" w:rsidRPr="00D66514">
        <w:t>crash data are obtained from 1,349 segments</w:t>
      </w:r>
      <w:r w:rsidR="0073473D" w:rsidRPr="00D66514">
        <w:t xml:space="preserve"> comprising 709.83 mi</w:t>
      </w:r>
      <w:r w:rsidR="00793D46" w:rsidRPr="00D66514">
        <w:t xml:space="preserve"> from 2009 to 2010.</w:t>
      </w:r>
      <w:r w:rsidR="00503D95" w:rsidRPr="00D66514">
        <w:t xml:space="preserve"> The Ohio and California data are collected from the </w:t>
      </w:r>
      <w:r w:rsidR="00D173FB" w:rsidRPr="00D66514">
        <w:t xml:space="preserve">national </w:t>
      </w:r>
      <w:r w:rsidR="00503D95" w:rsidRPr="00D66514">
        <w:t>Highway Safety Information System (HSIS)</w:t>
      </w:r>
      <w:r w:rsidR="007F3818" w:rsidRPr="00D66514">
        <w:t>.</w:t>
      </w:r>
      <w:r w:rsidR="00674011" w:rsidRPr="00D66514">
        <w:t xml:space="preserve"> In all three states, the minimum segment length from which crash data are collected is 0.1 mi in accordance with the H</w:t>
      </w:r>
      <w:r w:rsidR="005F4A85" w:rsidRPr="00D66514">
        <w:t>SM</w:t>
      </w:r>
      <w:r w:rsidR="00674011" w:rsidRPr="00D66514">
        <w:t>. The crash types</w:t>
      </w:r>
      <w:r w:rsidR="00623A5B" w:rsidRPr="00D66514">
        <w:t xml:space="preserve"> and severities</w:t>
      </w:r>
      <w:r w:rsidR="00AC73F5" w:rsidRPr="00D66514">
        <w:t>,</w:t>
      </w:r>
      <w:r w:rsidR="00674011" w:rsidRPr="00D66514">
        <w:t xml:space="preserve"> </w:t>
      </w:r>
      <w:r w:rsidR="001335CB" w:rsidRPr="00D66514">
        <w:t>classified</w:t>
      </w:r>
      <w:r w:rsidR="00AD1756" w:rsidRPr="00D66514">
        <w:t xml:space="preserve"> for data processing</w:t>
      </w:r>
      <w:r w:rsidR="00AC73F5" w:rsidRPr="00D66514">
        <w:t>,</w:t>
      </w:r>
      <w:r w:rsidR="00AD1756" w:rsidRPr="00D66514">
        <w:t xml:space="preserve"> are KABCO, KABC, KAB, KA, single vehicle (SV) and multi-vehicle (MV) crashes.</w:t>
      </w:r>
      <w:r w:rsidR="00674011" w:rsidRPr="00D66514">
        <w:t xml:space="preserve"> The descriptive statistics of the crash data of the three states are shown in</w:t>
      </w:r>
      <w:r w:rsidR="000430F8" w:rsidRPr="00D66514">
        <w:t xml:space="preserve"> Table 1</w:t>
      </w:r>
      <w:r w:rsidR="00D937DE" w:rsidRPr="00D66514">
        <w:t>.</w:t>
      </w:r>
      <w:r w:rsidR="00410095" w:rsidRPr="00D66514">
        <w:t xml:space="preserve"> </w:t>
      </w:r>
      <w:r w:rsidR="001A31AE" w:rsidRPr="00D66514">
        <w:t xml:space="preserve">Also, each state’s crashes are normalized per hundred million vehicle miles travelled (VMT) </w:t>
      </w:r>
      <w:r w:rsidR="005C26B4" w:rsidRPr="00D66514">
        <w:t xml:space="preserve">per year </w:t>
      </w:r>
      <w:r w:rsidR="001A31AE" w:rsidRPr="00D66514">
        <w:t>to obtain the crash rates.</w:t>
      </w:r>
    </w:p>
    <w:p w14:paraId="0AB8A755" w14:textId="77777777" w:rsidR="00370568" w:rsidRPr="00D66514" w:rsidRDefault="00370568" w:rsidP="00464934">
      <w:pPr>
        <w:sectPr w:rsidR="00370568" w:rsidRPr="00D66514" w:rsidSect="007D4EBE">
          <w:headerReference w:type="default" r:id="rId11"/>
          <w:type w:val="continuous"/>
          <w:pgSz w:w="12240" w:h="15840"/>
          <w:pgMar w:top="1440" w:right="1440" w:bottom="1440" w:left="1440" w:header="709" w:footer="709" w:gutter="0"/>
          <w:pgNumType w:start="1"/>
          <w:cols w:space="708"/>
          <w:docGrid w:linePitch="360"/>
        </w:sectPr>
      </w:pPr>
    </w:p>
    <w:p w14:paraId="57D25BDF" w14:textId="4B86A521" w:rsidR="00D671B1" w:rsidRPr="00D66514" w:rsidRDefault="00D671B1" w:rsidP="00774FB3">
      <w:pPr>
        <w:pStyle w:val="Caption"/>
        <w:keepNext/>
      </w:pPr>
      <w:bookmarkStart w:id="1" w:name="_Ref425461463"/>
      <w:r w:rsidRPr="00D66514">
        <w:lastRenderedPageBreak/>
        <w:t>T</w:t>
      </w:r>
      <w:r w:rsidR="0040634D" w:rsidRPr="00D66514">
        <w:t>able</w:t>
      </w:r>
      <w:r w:rsidRPr="00D66514">
        <w:t xml:space="preserve"> </w:t>
      </w:r>
      <w:r w:rsidR="00A226E1">
        <w:fldChar w:fldCharType="begin"/>
      </w:r>
      <w:r w:rsidR="00A226E1">
        <w:instrText xml:space="preserve"> SEQ Table \* ARABIC </w:instrText>
      </w:r>
      <w:r w:rsidR="00A226E1">
        <w:fldChar w:fldCharType="separate"/>
      </w:r>
      <w:r w:rsidR="004F0410">
        <w:rPr>
          <w:noProof/>
        </w:rPr>
        <w:t>1</w:t>
      </w:r>
      <w:r w:rsidR="00A226E1">
        <w:rPr>
          <w:noProof/>
        </w:rPr>
        <w:fldChar w:fldCharType="end"/>
      </w:r>
      <w:bookmarkEnd w:id="1"/>
      <w:r w:rsidRPr="00D66514">
        <w:t xml:space="preserve"> States' Data Descriptive Statistics</w:t>
      </w:r>
    </w:p>
    <w:tbl>
      <w:tblPr>
        <w:tblStyle w:val="TableGrid"/>
        <w:tblW w:w="0" w:type="auto"/>
        <w:tblInd w:w="-34" w:type="dxa"/>
        <w:tblLook w:val="04A0" w:firstRow="1" w:lastRow="0" w:firstColumn="1" w:lastColumn="0" w:noHBand="0" w:noVBand="1"/>
      </w:tblPr>
      <w:tblGrid>
        <w:gridCol w:w="1103"/>
        <w:gridCol w:w="850"/>
        <w:gridCol w:w="813"/>
        <w:gridCol w:w="1094"/>
        <w:gridCol w:w="1134"/>
        <w:gridCol w:w="1016"/>
        <w:gridCol w:w="1116"/>
        <w:gridCol w:w="1116"/>
        <w:gridCol w:w="1016"/>
        <w:gridCol w:w="1116"/>
        <w:gridCol w:w="850"/>
        <w:gridCol w:w="666"/>
        <w:gridCol w:w="1094"/>
      </w:tblGrid>
      <w:tr w:rsidR="002D650A" w:rsidRPr="00D66514" w14:paraId="4AEE7781" w14:textId="77777777" w:rsidTr="002D650A">
        <w:tc>
          <w:tcPr>
            <w:tcW w:w="1205" w:type="dxa"/>
            <w:vMerge w:val="restart"/>
            <w:shd w:val="clear" w:color="auto" w:fill="auto"/>
            <w:vAlign w:val="center"/>
          </w:tcPr>
          <w:p w14:paraId="311B2506" w14:textId="77777777" w:rsidR="00370568" w:rsidRPr="00D66514" w:rsidRDefault="00370568" w:rsidP="00E00C59">
            <w:pPr>
              <w:pStyle w:val="NoSpacing"/>
              <w:jc w:val="center"/>
              <w:rPr>
                <w:b/>
                <w:bCs/>
                <w:sz w:val="20"/>
                <w:szCs w:val="20"/>
                <w:lang w:eastAsia="ko-KR"/>
              </w:rPr>
            </w:pPr>
          </w:p>
        </w:tc>
        <w:tc>
          <w:tcPr>
            <w:tcW w:w="2874" w:type="dxa"/>
            <w:gridSpan w:val="3"/>
            <w:shd w:val="clear" w:color="auto" w:fill="auto"/>
            <w:vAlign w:val="center"/>
          </w:tcPr>
          <w:p w14:paraId="79681EBC" w14:textId="77777777" w:rsidR="00370568" w:rsidRPr="00D66514" w:rsidRDefault="00370568" w:rsidP="00E00C59">
            <w:pPr>
              <w:pStyle w:val="NoSpacing"/>
              <w:jc w:val="center"/>
              <w:rPr>
                <w:b/>
                <w:bCs/>
                <w:sz w:val="20"/>
                <w:szCs w:val="20"/>
                <w:lang w:eastAsia="ko-KR"/>
              </w:rPr>
            </w:pPr>
            <w:r w:rsidRPr="00D66514">
              <w:rPr>
                <w:b/>
                <w:bCs/>
                <w:sz w:val="20"/>
                <w:szCs w:val="20"/>
                <w:lang w:eastAsia="ko-KR"/>
              </w:rPr>
              <w:t>Number of Crashes</w:t>
            </w:r>
          </w:p>
        </w:tc>
        <w:tc>
          <w:tcPr>
            <w:tcW w:w="3350" w:type="dxa"/>
            <w:gridSpan w:val="3"/>
            <w:shd w:val="clear" w:color="auto" w:fill="auto"/>
            <w:vAlign w:val="center"/>
          </w:tcPr>
          <w:p w14:paraId="2A6FFE0C" w14:textId="77777777" w:rsidR="00370568" w:rsidRPr="00D66514" w:rsidRDefault="00370568" w:rsidP="00E00C59">
            <w:pPr>
              <w:pStyle w:val="NoSpacing"/>
              <w:jc w:val="center"/>
              <w:rPr>
                <w:b/>
                <w:bCs/>
                <w:sz w:val="20"/>
                <w:szCs w:val="20"/>
                <w:lang w:eastAsia="ko-KR"/>
              </w:rPr>
            </w:pPr>
            <w:r w:rsidRPr="00D66514">
              <w:rPr>
                <w:b/>
                <w:bCs/>
                <w:sz w:val="20"/>
                <w:szCs w:val="20"/>
                <w:lang w:eastAsia="ko-KR"/>
              </w:rPr>
              <w:t>Mean</w:t>
            </w:r>
          </w:p>
        </w:tc>
        <w:tc>
          <w:tcPr>
            <w:tcW w:w="0" w:type="auto"/>
            <w:gridSpan w:val="3"/>
            <w:shd w:val="clear" w:color="auto" w:fill="auto"/>
            <w:vAlign w:val="center"/>
          </w:tcPr>
          <w:p w14:paraId="2571CDA1" w14:textId="77777777" w:rsidR="00370568" w:rsidRPr="00D66514" w:rsidRDefault="00370568" w:rsidP="00E00C59">
            <w:pPr>
              <w:pStyle w:val="NoSpacing"/>
              <w:jc w:val="center"/>
              <w:rPr>
                <w:b/>
                <w:bCs/>
                <w:sz w:val="20"/>
                <w:szCs w:val="20"/>
                <w:lang w:eastAsia="ko-KR"/>
              </w:rPr>
            </w:pPr>
            <w:r w:rsidRPr="00D66514">
              <w:rPr>
                <w:b/>
                <w:bCs/>
                <w:sz w:val="20"/>
                <w:szCs w:val="20"/>
                <w:lang w:eastAsia="ko-KR"/>
              </w:rPr>
              <w:t>Standard Deviation</w:t>
            </w:r>
          </w:p>
        </w:tc>
        <w:tc>
          <w:tcPr>
            <w:tcW w:w="0" w:type="auto"/>
            <w:gridSpan w:val="3"/>
            <w:shd w:val="clear" w:color="auto" w:fill="auto"/>
            <w:vAlign w:val="center"/>
          </w:tcPr>
          <w:p w14:paraId="19EA66F7" w14:textId="77777777" w:rsidR="00370568" w:rsidRPr="00D66514" w:rsidRDefault="00370568" w:rsidP="00E00C59">
            <w:pPr>
              <w:pStyle w:val="NoSpacing"/>
              <w:jc w:val="center"/>
              <w:rPr>
                <w:b/>
                <w:bCs/>
                <w:sz w:val="20"/>
                <w:szCs w:val="20"/>
                <w:lang w:eastAsia="ko-KR"/>
              </w:rPr>
            </w:pPr>
            <w:r w:rsidRPr="00D66514">
              <w:rPr>
                <w:b/>
                <w:bCs/>
                <w:sz w:val="20"/>
                <w:szCs w:val="20"/>
                <w:lang w:eastAsia="ko-KR"/>
              </w:rPr>
              <w:t>Crash Rates (per Hundred Million VMT per Yr)</w:t>
            </w:r>
          </w:p>
        </w:tc>
      </w:tr>
      <w:tr w:rsidR="00370568" w:rsidRPr="00D66514" w14:paraId="7B02E42A" w14:textId="77777777" w:rsidTr="00830ABC">
        <w:tc>
          <w:tcPr>
            <w:tcW w:w="1205" w:type="dxa"/>
            <w:vMerge/>
            <w:shd w:val="clear" w:color="auto" w:fill="auto"/>
            <w:vAlign w:val="center"/>
          </w:tcPr>
          <w:p w14:paraId="6257DDDE" w14:textId="77777777" w:rsidR="00370568" w:rsidRPr="00D66514" w:rsidRDefault="00370568" w:rsidP="00E00C59">
            <w:pPr>
              <w:pStyle w:val="NoSpacing"/>
              <w:jc w:val="center"/>
              <w:rPr>
                <w:b/>
                <w:bCs/>
                <w:sz w:val="20"/>
                <w:szCs w:val="20"/>
                <w:lang w:eastAsia="ko-KR"/>
              </w:rPr>
            </w:pPr>
          </w:p>
        </w:tc>
        <w:tc>
          <w:tcPr>
            <w:tcW w:w="844" w:type="dxa"/>
            <w:shd w:val="clear" w:color="auto" w:fill="auto"/>
            <w:vAlign w:val="center"/>
          </w:tcPr>
          <w:p w14:paraId="5FE76AC8" w14:textId="77777777" w:rsidR="00370568" w:rsidRPr="00D66514" w:rsidRDefault="00370568" w:rsidP="00370568">
            <w:pPr>
              <w:pStyle w:val="NoSpacing"/>
              <w:jc w:val="center"/>
              <w:rPr>
                <w:b/>
                <w:bCs/>
                <w:sz w:val="20"/>
                <w:szCs w:val="20"/>
                <w:lang w:eastAsia="ko-KR"/>
              </w:rPr>
            </w:pPr>
            <w:r w:rsidRPr="00D66514">
              <w:rPr>
                <w:b/>
                <w:bCs/>
                <w:sz w:val="20"/>
                <w:szCs w:val="20"/>
                <w:lang w:eastAsia="ko-KR"/>
              </w:rPr>
              <w:t>Florida</w:t>
            </w:r>
          </w:p>
        </w:tc>
        <w:tc>
          <w:tcPr>
            <w:tcW w:w="951" w:type="dxa"/>
            <w:shd w:val="clear" w:color="auto" w:fill="auto"/>
            <w:vAlign w:val="center"/>
          </w:tcPr>
          <w:p w14:paraId="4BF87264" w14:textId="77777777" w:rsidR="00370568" w:rsidRPr="00D66514" w:rsidRDefault="00370568" w:rsidP="00370568">
            <w:pPr>
              <w:pStyle w:val="NoSpacing"/>
              <w:jc w:val="center"/>
              <w:rPr>
                <w:b/>
                <w:bCs/>
                <w:sz w:val="20"/>
                <w:szCs w:val="20"/>
                <w:lang w:eastAsia="ko-KR"/>
              </w:rPr>
            </w:pPr>
            <w:r w:rsidRPr="00D66514">
              <w:rPr>
                <w:b/>
                <w:bCs/>
                <w:sz w:val="20"/>
                <w:szCs w:val="20"/>
                <w:lang w:eastAsia="ko-KR"/>
              </w:rPr>
              <w:t>Ohio</w:t>
            </w:r>
          </w:p>
        </w:tc>
        <w:tc>
          <w:tcPr>
            <w:tcW w:w="1079" w:type="dxa"/>
            <w:shd w:val="clear" w:color="auto" w:fill="auto"/>
            <w:vAlign w:val="center"/>
          </w:tcPr>
          <w:p w14:paraId="15494A36" w14:textId="77777777" w:rsidR="00370568" w:rsidRPr="00D66514" w:rsidRDefault="00370568" w:rsidP="00370568">
            <w:pPr>
              <w:pStyle w:val="NoSpacing"/>
              <w:jc w:val="center"/>
              <w:rPr>
                <w:b/>
                <w:bCs/>
                <w:sz w:val="20"/>
                <w:szCs w:val="20"/>
                <w:lang w:eastAsia="ko-KR"/>
              </w:rPr>
            </w:pPr>
            <w:r w:rsidRPr="00D66514">
              <w:rPr>
                <w:b/>
                <w:bCs/>
                <w:sz w:val="20"/>
                <w:szCs w:val="20"/>
                <w:lang w:eastAsia="ko-KR"/>
              </w:rPr>
              <w:t>California</w:t>
            </w:r>
          </w:p>
        </w:tc>
        <w:tc>
          <w:tcPr>
            <w:tcW w:w="1101" w:type="dxa"/>
            <w:shd w:val="clear" w:color="auto" w:fill="auto"/>
            <w:vAlign w:val="center"/>
          </w:tcPr>
          <w:p w14:paraId="37B0B1F7" w14:textId="77777777" w:rsidR="00370568" w:rsidRPr="00D66514" w:rsidRDefault="00370568" w:rsidP="00E00C59">
            <w:pPr>
              <w:pStyle w:val="NoSpacing"/>
              <w:jc w:val="center"/>
              <w:rPr>
                <w:b/>
                <w:bCs/>
                <w:sz w:val="20"/>
                <w:szCs w:val="20"/>
                <w:lang w:eastAsia="ko-KR"/>
              </w:rPr>
            </w:pPr>
            <w:r w:rsidRPr="00D66514">
              <w:rPr>
                <w:b/>
                <w:bCs/>
                <w:sz w:val="20"/>
                <w:szCs w:val="20"/>
                <w:lang w:eastAsia="ko-KR"/>
              </w:rPr>
              <w:t>Florida</w:t>
            </w:r>
          </w:p>
        </w:tc>
        <w:tc>
          <w:tcPr>
            <w:tcW w:w="0" w:type="auto"/>
            <w:shd w:val="clear" w:color="auto" w:fill="auto"/>
            <w:vAlign w:val="center"/>
          </w:tcPr>
          <w:p w14:paraId="10A81AFD" w14:textId="77777777" w:rsidR="00370568" w:rsidRPr="00D66514" w:rsidRDefault="00370568" w:rsidP="00E00C59">
            <w:pPr>
              <w:pStyle w:val="NoSpacing"/>
              <w:jc w:val="center"/>
              <w:rPr>
                <w:b/>
                <w:bCs/>
                <w:sz w:val="20"/>
                <w:szCs w:val="20"/>
                <w:lang w:eastAsia="ko-KR"/>
              </w:rPr>
            </w:pPr>
            <w:r w:rsidRPr="00D66514">
              <w:rPr>
                <w:b/>
                <w:bCs/>
                <w:sz w:val="20"/>
                <w:szCs w:val="20"/>
                <w:lang w:eastAsia="ko-KR"/>
              </w:rPr>
              <w:t>Ohio</w:t>
            </w:r>
          </w:p>
        </w:tc>
        <w:tc>
          <w:tcPr>
            <w:tcW w:w="0" w:type="auto"/>
            <w:shd w:val="clear" w:color="auto" w:fill="auto"/>
            <w:vAlign w:val="center"/>
          </w:tcPr>
          <w:p w14:paraId="1C200F9D" w14:textId="77777777" w:rsidR="00370568" w:rsidRPr="00D66514" w:rsidRDefault="00370568" w:rsidP="00E00C59">
            <w:pPr>
              <w:pStyle w:val="NoSpacing"/>
              <w:jc w:val="center"/>
              <w:rPr>
                <w:b/>
                <w:bCs/>
                <w:sz w:val="20"/>
                <w:szCs w:val="20"/>
                <w:lang w:eastAsia="ko-KR"/>
              </w:rPr>
            </w:pPr>
            <w:r w:rsidRPr="00D66514">
              <w:rPr>
                <w:b/>
                <w:bCs/>
                <w:sz w:val="20"/>
                <w:szCs w:val="20"/>
                <w:lang w:eastAsia="ko-KR"/>
              </w:rPr>
              <w:t>California</w:t>
            </w:r>
          </w:p>
        </w:tc>
        <w:tc>
          <w:tcPr>
            <w:tcW w:w="0" w:type="auto"/>
            <w:shd w:val="clear" w:color="auto" w:fill="auto"/>
            <w:vAlign w:val="center"/>
          </w:tcPr>
          <w:p w14:paraId="1503BA40" w14:textId="77777777" w:rsidR="00370568" w:rsidRPr="00D66514" w:rsidRDefault="00370568" w:rsidP="00E00C59">
            <w:pPr>
              <w:pStyle w:val="NoSpacing"/>
              <w:jc w:val="center"/>
              <w:rPr>
                <w:b/>
                <w:bCs/>
                <w:sz w:val="20"/>
                <w:szCs w:val="20"/>
                <w:lang w:eastAsia="ko-KR"/>
              </w:rPr>
            </w:pPr>
            <w:r w:rsidRPr="00D66514">
              <w:rPr>
                <w:b/>
                <w:bCs/>
                <w:sz w:val="20"/>
                <w:szCs w:val="20"/>
                <w:lang w:eastAsia="ko-KR"/>
              </w:rPr>
              <w:t>Florida</w:t>
            </w:r>
          </w:p>
        </w:tc>
        <w:tc>
          <w:tcPr>
            <w:tcW w:w="0" w:type="auto"/>
            <w:shd w:val="clear" w:color="auto" w:fill="auto"/>
            <w:vAlign w:val="center"/>
          </w:tcPr>
          <w:p w14:paraId="4B0CF647" w14:textId="77777777" w:rsidR="00370568" w:rsidRPr="00D66514" w:rsidRDefault="00370568" w:rsidP="00E00C59">
            <w:pPr>
              <w:pStyle w:val="NoSpacing"/>
              <w:jc w:val="center"/>
              <w:rPr>
                <w:b/>
                <w:bCs/>
                <w:sz w:val="20"/>
                <w:szCs w:val="20"/>
                <w:lang w:eastAsia="ko-KR"/>
              </w:rPr>
            </w:pPr>
            <w:r w:rsidRPr="00D66514">
              <w:rPr>
                <w:b/>
                <w:bCs/>
                <w:sz w:val="20"/>
                <w:szCs w:val="20"/>
                <w:lang w:eastAsia="ko-KR"/>
              </w:rPr>
              <w:t>Ohio</w:t>
            </w:r>
          </w:p>
        </w:tc>
        <w:tc>
          <w:tcPr>
            <w:tcW w:w="0" w:type="auto"/>
            <w:shd w:val="clear" w:color="auto" w:fill="auto"/>
            <w:vAlign w:val="center"/>
          </w:tcPr>
          <w:p w14:paraId="4B50D124" w14:textId="77777777" w:rsidR="00370568" w:rsidRPr="00D66514" w:rsidRDefault="00370568" w:rsidP="00E00C59">
            <w:pPr>
              <w:pStyle w:val="NoSpacing"/>
              <w:jc w:val="center"/>
              <w:rPr>
                <w:b/>
                <w:bCs/>
                <w:sz w:val="20"/>
                <w:szCs w:val="20"/>
                <w:lang w:eastAsia="ko-KR"/>
              </w:rPr>
            </w:pPr>
            <w:r w:rsidRPr="00D66514">
              <w:rPr>
                <w:b/>
                <w:bCs/>
                <w:sz w:val="20"/>
                <w:szCs w:val="20"/>
                <w:lang w:eastAsia="ko-KR"/>
              </w:rPr>
              <w:t>California</w:t>
            </w:r>
          </w:p>
        </w:tc>
        <w:tc>
          <w:tcPr>
            <w:tcW w:w="0" w:type="auto"/>
            <w:shd w:val="clear" w:color="auto" w:fill="auto"/>
            <w:vAlign w:val="center"/>
          </w:tcPr>
          <w:p w14:paraId="767439A0" w14:textId="77777777" w:rsidR="00370568" w:rsidRPr="00D66514" w:rsidRDefault="00370568" w:rsidP="00E00C59">
            <w:pPr>
              <w:pStyle w:val="NoSpacing"/>
              <w:jc w:val="center"/>
              <w:rPr>
                <w:b/>
                <w:bCs/>
                <w:sz w:val="20"/>
                <w:szCs w:val="20"/>
                <w:lang w:eastAsia="ko-KR"/>
              </w:rPr>
            </w:pPr>
            <w:r w:rsidRPr="00D66514">
              <w:rPr>
                <w:b/>
                <w:bCs/>
                <w:sz w:val="20"/>
                <w:szCs w:val="20"/>
                <w:lang w:eastAsia="ko-KR"/>
              </w:rPr>
              <w:t>Florida</w:t>
            </w:r>
          </w:p>
        </w:tc>
        <w:tc>
          <w:tcPr>
            <w:tcW w:w="0" w:type="auto"/>
            <w:shd w:val="clear" w:color="auto" w:fill="auto"/>
            <w:vAlign w:val="center"/>
          </w:tcPr>
          <w:p w14:paraId="63D3B060" w14:textId="77777777" w:rsidR="00370568" w:rsidRPr="00D66514" w:rsidRDefault="00370568" w:rsidP="00E00C59">
            <w:pPr>
              <w:pStyle w:val="NoSpacing"/>
              <w:jc w:val="center"/>
              <w:rPr>
                <w:b/>
                <w:bCs/>
                <w:sz w:val="20"/>
                <w:szCs w:val="20"/>
                <w:lang w:eastAsia="ko-KR"/>
              </w:rPr>
            </w:pPr>
            <w:r w:rsidRPr="00D66514">
              <w:rPr>
                <w:b/>
                <w:bCs/>
                <w:sz w:val="20"/>
                <w:szCs w:val="20"/>
                <w:lang w:eastAsia="ko-KR"/>
              </w:rPr>
              <w:t>Ohio</w:t>
            </w:r>
          </w:p>
        </w:tc>
        <w:tc>
          <w:tcPr>
            <w:tcW w:w="0" w:type="auto"/>
            <w:shd w:val="clear" w:color="auto" w:fill="auto"/>
            <w:vAlign w:val="center"/>
          </w:tcPr>
          <w:p w14:paraId="4B223974" w14:textId="77777777" w:rsidR="00370568" w:rsidRPr="00D66514" w:rsidRDefault="00370568" w:rsidP="00E00C59">
            <w:pPr>
              <w:pStyle w:val="NoSpacing"/>
              <w:jc w:val="center"/>
              <w:rPr>
                <w:b/>
                <w:bCs/>
                <w:sz w:val="20"/>
                <w:szCs w:val="20"/>
                <w:lang w:eastAsia="ko-KR"/>
              </w:rPr>
            </w:pPr>
            <w:r w:rsidRPr="00D66514">
              <w:rPr>
                <w:b/>
                <w:bCs/>
                <w:sz w:val="20"/>
                <w:szCs w:val="20"/>
                <w:lang w:eastAsia="ko-KR"/>
              </w:rPr>
              <w:t>California</w:t>
            </w:r>
          </w:p>
        </w:tc>
      </w:tr>
      <w:tr w:rsidR="00370568" w:rsidRPr="00D66514" w14:paraId="740DB776" w14:textId="77777777" w:rsidTr="00830ABC">
        <w:tc>
          <w:tcPr>
            <w:tcW w:w="1205" w:type="dxa"/>
            <w:shd w:val="clear" w:color="auto" w:fill="auto"/>
            <w:vAlign w:val="center"/>
          </w:tcPr>
          <w:p w14:paraId="38F814F9" w14:textId="77777777" w:rsidR="00370568" w:rsidRPr="00D66514" w:rsidRDefault="00370568" w:rsidP="00E00C59">
            <w:pPr>
              <w:pStyle w:val="NoSpacing"/>
              <w:jc w:val="center"/>
              <w:rPr>
                <w:b/>
                <w:sz w:val="20"/>
                <w:szCs w:val="20"/>
              </w:rPr>
            </w:pPr>
            <w:r w:rsidRPr="00D66514">
              <w:rPr>
                <w:b/>
                <w:sz w:val="20"/>
                <w:szCs w:val="20"/>
              </w:rPr>
              <w:t>Segment Length (mi)</w:t>
            </w:r>
          </w:p>
        </w:tc>
        <w:tc>
          <w:tcPr>
            <w:tcW w:w="844" w:type="dxa"/>
            <w:shd w:val="clear" w:color="auto" w:fill="auto"/>
            <w:vAlign w:val="center"/>
          </w:tcPr>
          <w:p w14:paraId="204955B9" w14:textId="77777777" w:rsidR="00370568" w:rsidRPr="00D66514" w:rsidRDefault="00370568" w:rsidP="00E00C59">
            <w:pPr>
              <w:pStyle w:val="NoSpacing"/>
              <w:jc w:val="center"/>
              <w:rPr>
                <w:sz w:val="20"/>
                <w:szCs w:val="20"/>
              </w:rPr>
            </w:pPr>
            <w:r w:rsidRPr="00D66514">
              <w:rPr>
                <w:sz w:val="20"/>
                <w:szCs w:val="20"/>
              </w:rPr>
              <w:t>-</w:t>
            </w:r>
          </w:p>
        </w:tc>
        <w:tc>
          <w:tcPr>
            <w:tcW w:w="951" w:type="dxa"/>
            <w:vAlign w:val="center"/>
          </w:tcPr>
          <w:p w14:paraId="386A55B3" w14:textId="77777777" w:rsidR="00370568" w:rsidRPr="00D66514" w:rsidRDefault="00370568" w:rsidP="00E00C59">
            <w:pPr>
              <w:pStyle w:val="NoSpacing"/>
              <w:jc w:val="center"/>
              <w:rPr>
                <w:sz w:val="20"/>
                <w:szCs w:val="20"/>
              </w:rPr>
            </w:pPr>
            <w:r w:rsidRPr="00D66514">
              <w:rPr>
                <w:sz w:val="20"/>
                <w:szCs w:val="20"/>
              </w:rPr>
              <w:t>-</w:t>
            </w:r>
          </w:p>
        </w:tc>
        <w:tc>
          <w:tcPr>
            <w:tcW w:w="1079" w:type="dxa"/>
            <w:vAlign w:val="center"/>
          </w:tcPr>
          <w:p w14:paraId="62669668" w14:textId="77777777" w:rsidR="00370568" w:rsidRPr="00D66514" w:rsidRDefault="00370568" w:rsidP="00E00C59">
            <w:pPr>
              <w:pStyle w:val="NoSpacing"/>
              <w:jc w:val="center"/>
              <w:rPr>
                <w:sz w:val="20"/>
                <w:szCs w:val="20"/>
              </w:rPr>
            </w:pPr>
            <w:r w:rsidRPr="00D66514">
              <w:rPr>
                <w:sz w:val="20"/>
                <w:szCs w:val="20"/>
              </w:rPr>
              <w:t>-</w:t>
            </w:r>
          </w:p>
        </w:tc>
        <w:tc>
          <w:tcPr>
            <w:tcW w:w="1101" w:type="dxa"/>
            <w:shd w:val="clear" w:color="auto" w:fill="auto"/>
            <w:vAlign w:val="center"/>
          </w:tcPr>
          <w:p w14:paraId="14A50095" w14:textId="77777777" w:rsidR="00370568" w:rsidRPr="00D66514" w:rsidRDefault="00370568" w:rsidP="00E00C59">
            <w:pPr>
              <w:pStyle w:val="NoSpacing"/>
              <w:jc w:val="center"/>
              <w:rPr>
                <w:sz w:val="20"/>
                <w:szCs w:val="20"/>
              </w:rPr>
            </w:pPr>
            <w:r w:rsidRPr="00D66514">
              <w:rPr>
                <w:sz w:val="20"/>
                <w:szCs w:val="20"/>
              </w:rPr>
              <w:t>0.633</w:t>
            </w:r>
          </w:p>
        </w:tc>
        <w:tc>
          <w:tcPr>
            <w:tcW w:w="0" w:type="auto"/>
            <w:vAlign w:val="center"/>
          </w:tcPr>
          <w:p w14:paraId="1913FDB8" w14:textId="77777777" w:rsidR="00370568" w:rsidRPr="00D66514" w:rsidRDefault="00370568" w:rsidP="00E00C59">
            <w:pPr>
              <w:pStyle w:val="NoSpacing"/>
              <w:jc w:val="center"/>
              <w:rPr>
                <w:sz w:val="20"/>
                <w:szCs w:val="20"/>
              </w:rPr>
            </w:pPr>
            <w:r w:rsidRPr="00D66514">
              <w:rPr>
                <w:sz w:val="20"/>
                <w:szCs w:val="20"/>
              </w:rPr>
              <w:t>0.527</w:t>
            </w:r>
          </w:p>
        </w:tc>
        <w:tc>
          <w:tcPr>
            <w:tcW w:w="0" w:type="auto"/>
            <w:vAlign w:val="center"/>
          </w:tcPr>
          <w:p w14:paraId="2EF9280E" w14:textId="77777777" w:rsidR="00370568" w:rsidRPr="00D66514" w:rsidRDefault="00370568" w:rsidP="00E00C59">
            <w:pPr>
              <w:pStyle w:val="NoSpacing"/>
              <w:jc w:val="center"/>
              <w:rPr>
                <w:sz w:val="20"/>
                <w:szCs w:val="20"/>
              </w:rPr>
            </w:pPr>
            <w:r w:rsidRPr="00D66514">
              <w:rPr>
                <w:sz w:val="20"/>
                <w:szCs w:val="20"/>
              </w:rPr>
              <w:t>0.526</w:t>
            </w:r>
          </w:p>
        </w:tc>
        <w:tc>
          <w:tcPr>
            <w:tcW w:w="0" w:type="auto"/>
            <w:shd w:val="clear" w:color="auto" w:fill="auto"/>
            <w:vAlign w:val="center"/>
          </w:tcPr>
          <w:p w14:paraId="27825B02" w14:textId="77777777" w:rsidR="00370568" w:rsidRPr="00D66514" w:rsidRDefault="00370568" w:rsidP="00E00C59">
            <w:pPr>
              <w:pStyle w:val="NoSpacing"/>
              <w:jc w:val="center"/>
              <w:rPr>
                <w:sz w:val="20"/>
                <w:szCs w:val="20"/>
              </w:rPr>
            </w:pPr>
            <w:r w:rsidRPr="00D66514">
              <w:rPr>
                <w:sz w:val="20"/>
                <w:szCs w:val="20"/>
              </w:rPr>
              <w:t>0.993</w:t>
            </w:r>
          </w:p>
        </w:tc>
        <w:tc>
          <w:tcPr>
            <w:tcW w:w="0" w:type="auto"/>
            <w:vAlign w:val="center"/>
          </w:tcPr>
          <w:p w14:paraId="4EEA1EDD" w14:textId="77777777" w:rsidR="00370568" w:rsidRPr="00D66514" w:rsidRDefault="00370568" w:rsidP="00E00C59">
            <w:pPr>
              <w:pStyle w:val="NoSpacing"/>
              <w:jc w:val="center"/>
              <w:rPr>
                <w:sz w:val="20"/>
                <w:szCs w:val="20"/>
              </w:rPr>
            </w:pPr>
            <w:r w:rsidRPr="00D66514">
              <w:rPr>
                <w:sz w:val="20"/>
                <w:szCs w:val="20"/>
              </w:rPr>
              <w:t>0.582</w:t>
            </w:r>
          </w:p>
        </w:tc>
        <w:tc>
          <w:tcPr>
            <w:tcW w:w="0" w:type="auto"/>
            <w:vAlign w:val="center"/>
          </w:tcPr>
          <w:p w14:paraId="06AED48A" w14:textId="77777777" w:rsidR="00370568" w:rsidRPr="00D66514" w:rsidRDefault="00370568" w:rsidP="00E00C59">
            <w:pPr>
              <w:pStyle w:val="NoSpacing"/>
              <w:jc w:val="center"/>
              <w:rPr>
                <w:sz w:val="20"/>
                <w:szCs w:val="20"/>
              </w:rPr>
            </w:pPr>
            <w:r w:rsidRPr="00D66514">
              <w:rPr>
                <w:sz w:val="20"/>
                <w:szCs w:val="20"/>
              </w:rPr>
              <w:t>0.568</w:t>
            </w:r>
          </w:p>
        </w:tc>
        <w:tc>
          <w:tcPr>
            <w:tcW w:w="0" w:type="auto"/>
            <w:shd w:val="clear" w:color="auto" w:fill="auto"/>
            <w:vAlign w:val="center"/>
          </w:tcPr>
          <w:p w14:paraId="7C1C53D9" w14:textId="77777777" w:rsidR="00370568" w:rsidRPr="00D66514" w:rsidRDefault="00370568" w:rsidP="00E00C59">
            <w:pPr>
              <w:pStyle w:val="NoSpacing"/>
              <w:jc w:val="center"/>
              <w:rPr>
                <w:sz w:val="20"/>
                <w:szCs w:val="20"/>
              </w:rPr>
            </w:pPr>
            <w:r w:rsidRPr="00D66514">
              <w:rPr>
                <w:sz w:val="20"/>
                <w:szCs w:val="20"/>
              </w:rPr>
              <w:t>-</w:t>
            </w:r>
          </w:p>
        </w:tc>
        <w:tc>
          <w:tcPr>
            <w:tcW w:w="0" w:type="auto"/>
            <w:vAlign w:val="center"/>
          </w:tcPr>
          <w:p w14:paraId="65C9A1FE" w14:textId="77777777" w:rsidR="00370568" w:rsidRPr="00D66514" w:rsidRDefault="00370568" w:rsidP="00E00C59">
            <w:pPr>
              <w:pStyle w:val="NoSpacing"/>
              <w:jc w:val="center"/>
              <w:rPr>
                <w:sz w:val="20"/>
                <w:szCs w:val="20"/>
              </w:rPr>
            </w:pPr>
            <w:r w:rsidRPr="00D66514">
              <w:rPr>
                <w:sz w:val="20"/>
                <w:szCs w:val="20"/>
              </w:rPr>
              <w:t>-</w:t>
            </w:r>
          </w:p>
        </w:tc>
        <w:tc>
          <w:tcPr>
            <w:tcW w:w="0" w:type="auto"/>
            <w:vAlign w:val="center"/>
          </w:tcPr>
          <w:p w14:paraId="0358785A" w14:textId="77777777" w:rsidR="00370568" w:rsidRPr="00D66514" w:rsidRDefault="00370568" w:rsidP="00E00C59">
            <w:pPr>
              <w:pStyle w:val="NoSpacing"/>
              <w:jc w:val="center"/>
              <w:rPr>
                <w:sz w:val="20"/>
                <w:szCs w:val="20"/>
              </w:rPr>
            </w:pPr>
            <w:r w:rsidRPr="00D66514">
              <w:rPr>
                <w:sz w:val="20"/>
                <w:szCs w:val="20"/>
              </w:rPr>
              <w:t>-</w:t>
            </w:r>
          </w:p>
        </w:tc>
      </w:tr>
      <w:tr w:rsidR="00370568" w:rsidRPr="00D66514" w14:paraId="7508E532" w14:textId="77777777" w:rsidTr="00830ABC">
        <w:tc>
          <w:tcPr>
            <w:tcW w:w="1205" w:type="dxa"/>
            <w:shd w:val="clear" w:color="auto" w:fill="auto"/>
            <w:vAlign w:val="center"/>
          </w:tcPr>
          <w:p w14:paraId="4D440E7F" w14:textId="77777777" w:rsidR="00370568" w:rsidRPr="00D66514" w:rsidRDefault="00370568" w:rsidP="00E00C59">
            <w:pPr>
              <w:pStyle w:val="NoSpacing"/>
              <w:jc w:val="center"/>
              <w:rPr>
                <w:b/>
                <w:sz w:val="20"/>
                <w:szCs w:val="20"/>
              </w:rPr>
            </w:pPr>
            <w:r w:rsidRPr="00D66514">
              <w:rPr>
                <w:b/>
                <w:sz w:val="20"/>
                <w:szCs w:val="20"/>
              </w:rPr>
              <w:t>AADT (vpd)</w:t>
            </w:r>
          </w:p>
        </w:tc>
        <w:tc>
          <w:tcPr>
            <w:tcW w:w="844" w:type="dxa"/>
            <w:shd w:val="clear" w:color="auto" w:fill="auto"/>
            <w:vAlign w:val="center"/>
          </w:tcPr>
          <w:p w14:paraId="46ECF5E1" w14:textId="77777777" w:rsidR="00370568" w:rsidRPr="00D66514" w:rsidRDefault="00370568" w:rsidP="00E00C59">
            <w:pPr>
              <w:pStyle w:val="NoSpacing"/>
              <w:jc w:val="center"/>
              <w:rPr>
                <w:sz w:val="20"/>
                <w:szCs w:val="20"/>
              </w:rPr>
            </w:pPr>
            <w:r w:rsidRPr="00D66514">
              <w:rPr>
                <w:sz w:val="20"/>
                <w:szCs w:val="20"/>
              </w:rPr>
              <w:t>-</w:t>
            </w:r>
          </w:p>
        </w:tc>
        <w:tc>
          <w:tcPr>
            <w:tcW w:w="951" w:type="dxa"/>
            <w:vAlign w:val="center"/>
          </w:tcPr>
          <w:p w14:paraId="0BA1871E" w14:textId="77777777" w:rsidR="00370568" w:rsidRPr="00D66514" w:rsidRDefault="00370568" w:rsidP="00E00C59">
            <w:pPr>
              <w:pStyle w:val="NoSpacing"/>
              <w:jc w:val="center"/>
              <w:rPr>
                <w:sz w:val="20"/>
                <w:szCs w:val="20"/>
              </w:rPr>
            </w:pPr>
            <w:r w:rsidRPr="00D66514">
              <w:rPr>
                <w:sz w:val="20"/>
                <w:szCs w:val="20"/>
              </w:rPr>
              <w:t>-</w:t>
            </w:r>
          </w:p>
        </w:tc>
        <w:tc>
          <w:tcPr>
            <w:tcW w:w="1079" w:type="dxa"/>
            <w:vAlign w:val="center"/>
          </w:tcPr>
          <w:p w14:paraId="4EC93D39" w14:textId="77777777" w:rsidR="00370568" w:rsidRPr="00D66514" w:rsidRDefault="00370568" w:rsidP="00E00C59">
            <w:pPr>
              <w:pStyle w:val="NoSpacing"/>
              <w:jc w:val="center"/>
              <w:rPr>
                <w:sz w:val="20"/>
                <w:szCs w:val="20"/>
              </w:rPr>
            </w:pPr>
            <w:r w:rsidRPr="00D66514">
              <w:rPr>
                <w:sz w:val="20"/>
                <w:szCs w:val="20"/>
              </w:rPr>
              <w:t>-</w:t>
            </w:r>
          </w:p>
        </w:tc>
        <w:tc>
          <w:tcPr>
            <w:tcW w:w="1101" w:type="dxa"/>
            <w:shd w:val="clear" w:color="auto" w:fill="auto"/>
            <w:vAlign w:val="center"/>
          </w:tcPr>
          <w:p w14:paraId="193E9DCF" w14:textId="77777777" w:rsidR="00370568" w:rsidRPr="00D66514" w:rsidRDefault="00370568" w:rsidP="00E00C59">
            <w:pPr>
              <w:pStyle w:val="NoSpacing"/>
              <w:jc w:val="center"/>
              <w:rPr>
                <w:sz w:val="20"/>
                <w:szCs w:val="20"/>
              </w:rPr>
            </w:pPr>
            <w:r w:rsidRPr="00D66514">
              <w:rPr>
                <w:sz w:val="20"/>
                <w:szCs w:val="20"/>
              </w:rPr>
              <w:t>25,710.482</w:t>
            </w:r>
          </w:p>
        </w:tc>
        <w:tc>
          <w:tcPr>
            <w:tcW w:w="0" w:type="auto"/>
            <w:vAlign w:val="center"/>
          </w:tcPr>
          <w:p w14:paraId="1238C978" w14:textId="77777777" w:rsidR="00370568" w:rsidRPr="00D66514" w:rsidRDefault="00370568" w:rsidP="00E00C59">
            <w:pPr>
              <w:pStyle w:val="NoSpacing"/>
              <w:jc w:val="center"/>
              <w:rPr>
                <w:sz w:val="20"/>
                <w:szCs w:val="20"/>
              </w:rPr>
            </w:pPr>
            <w:r w:rsidRPr="00D66514">
              <w:rPr>
                <w:sz w:val="20"/>
                <w:szCs w:val="20"/>
              </w:rPr>
              <w:t>9,896.954</w:t>
            </w:r>
          </w:p>
        </w:tc>
        <w:tc>
          <w:tcPr>
            <w:tcW w:w="0" w:type="auto"/>
            <w:vAlign w:val="center"/>
          </w:tcPr>
          <w:p w14:paraId="2795CE12" w14:textId="77777777" w:rsidR="00370568" w:rsidRPr="00D66514" w:rsidRDefault="00370568" w:rsidP="00E00C59">
            <w:pPr>
              <w:pStyle w:val="NoSpacing"/>
              <w:jc w:val="center"/>
              <w:rPr>
                <w:sz w:val="20"/>
                <w:szCs w:val="20"/>
              </w:rPr>
            </w:pPr>
            <w:r w:rsidRPr="00D66514">
              <w:rPr>
                <w:sz w:val="20"/>
                <w:szCs w:val="20"/>
              </w:rPr>
              <w:t>19,018.744</w:t>
            </w:r>
          </w:p>
        </w:tc>
        <w:tc>
          <w:tcPr>
            <w:tcW w:w="0" w:type="auto"/>
            <w:shd w:val="clear" w:color="auto" w:fill="auto"/>
            <w:vAlign w:val="center"/>
          </w:tcPr>
          <w:p w14:paraId="390F5B56" w14:textId="77777777" w:rsidR="00370568" w:rsidRPr="00D66514" w:rsidRDefault="00370568" w:rsidP="00E00C59">
            <w:pPr>
              <w:pStyle w:val="NoSpacing"/>
              <w:jc w:val="center"/>
              <w:rPr>
                <w:sz w:val="20"/>
                <w:szCs w:val="20"/>
              </w:rPr>
            </w:pPr>
            <w:r w:rsidRPr="00D66514">
              <w:rPr>
                <w:sz w:val="20"/>
                <w:szCs w:val="20"/>
              </w:rPr>
              <w:t>12,001.344</w:t>
            </w:r>
          </w:p>
        </w:tc>
        <w:tc>
          <w:tcPr>
            <w:tcW w:w="0" w:type="auto"/>
            <w:vAlign w:val="center"/>
          </w:tcPr>
          <w:p w14:paraId="1D2FC112" w14:textId="77777777" w:rsidR="00370568" w:rsidRPr="00D66514" w:rsidRDefault="00370568" w:rsidP="00E00C59">
            <w:pPr>
              <w:pStyle w:val="NoSpacing"/>
              <w:jc w:val="center"/>
              <w:rPr>
                <w:sz w:val="20"/>
                <w:szCs w:val="20"/>
              </w:rPr>
            </w:pPr>
            <w:r w:rsidRPr="00D66514">
              <w:rPr>
                <w:sz w:val="20"/>
                <w:szCs w:val="20"/>
              </w:rPr>
              <w:t>5,600.405</w:t>
            </w:r>
          </w:p>
        </w:tc>
        <w:tc>
          <w:tcPr>
            <w:tcW w:w="0" w:type="auto"/>
            <w:vAlign w:val="center"/>
          </w:tcPr>
          <w:p w14:paraId="4C0E8650" w14:textId="77777777" w:rsidR="00370568" w:rsidRPr="00D66514" w:rsidRDefault="00370568" w:rsidP="00E00C59">
            <w:pPr>
              <w:pStyle w:val="NoSpacing"/>
              <w:jc w:val="center"/>
              <w:rPr>
                <w:sz w:val="20"/>
                <w:szCs w:val="20"/>
              </w:rPr>
            </w:pPr>
            <w:r w:rsidRPr="00D66514">
              <w:rPr>
                <w:sz w:val="20"/>
                <w:szCs w:val="20"/>
              </w:rPr>
              <w:t>14,370.401</w:t>
            </w:r>
          </w:p>
        </w:tc>
        <w:tc>
          <w:tcPr>
            <w:tcW w:w="0" w:type="auto"/>
            <w:shd w:val="clear" w:color="auto" w:fill="auto"/>
            <w:vAlign w:val="center"/>
          </w:tcPr>
          <w:p w14:paraId="64437C6F" w14:textId="77777777" w:rsidR="00370568" w:rsidRPr="00D66514" w:rsidRDefault="00370568" w:rsidP="00E00C59">
            <w:pPr>
              <w:pStyle w:val="NoSpacing"/>
              <w:jc w:val="center"/>
              <w:rPr>
                <w:sz w:val="20"/>
                <w:szCs w:val="20"/>
              </w:rPr>
            </w:pPr>
            <w:r w:rsidRPr="00D66514">
              <w:rPr>
                <w:sz w:val="20"/>
                <w:szCs w:val="20"/>
              </w:rPr>
              <w:t>-</w:t>
            </w:r>
          </w:p>
        </w:tc>
        <w:tc>
          <w:tcPr>
            <w:tcW w:w="0" w:type="auto"/>
            <w:vAlign w:val="center"/>
          </w:tcPr>
          <w:p w14:paraId="0C099235" w14:textId="77777777" w:rsidR="00370568" w:rsidRPr="00D66514" w:rsidRDefault="00370568" w:rsidP="00E00C59">
            <w:pPr>
              <w:pStyle w:val="NoSpacing"/>
              <w:jc w:val="center"/>
              <w:rPr>
                <w:sz w:val="20"/>
                <w:szCs w:val="20"/>
              </w:rPr>
            </w:pPr>
            <w:r w:rsidRPr="00D66514">
              <w:rPr>
                <w:sz w:val="20"/>
                <w:szCs w:val="20"/>
              </w:rPr>
              <w:t>-</w:t>
            </w:r>
          </w:p>
        </w:tc>
        <w:tc>
          <w:tcPr>
            <w:tcW w:w="0" w:type="auto"/>
            <w:vAlign w:val="center"/>
          </w:tcPr>
          <w:p w14:paraId="663AB399" w14:textId="77777777" w:rsidR="00370568" w:rsidRPr="00D66514" w:rsidRDefault="00370568" w:rsidP="00E00C59">
            <w:pPr>
              <w:pStyle w:val="NoSpacing"/>
              <w:jc w:val="center"/>
              <w:rPr>
                <w:sz w:val="20"/>
                <w:szCs w:val="20"/>
              </w:rPr>
            </w:pPr>
            <w:r w:rsidRPr="00D66514">
              <w:rPr>
                <w:sz w:val="20"/>
                <w:szCs w:val="20"/>
              </w:rPr>
              <w:t>-</w:t>
            </w:r>
          </w:p>
        </w:tc>
      </w:tr>
      <w:tr w:rsidR="00370568" w:rsidRPr="00D66514" w14:paraId="15C616D8" w14:textId="77777777" w:rsidTr="00830ABC">
        <w:tc>
          <w:tcPr>
            <w:tcW w:w="1205" w:type="dxa"/>
            <w:shd w:val="clear" w:color="auto" w:fill="auto"/>
            <w:vAlign w:val="center"/>
          </w:tcPr>
          <w:p w14:paraId="714DAF97" w14:textId="77777777" w:rsidR="00370568" w:rsidRPr="00D66514" w:rsidRDefault="00370568" w:rsidP="00E00C59">
            <w:pPr>
              <w:pStyle w:val="NoSpacing"/>
              <w:jc w:val="center"/>
              <w:rPr>
                <w:b/>
                <w:sz w:val="20"/>
                <w:szCs w:val="20"/>
              </w:rPr>
            </w:pPr>
            <w:r w:rsidRPr="00D66514">
              <w:rPr>
                <w:b/>
                <w:sz w:val="20"/>
                <w:szCs w:val="20"/>
              </w:rPr>
              <w:t>Lane Width (ft)</w:t>
            </w:r>
          </w:p>
        </w:tc>
        <w:tc>
          <w:tcPr>
            <w:tcW w:w="844" w:type="dxa"/>
            <w:shd w:val="clear" w:color="auto" w:fill="auto"/>
            <w:vAlign w:val="center"/>
          </w:tcPr>
          <w:p w14:paraId="4C561A95" w14:textId="77777777" w:rsidR="00370568" w:rsidRPr="00D66514" w:rsidRDefault="00370568" w:rsidP="00E00C59">
            <w:pPr>
              <w:pStyle w:val="NoSpacing"/>
              <w:jc w:val="center"/>
              <w:rPr>
                <w:sz w:val="20"/>
                <w:szCs w:val="20"/>
              </w:rPr>
            </w:pPr>
            <w:r w:rsidRPr="00D66514">
              <w:rPr>
                <w:sz w:val="20"/>
                <w:szCs w:val="20"/>
              </w:rPr>
              <w:t>-</w:t>
            </w:r>
          </w:p>
        </w:tc>
        <w:tc>
          <w:tcPr>
            <w:tcW w:w="951" w:type="dxa"/>
            <w:vAlign w:val="center"/>
          </w:tcPr>
          <w:p w14:paraId="1E46A12B" w14:textId="77777777" w:rsidR="00370568" w:rsidRPr="00D66514" w:rsidRDefault="00370568" w:rsidP="00E00C59">
            <w:pPr>
              <w:pStyle w:val="NoSpacing"/>
              <w:jc w:val="center"/>
              <w:rPr>
                <w:sz w:val="20"/>
                <w:szCs w:val="20"/>
              </w:rPr>
            </w:pPr>
            <w:r w:rsidRPr="00D66514">
              <w:rPr>
                <w:sz w:val="20"/>
                <w:szCs w:val="20"/>
              </w:rPr>
              <w:t>-</w:t>
            </w:r>
          </w:p>
        </w:tc>
        <w:tc>
          <w:tcPr>
            <w:tcW w:w="1079" w:type="dxa"/>
            <w:vAlign w:val="center"/>
          </w:tcPr>
          <w:p w14:paraId="16A1BCB3" w14:textId="77777777" w:rsidR="00370568" w:rsidRPr="00D66514" w:rsidRDefault="00370568" w:rsidP="00E00C59">
            <w:pPr>
              <w:pStyle w:val="NoSpacing"/>
              <w:jc w:val="center"/>
              <w:rPr>
                <w:sz w:val="20"/>
                <w:szCs w:val="20"/>
              </w:rPr>
            </w:pPr>
            <w:r w:rsidRPr="00D66514">
              <w:rPr>
                <w:sz w:val="20"/>
                <w:szCs w:val="20"/>
              </w:rPr>
              <w:t>-</w:t>
            </w:r>
          </w:p>
        </w:tc>
        <w:tc>
          <w:tcPr>
            <w:tcW w:w="1101" w:type="dxa"/>
            <w:shd w:val="clear" w:color="auto" w:fill="auto"/>
            <w:vAlign w:val="center"/>
          </w:tcPr>
          <w:p w14:paraId="55D0DCD8" w14:textId="77777777" w:rsidR="00370568" w:rsidRPr="00D66514" w:rsidRDefault="00370568" w:rsidP="00E00C59">
            <w:pPr>
              <w:pStyle w:val="NoSpacing"/>
              <w:jc w:val="center"/>
              <w:rPr>
                <w:sz w:val="20"/>
                <w:szCs w:val="20"/>
              </w:rPr>
            </w:pPr>
            <w:r w:rsidRPr="00D66514">
              <w:rPr>
                <w:sz w:val="20"/>
                <w:szCs w:val="20"/>
              </w:rPr>
              <w:t>11.845</w:t>
            </w:r>
          </w:p>
        </w:tc>
        <w:tc>
          <w:tcPr>
            <w:tcW w:w="0" w:type="auto"/>
            <w:vAlign w:val="center"/>
          </w:tcPr>
          <w:p w14:paraId="48B51EB0" w14:textId="77777777" w:rsidR="00370568" w:rsidRPr="00D66514" w:rsidRDefault="00370568" w:rsidP="00E00C59">
            <w:pPr>
              <w:pStyle w:val="NoSpacing"/>
              <w:jc w:val="center"/>
              <w:rPr>
                <w:sz w:val="20"/>
                <w:szCs w:val="20"/>
              </w:rPr>
            </w:pPr>
            <w:r w:rsidRPr="00D66514">
              <w:rPr>
                <w:sz w:val="20"/>
                <w:szCs w:val="20"/>
              </w:rPr>
              <w:t>11.733</w:t>
            </w:r>
          </w:p>
        </w:tc>
        <w:tc>
          <w:tcPr>
            <w:tcW w:w="0" w:type="auto"/>
            <w:vAlign w:val="center"/>
          </w:tcPr>
          <w:p w14:paraId="67672612" w14:textId="77777777" w:rsidR="00370568" w:rsidRPr="00D66514" w:rsidRDefault="00370568" w:rsidP="00E00C59">
            <w:pPr>
              <w:pStyle w:val="NoSpacing"/>
              <w:jc w:val="center"/>
              <w:rPr>
                <w:sz w:val="20"/>
                <w:szCs w:val="20"/>
              </w:rPr>
            </w:pPr>
            <w:r w:rsidRPr="00D66514">
              <w:rPr>
                <w:sz w:val="20"/>
                <w:szCs w:val="20"/>
              </w:rPr>
              <w:t>10.088</w:t>
            </w:r>
          </w:p>
        </w:tc>
        <w:tc>
          <w:tcPr>
            <w:tcW w:w="0" w:type="auto"/>
            <w:shd w:val="clear" w:color="auto" w:fill="auto"/>
            <w:vAlign w:val="center"/>
          </w:tcPr>
          <w:p w14:paraId="7B2C5C19" w14:textId="77777777" w:rsidR="00370568" w:rsidRPr="00D66514" w:rsidRDefault="00370568" w:rsidP="00E00C59">
            <w:pPr>
              <w:pStyle w:val="NoSpacing"/>
              <w:jc w:val="center"/>
              <w:rPr>
                <w:sz w:val="20"/>
                <w:szCs w:val="20"/>
              </w:rPr>
            </w:pPr>
            <w:r w:rsidRPr="00D66514">
              <w:rPr>
                <w:sz w:val="20"/>
                <w:szCs w:val="20"/>
              </w:rPr>
              <w:t>0.489</w:t>
            </w:r>
          </w:p>
        </w:tc>
        <w:tc>
          <w:tcPr>
            <w:tcW w:w="0" w:type="auto"/>
            <w:vAlign w:val="center"/>
          </w:tcPr>
          <w:p w14:paraId="6FD629EF" w14:textId="77777777" w:rsidR="00370568" w:rsidRPr="00D66514" w:rsidRDefault="00370568" w:rsidP="00E00C59">
            <w:pPr>
              <w:pStyle w:val="NoSpacing"/>
              <w:jc w:val="center"/>
              <w:rPr>
                <w:sz w:val="20"/>
                <w:szCs w:val="20"/>
              </w:rPr>
            </w:pPr>
            <w:r w:rsidRPr="00D66514">
              <w:rPr>
                <w:sz w:val="20"/>
                <w:szCs w:val="20"/>
              </w:rPr>
              <w:t>0.484</w:t>
            </w:r>
          </w:p>
        </w:tc>
        <w:tc>
          <w:tcPr>
            <w:tcW w:w="0" w:type="auto"/>
            <w:vAlign w:val="center"/>
          </w:tcPr>
          <w:p w14:paraId="0613A399" w14:textId="77777777" w:rsidR="00370568" w:rsidRPr="00D66514" w:rsidRDefault="00370568" w:rsidP="00E00C59">
            <w:pPr>
              <w:pStyle w:val="NoSpacing"/>
              <w:jc w:val="center"/>
              <w:rPr>
                <w:sz w:val="20"/>
                <w:szCs w:val="20"/>
              </w:rPr>
            </w:pPr>
            <w:r w:rsidRPr="00D66514">
              <w:rPr>
                <w:sz w:val="20"/>
                <w:szCs w:val="20"/>
              </w:rPr>
              <w:t>4.426</w:t>
            </w:r>
          </w:p>
        </w:tc>
        <w:tc>
          <w:tcPr>
            <w:tcW w:w="0" w:type="auto"/>
            <w:shd w:val="clear" w:color="auto" w:fill="auto"/>
            <w:vAlign w:val="center"/>
          </w:tcPr>
          <w:p w14:paraId="3A77DC1B" w14:textId="77777777" w:rsidR="00370568" w:rsidRPr="00D66514" w:rsidRDefault="00370568" w:rsidP="00E00C59">
            <w:pPr>
              <w:pStyle w:val="NoSpacing"/>
              <w:jc w:val="center"/>
              <w:rPr>
                <w:sz w:val="20"/>
                <w:szCs w:val="20"/>
              </w:rPr>
            </w:pPr>
            <w:r w:rsidRPr="00D66514">
              <w:rPr>
                <w:sz w:val="20"/>
                <w:szCs w:val="20"/>
              </w:rPr>
              <w:t>-</w:t>
            </w:r>
          </w:p>
        </w:tc>
        <w:tc>
          <w:tcPr>
            <w:tcW w:w="0" w:type="auto"/>
            <w:vAlign w:val="center"/>
          </w:tcPr>
          <w:p w14:paraId="2343C224" w14:textId="77777777" w:rsidR="00370568" w:rsidRPr="00D66514" w:rsidRDefault="00370568" w:rsidP="00E00C59">
            <w:pPr>
              <w:pStyle w:val="NoSpacing"/>
              <w:jc w:val="center"/>
              <w:rPr>
                <w:sz w:val="20"/>
                <w:szCs w:val="20"/>
              </w:rPr>
            </w:pPr>
            <w:r w:rsidRPr="00D66514">
              <w:rPr>
                <w:sz w:val="20"/>
                <w:szCs w:val="20"/>
              </w:rPr>
              <w:t>-</w:t>
            </w:r>
          </w:p>
        </w:tc>
        <w:tc>
          <w:tcPr>
            <w:tcW w:w="0" w:type="auto"/>
            <w:vAlign w:val="center"/>
          </w:tcPr>
          <w:p w14:paraId="797B99BE" w14:textId="77777777" w:rsidR="00370568" w:rsidRPr="00D66514" w:rsidRDefault="00370568" w:rsidP="00E00C59">
            <w:pPr>
              <w:pStyle w:val="NoSpacing"/>
              <w:jc w:val="center"/>
              <w:rPr>
                <w:sz w:val="20"/>
                <w:szCs w:val="20"/>
              </w:rPr>
            </w:pPr>
            <w:r w:rsidRPr="00D66514">
              <w:rPr>
                <w:sz w:val="20"/>
                <w:szCs w:val="20"/>
              </w:rPr>
              <w:t>-</w:t>
            </w:r>
          </w:p>
        </w:tc>
      </w:tr>
      <w:tr w:rsidR="00370568" w:rsidRPr="00D66514" w14:paraId="4267A858" w14:textId="77777777" w:rsidTr="00830ABC">
        <w:tc>
          <w:tcPr>
            <w:tcW w:w="1205" w:type="dxa"/>
            <w:shd w:val="clear" w:color="auto" w:fill="auto"/>
            <w:vAlign w:val="center"/>
          </w:tcPr>
          <w:p w14:paraId="6B672A04" w14:textId="77777777" w:rsidR="00370568" w:rsidRPr="00D66514" w:rsidRDefault="00370568" w:rsidP="00E00C59">
            <w:pPr>
              <w:pStyle w:val="NoSpacing"/>
              <w:jc w:val="center"/>
              <w:rPr>
                <w:b/>
                <w:sz w:val="20"/>
                <w:szCs w:val="20"/>
              </w:rPr>
            </w:pPr>
            <w:r w:rsidRPr="00D66514">
              <w:rPr>
                <w:b/>
                <w:sz w:val="20"/>
                <w:szCs w:val="20"/>
              </w:rPr>
              <w:t>Shoulder Width (ft)</w:t>
            </w:r>
          </w:p>
        </w:tc>
        <w:tc>
          <w:tcPr>
            <w:tcW w:w="844" w:type="dxa"/>
            <w:shd w:val="clear" w:color="auto" w:fill="auto"/>
            <w:vAlign w:val="center"/>
          </w:tcPr>
          <w:p w14:paraId="6FC3DB94" w14:textId="77777777" w:rsidR="00370568" w:rsidRPr="00D66514" w:rsidRDefault="00370568" w:rsidP="00E00C59">
            <w:pPr>
              <w:pStyle w:val="NoSpacing"/>
              <w:jc w:val="center"/>
              <w:rPr>
                <w:sz w:val="20"/>
                <w:szCs w:val="20"/>
              </w:rPr>
            </w:pPr>
            <w:r w:rsidRPr="00D66514">
              <w:rPr>
                <w:sz w:val="20"/>
                <w:szCs w:val="20"/>
              </w:rPr>
              <w:t>-</w:t>
            </w:r>
          </w:p>
        </w:tc>
        <w:tc>
          <w:tcPr>
            <w:tcW w:w="951" w:type="dxa"/>
            <w:vAlign w:val="center"/>
          </w:tcPr>
          <w:p w14:paraId="47CBADFB" w14:textId="77777777" w:rsidR="00370568" w:rsidRPr="00D66514" w:rsidRDefault="00370568" w:rsidP="00E00C59">
            <w:pPr>
              <w:pStyle w:val="NoSpacing"/>
              <w:jc w:val="center"/>
              <w:rPr>
                <w:sz w:val="20"/>
                <w:szCs w:val="20"/>
              </w:rPr>
            </w:pPr>
            <w:r w:rsidRPr="00D66514">
              <w:rPr>
                <w:sz w:val="20"/>
                <w:szCs w:val="20"/>
              </w:rPr>
              <w:t>-</w:t>
            </w:r>
          </w:p>
        </w:tc>
        <w:tc>
          <w:tcPr>
            <w:tcW w:w="1079" w:type="dxa"/>
            <w:vAlign w:val="center"/>
          </w:tcPr>
          <w:p w14:paraId="6BDE61B4" w14:textId="77777777" w:rsidR="00370568" w:rsidRPr="00D66514" w:rsidRDefault="00370568" w:rsidP="00E00C59">
            <w:pPr>
              <w:pStyle w:val="NoSpacing"/>
              <w:jc w:val="center"/>
              <w:rPr>
                <w:sz w:val="20"/>
                <w:szCs w:val="20"/>
              </w:rPr>
            </w:pPr>
            <w:r w:rsidRPr="00D66514">
              <w:rPr>
                <w:sz w:val="20"/>
                <w:szCs w:val="20"/>
              </w:rPr>
              <w:t>-</w:t>
            </w:r>
          </w:p>
        </w:tc>
        <w:tc>
          <w:tcPr>
            <w:tcW w:w="1101" w:type="dxa"/>
            <w:shd w:val="clear" w:color="auto" w:fill="auto"/>
            <w:vAlign w:val="center"/>
          </w:tcPr>
          <w:p w14:paraId="4D572955" w14:textId="77777777" w:rsidR="00370568" w:rsidRPr="00D66514" w:rsidRDefault="00370568" w:rsidP="00E00C59">
            <w:pPr>
              <w:pStyle w:val="NoSpacing"/>
              <w:jc w:val="center"/>
              <w:rPr>
                <w:sz w:val="20"/>
                <w:szCs w:val="20"/>
              </w:rPr>
            </w:pPr>
            <w:r w:rsidRPr="00D66514">
              <w:rPr>
                <w:sz w:val="20"/>
                <w:szCs w:val="20"/>
              </w:rPr>
              <w:t>4.225</w:t>
            </w:r>
          </w:p>
        </w:tc>
        <w:tc>
          <w:tcPr>
            <w:tcW w:w="0" w:type="auto"/>
            <w:vAlign w:val="center"/>
          </w:tcPr>
          <w:p w14:paraId="23D96DEF" w14:textId="77777777" w:rsidR="00370568" w:rsidRPr="00D66514" w:rsidRDefault="00370568" w:rsidP="00E00C59">
            <w:pPr>
              <w:pStyle w:val="NoSpacing"/>
              <w:jc w:val="center"/>
              <w:rPr>
                <w:sz w:val="20"/>
                <w:szCs w:val="20"/>
              </w:rPr>
            </w:pPr>
            <w:r w:rsidRPr="00D66514">
              <w:rPr>
                <w:sz w:val="20"/>
                <w:szCs w:val="20"/>
              </w:rPr>
              <w:t>6.452</w:t>
            </w:r>
          </w:p>
        </w:tc>
        <w:tc>
          <w:tcPr>
            <w:tcW w:w="0" w:type="auto"/>
            <w:vAlign w:val="center"/>
          </w:tcPr>
          <w:p w14:paraId="675B2B4F" w14:textId="77777777" w:rsidR="00370568" w:rsidRPr="00D66514" w:rsidRDefault="00370568" w:rsidP="00E00C59">
            <w:pPr>
              <w:pStyle w:val="NoSpacing"/>
              <w:jc w:val="center"/>
              <w:rPr>
                <w:sz w:val="20"/>
                <w:szCs w:val="20"/>
              </w:rPr>
            </w:pPr>
            <w:r w:rsidRPr="00D66514">
              <w:rPr>
                <w:sz w:val="20"/>
                <w:szCs w:val="20"/>
              </w:rPr>
              <w:t>7.681</w:t>
            </w:r>
          </w:p>
        </w:tc>
        <w:tc>
          <w:tcPr>
            <w:tcW w:w="0" w:type="auto"/>
            <w:shd w:val="clear" w:color="auto" w:fill="auto"/>
            <w:vAlign w:val="center"/>
          </w:tcPr>
          <w:p w14:paraId="2F996C76" w14:textId="77777777" w:rsidR="00370568" w:rsidRPr="00D66514" w:rsidRDefault="00370568" w:rsidP="00E00C59">
            <w:pPr>
              <w:pStyle w:val="NoSpacing"/>
              <w:jc w:val="center"/>
              <w:rPr>
                <w:sz w:val="20"/>
                <w:szCs w:val="20"/>
              </w:rPr>
            </w:pPr>
            <w:r w:rsidRPr="00D66514">
              <w:rPr>
                <w:sz w:val="20"/>
                <w:szCs w:val="20"/>
              </w:rPr>
              <w:t>2.277</w:t>
            </w:r>
          </w:p>
        </w:tc>
        <w:tc>
          <w:tcPr>
            <w:tcW w:w="0" w:type="auto"/>
            <w:vAlign w:val="center"/>
          </w:tcPr>
          <w:p w14:paraId="2BE2C0E3" w14:textId="77777777" w:rsidR="00370568" w:rsidRPr="00D66514" w:rsidRDefault="00370568" w:rsidP="00E00C59">
            <w:pPr>
              <w:pStyle w:val="NoSpacing"/>
              <w:jc w:val="center"/>
              <w:rPr>
                <w:sz w:val="20"/>
                <w:szCs w:val="20"/>
              </w:rPr>
            </w:pPr>
            <w:r w:rsidRPr="00D66514">
              <w:rPr>
                <w:sz w:val="20"/>
                <w:szCs w:val="20"/>
              </w:rPr>
              <w:t>2.504</w:t>
            </w:r>
          </w:p>
        </w:tc>
        <w:tc>
          <w:tcPr>
            <w:tcW w:w="0" w:type="auto"/>
            <w:vAlign w:val="center"/>
          </w:tcPr>
          <w:p w14:paraId="350E8C06" w14:textId="77777777" w:rsidR="00370568" w:rsidRPr="00D66514" w:rsidRDefault="00370568" w:rsidP="00E00C59">
            <w:pPr>
              <w:pStyle w:val="NoSpacing"/>
              <w:jc w:val="center"/>
              <w:rPr>
                <w:sz w:val="20"/>
                <w:szCs w:val="20"/>
              </w:rPr>
            </w:pPr>
            <w:r w:rsidRPr="00D66514">
              <w:rPr>
                <w:sz w:val="20"/>
                <w:szCs w:val="20"/>
              </w:rPr>
              <w:t>2.377</w:t>
            </w:r>
          </w:p>
        </w:tc>
        <w:tc>
          <w:tcPr>
            <w:tcW w:w="0" w:type="auto"/>
            <w:shd w:val="clear" w:color="auto" w:fill="auto"/>
            <w:vAlign w:val="center"/>
          </w:tcPr>
          <w:p w14:paraId="0A1E8791" w14:textId="77777777" w:rsidR="00370568" w:rsidRPr="00D66514" w:rsidRDefault="00370568" w:rsidP="00E00C59">
            <w:pPr>
              <w:pStyle w:val="NoSpacing"/>
              <w:jc w:val="center"/>
              <w:rPr>
                <w:sz w:val="20"/>
                <w:szCs w:val="20"/>
              </w:rPr>
            </w:pPr>
            <w:r w:rsidRPr="00D66514">
              <w:rPr>
                <w:sz w:val="20"/>
                <w:szCs w:val="20"/>
              </w:rPr>
              <w:t>-</w:t>
            </w:r>
          </w:p>
        </w:tc>
        <w:tc>
          <w:tcPr>
            <w:tcW w:w="0" w:type="auto"/>
            <w:vAlign w:val="center"/>
          </w:tcPr>
          <w:p w14:paraId="504380CB" w14:textId="77777777" w:rsidR="00370568" w:rsidRPr="00D66514" w:rsidRDefault="00370568" w:rsidP="00E00C59">
            <w:pPr>
              <w:pStyle w:val="NoSpacing"/>
              <w:jc w:val="center"/>
              <w:rPr>
                <w:sz w:val="20"/>
                <w:szCs w:val="20"/>
              </w:rPr>
            </w:pPr>
            <w:r w:rsidRPr="00D66514">
              <w:rPr>
                <w:sz w:val="20"/>
                <w:szCs w:val="20"/>
              </w:rPr>
              <w:t>-</w:t>
            </w:r>
          </w:p>
        </w:tc>
        <w:tc>
          <w:tcPr>
            <w:tcW w:w="0" w:type="auto"/>
            <w:vAlign w:val="center"/>
          </w:tcPr>
          <w:p w14:paraId="48B0D1A6" w14:textId="77777777" w:rsidR="00370568" w:rsidRPr="00D66514" w:rsidRDefault="00370568" w:rsidP="00E00C59">
            <w:pPr>
              <w:pStyle w:val="NoSpacing"/>
              <w:jc w:val="center"/>
              <w:rPr>
                <w:sz w:val="20"/>
                <w:szCs w:val="20"/>
              </w:rPr>
            </w:pPr>
            <w:r w:rsidRPr="00D66514">
              <w:rPr>
                <w:sz w:val="20"/>
                <w:szCs w:val="20"/>
              </w:rPr>
              <w:t>-</w:t>
            </w:r>
          </w:p>
        </w:tc>
      </w:tr>
      <w:tr w:rsidR="00370568" w:rsidRPr="00D66514" w14:paraId="131DB46B" w14:textId="77777777" w:rsidTr="00830ABC">
        <w:tc>
          <w:tcPr>
            <w:tcW w:w="1205" w:type="dxa"/>
            <w:shd w:val="clear" w:color="auto" w:fill="auto"/>
            <w:vAlign w:val="center"/>
          </w:tcPr>
          <w:p w14:paraId="1DB2060C" w14:textId="77777777" w:rsidR="00370568" w:rsidRPr="00D66514" w:rsidRDefault="00370568" w:rsidP="00E00C59">
            <w:pPr>
              <w:pStyle w:val="NoSpacing"/>
              <w:jc w:val="center"/>
              <w:rPr>
                <w:b/>
                <w:sz w:val="20"/>
                <w:szCs w:val="20"/>
              </w:rPr>
            </w:pPr>
            <w:r w:rsidRPr="00D66514">
              <w:rPr>
                <w:b/>
                <w:sz w:val="20"/>
                <w:szCs w:val="20"/>
              </w:rPr>
              <w:t>Median Width (ft)</w:t>
            </w:r>
          </w:p>
        </w:tc>
        <w:tc>
          <w:tcPr>
            <w:tcW w:w="844" w:type="dxa"/>
            <w:shd w:val="clear" w:color="auto" w:fill="auto"/>
            <w:vAlign w:val="center"/>
          </w:tcPr>
          <w:p w14:paraId="519EB82D" w14:textId="77777777" w:rsidR="00370568" w:rsidRPr="00D66514" w:rsidRDefault="00370568" w:rsidP="00E00C59">
            <w:pPr>
              <w:pStyle w:val="NoSpacing"/>
              <w:jc w:val="center"/>
              <w:rPr>
                <w:sz w:val="20"/>
                <w:szCs w:val="20"/>
              </w:rPr>
            </w:pPr>
            <w:r w:rsidRPr="00D66514">
              <w:rPr>
                <w:sz w:val="20"/>
                <w:szCs w:val="20"/>
              </w:rPr>
              <w:t>-</w:t>
            </w:r>
          </w:p>
        </w:tc>
        <w:tc>
          <w:tcPr>
            <w:tcW w:w="951" w:type="dxa"/>
            <w:vAlign w:val="center"/>
          </w:tcPr>
          <w:p w14:paraId="510C6A91" w14:textId="77777777" w:rsidR="00370568" w:rsidRPr="00D66514" w:rsidRDefault="00370568" w:rsidP="00E00C59">
            <w:pPr>
              <w:pStyle w:val="NoSpacing"/>
              <w:jc w:val="center"/>
              <w:rPr>
                <w:sz w:val="20"/>
                <w:szCs w:val="20"/>
              </w:rPr>
            </w:pPr>
            <w:r w:rsidRPr="00D66514">
              <w:rPr>
                <w:sz w:val="20"/>
                <w:szCs w:val="20"/>
              </w:rPr>
              <w:t>-</w:t>
            </w:r>
          </w:p>
        </w:tc>
        <w:tc>
          <w:tcPr>
            <w:tcW w:w="1079" w:type="dxa"/>
            <w:vAlign w:val="center"/>
          </w:tcPr>
          <w:p w14:paraId="64611CCF" w14:textId="77777777" w:rsidR="00370568" w:rsidRPr="00D66514" w:rsidRDefault="00370568" w:rsidP="00E00C59">
            <w:pPr>
              <w:pStyle w:val="NoSpacing"/>
              <w:jc w:val="center"/>
              <w:rPr>
                <w:sz w:val="20"/>
                <w:szCs w:val="20"/>
              </w:rPr>
            </w:pPr>
            <w:r w:rsidRPr="00D66514">
              <w:rPr>
                <w:sz w:val="20"/>
                <w:szCs w:val="20"/>
              </w:rPr>
              <w:t>-</w:t>
            </w:r>
          </w:p>
        </w:tc>
        <w:tc>
          <w:tcPr>
            <w:tcW w:w="1101" w:type="dxa"/>
            <w:shd w:val="clear" w:color="auto" w:fill="auto"/>
            <w:vAlign w:val="center"/>
          </w:tcPr>
          <w:p w14:paraId="7C9B0CC2" w14:textId="77777777" w:rsidR="00370568" w:rsidRPr="00D66514" w:rsidRDefault="00370568" w:rsidP="00E00C59">
            <w:pPr>
              <w:pStyle w:val="NoSpacing"/>
              <w:jc w:val="center"/>
              <w:rPr>
                <w:sz w:val="20"/>
                <w:szCs w:val="20"/>
              </w:rPr>
            </w:pPr>
            <w:r w:rsidRPr="00D66514">
              <w:rPr>
                <w:sz w:val="20"/>
                <w:szCs w:val="20"/>
              </w:rPr>
              <w:t>28.258</w:t>
            </w:r>
          </w:p>
        </w:tc>
        <w:tc>
          <w:tcPr>
            <w:tcW w:w="0" w:type="auto"/>
            <w:vAlign w:val="center"/>
          </w:tcPr>
          <w:p w14:paraId="63456D54" w14:textId="77777777" w:rsidR="00370568" w:rsidRPr="00D66514" w:rsidRDefault="00370568" w:rsidP="00E00C59">
            <w:pPr>
              <w:pStyle w:val="NoSpacing"/>
              <w:jc w:val="center"/>
              <w:rPr>
                <w:sz w:val="20"/>
                <w:szCs w:val="20"/>
              </w:rPr>
            </w:pPr>
            <w:r w:rsidRPr="00D66514">
              <w:rPr>
                <w:sz w:val="20"/>
                <w:szCs w:val="20"/>
              </w:rPr>
              <w:t>43.41</w:t>
            </w:r>
          </w:p>
        </w:tc>
        <w:tc>
          <w:tcPr>
            <w:tcW w:w="0" w:type="auto"/>
            <w:vAlign w:val="center"/>
          </w:tcPr>
          <w:p w14:paraId="79801D48" w14:textId="77777777" w:rsidR="00370568" w:rsidRPr="00D66514" w:rsidRDefault="00370568" w:rsidP="00E00C59">
            <w:pPr>
              <w:pStyle w:val="NoSpacing"/>
              <w:jc w:val="center"/>
              <w:rPr>
                <w:sz w:val="20"/>
                <w:szCs w:val="20"/>
              </w:rPr>
            </w:pPr>
            <w:r w:rsidRPr="00D66514">
              <w:rPr>
                <w:sz w:val="20"/>
                <w:szCs w:val="20"/>
              </w:rPr>
              <w:t>36.787</w:t>
            </w:r>
          </w:p>
        </w:tc>
        <w:tc>
          <w:tcPr>
            <w:tcW w:w="0" w:type="auto"/>
            <w:shd w:val="clear" w:color="auto" w:fill="auto"/>
            <w:vAlign w:val="center"/>
          </w:tcPr>
          <w:p w14:paraId="42F05754" w14:textId="77777777" w:rsidR="00370568" w:rsidRPr="00D66514" w:rsidRDefault="00370568" w:rsidP="00E00C59">
            <w:pPr>
              <w:pStyle w:val="NoSpacing"/>
              <w:jc w:val="center"/>
              <w:rPr>
                <w:sz w:val="20"/>
                <w:szCs w:val="20"/>
              </w:rPr>
            </w:pPr>
            <w:r w:rsidRPr="00D66514">
              <w:rPr>
                <w:sz w:val="20"/>
                <w:szCs w:val="20"/>
              </w:rPr>
              <w:t>18.114</w:t>
            </w:r>
          </w:p>
        </w:tc>
        <w:tc>
          <w:tcPr>
            <w:tcW w:w="0" w:type="auto"/>
            <w:vAlign w:val="center"/>
          </w:tcPr>
          <w:p w14:paraId="19531B3E" w14:textId="77777777" w:rsidR="00370568" w:rsidRPr="00D66514" w:rsidRDefault="00370568" w:rsidP="00E00C59">
            <w:pPr>
              <w:pStyle w:val="NoSpacing"/>
              <w:jc w:val="center"/>
              <w:rPr>
                <w:sz w:val="20"/>
                <w:szCs w:val="20"/>
              </w:rPr>
            </w:pPr>
            <w:r w:rsidRPr="00D66514">
              <w:rPr>
                <w:sz w:val="20"/>
                <w:szCs w:val="20"/>
              </w:rPr>
              <w:t>21.616</w:t>
            </w:r>
          </w:p>
        </w:tc>
        <w:tc>
          <w:tcPr>
            <w:tcW w:w="0" w:type="auto"/>
            <w:vAlign w:val="center"/>
          </w:tcPr>
          <w:p w14:paraId="2448D851" w14:textId="77777777" w:rsidR="00370568" w:rsidRPr="00D66514" w:rsidRDefault="00370568" w:rsidP="00E00C59">
            <w:pPr>
              <w:pStyle w:val="NoSpacing"/>
              <w:jc w:val="center"/>
              <w:rPr>
                <w:sz w:val="20"/>
                <w:szCs w:val="20"/>
              </w:rPr>
            </w:pPr>
            <w:r w:rsidRPr="00D66514">
              <w:rPr>
                <w:sz w:val="20"/>
                <w:szCs w:val="20"/>
              </w:rPr>
              <w:t>31.262</w:t>
            </w:r>
          </w:p>
        </w:tc>
        <w:tc>
          <w:tcPr>
            <w:tcW w:w="0" w:type="auto"/>
            <w:shd w:val="clear" w:color="auto" w:fill="auto"/>
            <w:vAlign w:val="center"/>
          </w:tcPr>
          <w:p w14:paraId="199F5725" w14:textId="77777777" w:rsidR="00370568" w:rsidRPr="00D66514" w:rsidRDefault="00370568" w:rsidP="00E00C59">
            <w:pPr>
              <w:pStyle w:val="NoSpacing"/>
              <w:jc w:val="center"/>
              <w:rPr>
                <w:sz w:val="20"/>
                <w:szCs w:val="20"/>
              </w:rPr>
            </w:pPr>
            <w:r w:rsidRPr="00D66514">
              <w:rPr>
                <w:sz w:val="20"/>
                <w:szCs w:val="20"/>
              </w:rPr>
              <w:t>-</w:t>
            </w:r>
          </w:p>
        </w:tc>
        <w:tc>
          <w:tcPr>
            <w:tcW w:w="0" w:type="auto"/>
            <w:vAlign w:val="center"/>
          </w:tcPr>
          <w:p w14:paraId="10DEF75E" w14:textId="77777777" w:rsidR="00370568" w:rsidRPr="00D66514" w:rsidRDefault="00370568" w:rsidP="00E00C59">
            <w:pPr>
              <w:pStyle w:val="NoSpacing"/>
              <w:jc w:val="center"/>
              <w:rPr>
                <w:sz w:val="20"/>
                <w:szCs w:val="20"/>
              </w:rPr>
            </w:pPr>
            <w:r w:rsidRPr="00D66514">
              <w:rPr>
                <w:sz w:val="20"/>
                <w:szCs w:val="20"/>
              </w:rPr>
              <w:t>-</w:t>
            </w:r>
          </w:p>
        </w:tc>
        <w:tc>
          <w:tcPr>
            <w:tcW w:w="0" w:type="auto"/>
            <w:vAlign w:val="center"/>
          </w:tcPr>
          <w:p w14:paraId="54C48B38" w14:textId="77777777" w:rsidR="00370568" w:rsidRPr="00D66514" w:rsidRDefault="00370568" w:rsidP="00E00C59">
            <w:pPr>
              <w:pStyle w:val="NoSpacing"/>
              <w:jc w:val="center"/>
              <w:rPr>
                <w:sz w:val="20"/>
                <w:szCs w:val="20"/>
              </w:rPr>
            </w:pPr>
            <w:r w:rsidRPr="00D66514">
              <w:rPr>
                <w:sz w:val="20"/>
                <w:szCs w:val="20"/>
              </w:rPr>
              <w:t>-</w:t>
            </w:r>
          </w:p>
        </w:tc>
      </w:tr>
      <w:tr w:rsidR="00370568" w:rsidRPr="00D66514" w14:paraId="6C1D3655" w14:textId="77777777" w:rsidTr="00830ABC">
        <w:tc>
          <w:tcPr>
            <w:tcW w:w="1205" w:type="dxa"/>
            <w:shd w:val="clear" w:color="auto" w:fill="auto"/>
            <w:vAlign w:val="center"/>
          </w:tcPr>
          <w:p w14:paraId="759F34E0" w14:textId="77777777" w:rsidR="00370568" w:rsidRPr="00D66514" w:rsidRDefault="00370568" w:rsidP="00E00C59">
            <w:pPr>
              <w:pStyle w:val="NoSpacing"/>
              <w:jc w:val="center"/>
              <w:rPr>
                <w:b/>
                <w:sz w:val="20"/>
                <w:szCs w:val="20"/>
              </w:rPr>
            </w:pPr>
            <w:r w:rsidRPr="00D66514">
              <w:rPr>
                <w:b/>
                <w:sz w:val="20"/>
                <w:szCs w:val="20"/>
              </w:rPr>
              <w:t>KABCO</w:t>
            </w:r>
          </w:p>
        </w:tc>
        <w:tc>
          <w:tcPr>
            <w:tcW w:w="844" w:type="dxa"/>
            <w:shd w:val="clear" w:color="auto" w:fill="auto"/>
            <w:vAlign w:val="center"/>
          </w:tcPr>
          <w:p w14:paraId="77BC6491" w14:textId="77777777" w:rsidR="00370568" w:rsidRPr="00D66514" w:rsidRDefault="00370568" w:rsidP="00E00C59">
            <w:pPr>
              <w:pStyle w:val="NoSpacing"/>
              <w:jc w:val="center"/>
              <w:rPr>
                <w:sz w:val="20"/>
                <w:szCs w:val="20"/>
              </w:rPr>
            </w:pPr>
            <w:r w:rsidRPr="00D66514">
              <w:rPr>
                <w:sz w:val="20"/>
                <w:szCs w:val="20"/>
              </w:rPr>
              <w:t>10,028</w:t>
            </w:r>
          </w:p>
        </w:tc>
        <w:tc>
          <w:tcPr>
            <w:tcW w:w="951" w:type="dxa"/>
            <w:vAlign w:val="center"/>
          </w:tcPr>
          <w:p w14:paraId="116AFDCC" w14:textId="77777777" w:rsidR="00370568" w:rsidRPr="00D66514" w:rsidRDefault="00370568" w:rsidP="00E00C59">
            <w:pPr>
              <w:pStyle w:val="NoSpacing"/>
              <w:jc w:val="center"/>
              <w:rPr>
                <w:sz w:val="20"/>
                <w:szCs w:val="20"/>
              </w:rPr>
            </w:pPr>
            <w:r w:rsidRPr="00D66514">
              <w:rPr>
                <w:sz w:val="20"/>
                <w:szCs w:val="20"/>
              </w:rPr>
              <w:t>2,541</w:t>
            </w:r>
          </w:p>
        </w:tc>
        <w:tc>
          <w:tcPr>
            <w:tcW w:w="1079" w:type="dxa"/>
            <w:vAlign w:val="center"/>
          </w:tcPr>
          <w:p w14:paraId="50973CF8" w14:textId="77777777" w:rsidR="00370568" w:rsidRPr="00D66514" w:rsidRDefault="00370568" w:rsidP="00E00C59">
            <w:pPr>
              <w:pStyle w:val="NoSpacing"/>
              <w:jc w:val="center"/>
              <w:rPr>
                <w:sz w:val="20"/>
                <w:szCs w:val="20"/>
              </w:rPr>
            </w:pPr>
            <w:r w:rsidRPr="00D66514">
              <w:rPr>
                <w:sz w:val="20"/>
                <w:szCs w:val="20"/>
              </w:rPr>
              <w:t>5,120</w:t>
            </w:r>
          </w:p>
        </w:tc>
        <w:tc>
          <w:tcPr>
            <w:tcW w:w="1101" w:type="dxa"/>
            <w:shd w:val="clear" w:color="auto" w:fill="auto"/>
            <w:vAlign w:val="center"/>
          </w:tcPr>
          <w:p w14:paraId="550AE955" w14:textId="77777777" w:rsidR="00370568" w:rsidRPr="00D66514" w:rsidRDefault="00370568" w:rsidP="00E00C59">
            <w:pPr>
              <w:pStyle w:val="NoSpacing"/>
              <w:jc w:val="center"/>
              <w:rPr>
                <w:sz w:val="20"/>
                <w:szCs w:val="20"/>
              </w:rPr>
            </w:pPr>
            <w:r w:rsidRPr="00D66514">
              <w:rPr>
                <w:sz w:val="20"/>
                <w:szCs w:val="20"/>
              </w:rPr>
              <w:t>7.597</w:t>
            </w:r>
          </w:p>
        </w:tc>
        <w:tc>
          <w:tcPr>
            <w:tcW w:w="0" w:type="auto"/>
            <w:vAlign w:val="center"/>
          </w:tcPr>
          <w:p w14:paraId="1EA649A8" w14:textId="77777777" w:rsidR="00370568" w:rsidRPr="00D66514" w:rsidRDefault="00370568" w:rsidP="00E00C59">
            <w:pPr>
              <w:pStyle w:val="NoSpacing"/>
              <w:jc w:val="center"/>
              <w:rPr>
                <w:sz w:val="20"/>
                <w:szCs w:val="20"/>
              </w:rPr>
            </w:pPr>
            <w:r w:rsidRPr="00D66514">
              <w:rPr>
                <w:sz w:val="20"/>
                <w:szCs w:val="20"/>
              </w:rPr>
              <w:t>2.015</w:t>
            </w:r>
          </w:p>
        </w:tc>
        <w:tc>
          <w:tcPr>
            <w:tcW w:w="0" w:type="auto"/>
            <w:vAlign w:val="center"/>
          </w:tcPr>
          <w:p w14:paraId="6C647B75" w14:textId="77777777" w:rsidR="00370568" w:rsidRPr="00D66514" w:rsidRDefault="00370568" w:rsidP="00E00C59">
            <w:pPr>
              <w:pStyle w:val="NoSpacing"/>
              <w:jc w:val="center"/>
              <w:rPr>
                <w:sz w:val="20"/>
                <w:szCs w:val="20"/>
              </w:rPr>
            </w:pPr>
            <w:r w:rsidRPr="00D66514">
              <w:rPr>
                <w:sz w:val="20"/>
                <w:szCs w:val="20"/>
              </w:rPr>
              <w:t>3.795</w:t>
            </w:r>
          </w:p>
        </w:tc>
        <w:tc>
          <w:tcPr>
            <w:tcW w:w="0" w:type="auto"/>
            <w:shd w:val="clear" w:color="auto" w:fill="auto"/>
            <w:vAlign w:val="center"/>
          </w:tcPr>
          <w:p w14:paraId="65E13801" w14:textId="77777777" w:rsidR="00370568" w:rsidRPr="00D66514" w:rsidRDefault="00370568" w:rsidP="00E00C59">
            <w:pPr>
              <w:pStyle w:val="NoSpacing"/>
              <w:jc w:val="center"/>
              <w:rPr>
                <w:sz w:val="20"/>
                <w:szCs w:val="20"/>
              </w:rPr>
            </w:pPr>
            <w:r w:rsidRPr="00D66514">
              <w:rPr>
                <w:sz w:val="20"/>
                <w:szCs w:val="20"/>
              </w:rPr>
              <w:t>15.001</w:t>
            </w:r>
          </w:p>
        </w:tc>
        <w:tc>
          <w:tcPr>
            <w:tcW w:w="0" w:type="auto"/>
            <w:vAlign w:val="center"/>
          </w:tcPr>
          <w:p w14:paraId="0C2E6BFD" w14:textId="77777777" w:rsidR="00370568" w:rsidRPr="00D66514" w:rsidRDefault="00370568" w:rsidP="00E00C59">
            <w:pPr>
              <w:pStyle w:val="NoSpacing"/>
              <w:jc w:val="center"/>
              <w:rPr>
                <w:sz w:val="20"/>
                <w:szCs w:val="20"/>
              </w:rPr>
            </w:pPr>
            <w:r w:rsidRPr="00D66514">
              <w:rPr>
                <w:sz w:val="20"/>
                <w:szCs w:val="20"/>
              </w:rPr>
              <w:t>4.028</w:t>
            </w:r>
          </w:p>
        </w:tc>
        <w:tc>
          <w:tcPr>
            <w:tcW w:w="0" w:type="auto"/>
            <w:vAlign w:val="center"/>
          </w:tcPr>
          <w:p w14:paraId="6BF1726B" w14:textId="77777777" w:rsidR="00370568" w:rsidRPr="00D66514" w:rsidRDefault="00370568" w:rsidP="00E00C59">
            <w:pPr>
              <w:pStyle w:val="NoSpacing"/>
              <w:jc w:val="center"/>
              <w:rPr>
                <w:sz w:val="20"/>
                <w:szCs w:val="20"/>
              </w:rPr>
            </w:pPr>
            <w:r w:rsidRPr="00D66514">
              <w:rPr>
                <w:sz w:val="20"/>
                <w:szCs w:val="20"/>
              </w:rPr>
              <w:t>6.805</w:t>
            </w:r>
          </w:p>
        </w:tc>
        <w:tc>
          <w:tcPr>
            <w:tcW w:w="0" w:type="auto"/>
            <w:shd w:val="clear" w:color="auto" w:fill="auto"/>
            <w:vAlign w:val="center"/>
          </w:tcPr>
          <w:p w14:paraId="28BF64D7" w14:textId="77777777" w:rsidR="00370568" w:rsidRPr="00D66514" w:rsidRDefault="00370568" w:rsidP="00E00C59">
            <w:pPr>
              <w:pStyle w:val="NoSpacing"/>
              <w:jc w:val="center"/>
              <w:rPr>
                <w:sz w:val="20"/>
                <w:szCs w:val="20"/>
              </w:rPr>
            </w:pPr>
            <w:r w:rsidRPr="00D66514">
              <w:rPr>
                <w:sz w:val="20"/>
                <w:szCs w:val="20"/>
              </w:rPr>
              <w:t>47.70</w:t>
            </w:r>
          </w:p>
        </w:tc>
        <w:tc>
          <w:tcPr>
            <w:tcW w:w="0" w:type="auto"/>
            <w:vAlign w:val="center"/>
          </w:tcPr>
          <w:p w14:paraId="518C4A38" w14:textId="77777777" w:rsidR="00370568" w:rsidRPr="00D66514" w:rsidRDefault="00370568" w:rsidP="00E00C59">
            <w:pPr>
              <w:pStyle w:val="NoSpacing"/>
              <w:jc w:val="center"/>
              <w:rPr>
                <w:sz w:val="20"/>
                <w:szCs w:val="20"/>
              </w:rPr>
            </w:pPr>
            <w:r w:rsidRPr="00D66514">
              <w:rPr>
                <w:sz w:val="20"/>
                <w:szCs w:val="20"/>
              </w:rPr>
              <w:t>32.75</w:t>
            </w:r>
          </w:p>
        </w:tc>
        <w:tc>
          <w:tcPr>
            <w:tcW w:w="0" w:type="auto"/>
            <w:vAlign w:val="center"/>
          </w:tcPr>
          <w:p w14:paraId="0E083671" w14:textId="77777777" w:rsidR="00370568" w:rsidRPr="00D66514" w:rsidRDefault="00370568" w:rsidP="00E00C59">
            <w:pPr>
              <w:pStyle w:val="NoSpacing"/>
              <w:jc w:val="center"/>
              <w:rPr>
                <w:sz w:val="20"/>
                <w:szCs w:val="20"/>
              </w:rPr>
            </w:pPr>
            <w:r w:rsidRPr="00D66514">
              <w:rPr>
                <w:sz w:val="20"/>
                <w:szCs w:val="20"/>
              </w:rPr>
              <w:t>53.93</w:t>
            </w:r>
          </w:p>
        </w:tc>
      </w:tr>
      <w:tr w:rsidR="00370568" w:rsidRPr="00D66514" w14:paraId="75EE5C99" w14:textId="77777777" w:rsidTr="00830ABC">
        <w:tc>
          <w:tcPr>
            <w:tcW w:w="1205" w:type="dxa"/>
            <w:shd w:val="clear" w:color="auto" w:fill="auto"/>
            <w:vAlign w:val="center"/>
          </w:tcPr>
          <w:p w14:paraId="37BA5E4E" w14:textId="77777777" w:rsidR="00370568" w:rsidRPr="00D66514" w:rsidRDefault="00370568" w:rsidP="00E00C59">
            <w:pPr>
              <w:pStyle w:val="NoSpacing"/>
              <w:jc w:val="center"/>
              <w:rPr>
                <w:b/>
                <w:sz w:val="20"/>
                <w:szCs w:val="20"/>
              </w:rPr>
            </w:pPr>
            <w:r w:rsidRPr="00D66514">
              <w:rPr>
                <w:b/>
                <w:sz w:val="20"/>
                <w:szCs w:val="20"/>
              </w:rPr>
              <w:t>KABC</w:t>
            </w:r>
          </w:p>
        </w:tc>
        <w:tc>
          <w:tcPr>
            <w:tcW w:w="844" w:type="dxa"/>
            <w:shd w:val="clear" w:color="auto" w:fill="auto"/>
            <w:vAlign w:val="center"/>
          </w:tcPr>
          <w:p w14:paraId="03C0A0E5" w14:textId="77777777" w:rsidR="00370568" w:rsidRPr="00D66514" w:rsidRDefault="00370568" w:rsidP="00E00C59">
            <w:pPr>
              <w:pStyle w:val="NoSpacing"/>
              <w:jc w:val="center"/>
              <w:rPr>
                <w:sz w:val="20"/>
                <w:szCs w:val="20"/>
              </w:rPr>
            </w:pPr>
            <w:r w:rsidRPr="00D66514">
              <w:rPr>
                <w:sz w:val="20"/>
                <w:szCs w:val="20"/>
              </w:rPr>
              <w:t>4,815</w:t>
            </w:r>
          </w:p>
        </w:tc>
        <w:tc>
          <w:tcPr>
            <w:tcW w:w="951" w:type="dxa"/>
            <w:vAlign w:val="center"/>
          </w:tcPr>
          <w:p w14:paraId="0FE91A68" w14:textId="77777777" w:rsidR="00370568" w:rsidRPr="00D66514" w:rsidRDefault="00370568" w:rsidP="00E00C59">
            <w:pPr>
              <w:pStyle w:val="NoSpacing"/>
              <w:jc w:val="center"/>
              <w:rPr>
                <w:sz w:val="20"/>
                <w:szCs w:val="20"/>
              </w:rPr>
            </w:pPr>
            <w:r w:rsidRPr="00D66514">
              <w:rPr>
                <w:sz w:val="20"/>
                <w:szCs w:val="20"/>
              </w:rPr>
              <w:t>799</w:t>
            </w:r>
          </w:p>
        </w:tc>
        <w:tc>
          <w:tcPr>
            <w:tcW w:w="1079" w:type="dxa"/>
            <w:vAlign w:val="center"/>
          </w:tcPr>
          <w:p w14:paraId="7CA6B782" w14:textId="77777777" w:rsidR="00370568" w:rsidRPr="00D66514" w:rsidRDefault="00370568" w:rsidP="00E00C59">
            <w:pPr>
              <w:pStyle w:val="NoSpacing"/>
              <w:jc w:val="center"/>
              <w:rPr>
                <w:sz w:val="20"/>
                <w:szCs w:val="20"/>
              </w:rPr>
            </w:pPr>
            <w:r w:rsidRPr="00D66514">
              <w:rPr>
                <w:sz w:val="20"/>
                <w:szCs w:val="20"/>
              </w:rPr>
              <w:t>1,997</w:t>
            </w:r>
          </w:p>
        </w:tc>
        <w:tc>
          <w:tcPr>
            <w:tcW w:w="1101" w:type="dxa"/>
            <w:shd w:val="clear" w:color="auto" w:fill="auto"/>
            <w:vAlign w:val="center"/>
          </w:tcPr>
          <w:p w14:paraId="22DAEB1E" w14:textId="77777777" w:rsidR="00370568" w:rsidRPr="00D66514" w:rsidRDefault="00370568" w:rsidP="00E00C59">
            <w:pPr>
              <w:pStyle w:val="NoSpacing"/>
              <w:jc w:val="center"/>
              <w:rPr>
                <w:sz w:val="20"/>
                <w:szCs w:val="20"/>
              </w:rPr>
            </w:pPr>
            <w:r w:rsidRPr="00D66514">
              <w:rPr>
                <w:sz w:val="20"/>
                <w:szCs w:val="20"/>
              </w:rPr>
              <w:t>3.648</w:t>
            </w:r>
          </w:p>
        </w:tc>
        <w:tc>
          <w:tcPr>
            <w:tcW w:w="0" w:type="auto"/>
            <w:vAlign w:val="center"/>
          </w:tcPr>
          <w:p w14:paraId="437A9F29" w14:textId="77777777" w:rsidR="00370568" w:rsidRPr="00D66514" w:rsidRDefault="00370568" w:rsidP="00E00C59">
            <w:pPr>
              <w:pStyle w:val="NoSpacing"/>
              <w:jc w:val="center"/>
              <w:rPr>
                <w:sz w:val="20"/>
                <w:szCs w:val="20"/>
              </w:rPr>
            </w:pPr>
            <w:r w:rsidRPr="00D66514">
              <w:rPr>
                <w:sz w:val="20"/>
                <w:szCs w:val="20"/>
              </w:rPr>
              <w:t>0.634</w:t>
            </w:r>
          </w:p>
        </w:tc>
        <w:tc>
          <w:tcPr>
            <w:tcW w:w="0" w:type="auto"/>
            <w:vAlign w:val="center"/>
          </w:tcPr>
          <w:p w14:paraId="5238C9C0" w14:textId="77777777" w:rsidR="00370568" w:rsidRPr="00D66514" w:rsidRDefault="00370568" w:rsidP="00E00C59">
            <w:pPr>
              <w:pStyle w:val="NoSpacing"/>
              <w:jc w:val="center"/>
              <w:rPr>
                <w:sz w:val="20"/>
                <w:szCs w:val="20"/>
              </w:rPr>
            </w:pPr>
            <w:r w:rsidRPr="00D66514">
              <w:rPr>
                <w:sz w:val="20"/>
                <w:szCs w:val="20"/>
              </w:rPr>
              <w:t>1.48</w:t>
            </w:r>
          </w:p>
        </w:tc>
        <w:tc>
          <w:tcPr>
            <w:tcW w:w="0" w:type="auto"/>
            <w:shd w:val="clear" w:color="auto" w:fill="auto"/>
            <w:vAlign w:val="center"/>
          </w:tcPr>
          <w:p w14:paraId="67A0AD21" w14:textId="77777777" w:rsidR="00370568" w:rsidRPr="00D66514" w:rsidRDefault="00370568" w:rsidP="00E00C59">
            <w:pPr>
              <w:pStyle w:val="NoSpacing"/>
              <w:jc w:val="center"/>
              <w:rPr>
                <w:sz w:val="20"/>
                <w:szCs w:val="20"/>
              </w:rPr>
            </w:pPr>
            <w:r w:rsidRPr="00D66514">
              <w:rPr>
                <w:sz w:val="20"/>
                <w:szCs w:val="20"/>
              </w:rPr>
              <w:t>6.486</w:t>
            </w:r>
          </w:p>
        </w:tc>
        <w:tc>
          <w:tcPr>
            <w:tcW w:w="0" w:type="auto"/>
            <w:vAlign w:val="center"/>
          </w:tcPr>
          <w:p w14:paraId="1A1EB7C9" w14:textId="77777777" w:rsidR="00370568" w:rsidRPr="00D66514" w:rsidRDefault="00370568" w:rsidP="00E00C59">
            <w:pPr>
              <w:pStyle w:val="NoSpacing"/>
              <w:jc w:val="center"/>
              <w:rPr>
                <w:sz w:val="20"/>
                <w:szCs w:val="20"/>
              </w:rPr>
            </w:pPr>
            <w:r w:rsidRPr="00D66514">
              <w:rPr>
                <w:sz w:val="20"/>
                <w:szCs w:val="20"/>
              </w:rPr>
              <w:t>1.507</w:t>
            </w:r>
          </w:p>
        </w:tc>
        <w:tc>
          <w:tcPr>
            <w:tcW w:w="0" w:type="auto"/>
            <w:vAlign w:val="center"/>
          </w:tcPr>
          <w:p w14:paraId="277D69F8" w14:textId="77777777" w:rsidR="00370568" w:rsidRPr="00D66514" w:rsidRDefault="00370568" w:rsidP="00E00C59">
            <w:pPr>
              <w:pStyle w:val="NoSpacing"/>
              <w:jc w:val="center"/>
              <w:rPr>
                <w:sz w:val="20"/>
                <w:szCs w:val="20"/>
              </w:rPr>
            </w:pPr>
            <w:r w:rsidRPr="00D66514">
              <w:rPr>
                <w:sz w:val="20"/>
                <w:szCs w:val="20"/>
              </w:rPr>
              <w:t>2.734</w:t>
            </w:r>
          </w:p>
        </w:tc>
        <w:tc>
          <w:tcPr>
            <w:tcW w:w="0" w:type="auto"/>
            <w:shd w:val="clear" w:color="auto" w:fill="auto"/>
            <w:vAlign w:val="center"/>
          </w:tcPr>
          <w:p w14:paraId="115721AB" w14:textId="77777777" w:rsidR="00370568" w:rsidRPr="00D66514" w:rsidRDefault="00370568" w:rsidP="00E00C59">
            <w:pPr>
              <w:pStyle w:val="NoSpacing"/>
              <w:jc w:val="center"/>
              <w:rPr>
                <w:sz w:val="20"/>
                <w:szCs w:val="20"/>
              </w:rPr>
            </w:pPr>
            <w:r w:rsidRPr="00D66514">
              <w:rPr>
                <w:sz w:val="20"/>
                <w:szCs w:val="20"/>
              </w:rPr>
              <w:t>22.91</w:t>
            </w:r>
          </w:p>
        </w:tc>
        <w:tc>
          <w:tcPr>
            <w:tcW w:w="0" w:type="auto"/>
            <w:vAlign w:val="center"/>
          </w:tcPr>
          <w:p w14:paraId="56B3570A" w14:textId="77777777" w:rsidR="00370568" w:rsidRPr="00D66514" w:rsidRDefault="00370568" w:rsidP="00E00C59">
            <w:pPr>
              <w:pStyle w:val="NoSpacing"/>
              <w:jc w:val="center"/>
              <w:rPr>
                <w:sz w:val="20"/>
                <w:szCs w:val="20"/>
              </w:rPr>
            </w:pPr>
            <w:r w:rsidRPr="00D66514">
              <w:rPr>
                <w:sz w:val="20"/>
                <w:szCs w:val="20"/>
              </w:rPr>
              <w:t>10.3</w:t>
            </w:r>
          </w:p>
        </w:tc>
        <w:tc>
          <w:tcPr>
            <w:tcW w:w="0" w:type="auto"/>
            <w:vAlign w:val="center"/>
          </w:tcPr>
          <w:p w14:paraId="391F0422" w14:textId="77777777" w:rsidR="00370568" w:rsidRPr="00D66514" w:rsidRDefault="00370568" w:rsidP="00E00C59">
            <w:pPr>
              <w:pStyle w:val="NoSpacing"/>
              <w:jc w:val="center"/>
              <w:rPr>
                <w:sz w:val="20"/>
                <w:szCs w:val="20"/>
              </w:rPr>
            </w:pPr>
            <w:r w:rsidRPr="00D66514">
              <w:rPr>
                <w:sz w:val="20"/>
                <w:szCs w:val="20"/>
              </w:rPr>
              <w:t>21.03</w:t>
            </w:r>
          </w:p>
        </w:tc>
      </w:tr>
      <w:tr w:rsidR="00370568" w:rsidRPr="00D66514" w14:paraId="60157E7B" w14:textId="77777777" w:rsidTr="00830ABC">
        <w:tc>
          <w:tcPr>
            <w:tcW w:w="1205" w:type="dxa"/>
            <w:shd w:val="clear" w:color="auto" w:fill="auto"/>
            <w:vAlign w:val="center"/>
          </w:tcPr>
          <w:p w14:paraId="54634807" w14:textId="77777777" w:rsidR="00370568" w:rsidRPr="00D66514" w:rsidRDefault="00370568" w:rsidP="00E00C59">
            <w:pPr>
              <w:pStyle w:val="NoSpacing"/>
              <w:jc w:val="center"/>
              <w:rPr>
                <w:b/>
                <w:sz w:val="20"/>
                <w:szCs w:val="20"/>
              </w:rPr>
            </w:pPr>
            <w:r w:rsidRPr="00D66514">
              <w:rPr>
                <w:b/>
                <w:sz w:val="20"/>
                <w:szCs w:val="20"/>
              </w:rPr>
              <w:t>KAB</w:t>
            </w:r>
          </w:p>
        </w:tc>
        <w:tc>
          <w:tcPr>
            <w:tcW w:w="844" w:type="dxa"/>
            <w:shd w:val="clear" w:color="auto" w:fill="auto"/>
            <w:vAlign w:val="center"/>
          </w:tcPr>
          <w:p w14:paraId="7FCF047D" w14:textId="77777777" w:rsidR="00370568" w:rsidRPr="00D66514" w:rsidRDefault="00370568" w:rsidP="00E00C59">
            <w:pPr>
              <w:pStyle w:val="NoSpacing"/>
              <w:jc w:val="center"/>
              <w:rPr>
                <w:sz w:val="20"/>
                <w:szCs w:val="20"/>
              </w:rPr>
            </w:pPr>
            <w:r w:rsidRPr="00D66514">
              <w:rPr>
                <w:sz w:val="20"/>
                <w:szCs w:val="20"/>
              </w:rPr>
              <w:t>2,399</w:t>
            </w:r>
          </w:p>
        </w:tc>
        <w:tc>
          <w:tcPr>
            <w:tcW w:w="951" w:type="dxa"/>
            <w:vAlign w:val="center"/>
          </w:tcPr>
          <w:p w14:paraId="43EC2858" w14:textId="77777777" w:rsidR="00370568" w:rsidRPr="00D66514" w:rsidRDefault="00370568" w:rsidP="00E00C59">
            <w:pPr>
              <w:pStyle w:val="NoSpacing"/>
              <w:jc w:val="center"/>
              <w:rPr>
                <w:sz w:val="20"/>
                <w:szCs w:val="20"/>
              </w:rPr>
            </w:pPr>
            <w:r w:rsidRPr="00D66514">
              <w:rPr>
                <w:sz w:val="20"/>
                <w:szCs w:val="20"/>
              </w:rPr>
              <w:t>580</w:t>
            </w:r>
          </w:p>
        </w:tc>
        <w:tc>
          <w:tcPr>
            <w:tcW w:w="1079" w:type="dxa"/>
            <w:vAlign w:val="center"/>
          </w:tcPr>
          <w:p w14:paraId="55D49867" w14:textId="77777777" w:rsidR="00370568" w:rsidRPr="00D66514" w:rsidRDefault="00370568" w:rsidP="00E00C59">
            <w:pPr>
              <w:pStyle w:val="NoSpacing"/>
              <w:jc w:val="center"/>
              <w:rPr>
                <w:sz w:val="20"/>
                <w:szCs w:val="20"/>
              </w:rPr>
            </w:pPr>
            <w:r w:rsidRPr="00D66514">
              <w:rPr>
                <w:sz w:val="20"/>
                <w:szCs w:val="20"/>
              </w:rPr>
              <w:t>1,014</w:t>
            </w:r>
          </w:p>
        </w:tc>
        <w:tc>
          <w:tcPr>
            <w:tcW w:w="1101" w:type="dxa"/>
            <w:shd w:val="clear" w:color="auto" w:fill="auto"/>
            <w:vAlign w:val="center"/>
          </w:tcPr>
          <w:p w14:paraId="57E7787D" w14:textId="77777777" w:rsidR="00370568" w:rsidRPr="00D66514" w:rsidRDefault="00370568" w:rsidP="00E00C59">
            <w:pPr>
              <w:pStyle w:val="NoSpacing"/>
              <w:jc w:val="center"/>
              <w:rPr>
                <w:sz w:val="20"/>
                <w:szCs w:val="20"/>
              </w:rPr>
            </w:pPr>
            <w:r w:rsidRPr="00D66514">
              <w:rPr>
                <w:sz w:val="20"/>
                <w:szCs w:val="20"/>
              </w:rPr>
              <w:t>1.817</w:t>
            </w:r>
          </w:p>
        </w:tc>
        <w:tc>
          <w:tcPr>
            <w:tcW w:w="0" w:type="auto"/>
            <w:vAlign w:val="center"/>
          </w:tcPr>
          <w:p w14:paraId="660641C7" w14:textId="77777777" w:rsidR="00370568" w:rsidRPr="00D66514" w:rsidRDefault="00370568" w:rsidP="00E00C59">
            <w:pPr>
              <w:pStyle w:val="NoSpacing"/>
              <w:jc w:val="center"/>
              <w:rPr>
                <w:sz w:val="20"/>
                <w:szCs w:val="20"/>
              </w:rPr>
            </w:pPr>
            <w:r w:rsidRPr="00D66514">
              <w:rPr>
                <w:sz w:val="20"/>
                <w:szCs w:val="20"/>
              </w:rPr>
              <w:t>0.46</w:t>
            </w:r>
          </w:p>
        </w:tc>
        <w:tc>
          <w:tcPr>
            <w:tcW w:w="0" w:type="auto"/>
            <w:vAlign w:val="center"/>
          </w:tcPr>
          <w:p w14:paraId="19165E7D" w14:textId="77777777" w:rsidR="00370568" w:rsidRPr="00D66514" w:rsidRDefault="00370568" w:rsidP="00E00C59">
            <w:pPr>
              <w:pStyle w:val="NoSpacing"/>
              <w:jc w:val="center"/>
              <w:rPr>
                <w:sz w:val="20"/>
                <w:szCs w:val="20"/>
              </w:rPr>
            </w:pPr>
            <w:r w:rsidRPr="00D66514">
              <w:rPr>
                <w:sz w:val="20"/>
                <w:szCs w:val="20"/>
              </w:rPr>
              <w:t>0.752</w:t>
            </w:r>
          </w:p>
        </w:tc>
        <w:tc>
          <w:tcPr>
            <w:tcW w:w="0" w:type="auto"/>
            <w:shd w:val="clear" w:color="auto" w:fill="auto"/>
            <w:vAlign w:val="center"/>
          </w:tcPr>
          <w:p w14:paraId="0A33AA2B" w14:textId="77777777" w:rsidR="00370568" w:rsidRPr="00D66514" w:rsidRDefault="00370568" w:rsidP="00E00C59">
            <w:pPr>
              <w:pStyle w:val="NoSpacing"/>
              <w:jc w:val="center"/>
              <w:rPr>
                <w:sz w:val="20"/>
                <w:szCs w:val="20"/>
              </w:rPr>
            </w:pPr>
            <w:r w:rsidRPr="00D66514">
              <w:rPr>
                <w:sz w:val="20"/>
                <w:szCs w:val="20"/>
              </w:rPr>
              <w:t>3.094</w:t>
            </w:r>
          </w:p>
        </w:tc>
        <w:tc>
          <w:tcPr>
            <w:tcW w:w="0" w:type="auto"/>
            <w:vAlign w:val="center"/>
          </w:tcPr>
          <w:p w14:paraId="7B13F568" w14:textId="77777777" w:rsidR="00370568" w:rsidRPr="00D66514" w:rsidRDefault="00370568" w:rsidP="00E00C59">
            <w:pPr>
              <w:pStyle w:val="NoSpacing"/>
              <w:jc w:val="center"/>
              <w:rPr>
                <w:sz w:val="20"/>
                <w:szCs w:val="20"/>
              </w:rPr>
            </w:pPr>
            <w:r w:rsidRPr="00D66514">
              <w:rPr>
                <w:sz w:val="20"/>
                <w:szCs w:val="20"/>
              </w:rPr>
              <w:t>1.069</w:t>
            </w:r>
          </w:p>
        </w:tc>
        <w:tc>
          <w:tcPr>
            <w:tcW w:w="0" w:type="auto"/>
            <w:vAlign w:val="center"/>
          </w:tcPr>
          <w:p w14:paraId="47BA830D" w14:textId="77777777" w:rsidR="00370568" w:rsidRPr="00D66514" w:rsidRDefault="00370568" w:rsidP="00E00C59">
            <w:pPr>
              <w:pStyle w:val="NoSpacing"/>
              <w:jc w:val="center"/>
              <w:rPr>
                <w:sz w:val="20"/>
                <w:szCs w:val="20"/>
              </w:rPr>
            </w:pPr>
            <w:r w:rsidRPr="00D66514">
              <w:rPr>
                <w:sz w:val="20"/>
                <w:szCs w:val="20"/>
              </w:rPr>
              <w:t>1.392</w:t>
            </w:r>
          </w:p>
        </w:tc>
        <w:tc>
          <w:tcPr>
            <w:tcW w:w="0" w:type="auto"/>
            <w:shd w:val="clear" w:color="auto" w:fill="auto"/>
            <w:vAlign w:val="center"/>
          </w:tcPr>
          <w:p w14:paraId="594275B1" w14:textId="77777777" w:rsidR="00370568" w:rsidRPr="00D66514" w:rsidRDefault="00370568" w:rsidP="00E00C59">
            <w:pPr>
              <w:pStyle w:val="NoSpacing"/>
              <w:jc w:val="center"/>
              <w:rPr>
                <w:sz w:val="20"/>
                <w:szCs w:val="20"/>
              </w:rPr>
            </w:pPr>
            <w:r w:rsidRPr="00D66514">
              <w:rPr>
                <w:sz w:val="20"/>
                <w:szCs w:val="20"/>
              </w:rPr>
              <w:t>11.41</w:t>
            </w:r>
          </w:p>
        </w:tc>
        <w:tc>
          <w:tcPr>
            <w:tcW w:w="0" w:type="auto"/>
            <w:vAlign w:val="center"/>
          </w:tcPr>
          <w:p w14:paraId="65A9FDAF" w14:textId="77777777" w:rsidR="00370568" w:rsidRPr="00D66514" w:rsidRDefault="00370568" w:rsidP="00E00C59">
            <w:pPr>
              <w:pStyle w:val="NoSpacing"/>
              <w:jc w:val="center"/>
              <w:rPr>
                <w:sz w:val="20"/>
                <w:szCs w:val="20"/>
              </w:rPr>
            </w:pPr>
            <w:r w:rsidRPr="00D66514">
              <w:rPr>
                <w:sz w:val="20"/>
                <w:szCs w:val="20"/>
              </w:rPr>
              <w:t>7.48</w:t>
            </w:r>
          </w:p>
        </w:tc>
        <w:tc>
          <w:tcPr>
            <w:tcW w:w="0" w:type="auto"/>
            <w:vAlign w:val="center"/>
          </w:tcPr>
          <w:p w14:paraId="4576227A" w14:textId="77777777" w:rsidR="00370568" w:rsidRPr="00D66514" w:rsidRDefault="00370568" w:rsidP="00E00C59">
            <w:pPr>
              <w:pStyle w:val="NoSpacing"/>
              <w:jc w:val="center"/>
              <w:rPr>
                <w:sz w:val="20"/>
                <w:szCs w:val="20"/>
              </w:rPr>
            </w:pPr>
            <w:r w:rsidRPr="00D66514">
              <w:rPr>
                <w:sz w:val="20"/>
                <w:szCs w:val="20"/>
              </w:rPr>
              <w:t>10.68</w:t>
            </w:r>
          </w:p>
        </w:tc>
      </w:tr>
      <w:tr w:rsidR="00370568" w:rsidRPr="00D66514" w14:paraId="58DCB32C" w14:textId="77777777" w:rsidTr="00830ABC">
        <w:tc>
          <w:tcPr>
            <w:tcW w:w="1205" w:type="dxa"/>
            <w:shd w:val="clear" w:color="auto" w:fill="auto"/>
            <w:vAlign w:val="center"/>
          </w:tcPr>
          <w:p w14:paraId="33A21E8F" w14:textId="77777777" w:rsidR="00370568" w:rsidRPr="00D66514" w:rsidRDefault="00370568" w:rsidP="00E00C59">
            <w:pPr>
              <w:pStyle w:val="NoSpacing"/>
              <w:jc w:val="center"/>
              <w:rPr>
                <w:b/>
                <w:sz w:val="20"/>
                <w:szCs w:val="20"/>
              </w:rPr>
            </w:pPr>
            <w:r w:rsidRPr="00D66514">
              <w:rPr>
                <w:b/>
                <w:sz w:val="20"/>
                <w:szCs w:val="20"/>
              </w:rPr>
              <w:t>KA</w:t>
            </w:r>
          </w:p>
        </w:tc>
        <w:tc>
          <w:tcPr>
            <w:tcW w:w="844" w:type="dxa"/>
            <w:shd w:val="clear" w:color="auto" w:fill="auto"/>
            <w:vAlign w:val="center"/>
          </w:tcPr>
          <w:p w14:paraId="6D7B20AC" w14:textId="77777777" w:rsidR="00370568" w:rsidRPr="00D66514" w:rsidRDefault="00370568" w:rsidP="00E00C59">
            <w:pPr>
              <w:pStyle w:val="NoSpacing"/>
              <w:jc w:val="center"/>
              <w:rPr>
                <w:sz w:val="20"/>
                <w:szCs w:val="20"/>
              </w:rPr>
            </w:pPr>
            <w:r w:rsidRPr="00D66514">
              <w:rPr>
                <w:sz w:val="20"/>
                <w:szCs w:val="20"/>
              </w:rPr>
              <w:t>753</w:t>
            </w:r>
          </w:p>
        </w:tc>
        <w:tc>
          <w:tcPr>
            <w:tcW w:w="951" w:type="dxa"/>
            <w:vAlign w:val="center"/>
          </w:tcPr>
          <w:p w14:paraId="27A166B0" w14:textId="77777777" w:rsidR="00370568" w:rsidRPr="00D66514" w:rsidRDefault="00370568" w:rsidP="00E00C59">
            <w:pPr>
              <w:pStyle w:val="NoSpacing"/>
              <w:jc w:val="center"/>
              <w:rPr>
                <w:sz w:val="20"/>
                <w:szCs w:val="20"/>
              </w:rPr>
            </w:pPr>
            <w:r w:rsidRPr="00D66514">
              <w:rPr>
                <w:sz w:val="20"/>
                <w:szCs w:val="20"/>
              </w:rPr>
              <w:t>145</w:t>
            </w:r>
          </w:p>
        </w:tc>
        <w:tc>
          <w:tcPr>
            <w:tcW w:w="1079" w:type="dxa"/>
            <w:vAlign w:val="center"/>
          </w:tcPr>
          <w:p w14:paraId="75ED3FAE" w14:textId="77777777" w:rsidR="00370568" w:rsidRPr="00D66514" w:rsidRDefault="00370568" w:rsidP="00E00C59">
            <w:pPr>
              <w:pStyle w:val="NoSpacing"/>
              <w:jc w:val="center"/>
              <w:rPr>
                <w:sz w:val="20"/>
                <w:szCs w:val="20"/>
              </w:rPr>
            </w:pPr>
            <w:r w:rsidRPr="00D66514">
              <w:rPr>
                <w:sz w:val="20"/>
                <w:szCs w:val="20"/>
              </w:rPr>
              <w:t>283</w:t>
            </w:r>
          </w:p>
        </w:tc>
        <w:tc>
          <w:tcPr>
            <w:tcW w:w="1101" w:type="dxa"/>
            <w:shd w:val="clear" w:color="auto" w:fill="auto"/>
            <w:vAlign w:val="center"/>
          </w:tcPr>
          <w:p w14:paraId="29B0FCEF" w14:textId="77777777" w:rsidR="00370568" w:rsidRPr="00D66514" w:rsidRDefault="00370568" w:rsidP="00E00C59">
            <w:pPr>
              <w:pStyle w:val="NoSpacing"/>
              <w:jc w:val="center"/>
              <w:rPr>
                <w:sz w:val="20"/>
                <w:szCs w:val="20"/>
              </w:rPr>
            </w:pPr>
            <w:r w:rsidRPr="00D66514">
              <w:rPr>
                <w:sz w:val="20"/>
                <w:szCs w:val="20"/>
              </w:rPr>
              <w:t>0.57</w:t>
            </w:r>
          </w:p>
        </w:tc>
        <w:tc>
          <w:tcPr>
            <w:tcW w:w="0" w:type="auto"/>
            <w:vAlign w:val="center"/>
          </w:tcPr>
          <w:p w14:paraId="05E42715" w14:textId="77777777" w:rsidR="00370568" w:rsidRPr="00D66514" w:rsidRDefault="00370568" w:rsidP="00E00C59">
            <w:pPr>
              <w:pStyle w:val="NoSpacing"/>
              <w:jc w:val="center"/>
              <w:rPr>
                <w:sz w:val="20"/>
                <w:szCs w:val="20"/>
              </w:rPr>
            </w:pPr>
            <w:r w:rsidRPr="00D66514">
              <w:rPr>
                <w:sz w:val="20"/>
                <w:szCs w:val="20"/>
              </w:rPr>
              <w:t>0.115</w:t>
            </w:r>
          </w:p>
        </w:tc>
        <w:tc>
          <w:tcPr>
            <w:tcW w:w="0" w:type="auto"/>
            <w:vAlign w:val="center"/>
          </w:tcPr>
          <w:p w14:paraId="1CBC0455" w14:textId="77777777" w:rsidR="00370568" w:rsidRPr="00D66514" w:rsidRDefault="00370568" w:rsidP="00E00C59">
            <w:pPr>
              <w:pStyle w:val="NoSpacing"/>
              <w:jc w:val="center"/>
              <w:rPr>
                <w:sz w:val="20"/>
                <w:szCs w:val="20"/>
              </w:rPr>
            </w:pPr>
            <w:r w:rsidRPr="00D66514">
              <w:rPr>
                <w:sz w:val="20"/>
                <w:szCs w:val="20"/>
              </w:rPr>
              <w:t>0.21</w:t>
            </w:r>
          </w:p>
        </w:tc>
        <w:tc>
          <w:tcPr>
            <w:tcW w:w="0" w:type="auto"/>
            <w:shd w:val="clear" w:color="auto" w:fill="auto"/>
            <w:vAlign w:val="center"/>
          </w:tcPr>
          <w:p w14:paraId="73FEF117" w14:textId="77777777" w:rsidR="00370568" w:rsidRPr="00D66514" w:rsidRDefault="00370568" w:rsidP="00E00C59">
            <w:pPr>
              <w:pStyle w:val="NoSpacing"/>
              <w:jc w:val="center"/>
              <w:rPr>
                <w:sz w:val="20"/>
                <w:szCs w:val="20"/>
              </w:rPr>
            </w:pPr>
            <w:r w:rsidRPr="00D66514">
              <w:rPr>
                <w:sz w:val="20"/>
                <w:szCs w:val="20"/>
              </w:rPr>
              <w:t>1.146</w:t>
            </w:r>
          </w:p>
        </w:tc>
        <w:tc>
          <w:tcPr>
            <w:tcW w:w="0" w:type="auto"/>
            <w:vAlign w:val="center"/>
          </w:tcPr>
          <w:p w14:paraId="1673F2BF" w14:textId="77777777" w:rsidR="00370568" w:rsidRPr="00D66514" w:rsidRDefault="00370568" w:rsidP="00E00C59">
            <w:pPr>
              <w:pStyle w:val="NoSpacing"/>
              <w:jc w:val="center"/>
              <w:rPr>
                <w:sz w:val="20"/>
                <w:szCs w:val="20"/>
              </w:rPr>
            </w:pPr>
            <w:r w:rsidRPr="00D66514">
              <w:rPr>
                <w:sz w:val="20"/>
                <w:szCs w:val="20"/>
              </w:rPr>
              <w:t>0.382</w:t>
            </w:r>
          </w:p>
        </w:tc>
        <w:tc>
          <w:tcPr>
            <w:tcW w:w="0" w:type="auto"/>
            <w:vAlign w:val="center"/>
          </w:tcPr>
          <w:p w14:paraId="793458BC" w14:textId="77777777" w:rsidR="00370568" w:rsidRPr="00D66514" w:rsidRDefault="00370568" w:rsidP="00E00C59">
            <w:pPr>
              <w:pStyle w:val="NoSpacing"/>
              <w:jc w:val="center"/>
              <w:rPr>
                <w:sz w:val="20"/>
                <w:szCs w:val="20"/>
              </w:rPr>
            </w:pPr>
            <w:r w:rsidRPr="00D66514">
              <w:rPr>
                <w:sz w:val="20"/>
                <w:szCs w:val="20"/>
              </w:rPr>
              <w:t>0.54</w:t>
            </w:r>
          </w:p>
        </w:tc>
        <w:tc>
          <w:tcPr>
            <w:tcW w:w="0" w:type="auto"/>
            <w:shd w:val="clear" w:color="auto" w:fill="auto"/>
            <w:vAlign w:val="center"/>
          </w:tcPr>
          <w:p w14:paraId="683D0BD8" w14:textId="77777777" w:rsidR="00370568" w:rsidRPr="00D66514" w:rsidRDefault="00370568" w:rsidP="00E00C59">
            <w:pPr>
              <w:pStyle w:val="NoSpacing"/>
              <w:jc w:val="center"/>
              <w:rPr>
                <w:sz w:val="20"/>
                <w:szCs w:val="20"/>
              </w:rPr>
            </w:pPr>
            <w:r w:rsidRPr="00D66514">
              <w:rPr>
                <w:sz w:val="20"/>
                <w:szCs w:val="20"/>
              </w:rPr>
              <w:t>3.58</w:t>
            </w:r>
          </w:p>
        </w:tc>
        <w:tc>
          <w:tcPr>
            <w:tcW w:w="0" w:type="auto"/>
            <w:vAlign w:val="center"/>
          </w:tcPr>
          <w:p w14:paraId="08FC5EE0" w14:textId="77777777" w:rsidR="00370568" w:rsidRPr="00D66514" w:rsidRDefault="00370568" w:rsidP="00E00C59">
            <w:pPr>
              <w:pStyle w:val="NoSpacing"/>
              <w:jc w:val="center"/>
              <w:rPr>
                <w:sz w:val="20"/>
                <w:szCs w:val="20"/>
              </w:rPr>
            </w:pPr>
            <w:r w:rsidRPr="00D66514">
              <w:rPr>
                <w:sz w:val="20"/>
                <w:szCs w:val="20"/>
              </w:rPr>
              <w:t>1.87</w:t>
            </w:r>
          </w:p>
        </w:tc>
        <w:tc>
          <w:tcPr>
            <w:tcW w:w="0" w:type="auto"/>
            <w:vAlign w:val="center"/>
          </w:tcPr>
          <w:p w14:paraId="54D05F16" w14:textId="77777777" w:rsidR="00370568" w:rsidRPr="00D66514" w:rsidRDefault="00370568" w:rsidP="00E00C59">
            <w:pPr>
              <w:pStyle w:val="NoSpacing"/>
              <w:jc w:val="center"/>
              <w:rPr>
                <w:sz w:val="20"/>
                <w:szCs w:val="20"/>
              </w:rPr>
            </w:pPr>
            <w:r w:rsidRPr="00D66514">
              <w:rPr>
                <w:sz w:val="20"/>
                <w:szCs w:val="20"/>
              </w:rPr>
              <w:t>2.98</w:t>
            </w:r>
          </w:p>
        </w:tc>
      </w:tr>
      <w:tr w:rsidR="00370568" w:rsidRPr="00D66514" w14:paraId="4A9383AE" w14:textId="77777777" w:rsidTr="00830ABC">
        <w:tc>
          <w:tcPr>
            <w:tcW w:w="1205" w:type="dxa"/>
            <w:shd w:val="clear" w:color="auto" w:fill="auto"/>
            <w:vAlign w:val="center"/>
          </w:tcPr>
          <w:p w14:paraId="25D27335" w14:textId="77777777" w:rsidR="00370568" w:rsidRPr="00D66514" w:rsidRDefault="00370568" w:rsidP="00E00C59">
            <w:pPr>
              <w:pStyle w:val="NoSpacing"/>
              <w:jc w:val="center"/>
              <w:rPr>
                <w:b/>
                <w:sz w:val="20"/>
                <w:szCs w:val="20"/>
              </w:rPr>
            </w:pPr>
            <w:r w:rsidRPr="00D66514">
              <w:rPr>
                <w:b/>
                <w:sz w:val="20"/>
                <w:szCs w:val="20"/>
              </w:rPr>
              <w:t>SV</w:t>
            </w:r>
          </w:p>
        </w:tc>
        <w:tc>
          <w:tcPr>
            <w:tcW w:w="844" w:type="dxa"/>
            <w:shd w:val="clear" w:color="auto" w:fill="auto"/>
            <w:vAlign w:val="center"/>
          </w:tcPr>
          <w:p w14:paraId="159A7207" w14:textId="77777777" w:rsidR="00370568" w:rsidRPr="00D66514" w:rsidRDefault="00370568" w:rsidP="00E00C59">
            <w:pPr>
              <w:pStyle w:val="NoSpacing"/>
              <w:jc w:val="center"/>
              <w:rPr>
                <w:sz w:val="20"/>
                <w:szCs w:val="20"/>
              </w:rPr>
            </w:pPr>
            <w:r w:rsidRPr="00D66514">
              <w:rPr>
                <w:sz w:val="20"/>
                <w:szCs w:val="20"/>
              </w:rPr>
              <w:t>1,929</w:t>
            </w:r>
          </w:p>
        </w:tc>
        <w:tc>
          <w:tcPr>
            <w:tcW w:w="951" w:type="dxa"/>
            <w:vAlign w:val="center"/>
          </w:tcPr>
          <w:p w14:paraId="61152BBE" w14:textId="77777777" w:rsidR="00370568" w:rsidRPr="00D66514" w:rsidRDefault="00370568" w:rsidP="00E00C59">
            <w:pPr>
              <w:pStyle w:val="NoSpacing"/>
              <w:jc w:val="center"/>
              <w:rPr>
                <w:sz w:val="20"/>
                <w:szCs w:val="20"/>
              </w:rPr>
            </w:pPr>
            <w:r w:rsidRPr="00D66514">
              <w:rPr>
                <w:sz w:val="20"/>
                <w:szCs w:val="20"/>
              </w:rPr>
              <w:t>1,362</w:t>
            </w:r>
          </w:p>
        </w:tc>
        <w:tc>
          <w:tcPr>
            <w:tcW w:w="1079" w:type="dxa"/>
            <w:vAlign w:val="center"/>
          </w:tcPr>
          <w:p w14:paraId="043BF085" w14:textId="77777777" w:rsidR="00370568" w:rsidRPr="00D66514" w:rsidRDefault="00370568" w:rsidP="00E00C59">
            <w:pPr>
              <w:pStyle w:val="NoSpacing"/>
              <w:jc w:val="center"/>
              <w:rPr>
                <w:sz w:val="20"/>
                <w:szCs w:val="20"/>
              </w:rPr>
            </w:pPr>
            <w:r w:rsidRPr="00D66514">
              <w:rPr>
                <w:sz w:val="20"/>
                <w:szCs w:val="20"/>
              </w:rPr>
              <w:t>2,170</w:t>
            </w:r>
          </w:p>
        </w:tc>
        <w:tc>
          <w:tcPr>
            <w:tcW w:w="1101" w:type="dxa"/>
            <w:shd w:val="clear" w:color="auto" w:fill="auto"/>
            <w:vAlign w:val="center"/>
          </w:tcPr>
          <w:p w14:paraId="0A86BF4A" w14:textId="77777777" w:rsidR="00370568" w:rsidRPr="00D66514" w:rsidRDefault="00370568" w:rsidP="00E00C59">
            <w:pPr>
              <w:pStyle w:val="NoSpacing"/>
              <w:jc w:val="center"/>
              <w:rPr>
                <w:sz w:val="20"/>
                <w:szCs w:val="20"/>
              </w:rPr>
            </w:pPr>
            <w:r w:rsidRPr="00D66514">
              <w:rPr>
                <w:sz w:val="20"/>
                <w:szCs w:val="20"/>
              </w:rPr>
              <w:t>1.461</w:t>
            </w:r>
          </w:p>
        </w:tc>
        <w:tc>
          <w:tcPr>
            <w:tcW w:w="0" w:type="auto"/>
            <w:vAlign w:val="center"/>
          </w:tcPr>
          <w:p w14:paraId="6E652A5C" w14:textId="77777777" w:rsidR="00370568" w:rsidRPr="00D66514" w:rsidRDefault="00370568" w:rsidP="00E00C59">
            <w:pPr>
              <w:pStyle w:val="NoSpacing"/>
              <w:jc w:val="center"/>
              <w:rPr>
                <w:sz w:val="20"/>
                <w:szCs w:val="20"/>
              </w:rPr>
            </w:pPr>
            <w:r w:rsidRPr="00D66514">
              <w:rPr>
                <w:sz w:val="20"/>
                <w:szCs w:val="20"/>
              </w:rPr>
              <w:t>1.08</w:t>
            </w:r>
          </w:p>
        </w:tc>
        <w:tc>
          <w:tcPr>
            <w:tcW w:w="0" w:type="auto"/>
            <w:vAlign w:val="center"/>
          </w:tcPr>
          <w:p w14:paraId="3A16F944" w14:textId="77777777" w:rsidR="00370568" w:rsidRPr="00D66514" w:rsidRDefault="00370568" w:rsidP="00E00C59">
            <w:pPr>
              <w:pStyle w:val="NoSpacing"/>
              <w:jc w:val="center"/>
              <w:rPr>
                <w:sz w:val="20"/>
                <w:szCs w:val="20"/>
              </w:rPr>
            </w:pPr>
            <w:r w:rsidRPr="00D66514">
              <w:rPr>
                <w:sz w:val="20"/>
                <w:szCs w:val="20"/>
              </w:rPr>
              <w:t>1.609</w:t>
            </w:r>
          </w:p>
        </w:tc>
        <w:tc>
          <w:tcPr>
            <w:tcW w:w="0" w:type="auto"/>
            <w:shd w:val="clear" w:color="auto" w:fill="auto"/>
            <w:vAlign w:val="center"/>
          </w:tcPr>
          <w:p w14:paraId="1E658AA2" w14:textId="77777777" w:rsidR="00370568" w:rsidRPr="00D66514" w:rsidRDefault="00370568" w:rsidP="00E00C59">
            <w:pPr>
              <w:pStyle w:val="NoSpacing"/>
              <w:jc w:val="center"/>
              <w:rPr>
                <w:sz w:val="20"/>
                <w:szCs w:val="20"/>
              </w:rPr>
            </w:pPr>
            <w:r w:rsidRPr="00D66514">
              <w:rPr>
                <w:sz w:val="20"/>
                <w:szCs w:val="20"/>
              </w:rPr>
              <w:t>2.364</w:t>
            </w:r>
          </w:p>
        </w:tc>
        <w:tc>
          <w:tcPr>
            <w:tcW w:w="0" w:type="auto"/>
            <w:vAlign w:val="center"/>
          </w:tcPr>
          <w:p w14:paraId="38843607" w14:textId="77777777" w:rsidR="00370568" w:rsidRPr="00D66514" w:rsidRDefault="00370568" w:rsidP="00E00C59">
            <w:pPr>
              <w:pStyle w:val="NoSpacing"/>
              <w:jc w:val="center"/>
              <w:rPr>
                <w:sz w:val="20"/>
                <w:szCs w:val="20"/>
              </w:rPr>
            </w:pPr>
            <w:r w:rsidRPr="00D66514">
              <w:rPr>
                <w:sz w:val="20"/>
                <w:szCs w:val="20"/>
              </w:rPr>
              <w:t>2.094</w:t>
            </w:r>
          </w:p>
        </w:tc>
        <w:tc>
          <w:tcPr>
            <w:tcW w:w="0" w:type="auto"/>
            <w:vAlign w:val="center"/>
          </w:tcPr>
          <w:p w14:paraId="431987D4" w14:textId="77777777" w:rsidR="00370568" w:rsidRPr="00D66514" w:rsidRDefault="00370568" w:rsidP="00E00C59">
            <w:pPr>
              <w:pStyle w:val="NoSpacing"/>
              <w:jc w:val="center"/>
              <w:rPr>
                <w:sz w:val="20"/>
                <w:szCs w:val="20"/>
              </w:rPr>
            </w:pPr>
            <w:r w:rsidRPr="00D66514">
              <w:rPr>
                <w:sz w:val="20"/>
                <w:szCs w:val="20"/>
              </w:rPr>
              <w:t>3.273</w:t>
            </w:r>
          </w:p>
        </w:tc>
        <w:tc>
          <w:tcPr>
            <w:tcW w:w="0" w:type="auto"/>
            <w:shd w:val="clear" w:color="auto" w:fill="auto"/>
            <w:vAlign w:val="center"/>
          </w:tcPr>
          <w:p w14:paraId="457CAF53" w14:textId="77777777" w:rsidR="00370568" w:rsidRPr="00D66514" w:rsidRDefault="00370568" w:rsidP="00E00C59">
            <w:pPr>
              <w:pStyle w:val="NoSpacing"/>
              <w:jc w:val="center"/>
              <w:rPr>
                <w:sz w:val="20"/>
                <w:szCs w:val="20"/>
              </w:rPr>
            </w:pPr>
            <w:r w:rsidRPr="00D66514">
              <w:rPr>
                <w:sz w:val="20"/>
                <w:szCs w:val="20"/>
              </w:rPr>
              <w:t>9.18</w:t>
            </w:r>
          </w:p>
        </w:tc>
        <w:tc>
          <w:tcPr>
            <w:tcW w:w="0" w:type="auto"/>
            <w:vAlign w:val="center"/>
          </w:tcPr>
          <w:p w14:paraId="5B5EDECA" w14:textId="77777777" w:rsidR="00370568" w:rsidRPr="00D66514" w:rsidRDefault="00370568" w:rsidP="00E00C59">
            <w:pPr>
              <w:pStyle w:val="NoSpacing"/>
              <w:jc w:val="center"/>
              <w:rPr>
                <w:sz w:val="20"/>
                <w:szCs w:val="20"/>
              </w:rPr>
            </w:pPr>
            <w:r w:rsidRPr="00D66514">
              <w:rPr>
                <w:sz w:val="20"/>
                <w:szCs w:val="20"/>
              </w:rPr>
              <w:t>17.55</w:t>
            </w:r>
          </w:p>
        </w:tc>
        <w:tc>
          <w:tcPr>
            <w:tcW w:w="0" w:type="auto"/>
            <w:vAlign w:val="center"/>
          </w:tcPr>
          <w:p w14:paraId="6195CAD7" w14:textId="77777777" w:rsidR="00370568" w:rsidRPr="00D66514" w:rsidRDefault="00370568" w:rsidP="00E00C59">
            <w:pPr>
              <w:pStyle w:val="NoSpacing"/>
              <w:jc w:val="center"/>
              <w:rPr>
                <w:sz w:val="20"/>
                <w:szCs w:val="20"/>
              </w:rPr>
            </w:pPr>
            <w:r w:rsidRPr="00D66514">
              <w:rPr>
                <w:sz w:val="20"/>
                <w:szCs w:val="20"/>
              </w:rPr>
              <w:t>22.86</w:t>
            </w:r>
          </w:p>
        </w:tc>
      </w:tr>
      <w:tr w:rsidR="00370568" w:rsidRPr="00D66514" w14:paraId="68D5EE5F" w14:textId="77777777" w:rsidTr="00830ABC">
        <w:tc>
          <w:tcPr>
            <w:tcW w:w="1205" w:type="dxa"/>
            <w:shd w:val="clear" w:color="auto" w:fill="auto"/>
            <w:vAlign w:val="center"/>
          </w:tcPr>
          <w:p w14:paraId="182F816E" w14:textId="77777777" w:rsidR="00370568" w:rsidRPr="00D66514" w:rsidRDefault="00370568" w:rsidP="00E00C59">
            <w:pPr>
              <w:pStyle w:val="NoSpacing"/>
              <w:jc w:val="center"/>
              <w:rPr>
                <w:b/>
                <w:sz w:val="20"/>
                <w:szCs w:val="20"/>
              </w:rPr>
            </w:pPr>
            <w:r w:rsidRPr="00D66514">
              <w:rPr>
                <w:b/>
                <w:sz w:val="20"/>
                <w:szCs w:val="20"/>
              </w:rPr>
              <w:t>MV</w:t>
            </w:r>
          </w:p>
        </w:tc>
        <w:tc>
          <w:tcPr>
            <w:tcW w:w="844" w:type="dxa"/>
            <w:shd w:val="clear" w:color="auto" w:fill="auto"/>
            <w:vAlign w:val="center"/>
          </w:tcPr>
          <w:p w14:paraId="71851CEB" w14:textId="77777777" w:rsidR="00370568" w:rsidRPr="00D66514" w:rsidRDefault="00370568" w:rsidP="00E00C59">
            <w:pPr>
              <w:pStyle w:val="NoSpacing"/>
              <w:jc w:val="center"/>
              <w:rPr>
                <w:sz w:val="20"/>
                <w:szCs w:val="20"/>
              </w:rPr>
            </w:pPr>
            <w:r w:rsidRPr="00D66514">
              <w:rPr>
                <w:sz w:val="20"/>
                <w:szCs w:val="20"/>
              </w:rPr>
              <w:t>8,099</w:t>
            </w:r>
          </w:p>
        </w:tc>
        <w:tc>
          <w:tcPr>
            <w:tcW w:w="951" w:type="dxa"/>
            <w:vAlign w:val="center"/>
          </w:tcPr>
          <w:p w14:paraId="1AB359E9" w14:textId="77777777" w:rsidR="00370568" w:rsidRPr="00D66514" w:rsidRDefault="00370568" w:rsidP="00E00C59">
            <w:pPr>
              <w:pStyle w:val="NoSpacing"/>
              <w:jc w:val="center"/>
              <w:rPr>
                <w:sz w:val="20"/>
                <w:szCs w:val="20"/>
              </w:rPr>
            </w:pPr>
            <w:r w:rsidRPr="00D66514">
              <w:rPr>
                <w:sz w:val="20"/>
                <w:szCs w:val="20"/>
              </w:rPr>
              <w:t>1,179</w:t>
            </w:r>
          </w:p>
        </w:tc>
        <w:tc>
          <w:tcPr>
            <w:tcW w:w="1079" w:type="dxa"/>
            <w:vAlign w:val="center"/>
          </w:tcPr>
          <w:p w14:paraId="6D8D00E8" w14:textId="77777777" w:rsidR="00370568" w:rsidRPr="00D66514" w:rsidRDefault="00370568" w:rsidP="00E00C59">
            <w:pPr>
              <w:pStyle w:val="NoSpacing"/>
              <w:jc w:val="center"/>
              <w:rPr>
                <w:sz w:val="20"/>
                <w:szCs w:val="20"/>
              </w:rPr>
            </w:pPr>
            <w:r w:rsidRPr="00D66514">
              <w:rPr>
                <w:sz w:val="20"/>
                <w:szCs w:val="20"/>
              </w:rPr>
              <w:t>2,950</w:t>
            </w:r>
          </w:p>
        </w:tc>
        <w:tc>
          <w:tcPr>
            <w:tcW w:w="1101" w:type="dxa"/>
            <w:shd w:val="clear" w:color="auto" w:fill="auto"/>
            <w:vAlign w:val="center"/>
          </w:tcPr>
          <w:p w14:paraId="5568A623" w14:textId="77777777" w:rsidR="00370568" w:rsidRPr="00D66514" w:rsidRDefault="00370568" w:rsidP="00E00C59">
            <w:pPr>
              <w:pStyle w:val="NoSpacing"/>
              <w:jc w:val="center"/>
              <w:rPr>
                <w:sz w:val="20"/>
                <w:szCs w:val="20"/>
              </w:rPr>
            </w:pPr>
            <w:r w:rsidRPr="00D66514">
              <w:rPr>
                <w:sz w:val="20"/>
                <w:szCs w:val="20"/>
              </w:rPr>
              <w:t>6.136</w:t>
            </w:r>
          </w:p>
        </w:tc>
        <w:tc>
          <w:tcPr>
            <w:tcW w:w="0" w:type="auto"/>
            <w:vAlign w:val="center"/>
          </w:tcPr>
          <w:p w14:paraId="2ABA6F3F" w14:textId="77777777" w:rsidR="00370568" w:rsidRPr="00D66514" w:rsidRDefault="00370568" w:rsidP="00E00C59">
            <w:pPr>
              <w:pStyle w:val="NoSpacing"/>
              <w:jc w:val="center"/>
              <w:rPr>
                <w:sz w:val="20"/>
                <w:szCs w:val="20"/>
              </w:rPr>
            </w:pPr>
            <w:r w:rsidRPr="00D66514">
              <w:rPr>
                <w:sz w:val="20"/>
                <w:szCs w:val="20"/>
              </w:rPr>
              <w:t>0.935</w:t>
            </w:r>
          </w:p>
        </w:tc>
        <w:tc>
          <w:tcPr>
            <w:tcW w:w="0" w:type="auto"/>
            <w:vAlign w:val="center"/>
          </w:tcPr>
          <w:p w14:paraId="4D4A9841" w14:textId="77777777" w:rsidR="00370568" w:rsidRPr="00D66514" w:rsidRDefault="00370568" w:rsidP="00E00C59">
            <w:pPr>
              <w:pStyle w:val="NoSpacing"/>
              <w:jc w:val="center"/>
              <w:rPr>
                <w:sz w:val="20"/>
                <w:szCs w:val="20"/>
              </w:rPr>
            </w:pPr>
            <w:r w:rsidRPr="00D66514">
              <w:rPr>
                <w:sz w:val="20"/>
                <w:szCs w:val="20"/>
              </w:rPr>
              <w:t>2.187</w:t>
            </w:r>
          </w:p>
        </w:tc>
        <w:tc>
          <w:tcPr>
            <w:tcW w:w="0" w:type="auto"/>
            <w:shd w:val="clear" w:color="auto" w:fill="auto"/>
            <w:vAlign w:val="center"/>
          </w:tcPr>
          <w:p w14:paraId="41BFE3AF" w14:textId="77777777" w:rsidR="00370568" w:rsidRPr="00D66514" w:rsidRDefault="00370568" w:rsidP="00E00C59">
            <w:pPr>
              <w:pStyle w:val="NoSpacing"/>
              <w:jc w:val="center"/>
              <w:rPr>
                <w:sz w:val="20"/>
                <w:szCs w:val="20"/>
              </w:rPr>
            </w:pPr>
            <w:r w:rsidRPr="00D66514">
              <w:rPr>
                <w:sz w:val="20"/>
                <w:szCs w:val="20"/>
              </w:rPr>
              <w:t>14.055</w:t>
            </w:r>
          </w:p>
        </w:tc>
        <w:tc>
          <w:tcPr>
            <w:tcW w:w="0" w:type="auto"/>
            <w:vAlign w:val="center"/>
          </w:tcPr>
          <w:p w14:paraId="798E83E4" w14:textId="77777777" w:rsidR="00370568" w:rsidRPr="00D66514" w:rsidRDefault="00370568" w:rsidP="00E00C59">
            <w:pPr>
              <w:pStyle w:val="NoSpacing"/>
              <w:jc w:val="center"/>
              <w:rPr>
                <w:sz w:val="20"/>
                <w:szCs w:val="20"/>
              </w:rPr>
            </w:pPr>
            <w:r w:rsidRPr="00D66514">
              <w:rPr>
                <w:sz w:val="20"/>
                <w:szCs w:val="20"/>
              </w:rPr>
              <w:t>2.605</w:t>
            </w:r>
          </w:p>
        </w:tc>
        <w:tc>
          <w:tcPr>
            <w:tcW w:w="0" w:type="auto"/>
            <w:vAlign w:val="center"/>
          </w:tcPr>
          <w:p w14:paraId="6B66C16E" w14:textId="77777777" w:rsidR="00370568" w:rsidRPr="00D66514" w:rsidRDefault="00370568" w:rsidP="00E00C59">
            <w:pPr>
              <w:pStyle w:val="NoSpacing"/>
              <w:jc w:val="center"/>
              <w:rPr>
                <w:sz w:val="20"/>
                <w:szCs w:val="20"/>
              </w:rPr>
            </w:pPr>
            <w:r w:rsidRPr="00D66514">
              <w:rPr>
                <w:sz w:val="20"/>
                <w:szCs w:val="20"/>
              </w:rPr>
              <w:t>4.532</w:t>
            </w:r>
          </w:p>
        </w:tc>
        <w:tc>
          <w:tcPr>
            <w:tcW w:w="0" w:type="auto"/>
            <w:shd w:val="clear" w:color="auto" w:fill="auto"/>
            <w:vAlign w:val="center"/>
          </w:tcPr>
          <w:p w14:paraId="60177FB0" w14:textId="77777777" w:rsidR="00370568" w:rsidRPr="00D66514" w:rsidRDefault="00370568" w:rsidP="00E00C59">
            <w:pPr>
              <w:pStyle w:val="NoSpacing"/>
              <w:jc w:val="center"/>
              <w:rPr>
                <w:sz w:val="20"/>
                <w:szCs w:val="20"/>
              </w:rPr>
            </w:pPr>
            <w:r w:rsidRPr="00D66514">
              <w:rPr>
                <w:sz w:val="20"/>
                <w:szCs w:val="20"/>
              </w:rPr>
              <w:t>38.53</w:t>
            </w:r>
          </w:p>
        </w:tc>
        <w:tc>
          <w:tcPr>
            <w:tcW w:w="0" w:type="auto"/>
            <w:vAlign w:val="center"/>
          </w:tcPr>
          <w:p w14:paraId="008A5DFB" w14:textId="77777777" w:rsidR="00370568" w:rsidRPr="00D66514" w:rsidRDefault="00370568" w:rsidP="00E00C59">
            <w:pPr>
              <w:pStyle w:val="NoSpacing"/>
              <w:jc w:val="center"/>
              <w:rPr>
                <w:sz w:val="20"/>
                <w:szCs w:val="20"/>
              </w:rPr>
            </w:pPr>
            <w:r w:rsidRPr="00D66514">
              <w:rPr>
                <w:sz w:val="20"/>
                <w:szCs w:val="20"/>
              </w:rPr>
              <w:t>15.2</w:t>
            </w:r>
          </w:p>
        </w:tc>
        <w:tc>
          <w:tcPr>
            <w:tcW w:w="0" w:type="auto"/>
            <w:vAlign w:val="center"/>
          </w:tcPr>
          <w:p w14:paraId="57440DE5" w14:textId="77777777" w:rsidR="00370568" w:rsidRPr="00D66514" w:rsidRDefault="00370568" w:rsidP="00E00C59">
            <w:pPr>
              <w:pStyle w:val="NoSpacing"/>
              <w:jc w:val="center"/>
              <w:rPr>
                <w:sz w:val="20"/>
                <w:szCs w:val="20"/>
              </w:rPr>
            </w:pPr>
            <w:r w:rsidRPr="00D66514">
              <w:rPr>
                <w:sz w:val="20"/>
                <w:szCs w:val="20"/>
              </w:rPr>
              <w:t>31.07</w:t>
            </w:r>
          </w:p>
        </w:tc>
      </w:tr>
      <w:tr w:rsidR="00370568" w:rsidRPr="00D66514" w14:paraId="4CC36047" w14:textId="77777777" w:rsidTr="00830ABC">
        <w:tc>
          <w:tcPr>
            <w:tcW w:w="13210" w:type="dxa"/>
            <w:gridSpan w:val="13"/>
            <w:shd w:val="clear" w:color="auto" w:fill="auto"/>
            <w:vAlign w:val="center"/>
          </w:tcPr>
          <w:p w14:paraId="72269231" w14:textId="77777777" w:rsidR="00370568" w:rsidRPr="00D66514" w:rsidRDefault="00370568" w:rsidP="00E00C59">
            <w:pPr>
              <w:pStyle w:val="NoSpacing"/>
              <w:rPr>
                <w:sz w:val="20"/>
                <w:szCs w:val="20"/>
              </w:rPr>
            </w:pPr>
            <w:r w:rsidRPr="00D66514">
              <w:rPr>
                <w:sz w:val="20"/>
                <w:szCs w:val="20"/>
              </w:rPr>
              <w:t>Note: Number of segments in Florida, Ohio and California are 1,320, 1,261 and 1,349 respectively</w:t>
            </w:r>
          </w:p>
        </w:tc>
      </w:tr>
    </w:tbl>
    <w:p w14:paraId="7E517502" w14:textId="77777777" w:rsidR="00370568" w:rsidRPr="00D66514" w:rsidRDefault="00370568" w:rsidP="00370568"/>
    <w:p w14:paraId="4CE9ACFA" w14:textId="77777777" w:rsidR="0008279C" w:rsidRPr="00D66514" w:rsidRDefault="0008279C" w:rsidP="0073473D">
      <w:pPr>
        <w:spacing w:line="240" w:lineRule="auto"/>
        <w:contextualSpacing/>
      </w:pPr>
    </w:p>
    <w:p w14:paraId="2CA21A59" w14:textId="77777777" w:rsidR="00370568" w:rsidRPr="00D66514" w:rsidRDefault="00370568" w:rsidP="0073473D">
      <w:pPr>
        <w:spacing w:line="240" w:lineRule="auto"/>
        <w:contextualSpacing/>
      </w:pPr>
    </w:p>
    <w:p w14:paraId="6860F70B" w14:textId="77777777" w:rsidR="00370568" w:rsidRPr="00D66514" w:rsidRDefault="00370568" w:rsidP="0073473D">
      <w:pPr>
        <w:spacing w:line="240" w:lineRule="auto"/>
        <w:contextualSpacing/>
        <w:sectPr w:rsidR="00370568" w:rsidRPr="00D66514" w:rsidSect="007D4EBE">
          <w:headerReference w:type="default" r:id="rId12"/>
          <w:type w:val="continuous"/>
          <w:pgSz w:w="15840" w:h="12240" w:orient="landscape"/>
          <w:pgMar w:top="1440" w:right="1440" w:bottom="1440" w:left="1440" w:header="709" w:footer="709" w:gutter="0"/>
          <w:cols w:space="708"/>
          <w:docGrid w:linePitch="360"/>
        </w:sectPr>
      </w:pPr>
    </w:p>
    <w:p w14:paraId="10A28A50" w14:textId="68670403" w:rsidR="00856522" w:rsidRPr="00D66514" w:rsidRDefault="00D47FEF" w:rsidP="0010257F">
      <w:r w:rsidRPr="00D66514">
        <w:lastRenderedPageBreak/>
        <w:t>As shown in</w:t>
      </w:r>
      <w:r w:rsidR="000430F8" w:rsidRPr="00D66514">
        <w:t xml:space="preserve"> Table 1</w:t>
      </w:r>
      <w:r w:rsidRPr="00D66514">
        <w:t>, the</w:t>
      </w:r>
      <w:r w:rsidR="004408F6" w:rsidRPr="00D66514">
        <w:t xml:space="preserve"> standard deviations of the shoulders in all three states are </w:t>
      </w:r>
      <w:r w:rsidR="007F3818" w:rsidRPr="00D66514">
        <w:t>similar</w:t>
      </w:r>
      <w:r w:rsidR="004408F6" w:rsidRPr="00D66514">
        <w:t xml:space="preserve">. Therefore, the </w:t>
      </w:r>
      <w:r w:rsidR="007F3818" w:rsidRPr="00D66514">
        <w:t xml:space="preserve">variability in </w:t>
      </w:r>
      <w:r w:rsidR="004408F6" w:rsidRPr="00D66514">
        <w:t>shoulder width</w:t>
      </w:r>
      <w:r w:rsidR="007F3818" w:rsidRPr="00D66514">
        <w:t>s</w:t>
      </w:r>
      <w:r w:rsidR="004408F6" w:rsidRPr="00D66514">
        <w:t xml:space="preserve"> in each state is comparable. T</w:t>
      </w:r>
      <w:r w:rsidR="007D146C" w:rsidRPr="00D66514">
        <w:t xml:space="preserve">he state of </w:t>
      </w:r>
      <w:r w:rsidR="00375C39" w:rsidRPr="00D66514">
        <w:t>Florida</w:t>
      </w:r>
      <w:r w:rsidR="007D146C" w:rsidRPr="00D66514">
        <w:t xml:space="preserve"> has the </w:t>
      </w:r>
      <w:r w:rsidR="007F3818" w:rsidRPr="00D66514">
        <w:t xml:space="preserve">narrowest </w:t>
      </w:r>
      <w:r w:rsidR="007D146C" w:rsidRPr="00D66514">
        <w:t>average shoulder width, followed by</w:t>
      </w:r>
      <w:r w:rsidR="00375C39" w:rsidRPr="00D66514">
        <w:t xml:space="preserve"> Ohio</w:t>
      </w:r>
      <w:r w:rsidR="007F3818" w:rsidRPr="00D66514">
        <w:t>’s</w:t>
      </w:r>
      <w:r w:rsidR="00375C39" w:rsidRPr="00D66514">
        <w:t xml:space="preserve"> </w:t>
      </w:r>
      <w:r w:rsidR="007D146C" w:rsidRPr="00D66514">
        <w:t>followed by</w:t>
      </w:r>
      <w:r w:rsidR="00344AAD" w:rsidRPr="00D66514">
        <w:t xml:space="preserve"> California</w:t>
      </w:r>
      <w:r w:rsidR="007F3818" w:rsidRPr="00D66514">
        <w:t>’s</w:t>
      </w:r>
      <w:r w:rsidR="00344AAD" w:rsidRPr="00D66514">
        <w:t>.</w:t>
      </w:r>
      <w:r w:rsidR="007D146C" w:rsidRPr="00D66514">
        <w:t xml:space="preserve"> That is a factor </w:t>
      </w:r>
      <w:r w:rsidR="0010257F" w:rsidRPr="00D66514">
        <w:t xml:space="preserve">which </w:t>
      </w:r>
      <w:r w:rsidR="007D146C" w:rsidRPr="00D66514">
        <w:t>may inhibit SPF transferability among states. Also, the standard deviation of the median width</w:t>
      </w:r>
      <w:r w:rsidR="007F3818" w:rsidRPr="00D66514">
        <w:t>s</w:t>
      </w:r>
      <w:r w:rsidR="007D146C" w:rsidRPr="00D66514">
        <w:t xml:space="preserve"> in each state is large</w:t>
      </w:r>
      <w:r w:rsidR="00537AD5" w:rsidRPr="00D66514">
        <w:t>,</w:t>
      </w:r>
      <w:r w:rsidR="007F3818" w:rsidRPr="00D66514">
        <w:t xml:space="preserve"> especially that of California,</w:t>
      </w:r>
      <w:r w:rsidR="008360D1" w:rsidRPr="00D66514">
        <w:t xml:space="preserve"> an indication that median widths vary considerably within states. The differences in median widths may also impede transferability of SPFs.</w:t>
      </w:r>
      <w:r w:rsidR="004408F6" w:rsidRPr="00D66514">
        <w:t xml:space="preserve"> </w:t>
      </w:r>
      <w:r w:rsidR="001A31AE" w:rsidRPr="00D66514">
        <w:t>When it comes to crash rates</w:t>
      </w:r>
      <w:r w:rsidR="00B315DB" w:rsidRPr="00D66514">
        <w:t>,</w:t>
      </w:r>
      <w:r w:rsidR="00375C39" w:rsidRPr="00D66514">
        <w:t xml:space="preserve"> Ohio </w:t>
      </w:r>
      <w:r w:rsidR="00B315DB" w:rsidRPr="00D66514">
        <w:t xml:space="preserve">experiences </w:t>
      </w:r>
      <w:r w:rsidR="004B1F28" w:rsidRPr="00D66514">
        <w:t>the least</w:t>
      </w:r>
      <w:r w:rsidR="00B315DB" w:rsidRPr="00D66514">
        <w:t xml:space="preserve"> KABCO, </w:t>
      </w:r>
      <w:r w:rsidR="004B1F28" w:rsidRPr="00D66514">
        <w:t>KABC, KAB, KA and MV</w:t>
      </w:r>
      <w:r w:rsidR="00B315DB" w:rsidRPr="00D66514">
        <w:t xml:space="preserve"> </w:t>
      </w:r>
      <w:r w:rsidR="004B1F28" w:rsidRPr="00D66514">
        <w:t xml:space="preserve">crashes per </w:t>
      </w:r>
      <w:r w:rsidR="007F3818" w:rsidRPr="00D66514">
        <w:t xml:space="preserve">hundred million VMT </w:t>
      </w:r>
      <w:r w:rsidR="005C26B4" w:rsidRPr="00D66514">
        <w:t>per year</w:t>
      </w:r>
      <w:r w:rsidR="00E70528" w:rsidRPr="00D66514">
        <w:t>.</w:t>
      </w:r>
      <w:r w:rsidR="004B1F28" w:rsidRPr="00D66514">
        <w:t xml:space="preserve"> On the other hand, those of</w:t>
      </w:r>
      <w:r w:rsidR="00375C39" w:rsidRPr="00D66514">
        <w:t xml:space="preserve"> Florida </w:t>
      </w:r>
      <w:r w:rsidR="004B1F28" w:rsidRPr="00D66514">
        <w:t>and</w:t>
      </w:r>
      <w:r w:rsidR="00375C39" w:rsidRPr="00D66514">
        <w:t xml:space="preserve"> California </w:t>
      </w:r>
      <w:r w:rsidR="004B1F28" w:rsidRPr="00D66514">
        <w:t>are considerably higher. It should be noted that the crash rates of</w:t>
      </w:r>
      <w:r w:rsidR="00375C39" w:rsidRPr="00D66514">
        <w:t xml:space="preserve"> Florida </w:t>
      </w:r>
      <w:r w:rsidR="004B1F28" w:rsidRPr="00D66514">
        <w:t>and C</w:t>
      </w:r>
      <w:r w:rsidR="00375C39" w:rsidRPr="00D66514">
        <w:t>alifornia</w:t>
      </w:r>
      <w:r w:rsidR="00E47C0E" w:rsidRPr="00D66514">
        <w:t xml:space="preserve"> are </w:t>
      </w:r>
      <w:r w:rsidR="007F3818" w:rsidRPr="00D66514">
        <w:t>similar</w:t>
      </w:r>
      <w:r w:rsidR="004B1F28" w:rsidRPr="00D66514">
        <w:t>.</w:t>
      </w:r>
      <w:r w:rsidR="00E47C0E" w:rsidRPr="00D66514">
        <w:t xml:space="preserve"> That is specifically for KABCO, KABC, KAB and KA crashes.</w:t>
      </w:r>
      <w:r w:rsidR="004B1F28" w:rsidRPr="00D66514">
        <w:t xml:space="preserve"> However,</w:t>
      </w:r>
      <w:r w:rsidR="00375C39" w:rsidRPr="00D66514">
        <w:t xml:space="preserve"> Florida </w:t>
      </w:r>
      <w:r w:rsidR="004B1F28" w:rsidRPr="00D66514">
        <w:t xml:space="preserve">experiences the least SV crashes per </w:t>
      </w:r>
      <w:r w:rsidR="007F3818" w:rsidRPr="00D66514">
        <w:t xml:space="preserve">hundred million </w:t>
      </w:r>
      <w:r w:rsidR="004B1F28" w:rsidRPr="00D66514">
        <w:t xml:space="preserve">VMT </w:t>
      </w:r>
      <w:r w:rsidR="005C26B4" w:rsidRPr="00D66514">
        <w:t xml:space="preserve">per year </w:t>
      </w:r>
      <w:r w:rsidR="004B1F28" w:rsidRPr="00D66514">
        <w:t>followed by</w:t>
      </w:r>
      <w:r w:rsidR="00375C39" w:rsidRPr="00D66514">
        <w:t xml:space="preserve"> Ohio </w:t>
      </w:r>
      <w:r w:rsidR="004076A9" w:rsidRPr="00D66514">
        <w:t>and</w:t>
      </w:r>
      <w:r w:rsidR="00344AAD" w:rsidRPr="00D66514">
        <w:t xml:space="preserve"> California.</w:t>
      </w:r>
    </w:p>
    <w:p w14:paraId="7649DF7F" w14:textId="77777777" w:rsidR="00193361" w:rsidRPr="00D66514" w:rsidRDefault="00193361">
      <w:r w:rsidRPr="00D66514">
        <w:t>The data prepared reflect the average conditions of the divided segments. That is, the segments do not necessarily satisfy any specified conditions. The HSM’s defined base conditions rural divided multilane highway segments are:</w:t>
      </w:r>
    </w:p>
    <w:p w14:paraId="41164192" w14:textId="77777777" w:rsidR="00193361" w:rsidRPr="00D66514" w:rsidRDefault="00193361" w:rsidP="00464934">
      <w:pPr>
        <w:pStyle w:val="ListParagraph"/>
        <w:numPr>
          <w:ilvl w:val="0"/>
          <w:numId w:val="8"/>
        </w:numPr>
      </w:pPr>
      <w:r w:rsidRPr="00D66514">
        <w:t>Lane width = 12 ft</w:t>
      </w:r>
    </w:p>
    <w:p w14:paraId="04E2A091" w14:textId="77777777" w:rsidR="00193361" w:rsidRPr="00D66514" w:rsidRDefault="00193361" w:rsidP="00464934">
      <w:pPr>
        <w:pStyle w:val="ListParagraph"/>
        <w:numPr>
          <w:ilvl w:val="0"/>
          <w:numId w:val="8"/>
        </w:numPr>
      </w:pPr>
      <w:r w:rsidRPr="00D66514">
        <w:t>Shoulder width = 8 ft</w:t>
      </w:r>
    </w:p>
    <w:p w14:paraId="4DC11C67" w14:textId="638838B1" w:rsidR="00193361" w:rsidRPr="00D66514" w:rsidRDefault="00193361" w:rsidP="00464934">
      <w:pPr>
        <w:pStyle w:val="ListParagraph"/>
        <w:numPr>
          <w:ilvl w:val="0"/>
          <w:numId w:val="8"/>
        </w:numPr>
      </w:pPr>
      <w:r w:rsidRPr="00D66514">
        <w:t>Median width = 30 ft</w:t>
      </w:r>
    </w:p>
    <w:p w14:paraId="680E0176" w14:textId="09BD4895" w:rsidR="00193361" w:rsidRPr="00D66514" w:rsidRDefault="00193361" w:rsidP="00464934">
      <w:pPr>
        <w:pStyle w:val="ListParagraph"/>
        <w:numPr>
          <w:ilvl w:val="0"/>
          <w:numId w:val="8"/>
        </w:numPr>
      </w:pPr>
      <w:r w:rsidRPr="00D66514">
        <w:t>Paved shoulders</w:t>
      </w:r>
    </w:p>
    <w:p w14:paraId="715FBC2A" w14:textId="77777777" w:rsidR="00193361" w:rsidRPr="00D66514" w:rsidRDefault="00193361" w:rsidP="00464934">
      <w:pPr>
        <w:pStyle w:val="ListParagraph"/>
        <w:numPr>
          <w:ilvl w:val="0"/>
          <w:numId w:val="8"/>
        </w:numPr>
      </w:pPr>
      <w:r w:rsidRPr="00D66514">
        <w:t>No street lighting</w:t>
      </w:r>
    </w:p>
    <w:p w14:paraId="3A5B26EB" w14:textId="77777777" w:rsidR="00193361" w:rsidRPr="00D66514" w:rsidRDefault="00193361" w:rsidP="00464934">
      <w:pPr>
        <w:pStyle w:val="ListParagraph"/>
        <w:numPr>
          <w:ilvl w:val="0"/>
          <w:numId w:val="8"/>
        </w:numPr>
      </w:pPr>
      <w:r w:rsidRPr="00D66514">
        <w:t>No automated speed enforcement</w:t>
      </w:r>
    </w:p>
    <w:p w14:paraId="525E97D6" w14:textId="1DBB55DC" w:rsidR="00B315DB" w:rsidRPr="00D66514" w:rsidRDefault="00193361">
      <w:r w:rsidRPr="00D66514">
        <w:t xml:space="preserve">The data are subset to reflect the base conditions such that the analysis is conducted for both average and base conditions. However, due to lack of samples, the base conditions are relaxed to include lanes 12 ft in width or wider, shoulders 8 ft in width or wider and medians of which widths are 30 ft or wider. These conditions are termed modified base conditions.  </w:t>
      </w:r>
    </w:p>
    <w:p w14:paraId="548E1A9F" w14:textId="2D03396A" w:rsidR="00AF7A18" w:rsidRPr="00D66514" w:rsidRDefault="0030789C" w:rsidP="00AF7A18">
      <w:pPr>
        <w:pStyle w:val="Heading1"/>
      </w:pPr>
      <w:r w:rsidRPr="00D66514">
        <w:t xml:space="preserve">RESEARCH </w:t>
      </w:r>
      <w:r w:rsidR="00AF7A18" w:rsidRPr="00D66514">
        <w:t>Methodology</w:t>
      </w:r>
    </w:p>
    <w:p w14:paraId="46D87E4C" w14:textId="59EBB027" w:rsidR="0030789C" w:rsidRPr="00D66514" w:rsidRDefault="0030789C">
      <w:pPr>
        <w:spacing w:line="240" w:lineRule="auto"/>
        <w:contextualSpacing/>
      </w:pPr>
      <w:r w:rsidRPr="00D66514">
        <w:t>The model development exercise include</w:t>
      </w:r>
      <w:r w:rsidR="007F3818" w:rsidRPr="00D66514">
        <w:t>s</w:t>
      </w:r>
      <w:r w:rsidRPr="00D66514">
        <w:t xml:space="preserve"> developing </w:t>
      </w:r>
      <w:r w:rsidR="005F4A85" w:rsidRPr="00D66514">
        <w:t>SPFs for each state</w:t>
      </w:r>
      <w:r w:rsidR="003C71FE" w:rsidRPr="00D66514">
        <w:t xml:space="preserve"> for KABCO, KABC, KAB, KA, SV and MV crashes</w:t>
      </w:r>
      <w:r w:rsidR="005F4A85" w:rsidRPr="00D66514">
        <w:t>.</w:t>
      </w:r>
      <w:r w:rsidR="003C71FE" w:rsidRPr="00D66514">
        <w:t xml:space="preserve"> The model </w:t>
      </w:r>
      <w:r w:rsidRPr="00D66514">
        <w:t xml:space="preserve">structure employed </w:t>
      </w:r>
      <w:r w:rsidR="003C71FE" w:rsidRPr="00D66514">
        <w:t xml:space="preserve">is </w:t>
      </w:r>
      <w:r w:rsidRPr="00D66514">
        <w:t xml:space="preserve">the same as the model structure </w:t>
      </w:r>
      <w:r w:rsidR="00DC6B06" w:rsidRPr="00D66514">
        <w:t>of the</w:t>
      </w:r>
      <w:r w:rsidRPr="00D66514">
        <w:t xml:space="preserve"> </w:t>
      </w:r>
      <w:r w:rsidR="003C71FE" w:rsidRPr="00D66514">
        <w:t>HSM</w:t>
      </w:r>
      <w:r w:rsidR="00AC73F5" w:rsidRPr="00D66514">
        <w:t>’s</w:t>
      </w:r>
      <w:r w:rsidRPr="00D66514">
        <w:t xml:space="preserve"> SPF</w:t>
      </w:r>
      <w:r w:rsidR="00AC73F5" w:rsidRPr="00D66514">
        <w:t>s</w:t>
      </w:r>
      <w:r w:rsidR="003C71FE" w:rsidRPr="00D66514">
        <w:t>.</w:t>
      </w:r>
      <w:r w:rsidR="005F4A85" w:rsidRPr="00D66514">
        <w:t xml:space="preserve"> </w:t>
      </w:r>
      <w:r w:rsidRPr="00D66514">
        <w:t xml:space="preserve">The </w:t>
      </w:r>
      <w:r w:rsidR="004076A9" w:rsidRPr="00D66514">
        <w:t xml:space="preserve">model structure for </w:t>
      </w:r>
      <w:r w:rsidRPr="00D66514">
        <w:t>crash frequenc</w:t>
      </w:r>
      <w:r w:rsidR="00AC73F5" w:rsidRPr="00D66514">
        <w:t>ies</w:t>
      </w:r>
      <w:r w:rsidRPr="00D66514">
        <w:t xml:space="preserve"> per year is considered as follows:</w:t>
      </w:r>
    </w:p>
    <w:p w14:paraId="2F91A7ED" w14:textId="77777777" w:rsidR="00B86C54" w:rsidRPr="00D66514" w:rsidRDefault="00B86C54">
      <w:pPr>
        <w:spacing w:line="240" w:lineRule="auto"/>
        <w:contextualSpacing/>
      </w:pPr>
    </w:p>
    <w:p w14:paraId="3CA4515B" w14:textId="1D4FC59A" w:rsidR="0030789C" w:rsidRPr="00D66514" w:rsidRDefault="00780797" w:rsidP="00E70528">
      <w:pPr>
        <w:keepNext/>
        <w:spacing w:line="240" w:lineRule="auto"/>
        <w:contextualSpacing/>
      </w:pPr>
      <w:r w:rsidRPr="00D66514">
        <w:rPr>
          <w:position w:val="-12"/>
        </w:rPr>
        <w:object w:dxaOrig="3879" w:dyaOrig="360" w14:anchorId="6B2885EE">
          <v:shape id="_x0000_i1026" type="#_x0000_t75" style="width:194.25pt;height:18.75pt" o:ole="">
            <v:imagedata r:id="rId13" o:title=""/>
          </v:shape>
          <o:OLEObject Type="Embed" ProgID="Equation.3" ShapeID="_x0000_i1026" DrawAspect="Content" ObjectID="_1523268510" r:id="rId14"/>
        </w:object>
      </w:r>
      <w:r w:rsidR="008A516D" w:rsidRPr="00D66514">
        <w:t xml:space="preserve">                                                                                      (</w:t>
      </w:r>
      <w:r w:rsidR="00A226E1">
        <w:fldChar w:fldCharType="begin"/>
      </w:r>
      <w:r w:rsidR="00A226E1">
        <w:instrText xml:space="preserve"> SEQ ( \* ARABIC </w:instrText>
      </w:r>
      <w:r w:rsidR="00A226E1">
        <w:fldChar w:fldCharType="separate"/>
      </w:r>
      <w:r w:rsidR="004F0410">
        <w:rPr>
          <w:noProof/>
        </w:rPr>
        <w:t>2</w:t>
      </w:r>
      <w:r w:rsidR="00A226E1">
        <w:rPr>
          <w:noProof/>
        </w:rPr>
        <w:fldChar w:fldCharType="end"/>
      </w:r>
      <w:r w:rsidR="008A516D" w:rsidRPr="00D66514">
        <w:t>)</w:t>
      </w:r>
    </w:p>
    <w:p w14:paraId="3C693306" w14:textId="77777777" w:rsidR="0030789C" w:rsidRPr="00D66514" w:rsidRDefault="0030789C">
      <w:pPr>
        <w:spacing w:line="240" w:lineRule="auto"/>
        <w:contextualSpacing/>
      </w:pPr>
    </w:p>
    <w:p w14:paraId="067D8CE0" w14:textId="6242FC6A" w:rsidR="0030789C" w:rsidRPr="00D66514" w:rsidRDefault="0030789C">
      <w:pPr>
        <w:spacing w:line="240" w:lineRule="auto"/>
        <w:contextualSpacing/>
      </w:pPr>
      <w:r w:rsidRPr="00D66514">
        <w:t>The over-dispersion parameter is parameterized as follow</w:t>
      </w:r>
      <w:r w:rsidR="00B86C54" w:rsidRPr="00D66514">
        <w:t>s</w:t>
      </w:r>
      <w:r w:rsidRPr="00D66514">
        <w:t>:</w:t>
      </w:r>
    </w:p>
    <w:p w14:paraId="33B082C7" w14:textId="22A4038D" w:rsidR="0030789C" w:rsidRPr="00D66514" w:rsidRDefault="0030789C" w:rsidP="00E70528">
      <w:pPr>
        <w:keepNext/>
        <w:spacing w:line="240" w:lineRule="auto"/>
        <w:contextualSpacing/>
      </w:pPr>
      <w:r w:rsidRPr="00D66514">
        <w:rPr>
          <w:position w:val="-28"/>
        </w:rPr>
        <w:object w:dxaOrig="2380" w:dyaOrig="660" w14:anchorId="22A06DEA">
          <v:shape id="_x0000_i1027" type="#_x0000_t75" style="width:120pt;height:33pt" o:ole="">
            <v:imagedata r:id="rId15" o:title=""/>
          </v:shape>
          <o:OLEObject Type="Embed" ProgID="Equation.3" ShapeID="_x0000_i1027" DrawAspect="Content" ObjectID="_1523268511" r:id="rId16"/>
        </w:object>
      </w:r>
      <w:r w:rsidR="008A516D" w:rsidRPr="00D66514">
        <w:t xml:space="preserve">                                                                                                               </w:t>
      </w:r>
      <w:r w:rsidR="008A516D" w:rsidRPr="00D66514">
        <w:rPr>
          <w:bCs/>
        </w:rPr>
        <w:t>(</w:t>
      </w:r>
      <w:r w:rsidR="008A516D" w:rsidRPr="00D66514">
        <w:rPr>
          <w:bCs/>
        </w:rPr>
        <w:fldChar w:fldCharType="begin"/>
      </w:r>
      <w:r w:rsidR="008A516D" w:rsidRPr="00D66514">
        <w:rPr>
          <w:bCs/>
        </w:rPr>
        <w:instrText xml:space="preserve"> SEQ ( \* ARABIC </w:instrText>
      </w:r>
      <w:r w:rsidR="008A516D" w:rsidRPr="00D66514">
        <w:rPr>
          <w:bCs/>
        </w:rPr>
        <w:fldChar w:fldCharType="separate"/>
      </w:r>
      <w:r w:rsidR="004F0410">
        <w:rPr>
          <w:bCs/>
          <w:noProof/>
        </w:rPr>
        <w:t>3</w:t>
      </w:r>
      <w:r w:rsidR="008A516D" w:rsidRPr="00D66514">
        <w:rPr>
          <w:bCs/>
        </w:rPr>
        <w:fldChar w:fldCharType="end"/>
      </w:r>
      <w:r w:rsidR="008A516D" w:rsidRPr="00D66514">
        <w:rPr>
          <w:bCs/>
        </w:rPr>
        <w:t>)</w:t>
      </w:r>
    </w:p>
    <w:p w14:paraId="3EDA4F3E" w14:textId="77777777" w:rsidR="00B86C54" w:rsidRPr="00D66514" w:rsidRDefault="00B86C54" w:rsidP="0030789C">
      <w:pPr>
        <w:spacing w:line="240" w:lineRule="auto"/>
        <w:contextualSpacing/>
      </w:pPr>
    </w:p>
    <w:p w14:paraId="0BC70121" w14:textId="386D49F8" w:rsidR="0030789C" w:rsidRPr="00D66514" w:rsidRDefault="0030789C">
      <w:pPr>
        <w:spacing w:line="240" w:lineRule="auto"/>
        <w:contextualSpacing/>
      </w:pPr>
      <w:r w:rsidRPr="00D66514">
        <w:t xml:space="preserve">where </w:t>
      </w:r>
      <w:r w:rsidRPr="00D66514">
        <w:rPr>
          <w:i/>
          <w:iCs/>
        </w:rPr>
        <w:t>AADT</w:t>
      </w:r>
      <w:r w:rsidRPr="00D66514">
        <w:t xml:space="preserve"> is the Average Annual Daily Traffic, </w:t>
      </w:r>
      <w:r w:rsidRPr="00D66514">
        <w:rPr>
          <w:i/>
          <w:iCs/>
        </w:rPr>
        <w:t>L</w:t>
      </w:r>
      <w:r w:rsidR="00B86C54" w:rsidRPr="00D66514">
        <w:t>,</w:t>
      </w:r>
      <w:r w:rsidRPr="00D66514">
        <w:t xml:space="preserve"> is the length of the segment and </w:t>
      </w:r>
      <w:r w:rsidRPr="00D66514">
        <w:rPr>
          <w:i/>
          <w:iCs/>
        </w:rPr>
        <w:t>y</w:t>
      </w:r>
      <w:r w:rsidRPr="00D66514">
        <w:t xml:space="preserve"> is the number of years used as an offset variable.</w:t>
      </w:r>
      <w:r w:rsidR="00613C96" w:rsidRPr="00D66514">
        <w:t xml:space="preserve"> The number of years</w:t>
      </w:r>
      <w:r w:rsidR="000D67EE" w:rsidRPr="00D66514">
        <w:t>’</w:t>
      </w:r>
      <w:r w:rsidR="00613C96" w:rsidRPr="00D66514">
        <w:t xml:space="preserve"> variable reflects the fact that the SPF yields the predicted crash counts per year.</w:t>
      </w:r>
      <w:r w:rsidRPr="00D66514">
        <w:t xml:space="preserve"> Based on the model specification, a set of 4 parameters (</w:t>
      </w:r>
      <w:r w:rsidRPr="00D66514">
        <w:rPr>
          <w:i/>
          <w:iCs/>
        </w:rPr>
        <w:t>A</w:t>
      </w:r>
      <w:r w:rsidRPr="00D66514">
        <w:t xml:space="preserve">, </w:t>
      </w:r>
      <w:r w:rsidRPr="00D66514">
        <w:rPr>
          <w:i/>
          <w:iCs/>
        </w:rPr>
        <w:t>B</w:t>
      </w:r>
      <w:r w:rsidRPr="00D66514">
        <w:t xml:space="preserve">, </w:t>
      </w:r>
      <w:r w:rsidRPr="00D66514">
        <w:rPr>
          <w:i/>
          <w:iCs/>
        </w:rPr>
        <w:t>C</w:t>
      </w:r>
      <w:r w:rsidRPr="00D66514">
        <w:t xml:space="preserve">, and </w:t>
      </w:r>
      <w:r w:rsidRPr="00D66514">
        <w:rPr>
          <w:i/>
          <w:iCs/>
        </w:rPr>
        <w:t>D</w:t>
      </w:r>
      <w:r w:rsidRPr="00D66514">
        <w:t>) are estimated.</w:t>
      </w:r>
      <w:r w:rsidR="00DC6B06" w:rsidRPr="00D66514">
        <w:t xml:space="preserve"> It should be noted that the parameter </w:t>
      </w:r>
      <w:r w:rsidR="00DC6B06" w:rsidRPr="00D66514">
        <w:rPr>
          <w:i/>
          <w:iCs/>
        </w:rPr>
        <w:t>D</w:t>
      </w:r>
      <w:r w:rsidR="00DC6B06" w:rsidRPr="00D66514">
        <w:t xml:space="preserve"> is set to unity in the </w:t>
      </w:r>
      <w:r w:rsidR="00686910" w:rsidRPr="00D66514">
        <w:t>over-dispersion</w:t>
      </w:r>
      <w:r w:rsidR="00DC6B06" w:rsidRPr="00D66514">
        <w:t xml:space="preserve"> formula for the HSM’s SPFs of rural divided multilane highway segments.</w:t>
      </w:r>
    </w:p>
    <w:p w14:paraId="31EE5BD8" w14:textId="77777777" w:rsidR="0030789C" w:rsidRPr="00D66514" w:rsidRDefault="0030789C">
      <w:pPr>
        <w:spacing w:line="240" w:lineRule="auto"/>
        <w:contextualSpacing/>
      </w:pPr>
    </w:p>
    <w:p w14:paraId="373D5C60" w14:textId="1B9488F9" w:rsidR="0030789C" w:rsidRPr="00D66514" w:rsidRDefault="0030789C">
      <w:pPr>
        <w:spacing w:line="240" w:lineRule="auto"/>
        <w:contextualSpacing/>
      </w:pPr>
      <w:r w:rsidRPr="00D66514">
        <w:lastRenderedPageBreak/>
        <w:t>Subsequently</w:t>
      </w:r>
      <w:r w:rsidR="005F4A85" w:rsidRPr="00D66514">
        <w:t xml:space="preserve">, data from </w:t>
      </w:r>
      <w:r w:rsidRPr="00D66514">
        <w:t xml:space="preserve">each pair of </w:t>
      </w:r>
      <w:r w:rsidR="005F4A85" w:rsidRPr="00D66514">
        <w:t xml:space="preserve">two states are </w:t>
      </w:r>
      <w:r w:rsidRPr="00D66514">
        <w:t>pooled to estimate state pairwise SPFs.</w:t>
      </w:r>
      <w:r w:rsidR="00956769" w:rsidRPr="00D66514">
        <w:t xml:space="preserve"> </w:t>
      </w:r>
      <w:r w:rsidR="00CB2384" w:rsidRPr="00D66514">
        <w:t>T</w:t>
      </w:r>
      <w:r w:rsidR="00780797" w:rsidRPr="00D66514">
        <w:t>he system for two states t</w:t>
      </w:r>
      <w:r w:rsidR="00DC6B06" w:rsidRPr="00D66514">
        <w:t>a</w:t>
      </w:r>
      <w:r w:rsidR="00780797" w:rsidRPr="00D66514">
        <w:t>k</w:t>
      </w:r>
      <w:r w:rsidR="00DC6B06" w:rsidRPr="00D66514">
        <w:t>es</w:t>
      </w:r>
      <w:r w:rsidR="00780797" w:rsidRPr="00D66514">
        <w:t xml:space="preserve"> the following form:</w:t>
      </w:r>
    </w:p>
    <w:p w14:paraId="4F8FB604" w14:textId="77777777" w:rsidR="00780797" w:rsidRPr="00D66514" w:rsidRDefault="00780797">
      <w:pPr>
        <w:spacing w:line="240" w:lineRule="auto"/>
        <w:contextualSpacing/>
      </w:pPr>
    </w:p>
    <w:p w14:paraId="3307F703" w14:textId="3324C1D4" w:rsidR="00780797" w:rsidRPr="00D66514" w:rsidRDefault="00B86C54" w:rsidP="00E70528">
      <w:pPr>
        <w:keepNext/>
        <w:spacing w:line="240" w:lineRule="auto"/>
        <w:contextualSpacing/>
      </w:pPr>
      <w:r w:rsidRPr="00D66514">
        <w:rPr>
          <w:position w:val="-12"/>
        </w:rPr>
        <w:object w:dxaOrig="7400" w:dyaOrig="360" w14:anchorId="46683D6F">
          <v:shape id="_x0000_i1028" type="#_x0000_t75" style="width:368.25pt;height:18.75pt" o:ole="">
            <v:imagedata r:id="rId17" o:title=""/>
          </v:shape>
          <o:OLEObject Type="Embed" ProgID="Equation.3" ShapeID="_x0000_i1028" DrawAspect="Content" ObjectID="_1523268512" r:id="rId18"/>
        </w:object>
      </w:r>
      <w:r w:rsidR="00674326" w:rsidRPr="00D66514">
        <w:t xml:space="preserve">                            </w:t>
      </w:r>
      <w:r w:rsidR="008A516D" w:rsidRPr="00D66514">
        <w:t>(</w:t>
      </w:r>
      <w:r w:rsidR="00A226E1">
        <w:fldChar w:fldCharType="begin"/>
      </w:r>
      <w:r w:rsidR="00A226E1">
        <w:instrText xml:space="preserve"> SEQ ( \* ARABIC </w:instrText>
      </w:r>
      <w:r w:rsidR="00A226E1">
        <w:fldChar w:fldCharType="separate"/>
      </w:r>
      <w:r w:rsidR="004F0410">
        <w:rPr>
          <w:noProof/>
        </w:rPr>
        <w:t>4</w:t>
      </w:r>
      <w:r w:rsidR="00A226E1">
        <w:rPr>
          <w:noProof/>
        </w:rPr>
        <w:fldChar w:fldCharType="end"/>
      </w:r>
      <w:r w:rsidR="008A516D" w:rsidRPr="00D66514">
        <w:t>)</w:t>
      </w:r>
    </w:p>
    <w:p w14:paraId="5D8440CE" w14:textId="494F6256" w:rsidR="0030789C" w:rsidRPr="00D66514" w:rsidRDefault="00B86C54" w:rsidP="00E70528">
      <w:pPr>
        <w:keepNext/>
        <w:spacing w:line="240" w:lineRule="auto"/>
        <w:contextualSpacing/>
      </w:pPr>
      <w:r w:rsidRPr="00D66514">
        <w:rPr>
          <w:position w:val="-30"/>
        </w:rPr>
        <w:object w:dxaOrig="5020" w:dyaOrig="680" w14:anchorId="589614FA">
          <v:shape id="_x0000_i1029" type="#_x0000_t75" style="width:252.75pt;height:33.75pt" o:ole="">
            <v:imagedata r:id="rId19" o:title=""/>
          </v:shape>
          <o:OLEObject Type="Embed" ProgID="Equation.3" ShapeID="_x0000_i1029" DrawAspect="Content" ObjectID="_1523268513" r:id="rId20"/>
        </w:object>
      </w:r>
      <w:r w:rsidR="00674326" w:rsidRPr="00D66514">
        <w:t xml:space="preserve">                                                                   </w:t>
      </w:r>
      <w:r w:rsidR="00674326" w:rsidRPr="00D66514">
        <w:rPr>
          <w:bCs/>
        </w:rPr>
        <w:t>(</w:t>
      </w:r>
      <w:r w:rsidR="00674326" w:rsidRPr="00D66514">
        <w:rPr>
          <w:bCs/>
        </w:rPr>
        <w:fldChar w:fldCharType="begin"/>
      </w:r>
      <w:r w:rsidR="00674326" w:rsidRPr="00D66514">
        <w:rPr>
          <w:bCs/>
        </w:rPr>
        <w:instrText xml:space="preserve"> SEQ ( \* ARABIC </w:instrText>
      </w:r>
      <w:r w:rsidR="00674326" w:rsidRPr="00D66514">
        <w:rPr>
          <w:bCs/>
        </w:rPr>
        <w:fldChar w:fldCharType="separate"/>
      </w:r>
      <w:r w:rsidR="004F0410">
        <w:rPr>
          <w:bCs/>
          <w:noProof/>
        </w:rPr>
        <w:t>5</w:t>
      </w:r>
      <w:r w:rsidR="00674326" w:rsidRPr="00D66514">
        <w:rPr>
          <w:bCs/>
        </w:rPr>
        <w:fldChar w:fldCharType="end"/>
      </w:r>
      <w:r w:rsidR="00674326" w:rsidRPr="00D66514">
        <w:rPr>
          <w:bCs/>
        </w:rPr>
        <w:t>)</w:t>
      </w:r>
    </w:p>
    <w:p w14:paraId="2C28B507" w14:textId="77777777" w:rsidR="00780797" w:rsidRPr="00D66514" w:rsidRDefault="00780797">
      <w:pPr>
        <w:spacing w:line="240" w:lineRule="auto"/>
        <w:contextualSpacing/>
      </w:pPr>
    </w:p>
    <w:p w14:paraId="6AA01FAD" w14:textId="2366B0F6" w:rsidR="00793D46" w:rsidRPr="00D66514" w:rsidRDefault="00780797" w:rsidP="004C1536">
      <w:pPr>
        <w:spacing w:line="240" w:lineRule="auto"/>
        <w:contextualSpacing/>
      </w:pPr>
      <w:r w:rsidRPr="00D66514">
        <w:t xml:space="preserve">The system estimates four additional parameters </w:t>
      </w:r>
      <w:r w:rsidRPr="00D66514">
        <w:rPr>
          <w:i/>
          <w:iCs/>
        </w:rPr>
        <w:t>E</w:t>
      </w:r>
      <w:r w:rsidRPr="00D66514">
        <w:t xml:space="preserve">, </w:t>
      </w:r>
      <w:r w:rsidRPr="00D66514">
        <w:rPr>
          <w:i/>
          <w:iCs/>
        </w:rPr>
        <w:t>F</w:t>
      </w:r>
      <w:r w:rsidRPr="00D66514">
        <w:t xml:space="preserve">, </w:t>
      </w:r>
      <w:r w:rsidRPr="00D66514">
        <w:rPr>
          <w:i/>
          <w:iCs/>
        </w:rPr>
        <w:t>G</w:t>
      </w:r>
      <w:r w:rsidRPr="00D66514">
        <w:t xml:space="preserve"> and </w:t>
      </w:r>
      <w:r w:rsidRPr="00D66514">
        <w:rPr>
          <w:i/>
          <w:iCs/>
        </w:rPr>
        <w:t>H</w:t>
      </w:r>
      <w:r w:rsidRPr="00D66514">
        <w:t xml:space="preserve"> which represent differences between the two states. </w:t>
      </w:r>
      <w:r w:rsidR="004C1536" w:rsidRPr="00D66514">
        <w:rPr>
          <w:rFonts w:asciiTheme="majorBidi" w:hAnsiTheme="majorBidi" w:cstheme="majorBidi"/>
          <w:bCs/>
        </w:rPr>
        <w:t xml:space="preserve">It is critical to note that the number of years, </w:t>
      </w:r>
      <w:r w:rsidR="004C1536" w:rsidRPr="00D66514">
        <w:rPr>
          <w:rFonts w:asciiTheme="majorBidi" w:hAnsiTheme="majorBidi" w:cstheme="majorBidi"/>
          <w:bCs/>
          <w:i/>
        </w:rPr>
        <w:t>y</w:t>
      </w:r>
      <w:r w:rsidR="004C1536" w:rsidRPr="00D66514">
        <w:rPr>
          <w:rFonts w:asciiTheme="majorBidi" w:hAnsiTheme="majorBidi" w:cstheme="majorBidi"/>
          <w:bCs/>
        </w:rPr>
        <w:t>, plays a crucial role since it accounts for differences in crash years among states especially when data of multiple states are pooled. As previously mentioned, the Florida and Ohio available data are from the years 2009 to 2011 while the availability of those of California are from 2009 to 2010.</w:t>
      </w:r>
      <w:r w:rsidR="000D67EE" w:rsidRPr="00D66514">
        <w:rPr>
          <w:rFonts w:asciiTheme="majorBidi" w:hAnsiTheme="majorBidi" w:cstheme="majorBidi"/>
          <w:bCs/>
        </w:rPr>
        <w:t xml:space="preserve"> </w:t>
      </w:r>
      <w:r w:rsidRPr="00D66514">
        <w:t>Three two</w:t>
      </w:r>
      <w:r w:rsidR="00AC73F5" w:rsidRPr="00D66514">
        <w:t>-</w:t>
      </w:r>
      <w:r w:rsidRPr="00D66514">
        <w:t>state model systems are estimated.</w:t>
      </w:r>
      <w:r w:rsidR="000D67EE" w:rsidRPr="00D66514">
        <w:t xml:space="preserve"> </w:t>
      </w:r>
      <w:r w:rsidRPr="00D66514">
        <w:t>Finally, a three</w:t>
      </w:r>
      <w:r w:rsidR="00AC73F5" w:rsidRPr="00D66514">
        <w:t>-</w:t>
      </w:r>
      <w:r w:rsidRPr="00D66514">
        <w:t>state pooled model is estimated. The model takes the following form</w:t>
      </w:r>
      <w:r w:rsidR="004162EA" w:rsidRPr="00D66514">
        <w:t>.</w:t>
      </w:r>
    </w:p>
    <w:p w14:paraId="1BEC13F4" w14:textId="77777777" w:rsidR="00793D46" w:rsidRPr="00D66514" w:rsidRDefault="00793D46" w:rsidP="00793D46">
      <w:pPr>
        <w:spacing w:line="240" w:lineRule="auto"/>
        <w:contextualSpacing/>
      </w:pPr>
    </w:p>
    <w:p w14:paraId="00DBD83B" w14:textId="5F537409" w:rsidR="00EB37E1" w:rsidRPr="00D66514" w:rsidRDefault="00DC6B06" w:rsidP="00B86C54">
      <w:pPr>
        <w:keepNext/>
        <w:spacing w:line="240" w:lineRule="auto"/>
        <w:contextualSpacing/>
      </w:pPr>
      <w:r w:rsidRPr="00D66514">
        <w:rPr>
          <w:position w:val="-30"/>
        </w:rPr>
        <w:object w:dxaOrig="7520" w:dyaOrig="720" w14:anchorId="05B7FD18">
          <v:shape id="_x0000_i1030" type="#_x0000_t75" style="width:375.75pt;height:36.75pt" o:ole="">
            <v:imagedata r:id="rId21" o:title=""/>
          </v:shape>
          <o:OLEObject Type="Embed" ProgID="Equation.3" ShapeID="_x0000_i1030" DrawAspect="Content" ObjectID="_1523268514" r:id="rId22"/>
        </w:object>
      </w:r>
      <w:r w:rsidR="00EB37E1" w:rsidRPr="00D66514">
        <w:tab/>
        <w:t xml:space="preserve">      </w:t>
      </w:r>
      <w:r w:rsidR="00B86C54" w:rsidRPr="00D66514">
        <w:t xml:space="preserve">          </w:t>
      </w:r>
      <w:r w:rsidR="00EB37E1" w:rsidRPr="00D66514">
        <w:t xml:space="preserve"> </w:t>
      </w:r>
      <w:r w:rsidR="00B86C54" w:rsidRPr="00D66514">
        <w:t xml:space="preserve">  </w:t>
      </w:r>
      <w:r w:rsidR="00EB37E1" w:rsidRPr="00D66514">
        <w:t>(</w:t>
      </w:r>
      <w:r w:rsidR="00A226E1">
        <w:fldChar w:fldCharType="begin"/>
      </w:r>
      <w:r w:rsidR="00A226E1">
        <w:instrText xml:space="preserve"> SEQ ( \* ARABIC </w:instrText>
      </w:r>
      <w:r w:rsidR="00A226E1">
        <w:fldChar w:fldCharType="separate"/>
      </w:r>
      <w:r w:rsidR="004F0410">
        <w:rPr>
          <w:noProof/>
        </w:rPr>
        <w:t>6</w:t>
      </w:r>
      <w:r w:rsidR="00A226E1">
        <w:rPr>
          <w:noProof/>
        </w:rPr>
        <w:fldChar w:fldCharType="end"/>
      </w:r>
      <w:r w:rsidR="00EB37E1" w:rsidRPr="00D66514">
        <w:t>)</w:t>
      </w:r>
    </w:p>
    <w:p w14:paraId="4AC644E4" w14:textId="211BB6DC" w:rsidR="00AF7A18" w:rsidRPr="00D66514" w:rsidRDefault="00EB37E1" w:rsidP="00774FB3">
      <w:pPr>
        <w:spacing w:line="240" w:lineRule="auto"/>
        <w:contextualSpacing/>
      </w:pPr>
      <w:r w:rsidRPr="00D66514">
        <w:t xml:space="preserve"> </w:t>
      </w:r>
    </w:p>
    <w:p w14:paraId="1257FB21" w14:textId="5257D3F5" w:rsidR="00C54AD0" w:rsidRPr="00D66514" w:rsidRDefault="00780797">
      <w:pPr>
        <w:spacing w:line="240" w:lineRule="auto"/>
        <w:contextualSpacing/>
        <w:jc w:val="left"/>
      </w:pPr>
      <w:r w:rsidRPr="00D66514">
        <w:t xml:space="preserve">In the </w:t>
      </w:r>
      <w:r w:rsidR="00AC73F5" w:rsidRPr="00D66514">
        <w:t>three-</w:t>
      </w:r>
      <w:r w:rsidRPr="00D66514">
        <w:t>state mode</w:t>
      </w:r>
      <w:r w:rsidR="00AC73F5" w:rsidRPr="00D66514">
        <w:t>l,</w:t>
      </w:r>
      <w:r w:rsidRPr="00D66514">
        <w:t xml:space="preserve"> a total of 12 parameters are estimated. Any state can be selected as the </w:t>
      </w:r>
      <w:r w:rsidR="00DC6B06" w:rsidRPr="00D66514">
        <w:t xml:space="preserve">reference state </w:t>
      </w:r>
      <w:r w:rsidRPr="00D66514">
        <w:t xml:space="preserve">and the other two state identifier variables can be employed in the equations </w:t>
      </w:r>
      <w:r w:rsidR="00DC6B06" w:rsidRPr="00D66514">
        <w:t>described</w:t>
      </w:r>
      <w:r w:rsidRPr="00D66514">
        <w:t>.</w:t>
      </w:r>
      <w:r w:rsidR="004162EA" w:rsidRPr="00D66514">
        <w:t xml:space="preserve"> The over-dispersion parameter for the three-state model takes the following form.</w:t>
      </w:r>
      <w:r w:rsidRPr="00D66514">
        <w:t xml:space="preserve"> </w:t>
      </w:r>
    </w:p>
    <w:p w14:paraId="5449CFAB" w14:textId="77777777" w:rsidR="00C54AD0" w:rsidRPr="00D66514" w:rsidRDefault="00C54AD0" w:rsidP="00C54AD0">
      <w:pPr>
        <w:spacing w:line="240" w:lineRule="auto"/>
        <w:contextualSpacing/>
      </w:pPr>
    </w:p>
    <w:p w14:paraId="089C4CF3" w14:textId="2E4B278A" w:rsidR="00C54AD0" w:rsidRPr="00D66514" w:rsidRDefault="00B86C54" w:rsidP="00B86C54">
      <w:pPr>
        <w:keepNext/>
        <w:spacing w:line="240" w:lineRule="auto"/>
        <w:contextualSpacing/>
      </w:pPr>
      <w:r w:rsidRPr="00D66514">
        <w:rPr>
          <w:position w:val="-30"/>
        </w:rPr>
        <w:object w:dxaOrig="7500" w:dyaOrig="680" w14:anchorId="607A2638">
          <v:shape id="_x0000_i1031" type="#_x0000_t75" style="width:375.75pt;height:33.75pt" o:ole="">
            <v:imagedata r:id="rId23" o:title=""/>
          </v:shape>
          <o:OLEObject Type="Embed" ProgID="Equation.3" ShapeID="_x0000_i1031" DrawAspect="Content" ObjectID="_1523268515" r:id="rId24"/>
        </w:object>
      </w:r>
      <w:r w:rsidR="00501C35" w:rsidRPr="00D66514">
        <w:tab/>
        <w:t xml:space="preserve">   </w:t>
      </w:r>
      <w:r w:rsidR="008A516D" w:rsidRPr="00D66514">
        <w:t xml:space="preserve">            </w:t>
      </w:r>
      <w:r w:rsidR="00501C35" w:rsidRPr="00D66514">
        <w:t xml:space="preserve">    (</w:t>
      </w:r>
      <w:r w:rsidR="00A226E1">
        <w:fldChar w:fldCharType="begin"/>
      </w:r>
      <w:r w:rsidR="00A226E1">
        <w:instrText xml:space="preserve"> SEQ ( \* ARABIC </w:instrText>
      </w:r>
      <w:r w:rsidR="00A226E1">
        <w:fldChar w:fldCharType="separate"/>
      </w:r>
      <w:r w:rsidR="004F0410">
        <w:rPr>
          <w:noProof/>
        </w:rPr>
        <w:t>7</w:t>
      </w:r>
      <w:r w:rsidR="00A226E1">
        <w:rPr>
          <w:noProof/>
        </w:rPr>
        <w:fldChar w:fldCharType="end"/>
      </w:r>
      <w:r w:rsidR="00501C35" w:rsidRPr="00D66514">
        <w:t>)</w:t>
      </w:r>
    </w:p>
    <w:p w14:paraId="6F40CD3B" w14:textId="77777777" w:rsidR="00F96E4D" w:rsidRPr="00D66514" w:rsidRDefault="00F96E4D" w:rsidP="00B25B2A">
      <w:pPr>
        <w:spacing w:line="240" w:lineRule="auto"/>
        <w:contextualSpacing/>
        <w:jc w:val="center"/>
      </w:pPr>
    </w:p>
    <w:p w14:paraId="47702BFC" w14:textId="77777777" w:rsidR="00F96E4D" w:rsidRPr="00D66514" w:rsidRDefault="00F96E4D" w:rsidP="00F96E4D">
      <w:pPr>
        <w:spacing w:line="240" w:lineRule="auto"/>
        <w:contextualSpacing/>
      </w:pPr>
    </w:p>
    <w:p w14:paraId="2B6A1F52" w14:textId="39093803" w:rsidR="0084620D" w:rsidRPr="00D66514" w:rsidRDefault="0084620D">
      <w:pPr>
        <w:spacing w:line="240" w:lineRule="auto"/>
        <w:contextualSpacing/>
      </w:pPr>
      <w:r w:rsidRPr="00D66514">
        <w:t>In addition to the model parameters, MAD</w:t>
      </w:r>
      <w:r w:rsidR="00856522" w:rsidRPr="00D66514">
        <w:t>s</w:t>
      </w:r>
      <w:r w:rsidR="00876EF6" w:rsidRPr="00D66514">
        <w:t xml:space="preserve"> and MSPE</w:t>
      </w:r>
      <w:r w:rsidR="00856522" w:rsidRPr="00D66514">
        <w:t>s</w:t>
      </w:r>
      <w:r w:rsidRPr="00D66514">
        <w:t xml:space="preserve"> are calculated</w:t>
      </w:r>
      <w:r w:rsidR="005829D3" w:rsidRPr="00D66514">
        <w:t xml:space="preserve"> to assess the </w:t>
      </w:r>
      <w:r w:rsidR="00E34EDE" w:rsidRPr="00D66514">
        <w:t>Goodness of Fit (</w:t>
      </w:r>
      <w:r w:rsidR="005829D3" w:rsidRPr="00D66514">
        <w:t>GOF</w:t>
      </w:r>
      <w:r w:rsidR="00E34EDE" w:rsidRPr="00D66514">
        <w:t>)</w:t>
      </w:r>
      <w:r w:rsidRPr="00D66514">
        <w:t xml:space="preserve">. </w:t>
      </w:r>
      <w:r w:rsidR="00F25156" w:rsidRPr="00D66514">
        <w:t xml:space="preserve">The </w:t>
      </w:r>
      <w:r w:rsidRPr="00D66514">
        <w:t>MAD</w:t>
      </w:r>
      <w:r w:rsidR="00876EF6" w:rsidRPr="00D66514">
        <w:t xml:space="preserve"> and MSPE</w:t>
      </w:r>
      <w:r w:rsidRPr="00D66514">
        <w:t xml:space="preserve"> </w:t>
      </w:r>
      <w:r w:rsidR="00876EF6" w:rsidRPr="00D66514">
        <w:t xml:space="preserve">are </w:t>
      </w:r>
      <w:r w:rsidRPr="00D66514">
        <w:t xml:space="preserve">dependent on the </w:t>
      </w:r>
      <w:r w:rsidR="00FF04F5" w:rsidRPr="00D66514">
        <w:t xml:space="preserve">difference between the predicted and observed number of crashes, </w:t>
      </w:r>
      <w:r w:rsidR="00FF04F5" w:rsidRPr="00D66514">
        <w:rPr>
          <w:i/>
          <w:iCs/>
        </w:rPr>
        <w:t>N</w:t>
      </w:r>
      <w:r w:rsidR="00FF04F5" w:rsidRPr="00D66514">
        <w:rPr>
          <w:i/>
          <w:iCs/>
          <w:vertAlign w:val="subscript"/>
        </w:rPr>
        <w:t>obs</w:t>
      </w:r>
      <w:r w:rsidR="005A0BBA" w:rsidRPr="00D66514">
        <w:t>, per segment</w:t>
      </w:r>
      <w:r w:rsidR="00FF04F5" w:rsidRPr="00D66514">
        <w:t xml:space="preserve"> </w:t>
      </w:r>
      <w:r w:rsidR="00FF04F5" w:rsidRPr="00D66514">
        <w:rPr>
          <w:i/>
          <w:iCs/>
        </w:rPr>
        <w:t>i</w:t>
      </w:r>
      <w:r w:rsidR="00FF04F5" w:rsidRPr="00D66514">
        <w:t>.</w:t>
      </w:r>
      <w:r w:rsidR="009D7EB2" w:rsidRPr="00D66514">
        <w:t xml:space="preserve"> </w:t>
      </w:r>
      <w:r w:rsidR="00876EF6" w:rsidRPr="00D66514">
        <w:t xml:space="preserve">They are </w:t>
      </w:r>
      <w:r w:rsidR="009D7EB2" w:rsidRPr="00D66514">
        <w:t xml:space="preserve">defined as </w:t>
      </w:r>
      <w:r w:rsidR="0030577B" w:rsidRPr="00D66514">
        <w:t>follows</w:t>
      </w:r>
      <w:r w:rsidR="009D7EB2" w:rsidRPr="00D66514">
        <w:t>.</w:t>
      </w:r>
    </w:p>
    <w:p w14:paraId="179DBCB9" w14:textId="77777777" w:rsidR="00B86C54" w:rsidRPr="00D66514" w:rsidRDefault="00B86C54">
      <w:pPr>
        <w:spacing w:line="240" w:lineRule="auto"/>
        <w:contextualSpacing/>
      </w:pPr>
    </w:p>
    <w:p w14:paraId="668E5E58" w14:textId="6728731E" w:rsidR="0030577B" w:rsidRPr="00D66514" w:rsidRDefault="005829D3" w:rsidP="00E70528">
      <w:pPr>
        <w:keepNext/>
        <w:spacing w:line="240" w:lineRule="auto"/>
        <w:contextualSpacing/>
        <w:jc w:val="left"/>
      </w:pPr>
      <w:r w:rsidRPr="00D66514">
        <w:rPr>
          <w:position w:val="-24"/>
        </w:rPr>
        <w:object w:dxaOrig="2420" w:dyaOrig="960" w14:anchorId="1025987E">
          <v:shape id="_x0000_i1032" type="#_x0000_t75" style="width:120.75pt;height:48pt" o:ole="">
            <v:imagedata r:id="rId25" o:title=""/>
          </v:shape>
          <o:OLEObject Type="Embed" ProgID="Equation.3" ShapeID="_x0000_i1032" DrawAspect="Content" ObjectID="_1523268516" r:id="rId26"/>
        </w:object>
      </w:r>
      <w:r w:rsidR="00501C35" w:rsidRPr="00D66514">
        <w:tab/>
        <w:t xml:space="preserve">           </w:t>
      </w:r>
      <w:r w:rsidR="00501C35" w:rsidRPr="00D66514">
        <w:tab/>
      </w:r>
      <w:r w:rsidR="00501C35" w:rsidRPr="00D66514">
        <w:tab/>
      </w:r>
      <w:r w:rsidR="00501C35" w:rsidRPr="00D66514">
        <w:tab/>
        <w:t xml:space="preserve">     </w:t>
      </w:r>
      <w:r w:rsidR="00B86C54" w:rsidRPr="00D66514">
        <w:t xml:space="preserve">                                                              </w:t>
      </w:r>
      <w:r w:rsidR="00501C35" w:rsidRPr="00D66514">
        <w:t>(</w:t>
      </w:r>
      <w:r w:rsidR="00A226E1">
        <w:fldChar w:fldCharType="begin"/>
      </w:r>
      <w:r w:rsidR="00A226E1">
        <w:instrText xml:space="preserve"> SEQ ( \* ARABIC </w:instrText>
      </w:r>
      <w:r w:rsidR="00A226E1">
        <w:fldChar w:fldCharType="separate"/>
      </w:r>
      <w:r w:rsidR="004F0410">
        <w:rPr>
          <w:noProof/>
        </w:rPr>
        <w:t>8</w:t>
      </w:r>
      <w:r w:rsidR="00A226E1">
        <w:rPr>
          <w:noProof/>
        </w:rPr>
        <w:fldChar w:fldCharType="end"/>
      </w:r>
      <w:r w:rsidR="00501C35" w:rsidRPr="00D66514">
        <w:t>)</w:t>
      </w:r>
    </w:p>
    <w:p w14:paraId="3343916A" w14:textId="15D54282" w:rsidR="00501C35" w:rsidRPr="00D66514" w:rsidRDefault="0030577B" w:rsidP="00E70528">
      <w:pPr>
        <w:keepNext/>
        <w:spacing w:line="240" w:lineRule="auto"/>
        <w:contextualSpacing/>
        <w:jc w:val="left"/>
      </w:pPr>
      <w:r w:rsidRPr="00D66514">
        <w:rPr>
          <w:position w:val="-24"/>
        </w:rPr>
        <w:object w:dxaOrig="2740" w:dyaOrig="960" w14:anchorId="0E8AE86C">
          <v:shape id="_x0000_i1033" type="#_x0000_t75" style="width:137.25pt;height:48pt" o:ole="">
            <v:imagedata r:id="rId27" o:title=""/>
          </v:shape>
          <o:OLEObject Type="Embed" ProgID="Equation.3" ShapeID="_x0000_i1033" DrawAspect="Content" ObjectID="_1523268517" r:id="rId28"/>
        </w:object>
      </w:r>
      <w:r w:rsidR="00501C35" w:rsidRPr="00D66514">
        <w:tab/>
      </w:r>
      <w:r w:rsidR="00501C35" w:rsidRPr="00D66514">
        <w:tab/>
      </w:r>
      <w:r w:rsidR="00501C35" w:rsidRPr="00D66514">
        <w:tab/>
      </w:r>
      <w:r w:rsidR="00501C35" w:rsidRPr="00D66514">
        <w:tab/>
        <w:t xml:space="preserve">     </w:t>
      </w:r>
      <w:r w:rsidR="00B86C54" w:rsidRPr="00D66514">
        <w:t xml:space="preserve">                                                              </w:t>
      </w:r>
      <w:r w:rsidR="00501C35" w:rsidRPr="00D66514">
        <w:t>(</w:t>
      </w:r>
      <w:r w:rsidR="00A226E1">
        <w:fldChar w:fldCharType="begin"/>
      </w:r>
      <w:r w:rsidR="00A226E1">
        <w:instrText xml:space="preserve"> SEQ ( \* ARABIC </w:instrText>
      </w:r>
      <w:r w:rsidR="00A226E1">
        <w:fldChar w:fldCharType="separate"/>
      </w:r>
      <w:r w:rsidR="004F0410">
        <w:rPr>
          <w:noProof/>
        </w:rPr>
        <w:t>9</w:t>
      </w:r>
      <w:r w:rsidR="00A226E1">
        <w:rPr>
          <w:noProof/>
        </w:rPr>
        <w:fldChar w:fldCharType="end"/>
      </w:r>
      <w:r w:rsidR="00501C35" w:rsidRPr="00D66514">
        <w:t>)</w:t>
      </w:r>
    </w:p>
    <w:p w14:paraId="2CD7A66B" w14:textId="77777777" w:rsidR="004839C7" w:rsidRPr="00D66514" w:rsidRDefault="004839C7" w:rsidP="00464934"/>
    <w:p w14:paraId="5A7AFCDA" w14:textId="560B1344" w:rsidR="004162EA" w:rsidRPr="00D66514" w:rsidRDefault="00EE5EB8" w:rsidP="004868F4">
      <w:r w:rsidRPr="00D66514">
        <w:t>The one-state, two-state and three state SPFs are developed for average conditions. For the modified base conditions, only one-state and two-state SPFs are developed. That is because Florida’s modified base conditions’ sample size is low relative to that of the other states. Therefore, Florida’s modified base conditions data cannot be pooled with those of the other two states since the results w</w:t>
      </w:r>
      <w:r w:rsidR="00CB2384" w:rsidRPr="00D66514">
        <w:t>ould</w:t>
      </w:r>
      <w:r w:rsidRPr="00D66514">
        <w:t xml:space="preserve"> be biased.</w:t>
      </w:r>
    </w:p>
    <w:p w14:paraId="71ACE266" w14:textId="77777777" w:rsidR="00F96E4D" w:rsidRPr="00D66514" w:rsidRDefault="00F96E4D" w:rsidP="009D3900">
      <w:pPr>
        <w:pStyle w:val="Heading2"/>
      </w:pPr>
      <w:r w:rsidRPr="00D66514">
        <w:lastRenderedPageBreak/>
        <w:t>Transferability A</w:t>
      </w:r>
      <w:r w:rsidR="009D3900" w:rsidRPr="00D66514">
        <w:t>ssessment</w:t>
      </w:r>
    </w:p>
    <w:p w14:paraId="61CC4AA2" w14:textId="6FC410D5" w:rsidR="00E34EDE" w:rsidRPr="00D66514" w:rsidRDefault="009D3900">
      <w:r w:rsidRPr="00D66514">
        <w:t xml:space="preserve">The transferability of the SPFs is assessed </w:t>
      </w:r>
      <w:r w:rsidR="00B8024F" w:rsidRPr="00D66514">
        <w:t xml:space="preserve">by </w:t>
      </w:r>
      <w:r w:rsidR="00E26E78" w:rsidRPr="00D66514">
        <w:t>applying the jurisdiction specific models, two-state models and three-state models to each state’s data for validation.</w:t>
      </w:r>
      <w:r w:rsidR="00E5028D" w:rsidRPr="00D66514">
        <w:t xml:space="preserve"> Then a further step in the transferability assessment is the calculation of the transfer index, </w:t>
      </w:r>
      <w:r w:rsidR="00E5028D" w:rsidRPr="00D66514">
        <w:rPr>
          <w:i/>
          <w:iCs/>
        </w:rPr>
        <w:t>TI</w:t>
      </w:r>
      <w:r w:rsidR="00E5028D" w:rsidRPr="00D66514">
        <w:t xml:space="preserve">, which was used in </w:t>
      </w:r>
      <w:r w:rsidR="00856522" w:rsidRPr="00D66514">
        <w:t>previously discussed studies</w:t>
      </w:r>
      <w:r w:rsidR="00E5028D" w:rsidRPr="00D66514">
        <w:t xml:space="preserve"> </w:t>
      </w:r>
      <w:r w:rsidR="00856522" w:rsidRPr="00D66514">
        <w:t>of</w:t>
      </w:r>
      <w:r w:rsidR="00E5028D" w:rsidRPr="00D66514">
        <w:t xml:space="preserve"> Sikder et al.</w:t>
      </w:r>
      <w:r w:rsidR="00D173FB" w:rsidRPr="00D66514">
        <w:t xml:space="preserve"> (2014)</w:t>
      </w:r>
      <w:r w:rsidR="00856522" w:rsidRPr="00D66514">
        <w:t xml:space="preserve"> and Hadayeghi et al.</w:t>
      </w:r>
      <w:r w:rsidR="00D173FB" w:rsidRPr="00D66514">
        <w:t xml:space="preserve"> (2006)</w:t>
      </w:r>
      <w:r w:rsidR="006317F4" w:rsidRPr="00D66514">
        <w:t xml:space="preserve">. </w:t>
      </w:r>
      <w:r w:rsidR="00E34EDE" w:rsidRPr="00D66514">
        <w:t xml:space="preserve">The </w:t>
      </w:r>
      <w:r w:rsidR="00E34EDE" w:rsidRPr="00D66514">
        <w:rPr>
          <w:i/>
          <w:iCs/>
        </w:rPr>
        <w:t>TI</w:t>
      </w:r>
      <w:r w:rsidR="00E34EDE" w:rsidRPr="00D66514">
        <w:t xml:space="preserve"> measure provides an indication o</w:t>
      </w:r>
      <w:r w:rsidR="004162EA" w:rsidRPr="00D66514">
        <w:t>f</w:t>
      </w:r>
      <w:r w:rsidR="00E34EDE" w:rsidRPr="00D66514">
        <w:t xml:space="preserve"> the performance of the transferred model for the jurisdiction of interest. </w:t>
      </w:r>
    </w:p>
    <w:p w14:paraId="26388C5B" w14:textId="113BEE8A" w:rsidR="006317F4" w:rsidRPr="00D66514" w:rsidRDefault="00E34EDE">
      <w:r w:rsidRPr="00D66514">
        <w:t xml:space="preserve">The measure </w:t>
      </w:r>
      <w:r w:rsidR="006317F4" w:rsidRPr="00D66514">
        <w:t>is calculated as follows.</w:t>
      </w:r>
    </w:p>
    <w:p w14:paraId="604D822C" w14:textId="433AE060" w:rsidR="006317F4" w:rsidRPr="00D66514" w:rsidRDefault="00E5028D" w:rsidP="00E70528">
      <w:pPr>
        <w:keepNext/>
        <w:ind w:right="4"/>
        <w:jc w:val="left"/>
      </w:pPr>
      <w:r w:rsidRPr="00D66514">
        <w:rPr>
          <w:position w:val="-32"/>
        </w:rPr>
        <w:object w:dxaOrig="3340" w:dyaOrig="740" w14:anchorId="52BA558B">
          <v:shape id="_x0000_i1034" type="#_x0000_t75" style="width:168pt;height:36.75pt" o:ole="">
            <v:imagedata r:id="rId29" o:title=""/>
          </v:shape>
          <o:OLEObject Type="Embed" ProgID="Equation.3" ShapeID="_x0000_i1034" DrawAspect="Content" ObjectID="_1523268518" r:id="rId30"/>
        </w:object>
      </w:r>
      <w:r w:rsidR="00501C35" w:rsidRPr="00D66514">
        <w:tab/>
      </w:r>
      <w:r w:rsidR="00501C35" w:rsidRPr="00D66514">
        <w:tab/>
      </w:r>
      <w:r w:rsidR="00501C35" w:rsidRPr="00D66514">
        <w:tab/>
      </w:r>
      <w:r w:rsidR="00501C35" w:rsidRPr="00D66514">
        <w:tab/>
        <w:t xml:space="preserve">     </w:t>
      </w:r>
      <w:r w:rsidR="00B86C54" w:rsidRPr="00D66514">
        <w:t xml:space="preserve">                                                </w:t>
      </w:r>
      <w:r w:rsidR="00501C35" w:rsidRPr="00D66514">
        <w:t>(</w:t>
      </w:r>
      <w:r w:rsidR="00A226E1">
        <w:fldChar w:fldCharType="begin"/>
      </w:r>
      <w:r w:rsidR="00A226E1">
        <w:instrText xml:space="preserve"> SEQ ( \* ARABIC </w:instrText>
      </w:r>
      <w:r w:rsidR="00A226E1">
        <w:fldChar w:fldCharType="separate"/>
      </w:r>
      <w:r w:rsidR="004F0410">
        <w:rPr>
          <w:noProof/>
        </w:rPr>
        <w:t>10</w:t>
      </w:r>
      <w:r w:rsidR="00A226E1">
        <w:rPr>
          <w:noProof/>
        </w:rPr>
        <w:fldChar w:fldCharType="end"/>
      </w:r>
      <w:r w:rsidR="00501C35" w:rsidRPr="00D66514">
        <w:t>)</w:t>
      </w:r>
    </w:p>
    <w:p w14:paraId="532EA03F" w14:textId="68250897" w:rsidR="00BA59EA" w:rsidRPr="00D66514" w:rsidRDefault="00E5028D" w:rsidP="00B6740C">
      <w:r w:rsidRPr="00D66514">
        <w:t xml:space="preserve">The term </w:t>
      </w:r>
      <w:r w:rsidRPr="00D66514">
        <w:rPr>
          <w:i/>
          <w:iCs/>
        </w:rPr>
        <w:t>LL</w:t>
      </w:r>
      <w:r w:rsidRPr="00D66514">
        <w:rPr>
          <w:i/>
          <w:iCs/>
          <w:vertAlign w:val="subscript"/>
        </w:rPr>
        <w:t>j</w:t>
      </w:r>
      <w:r w:rsidRPr="00D66514">
        <w:t>(</w:t>
      </w:r>
      <w:r w:rsidRPr="00D66514">
        <w:rPr>
          <w:rFonts w:cs="Times New Roman"/>
          <w:i/>
          <w:iCs/>
        </w:rPr>
        <w:t>β</w:t>
      </w:r>
      <w:r w:rsidRPr="00D66514">
        <w:rPr>
          <w:rFonts w:cs="Times New Roman"/>
          <w:i/>
          <w:iCs/>
          <w:vertAlign w:val="subscript"/>
        </w:rPr>
        <w:t>i</w:t>
      </w:r>
      <w:r w:rsidRPr="00D66514">
        <w:rPr>
          <w:rFonts w:cs="Times New Roman"/>
        </w:rPr>
        <w:t xml:space="preserve">) represents the log-likelihood of the SPF, developed from data, </w:t>
      </w:r>
      <w:r w:rsidRPr="00D66514">
        <w:rPr>
          <w:rFonts w:cs="Times New Roman"/>
          <w:i/>
          <w:iCs/>
        </w:rPr>
        <w:t>i</w:t>
      </w:r>
      <w:r w:rsidRPr="00D66514">
        <w:rPr>
          <w:rFonts w:cs="Times New Roman"/>
        </w:rPr>
        <w:t xml:space="preserve">, that is being applied to data of a specific state, </w:t>
      </w:r>
      <w:r w:rsidRPr="00D66514">
        <w:rPr>
          <w:rFonts w:cs="Times New Roman"/>
          <w:i/>
          <w:iCs/>
        </w:rPr>
        <w:t>j</w:t>
      </w:r>
      <w:r w:rsidRPr="00D66514">
        <w:rPr>
          <w:rFonts w:cs="Times New Roman"/>
        </w:rPr>
        <w:t xml:space="preserve">. The term </w:t>
      </w:r>
      <w:r w:rsidRPr="00D66514">
        <w:rPr>
          <w:i/>
          <w:iCs/>
        </w:rPr>
        <w:t>LL</w:t>
      </w:r>
      <w:r w:rsidRPr="00D66514">
        <w:rPr>
          <w:i/>
          <w:iCs/>
          <w:vertAlign w:val="subscript"/>
        </w:rPr>
        <w:t>j</w:t>
      </w:r>
      <w:r w:rsidRPr="00D66514">
        <w:t>(</w:t>
      </w:r>
      <w:r w:rsidRPr="00D66514">
        <w:rPr>
          <w:rFonts w:cs="Times New Roman"/>
          <w:i/>
          <w:iCs/>
        </w:rPr>
        <w:t>β</w:t>
      </w:r>
      <w:r w:rsidRPr="00D66514">
        <w:rPr>
          <w:rFonts w:cs="Times New Roman"/>
          <w:i/>
          <w:iCs/>
          <w:vertAlign w:val="subscript"/>
        </w:rPr>
        <w:t>j</w:t>
      </w:r>
      <w:r w:rsidRPr="00D66514">
        <w:rPr>
          <w:rFonts w:cs="Times New Roman"/>
        </w:rPr>
        <w:t xml:space="preserve">) is the log-likelihood of state </w:t>
      </w:r>
      <w:r w:rsidRPr="00D66514">
        <w:rPr>
          <w:rFonts w:cs="Times New Roman"/>
          <w:i/>
          <w:iCs/>
        </w:rPr>
        <w:t>j</w:t>
      </w:r>
      <w:r w:rsidRPr="00D66514">
        <w:rPr>
          <w:rFonts w:cs="Times New Roman"/>
        </w:rPr>
        <w:t xml:space="preserve">’s SPF and the term </w:t>
      </w:r>
      <w:r w:rsidRPr="00D66514">
        <w:rPr>
          <w:i/>
          <w:iCs/>
        </w:rPr>
        <w:t>LL</w:t>
      </w:r>
      <w:r w:rsidRPr="00D66514">
        <w:rPr>
          <w:i/>
          <w:iCs/>
          <w:vertAlign w:val="subscript"/>
        </w:rPr>
        <w:t>j</w:t>
      </w:r>
      <w:r w:rsidRPr="00D66514">
        <w:t>(</w:t>
      </w:r>
      <w:r w:rsidRPr="00D66514">
        <w:rPr>
          <w:rFonts w:cs="Times New Roman"/>
          <w:i/>
          <w:iCs/>
        </w:rPr>
        <w:t>β</w:t>
      </w:r>
      <w:r w:rsidRPr="00D66514">
        <w:rPr>
          <w:rFonts w:cs="Times New Roman"/>
          <w:i/>
          <w:iCs/>
          <w:vertAlign w:val="subscript"/>
        </w:rPr>
        <w:t>reference</w:t>
      </w:r>
      <w:r w:rsidRPr="00D66514">
        <w:rPr>
          <w:rFonts w:cs="Times New Roman"/>
          <w:i/>
          <w:iCs/>
        </w:rPr>
        <w:t xml:space="preserve"> </w:t>
      </w:r>
      <w:r w:rsidRPr="00D66514">
        <w:rPr>
          <w:rFonts w:cs="Times New Roman"/>
          <w:i/>
          <w:iCs/>
          <w:vertAlign w:val="subscript"/>
        </w:rPr>
        <w:t>j</w:t>
      </w:r>
      <w:r w:rsidRPr="00D66514">
        <w:rPr>
          <w:rFonts w:cs="Times New Roman"/>
        </w:rPr>
        <w:t xml:space="preserve">) is log-likelihood of state </w:t>
      </w:r>
      <w:r w:rsidRPr="00D66514">
        <w:rPr>
          <w:rFonts w:cs="Times New Roman"/>
          <w:i/>
          <w:iCs/>
        </w:rPr>
        <w:t>j</w:t>
      </w:r>
      <w:r w:rsidRPr="00D66514">
        <w:rPr>
          <w:rFonts w:cs="Times New Roman"/>
        </w:rPr>
        <w:t>’s intercept only SPF.</w:t>
      </w:r>
      <w:r w:rsidR="004162EA" w:rsidRPr="00D66514">
        <w:rPr>
          <w:rFonts w:cs="Times New Roman"/>
        </w:rPr>
        <w:t xml:space="preserve"> The</w:t>
      </w:r>
      <w:r w:rsidRPr="00D66514">
        <w:rPr>
          <w:rFonts w:cs="Times New Roman"/>
        </w:rPr>
        <w:t xml:space="preserve"> </w:t>
      </w:r>
      <w:r w:rsidR="00E34EDE" w:rsidRPr="00D66514">
        <w:rPr>
          <w:rFonts w:cs="Times New Roman"/>
          <w:i/>
          <w:iCs/>
        </w:rPr>
        <w:t>TI</w:t>
      </w:r>
      <w:r w:rsidR="00E34EDE" w:rsidRPr="00D66514">
        <w:rPr>
          <w:rFonts w:cs="Times New Roman"/>
        </w:rPr>
        <w:t xml:space="preserve"> measure compares the performance of the model of interest with respect to</w:t>
      </w:r>
      <w:r w:rsidR="00856522" w:rsidRPr="00D66514">
        <w:rPr>
          <w:rFonts w:cs="Times New Roman"/>
        </w:rPr>
        <w:t xml:space="preserve"> the</w:t>
      </w:r>
      <w:r w:rsidR="00E34EDE" w:rsidRPr="00D66514">
        <w:rPr>
          <w:rFonts w:cs="Times New Roman"/>
        </w:rPr>
        <w:t xml:space="preserve"> performance of an intercept only model. The higher the </w:t>
      </w:r>
      <w:r w:rsidR="00E34EDE" w:rsidRPr="00D66514">
        <w:rPr>
          <w:rFonts w:cs="Times New Roman"/>
          <w:i/>
          <w:iCs/>
        </w:rPr>
        <w:t>TI</w:t>
      </w:r>
      <w:r w:rsidR="00E34EDE" w:rsidRPr="00D66514">
        <w:rPr>
          <w:rFonts w:cs="Times New Roman"/>
        </w:rPr>
        <w:t xml:space="preserve"> value the better is the performance relative to the intercept model. </w:t>
      </w:r>
      <w:r w:rsidR="004162EA" w:rsidRPr="00D66514">
        <w:rPr>
          <w:rFonts w:cs="Times New Roman"/>
        </w:rPr>
        <w:t>T</w:t>
      </w:r>
      <w:r w:rsidRPr="00D66514">
        <w:rPr>
          <w:rFonts w:cs="Times New Roman"/>
        </w:rPr>
        <w:t xml:space="preserve">he closer </w:t>
      </w:r>
      <w:r w:rsidRPr="00D66514">
        <w:rPr>
          <w:rFonts w:cs="Times New Roman"/>
          <w:i/>
          <w:iCs/>
        </w:rPr>
        <w:t>TI</w:t>
      </w:r>
      <w:r w:rsidRPr="00D66514">
        <w:rPr>
          <w:rFonts w:cs="Times New Roman"/>
        </w:rPr>
        <w:t xml:space="preserve"> is to unity</w:t>
      </w:r>
      <w:r w:rsidR="004162EA" w:rsidRPr="00D66514">
        <w:rPr>
          <w:rFonts w:cs="Times New Roman"/>
        </w:rPr>
        <w:t>,</w:t>
      </w:r>
      <w:r w:rsidRPr="00D66514">
        <w:rPr>
          <w:rFonts w:cs="Times New Roman"/>
        </w:rPr>
        <w:t xml:space="preserve"> the SPF, developed from data </w:t>
      </w:r>
      <w:r w:rsidRPr="00D66514">
        <w:rPr>
          <w:rFonts w:cs="Times New Roman"/>
          <w:i/>
          <w:iCs/>
        </w:rPr>
        <w:t>i</w:t>
      </w:r>
      <w:r w:rsidRPr="00D66514">
        <w:rPr>
          <w:rFonts w:cs="Times New Roman"/>
        </w:rPr>
        <w:t>, is</w:t>
      </w:r>
      <w:r w:rsidR="004162EA" w:rsidRPr="00D66514">
        <w:rPr>
          <w:rFonts w:cs="Times New Roman"/>
        </w:rPr>
        <w:t xml:space="preserve"> more transferable</w:t>
      </w:r>
      <w:r w:rsidRPr="00D66514">
        <w:rPr>
          <w:rFonts w:cs="Times New Roman"/>
        </w:rPr>
        <w:t xml:space="preserve"> to state </w:t>
      </w:r>
      <w:r w:rsidRPr="00D66514">
        <w:rPr>
          <w:rFonts w:cs="Times New Roman"/>
          <w:i/>
          <w:iCs/>
        </w:rPr>
        <w:t>j</w:t>
      </w:r>
      <w:r w:rsidRPr="00D66514">
        <w:rPr>
          <w:rFonts w:cs="Times New Roman"/>
        </w:rPr>
        <w:t xml:space="preserve">. A negative </w:t>
      </w:r>
      <w:r w:rsidRPr="00D66514">
        <w:rPr>
          <w:rFonts w:cs="Times New Roman"/>
          <w:i/>
          <w:iCs/>
        </w:rPr>
        <w:t>TI</w:t>
      </w:r>
      <w:r w:rsidRPr="00D66514">
        <w:rPr>
          <w:rFonts w:cs="Times New Roman"/>
        </w:rPr>
        <w:t xml:space="preserve"> indicates that state </w:t>
      </w:r>
      <w:r w:rsidRPr="00D66514">
        <w:rPr>
          <w:rFonts w:cs="Times New Roman"/>
          <w:i/>
          <w:iCs/>
        </w:rPr>
        <w:t>j</w:t>
      </w:r>
      <w:r w:rsidRPr="00D66514">
        <w:rPr>
          <w:rFonts w:cs="Times New Roman"/>
        </w:rPr>
        <w:t xml:space="preserve">’s intercept only model performs better than the SPF of state </w:t>
      </w:r>
      <w:r w:rsidRPr="00D66514">
        <w:rPr>
          <w:rFonts w:cs="Times New Roman"/>
          <w:i/>
          <w:iCs/>
        </w:rPr>
        <w:t>i</w:t>
      </w:r>
      <w:r w:rsidRPr="00D66514">
        <w:rPr>
          <w:rFonts w:cs="Times New Roman"/>
        </w:rPr>
        <w:t xml:space="preserve"> applied to state </w:t>
      </w:r>
      <w:r w:rsidRPr="00D66514">
        <w:rPr>
          <w:rFonts w:cs="Times New Roman"/>
          <w:i/>
          <w:iCs/>
        </w:rPr>
        <w:t>j</w:t>
      </w:r>
      <w:r w:rsidRPr="00D66514">
        <w:rPr>
          <w:rFonts w:cs="Times New Roman"/>
        </w:rPr>
        <w:t xml:space="preserve">. </w:t>
      </w:r>
      <w:r w:rsidR="00E26E78" w:rsidRPr="00D66514">
        <w:t xml:space="preserve"> </w:t>
      </w:r>
    </w:p>
    <w:p w14:paraId="0FEA9F4A" w14:textId="57DA4F1F" w:rsidR="008F464C" w:rsidRPr="00D66514" w:rsidRDefault="008F464C">
      <w:pPr>
        <w:pStyle w:val="Heading2"/>
      </w:pPr>
      <w:r w:rsidRPr="00D66514">
        <w:t>Empirical Bayes Me</w:t>
      </w:r>
      <w:r w:rsidR="00047DBD" w:rsidRPr="00D66514">
        <w:t>asure</w:t>
      </w:r>
      <w:r w:rsidRPr="00D66514">
        <w:t xml:space="preserve"> </w:t>
      </w:r>
    </w:p>
    <w:p w14:paraId="3B7E5A9B" w14:textId="5F8D4F6F" w:rsidR="00FC17EF" w:rsidRPr="00D66514" w:rsidRDefault="00E32657" w:rsidP="0058172A">
      <w:r w:rsidRPr="00D66514">
        <w:t xml:space="preserve">A Modified Empirical Bayes (MEB) measure is proposed as an alternative to the current calibration factor method of the HSM. </w:t>
      </w:r>
      <w:r w:rsidR="00856522" w:rsidRPr="00D66514">
        <w:t>That is to adjust crash frequencies that are being predicted for a future year.</w:t>
      </w:r>
      <w:r w:rsidR="008F464C" w:rsidRPr="00D66514">
        <w:t xml:space="preserve"> The current</w:t>
      </w:r>
      <w:r w:rsidR="00EC4E1D" w:rsidRPr="00D66514">
        <w:t xml:space="preserve"> HSM</w:t>
      </w:r>
      <w:r w:rsidR="008F464C" w:rsidRPr="00D66514">
        <w:t xml:space="preserve"> calibration factor</w:t>
      </w:r>
      <w:r w:rsidR="00856522" w:rsidRPr="00D66514">
        <w:t xml:space="preserve"> method</w:t>
      </w:r>
      <w:r w:rsidR="008F464C" w:rsidRPr="00D66514">
        <w:t xml:space="preserve"> </w:t>
      </w:r>
      <w:r w:rsidR="00EC4E1D" w:rsidRPr="00D66514">
        <w:t xml:space="preserve">has </w:t>
      </w:r>
      <w:r w:rsidR="00856522" w:rsidRPr="00D66514">
        <w:t xml:space="preserve">one </w:t>
      </w:r>
      <w:r w:rsidR="00EC4E1D" w:rsidRPr="00D66514">
        <w:t>major limitation</w:t>
      </w:r>
      <w:r w:rsidR="00856522" w:rsidRPr="00D66514">
        <w:t>. T</w:t>
      </w:r>
      <w:r w:rsidR="008F464C" w:rsidRPr="00D66514">
        <w:t xml:space="preserve">he calibration factor is a single value </w:t>
      </w:r>
      <w:r w:rsidR="00EC4E1D" w:rsidRPr="00D66514">
        <w:t xml:space="preserve">that </w:t>
      </w:r>
      <w:r w:rsidR="008F464C" w:rsidRPr="00D66514">
        <w:t xml:space="preserve">applies to </w:t>
      </w:r>
      <w:r w:rsidR="00EC4E1D" w:rsidRPr="00D66514">
        <w:t>the entire study region over-simplifying the calibration procedure.</w:t>
      </w:r>
    </w:p>
    <w:p w14:paraId="6A650788" w14:textId="191AD67E" w:rsidR="00EC4E1D" w:rsidRPr="00D66514" w:rsidRDefault="00E32657" w:rsidP="0058172A">
      <w:pPr>
        <w:spacing w:line="276" w:lineRule="auto"/>
      </w:pPr>
      <w:r w:rsidRPr="00D66514">
        <w:t>To develop a more disaggregate approach, we propose a modified version of the Empirical Bayes method, provided in the HSM, to calibrate the SPF for improving transferability.</w:t>
      </w:r>
      <w:r w:rsidR="00D55290" w:rsidRPr="00D66514">
        <w:t xml:space="preserve"> </w:t>
      </w:r>
      <w:r w:rsidR="00A95E0B" w:rsidRPr="00D66514">
        <w:rPr>
          <w:rFonts w:asciiTheme="majorBidi" w:hAnsiTheme="majorBidi" w:cstheme="majorBidi"/>
          <w:bCs/>
        </w:rPr>
        <w:t xml:space="preserve">The original Empirical Bayes (EB) Method is used for estimating counts of crashes that would have happened at sites marked for treatment if the treatment is not implemented in before / after studies. Its advantage is that it takes into account the regression to the mean bias. However, in this study, the method is </w:t>
      </w:r>
      <w:r w:rsidR="00305A72" w:rsidRPr="00D66514">
        <w:rPr>
          <w:rFonts w:asciiTheme="majorBidi" w:hAnsiTheme="majorBidi" w:cstheme="majorBidi"/>
          <w:bCs/>
        </w:rPr>
        <w:t>different</w:t>
      </w:r>
      <w:r w:rsidR="00A95E0B" w:rsidRPr="00D66514">
        <w:rPr>
          <w:rFonts w:asciiTheme="majorBidi" w:hAnsiTheme="majorBidi" w:cstheme="majorBidi"/>
          <w:bCs/>
        </w:rPr>
        <w:t>.</w:t>
      </w:r>
      <w:r w:rsidR="00725411" w:rsidRPr="00D66514">
        <w:rPr>
          <w:rFonts w:asciiTheme="majorBidi" w:hAnsiTheme="majorBidi" w:cstheme="majorBidi"/>
          <w:bCs/>
        </w:rPr>
        <w:t xml:space="preserve"> </w:t>
      </w:r>
      <w:r w:rsidR="00725411" w:rsidRPr="00D66514">
        <w:t>Our approach is similar to that applied by Elvik (2008). Yet, instead of adjusting crash frequencies predicted by the SPF for a future year</w:t>
      </w:r>
      <w:r w:rsidR="00E818EC" w:rsidRPr="00D66514">
        <w:t xml:space="preserve"> in the same jurisdiction, the </w:t>
      </w:r>
      <w:r w:rsidRPr="00D66514">
        <w:t>M</w:t>
      </w:r>
      <w:r w:rsidR="00725411" w:rsidRPr="00D66514">
        <w:t>EB method is applied to facilitate transferability of SPFs among different jurisdictions.</w:t>
      </w:r>
      <w:r w:rsidR="00D55290" w:rsidRPr="00D66514">
        <w:rPr>
          <w:rFonts w:asciiTheme="majorBidi" w:hAnsiTheme="majorBidi" w:cstheme="majorBidi"/>
          <w:bCs/>
        </w:rPr>
        <w:t xml:space="preserve"> </w:t>
      </w:r>
      <w:r w:rsidR="00EC4E1D" w:rsidRPr="00D66514">
        <w:t>The approach employs a weighted average of observed crashes in the region (</w:t>
      </w:r>
      <w:r w:rsidR="00EC4E1D" w:rsidRPr="00D66514">
        <w:rPr>
          <w:i/>
          <w:iCs/>
        </w:rPr>
        <w:t>N</w:t>
      </w:r>
      <w:r w:rsidR="00EC4E1D" w:rsidRPr="00D66514">
        <w:rPr>
          <w:vertAlign w:val="subscript"/>
        </w:rPr>
        <w:t>obs</w:t>
      </w:r>
      <w:r w:rsidR="00EC4E1D" w:rsidRPr="00D66514">
        <w:t xml:space="preserve">) and predicted crashes from the SPF to arrive at the expected crash frequency, </w:t>
      </w:r>
      <w:r w:rsidR="00EC4E1D" w:rsidRPr="00D66514">
        <w:rPr>
          <w:i/>
          <w:iCs/>
        </w:rPr>
        <w:t>N</w:t>
      </w:r>
      <w:r w:rsidR="00EC4E1D" w:rsidRPr="00D66514">
        <w:rPr>
          <w:i/>
          <w:iCs/>
          <w:vertAlign w:val="subscript"/>
        </w:rPr>
        <w:t xml:space="preserve">exp, </w:t>
      </w:r>
      <w:r w:rsidR="00EC4E1D" w:rsidRPr="00D66514">
        <w:rPr>
          <w:iCs/>
        </w:rPr>
        <w:t>as shown</w:t>
      </w:r>
      <w:r w:rsidR="00EC4E1D" w:rsidRPr="00D66514">
        <w:t>.</w:t>
      </w:r>
    </w:p>
    <w:p w14:paraId="440BF3E3" w14:textId="61E82D4D" w:rsidR="0030577B" w:rsidRPr="00D66514" w:rsidRDefault="00025D38" w:rsidP="00E70528">
      <w:pPr>
        <w:keepNext/>
      </w:pPr>
      <w:r w:rsidRPr="00D66514">
        <w:rPr>
          <w:position w:val="-14"/>
        </w:rPr>
        <w:object w:dxaOrig="3180" w:dyaOrig="380" w14:anchorId="120A85D4">
          <v:shape id="_x0000_i1035" type="#_x0000_t75" style="width:159.75pt;height:18.75pt" o:ole="">
            <v:imagedata r:id="rId31" o:title=""/>
          </v:shape>
          <o:OLEObject Type="Embed" ProgID="Equation.3" ShapeID="_x0000_i1035" DrawAspect="Content" ObjectID="_1523268519" r:id="rId32"/>
        </w:object>
      </w:r>
      <w:r w:rsidR="00501C35" w:rsidRPr="00D66514">
        <w:tab/>
      </w:r>
      <w:r w:rsidR="00501C35" w:rsidRPr="00D66514">
        <w:tab/>
      </w:r>
      <w:r w:rsidR="00B86C54" w:rsidRPr="00D66514">
        <w:t xml:space="preserve">                         </w:t>
      </w:r>
      <w:r w:rsidR="00501C35" w:rsidRPr="00D66514">
        <w:tab/>
      </w:r>
      <w:r w:rsidR="00501C35" w:rsidRPr="00D66514">
        <w:tab/>
        <w:t xml:space="preserve">     </w:t>
      </w:r>
      <w:r w:rsidR="00B86C54" w:rsidRPr="00D66514">
        <w:t xml:space="preserve">                        </w:t>
      </w:r>
      <w:r w:rsidR="00501C35" w:rsidRPr="00D66514">
        <w:t>(</w:t>
      </w:r>
      <w:r w:rsidR="00A226E1">
        <w:fldChar w:fldCharType="begin"/>
      </w:r>
      <w:r w:rsidR="00A226E1">
        <w:instrText xml:space="preserve"> SEQ ( \* ARABIC </w:instrText>
      </w:r>
      <w:r w:rsidR="00A226E1">
        <w:fldChar w:fldCharType="separate"/>
      </w:r>
      <w:r w:rsidR="004F0410">
        <w:rPr>
          <w:noProof/>
        </w:rPr>
        <w:t>11</w:t>
      </w:r>
      <w:r w:rsidR="00A226E1">
        <w:rPr>
          <w:noProof/>
        </w:rPr>
        <w:fldChar w:fldCharType="end"/>
      </w:r>
      <w:r w:rsidR="00501C35" w:rsidRPr="00D66514">
        <w:t>)</w:t>
      </w:r>
    </w:p>
    <w:p w14:paraId="2B41795E" w14:textId="11E7162F" w:rsidR="0030577B" w:rsidRPr="00D66514" w:rsidRDefault="0030577B">
      <w:pPr>
        <w:spacing w:after="0"/>
      </w:pPr>
      <w:r w:rsidRPr="00D66514">
        <w:t xml:space="preserve">The subscripts </w:t>
      </w:r>
      <w:r w:rsidRPr="00D66514">
        <w:rPr>
          <w:i/>
          <w:iCs/>
        </w:rPr>
        <w:t>i</w:t>
      </w:r>
      <w:r w:rsidRPr="00D66514">
        <w:t xml:space="preserve"> represent the segment number. Also the weight, </w:t>
      </w:r>
      <w:r w:rsidRPr="00D66514">
        <w:rPr>
          <w:i/>
          <w:iCs/>
        </w:rPr>
        <w:t>w</w:t>
      </w:r>
      <w:r w:rsidRPr="00D66514">
        <w:rPr>
          <w:i/>
          <w:iCs/>
          <w:vertAlign w:val="subscript"/>
        </w:rPr>
        <w:t>i</w:t>
      </w:r>
      <w:r w:rsidRPr="00D66514">
        <w:t>, is defined as follows</w:t>
      </w:r>
      <w:r w:rsidR="00F01BBC" w:rsidRPr="00D66514">
        <w:t>.</w:t>
      </w:r>
    </w:p>
    <w:p w14:paraId="26107BFD" w14:textId="02DEC725" w:rsidR="0011159B" w:rsidRPr="00D66514" w:rsidRDefault="0067663A" w:rsidP="00E70528">
      <w:pPr>
        <w:keepNext/>
        <w:spacing w:before="240"/>
      </w:pPr>
      <w:r w:rsidRPr="00D66514">
        <w:rPr>
          <w:position w:val="-30"/>
        </w:rPr>
        <w:object w:dxaOrig="1840" w:dyaOrig="680" w14:anchorId="2207BA7D">
          <v:shape id="_x0000_i1036" type="#_x0000_t75" style="width:92.25pt;height:33.75pt" o:ole="">
            <v:imagedata r:id="rId33" o:title=""/>
          </v:shape>
          <o:OLEObject Type="Embed" ProgID="Equation.3" ShapeID="_x0000_i1036" DrawAspect="Content" ObjectID="_1523268520" r:id="rId34"/>
        </w:object>
      </w:r>
      <w:r w:rsidR="00B86C54" w:rsidRPr="00D66514">
        <w:t xml:space="preserve">                                       </w:t>
      </w:r>
      <w:r w:rsidR="004C4F13" w:rsidRPr="00D66514">
        <w:t xml:space="preserve"> </w:t>
      </w:r>
      <w:r w:rsidR="004C4F13" w:rsidRPr="00D66514">
        <w:tab/>
      </w:r>
      <w:r w:rsidR="004C4F13" w:rsidRPr="00D66514">
        <w:tab/>
        <w:t xml:space="preserve">   </w:t>
      </w:r>
      <w:r w:rsidR="004C4F13" w:rsidRPr="00D66514">
        <w:tab/>
      </w:r>
      <w:r w:rsidR="004C4F13" w:rsidRPr="00D66514">
        <w:tab/>
      </w:r>
      <w:r w:rsidR="004C4F13" w:rsidRPr="00D66514">
        <w:tab/>
        <w:t xml:space="preserve">     </w:t>
      </w:r>
      <w:r w:rsidR="00B86C54" w:rsidRPr="00D66514">
        <w:t xml:space="preserve">                        </w:t>
      </w:r>
      <w:r w:rsidR="004C4F13" w:rsidRPr="00D66514">
        <w:t>(</w:t>
      </w:r>
      <w:r w:rsidR="00A226E1">
        <w:fldChar w:fldCharType="begin"/>
      </w:r>
      <w:r w:rsidR="00A226E1">
        <w:instrText xml:space="preserve"> SEQ ( \* ARABIC </w:instrText>
      </w:r>
      <w:r w:rsidR="00A226E1">
        <w:fldChar w:fldCharType="separate"/>
      </w:r>
      <w:r w:rsidR="004F0410">
        <w:rPr>
          <w:noProof/>
        </w:rPr>
        <w:t>12</w:t>
      </w:r>
      <w:r w:rsidR="00A226E1">
        <w:rPr>
          <w:noProof/>
        </w:rPr>
        <w:fldChar w:fldCharType="end"/>
      </w:r>
      <w:r w:rsidR="004C4F13" w:rsidRPr="00D66514">
        <w:t>)</w:t>
      </w:r>
    </w:p>
    <w:p w14:paraId="68EED29E" w14:textId="142529E7" w:rsidR="00EC4E1D" w:rsidRPr="00D66514" w:rsidRDefault="0030577B" w:rsidP="0058172A">
      <w:pPr>
        <w:spacing w:after="0"/>
        <w:rPr>
          <w:iCs/>
        </w:rPr>
      </w:pPr>
      <w:r w:rsidRPr="00D66514">
        <w:t xml:space="preserve">The </w:t>
      </w:r>
      <w:r w:rsidR="00686910" w:rsidRPr="00D66514">
        <w:t>over-dispersion</w:t>
      </w:r>
      <w:r w:rsidRPr="00D66514">
        <w:t xml:space="preserve"> parameter, </w:t>
      </w:r>
      <w:r w:rsidRPr="00D66514">
        <w:rPr>
          <w:i/>
          <w:iCs/>
        </w:rPr>
        <w:t>k</w:t>
      </w:r>
      <w:r w:rsidRPr="00D66514">
        <w:t>, is that of the SPF</w:t>
      </w:r>
      <w:r w:rsidR="002437D1" w:rsidRPr="00D66514">
        <w:t xml:space="preserve"> being applied to segment </w:t>
      </w:r>
      <w:r w:rsidR="002437D1" w:rsidRPr="00D66514">
        <w:rPr>
          <w:i/>
          <w:iCs/>
        </w:rPr>
        <w:t>i</w:t>
      </w:r>
      <w:r w:rsidR="002437D1" w:rsidRPr="00D66514">
        <w:t xml:space="preserve"> of the application data.</w:t>
      </w:r>
      <w:r w:rsidR="00636C4C" w:rsidRPr="00D66514">
        <w:t xml:space="preserve"> </w:t>
      </w:r>
      <w:r w:rsidR="00A36B9C" w:rsidRPr="00D66514">
        <w:t>While the approach is elegant</w:t>
      </w:r>
      <w:r w:rsidR="004162EA" w:rsidRPr="00D66514">
        <w:t>,</w:t>
      </w:r>
      <w:r w:rsidR="00A36B9C" w:rsidRPr="00D66514">
        <w:t xml:space="preserve"> a big question to answer is how we will obtain segment level observed crash data (</w:t>
      </w:r>
      <w:r w:rsidR="00A36B9C" w:rsidRPr="00D66514">
        <w:rPr>
          <w:i/>
        </w:rPr>
        <w:t>N</w:t>
      </w:r>
      <w:r w:rsidR="00A36B9C" w:rsidRPr="00D66514">
        <w:rPr>
          <w:i/>
          <w:vertAlign w:val="subscript"/>
        </w:rPr>
        <w:t>obs</w:t>
      </w:r>
      <w:r w:rsidR="00A36B9C" w:rsidRPr="00D66514">
        <w:t xml:space="preserve">). In fact, if such data were available, the analysts could estimate a localized SPF and use it for prediction. </w:t>
      </w:r>
      <w:r w:rsidR="00047DBD" w:rsidRPr="00D66514">
        <w:t>Hence in</w:t>
      </w:r>
      <w:r w:rsidR="00A36B9C" w:rsidRPr="00D66514">
        <w:t xml:space="preserve"> cases</w:t>
      </w:r>
      <w:r w:rsidR="00047DBD" w:rsidRPr="00D66514">
        <w:t xml:space="preserve"> where </w:t>
      </w:r>
      <w:r w:rsidR="00047DBD" w:rsidRPr="00D66514">
        <w:rPr>
          <w:i/>
        </w:rPr>
        <w:t>N</w:t>
      </w:r>
      <w:r w:rsidR="00047DBD" w:rsidRPr="00D66514">
        <w:rPr>
          <w:i/>
          <w:vertAlign w:val="subscript"/>
        </w:rPr>
        <w:t xml:space="preserve">obs </w:t>
      </w:r>
      <w:r w:rsidR="00047DBD" w:rsidRPr="00D66514">
        <w:t>is unavailable</w:t>
      </w:r>
      <w:r w:rsidR="00A36B9C" w:rsidRPr="00D66514">
        <w:t>, we believe using past observed data for the study region will be very useful.</w:t>
      </w:r>
      <w:r w:rsidR="00A95E0B" w:rsidRPr="00D66514">
        <w:t xml:space="preserve"> </w:t>
      </w:r>
      <w:r w:rsidR="00A95E0B" w:rsidRPr="00D66514">
        <w:rPr>
          <w:rFonts w:asciiTheme="majorBidi" w:hAnsiTheme="majorBidi" w:cstheme="majorBidi"/>
          <w:bCs/>
        </w:rPr>
        <w:t>That is, the proposed measure allow</w:t>
      </w:r>
      <w:r w:rsidR="00D253C4" w:rsidRPr="00D66514">
        <w:rPr>
          <w:rFonts w:asciiTheme="majorBidi" w:hAnsiTheme="majorBidi" w:cstheme="majorBidi"/>
          <w:bCs/>
        </w:rPr>
        <w:t>s</w:t>
      </w:r>
      <w:r w:rsidR="00A95E0B" w:rsidRPr="00D66514">
        <w:rPr>
          <w:rFonts w:asciiTheme="majorBidi" w:hAnsiTheme="majorBidi" w:cstheme="majorBidi"/>
          <w:bCs/>
        </w:rPr>
        <w:t xml:space="preserve"> for the past observed crash counts to affect the predicted counts. At the same time, we don’t want the measure to be purely based on past history. Hence, we proposed a weighted measure of past observed counts for the region and predicted counts from a transferred model. The weight parameter is affected by the over-dispersion parameter. Thus, if the transferred SPF has a lower dispersion value, the weight for the transferred model is higher. Hence, as the confidence in the transferred model increases</w:t>
      </w:r>
      <w:r w:rsidR="00D253C4" w:rsidRPr="00D66514">
        <w:rPr>
          <w:rFonts w:asciiTheme="majorBidi" w:hAnsiTheme="majorBidi" w:cstheme="majorBidi"/>
          <w:bCs/>
        </w:rPr>
        <w:t>,</w:t>
      </w:r>
      <w:r w:rsidR="00A95E0B" w:rsidRPr="00D66514">
        <w:rPr>
          <w:rFonts w:asciiTheme="majorBidi" w:hAnsiTheme="majorBidi" w:cstheme="majorBidi"/>
          <w:bCs/>
        </w:rPr>
        <w:t xml:space="preserve"> the weight from past observed crashes is reduced.</w:t>
      </w:r>
      <w:r w:rsidR="0077227A" w:rsidRPr="00D66514">
        <w:rPr>
          <w:rFonts w:asciiTheme="majorBidi" w:hAnsiTheme="majorBidi" w:cstheme="majorBidi"/>
          <w:bCs/>
        </w:rPr>
        <w:t xml:space="preserve"> </w:t>
      </w:r>
      <w:r w:rsidR="00E32657" w:rsidRPr="00D66514">
        <w:rPr>
          <w:iCs/>
        </w:rPr>
        <w:t>The MEB method proposed here would enhance the transferability of the model by allowing for segment specific calibration.</w:t>
      </w:r>
    </w:p>
    <w:p w14:paraId="462A4238" w14:textId="65B463DE" w:rsidR="00364485" w:rsidRPr="00D66514" w:rsidRDefault="0002068C" w:rsidP="00CE1984">
      <w:pPr>
        <w:pStyle w:val="Heading1"/>
      </w:pPr>
      <w:r w:rsidRPr="00D66514">
        <w:t>Empi</w:t>
      </w:r>
      <w:r w:rsidR="003B2EB5" w:rsidRPr="00D66514">
        <w:t>R</w:t>
      </w:r>
      <w:r w:rsidRPr="00D66514">
        <w:t>ical analysis</w:t>
      </w:r>
    </w:p>
    <w:p w14:paraId="1A1FFDC4" w14:textId="6892EF63" w:rsidR="00AF7A18" w:rsidRPr="00D66514" w:rsidRDefault="00364485" w:rsidP="00E70528">
      <w:pPr>
        <w:pStyle w:val="Heading2"/>
      </w:pPr>
      <w:r w:rsidRPr="00D66514">
        <w:t>Model Estimation Results</w:t>
      </w:r>
    </w:p>
    <w:p w14:paraId="10757703" w14:textId="3CBFBC9C" w:rsidR="00006410" w:rsidRPr="00D66514" w:rsidRDefault="00364485" w:rsidP="00E00C59">
      <w:pPr>
        <w:spacing w:after="0"/>
      </w:pPr>
      <w:r w:rsidRPr="00D66514">
        <w:t>In this section, we present the results of the pooled models. Specifically, the</w:t>
      </w:r>
      <w:r w:rsidR="00B14923" w:rsidRPr="00D66514">
        <w:t xml:space="preserve"> average conditions</w:t>
      </w:r>
      <w:r w:rsidRPr="00D66514">
        <w:t xml:space="preserve"> results presented are: (1) Florida and Ohio joint SPF</w:t>
      </w:r>
      <w:r w:rsidR="00037D20" w:rsidRPr="00D66514">
        <w:t>s</w:t>
      </w:r>
      <w:r w:rsidRPr="00D66514">
        <w:t>, (2) Florida and California joint SPF</w:t>
      </w:r>
      <w:r w:rsidR="00037D20" w:rsidRPr="00D66514">
        <w:t>s</w:t>
      </w:r>
      <w:r w:rsidRPr="00D66514">
        <w:t>, (3) Ohio and California joint SPF</w:t>
      </w:r>
      <w:r w:rsidR="00037D20" w:rsidRPr="00D66514">
        <w:t>s</w:t>
      </w:r>
      <w:r w:rsidRPr="00D66514">
        <w:t xml:space="preserve"> and (4) Florida, Ohio </w:t>
      </w:r>
      <w:r w:rsidR="0071756A" w:rsidRPr="00D66514">
        <w:t xml:space="preserve">and California </w:t>
      </w:r>
      <w:r w:rsidRPr="00D66514">
        <w:t>joint SPF</w:t>
      </w:r>
      <w:r w:rsidR="00037D20" w:rsidRPr="00D66514">
        <w:t>s</w:t>
      </w:r>
      <w:r w:rsidRPr="00D66514">
        <w:t>.</w:t>
      </w:r>
      <w:r w:rsidR="00B14923" w:rsidRPr="00D66514">
        <w:t xml:space="preserve"> The modified base conditions results of the Ohio and California joint SPFs are presented as well.</w:t>
      </w:r>
      <w:r w:rsidRPr="00D66514">
        <w:t xml:space="preserve"> The </w:t>
      </w:r>
      <w:r w:rsidR="00B14923" w:rsidRPr="00D66514">
        <w:t xml:space="preserve">five </w:t>
      </w:r>
      <w:r w:rsidR="00037D20" w:rsidRPr="00D66514">
        <w:t xml:space="preserve">sets of </w:t>
      </w:r>
      <w:r w:rsidRPr="00D66514">
        <w:t xml:space="preserve">SPFs </w:t>
      </w:r>
      <w:r w:rsidR="00B14923" w:rsidRPr="00D66514">
        <w:t xml:space="preserve">are </w:t>
      </w:r>
      <w:r w:rsidRPr="00D66514">
        <w:t xml:space="preserve">developed for KABCO, KABC, KAB, KA, SV and MV cases. The model estimation process involved a total of </w:t>
      </w:r>
      <w:r w:rsidR="00B14923" w:rsidRPr="00D66514">
        <w:t xml:space="preserve">66 </w:t>
      </w:r>
      <w:r w:rsidRPr="00D66514">
        <w:t>models</w:t>
      </w:r>
      <w:r w:rsidR="00E00C59" w:rsidRPr="00D66514">
        <w:t xml:space="preserve"> including the single state models</w:t>
      </w:r>
      <w:r w:rsidRPr="00D66514">
        <w:t xml:space="preserve">. The estimation process was guided by earlier research, intuitive parameter interpretation and statistical significance (at the 95% level). </w:t>
      </w:r>
      <w:r w:rsidR="0002068C" w:rsidRPr="00D66514">
        <w:t xml:space="preserve">While </w:t>
      </w:r>
      <w:r w:rsidR="00C6600B" w:rsidRPr="00D66514">
        <w:t xml:space="preserve">the </w:t>
      </w:r>
      <w:r w:rsidR="0002068C" w:rsidRPr="00D66514">
        <w:t xml:space="preserve">discussion </w:t>
      </w:r>
      <w:r w:rsidR="00037D20" w:rsidRPr="00D66514">
        <w:t xml:space="preserve">of </w:t>
      </w:r>
      <w:r w:rsidR="0002068C" w:rsidRPr="00D66514">
        <w:t xml:space="preserve">the results of all </w:t>
      </w:r>
      <w:r w:rsidR="00B14923" w:rsidRPr="00D66514">
        <w:t xml:space="preserve">66 </w:t>
      </w:r>
      <w:r w:rsidR="0002068C" w:rsidRPr="00D66514">
        <w:t xml:space="preserve">models in detail </w:t>
      </w:r>
      <w:r w:rsidR="00C6600B" w:rsidRPr="00D66514">
        <w:t>is</w:t>
      </w:r>
      <w:r w:rsidR="0002068C" w:rsidRPr="00D66514">
        <w:t xml:space="preserve"> beyond the scope of the paper, we focus on the most important findings. </w:t>
      </w:r>
    </w:p>
    <w:p w14:paraId="15E05DAA" w14:textId="77777777" w:rsidR="00C6600B" w:rsidRPr="00D66514" w:rsidRDefault="00C6600B">
      <w:pPr>
        <w:spacing w:after="0"/>
      </w:pPr>
    </w:p>
    <w:p w14:paraId="210C26FA" w14:textId="1FE47E56" w:rsidR="0002068C" w:rsidRPr="00D66514" w:rsidRDefault="0004240D" w:rsidP="000372B5">
      <w:pPr>
        <w:pStyle w:val="Heading3"/>
      </w:pPr>
      <w:r w:rsidRPr="00D66514">
        <w:t xml:space="preserve">Average Conditions </w:t>
      </w:r>
      <w:r w:rsidR="0002068C" w:rsidRPr="00D66514">
        <w:t xml:space="preserve">Florida and Ohio </w:t>
      </w:r>
      <w:r w:rsidR="00A72C9B" w:rsidRPr="00D66514">
        <w:t>J</w:t>
      </w:r>
      <w:r w:rsidR="0002068C" w:rsidRPr="00D66514">
        <w:t xml:space="preserve">oint </w:t>
      </w:r>
      <w:r w:rsidR="00037D20" w:rsidRPr="00D66514">
        <w:t>Safety Performance Functions</w:t>
      </w:r>
      <w:r w:rsidR="00A62ECD" w:rsidRPr="00D66514">
        <w:t xml:space="preserve"> </w:t>
      </w:r>
    </w:p>
    <w:p w14:paraId="452CFBBB" w14:textId="3AA179B8" w:rsidR="00E70528" w:rsidRPr="00D66514" w:rsidRDefault="0002068C" w:rsidP="00E70528">
      <w:r w:rsidRPr="00D66514">
        <w:t>The results for the Florida and Ohio joint SPF</w:t>
      </w:r>
      <w:r w:rsidR="00037D20" w:rsidRPr="00D66514">
        <w:t>s</w:t>
      </w:r>
      <w:r w:rsidRPr="00D66514">
        <w:t xml:space="preserve"> are presented in Table 2. </w:t>
      </w:r>
      <w:r w:rsidR="00C6023E" w:rsidRPr="00D66514">
        <w:t>The dummy indicator for</w:t>
      </w:r>
      <w:r w:rsidR="00037D20" w:rsidRPr="00D66514">
        <w:t xml:space="preserve"> </w:t>
      </w:r>
      <w:r w:rsidR="00C6023E" w:rsidRPr="00D66514">
        <w:t>Ohio region has a statistically significant and negative coefficient indicating that all else equal, Ohio region has a lower crash rate (as indicated in the descriptive analysis) for all crash classifications. The influence of Ohio specific AADT has a statistically significant impact only on SV crashes</w:t>
      </w:r>
      <w:r w:rsidR="00A72C9B" w:rsidRPr="00D66514">
        <w:t>. That is,</w:t>
      </w:r>
      <w:r w:rsidR="00C6023E" w:rsidRPr="00D66514">
        <w:t xml:space="preserve"> for</w:t>
      </w:r>
      <w:r w:rsidR="00037D20" w:rsidRPr="00D66514">
        <w:t xml:space="preserve"> </w:t>
      </w:r>
      <w:r w:rsidR="00C6023E" w:rsidRPr="00D66514">
        <w:t xml:space="preserve">all other crash types, AADT does not have any difference in the observable influences in Florida and Ohio. The </w:t>
      </w:r>
      <w:r w:rsidR="00686910" w:rsidRPr="00D66514">
        <w:t>over-dispersion</w:t>
      </w:r>
      <w:r w:rsidR="00C6023E" w:rsidRPr="00D66514">
        <w:t xml:space="preserve"> parameters specific to Ohio are significant indicating differences in the two states.</w:t>
      </w:r>
      <w:bookmarkStart w:id="2" w:name="_Ref424570048"/>
    </w:p>
    <w:p w14:paraId="258D6667" w14:textId="0EFDD78F" w:rsidR="00E70528" w:rsidRPr="00D66514" w:rsidRDefault="00E70528">
      <w:pPr>
        <w:jc w:val="left"/>
      </w:pPr>
      <w:r w:rsidRPr="00D66514">
        <w:br w:type="page"/>
      </w:r>
    </w:p>
    <w:p w14:paraId="45683FA8" w14:textId="2B898D8A" w:rsidR="00202AA5" w:rsidRPr="00D66514" w:rsidRDefault="00202AA5" w:rsidP="00D67911">
      <w:pPr>
        <w:pStyle w:val="Caption"/>
        <w:keepNext/>
      </w:pPr>
      <w:r w:rsidRPr="00D66514">
        <w:lastRenderedPageBreak/>
        <w:t>T</w:t>
      </w:r>
      <w:r w:rsidR="0040634D" w:rsidRPr="00D66514">
        <w:t>able</w:t>
      </w:r>
      <w:r w:rsidRPr="00D66514">
        <w:t xml:space="preserve"> </w:t>
      </w:r>
      <w:r w:rsidR="00A226E1">
        <w:fldChar w:fldCharType="begin"/>
      </w:r>
      <w:r w:rsidR="00A226E1">
        <w:instrText xml:space="preserve"> SEQ Table \* ARAB</w:instrText>
      </w:r>
      <w:r w:rsidR="00A226E1">
        <w:instrText xml:space="preserve">IC </w:instrText>
      </w:r>
      <w:r w:rsidR="00A226E1">
        <w:fldChar w:fldCharType="separate"/>
      </w:r>
      <w:r w:rsidR="004F0410">
        <w:rPr>
          <w:noProof/>
        </w:rPr>
        <w:t>2</w:t>
      </w:r>
      <w:r w:rsidR="00A226E1">
        <w:rPr>
          <w:noProof/>
        </w:rPr>
        <w:fldChar w:fldCharType="end"/>
      </w:r>
      <w:bookmarkEnd w:id="2"/>
      <w:r w:rsidRPr="00D66514">
        <w:t xml:space="preserve"> </w:t>
      </w:r>
      <w:r w:rsidR="0004240D" w:rsidRPr="00D66514">
        <w:t xml:space="preserve">Average Conditions </w:t>
      </w:r>
      <w:r w:rsidRPr="00D66514">
        <w:t xml:space="preserve">Florida and Ohio </w:t>
      </w:r>
      <w:r w:rsidR="00C6023E" w:rsidRPr="00D66514">
        <w:t xml:space="preserve">Joint </w:t>
      </w:r>
      <w:r w:rsidR="0004240D" w:rsidRPr="00D66514">
        <w:t>Safety Performance Functions</w:t>
      </w:r>
      <w:r w:rsidR="00473D48" w:rsidRPr="00D66514">
        <w:t xml:space="preserve"> </w:t>
      </w:r>
    </w:p>
    <w:tbl>
      <w:tblPr>
        <w:tblStyle w:val="TableGrid"/>
        <w:tblW w:w="9351" w:type="dxa"/>
        <w:jc w:val="center"/>
        <w:tblLayout w:type="fixed"/>
        <w:tblLook w:val="04A0" w:firstRow="1" w:lastRow="0" w:firstColumn="1" w:lastColumn="0" w:noHBand="0" w:noVBand="1"/>
      </w:tblPr>
      <w:tblGrid>
        <w:gridCol w:w="1838"/>
        <w:gridCol w:w="1144"/>
        <w:gridCol w:w="1266"/>
        <w:gridCol w:w="1111"/>
        <w:gridCol w:w="1317"/>
        <w:gridCol w:w="1328"/>
        <w:gridCol w:w="1347"/>
      </w:tblGrid>
      <w:tr w:rsidR="00202AA5" w:rsidRPr="00D66514" w14:paraId="145A8ADD" w14:textId="77777777" w:rsidTr="00E70528">
        <w:trPr>
          <w:trHeight w:val="300"/>
          <w:jc w:val="center"/>
        </w:trPr>
        <w:tc>
          <w:tcPr>
            <w:tcW w:w="1838" w:type="dxa"/>
            <w:shd w:val="clear" w:color="auto" w:fill="auto"/>
            <w:noWrap/>
            <w:vAlign w:val="center"/>
            <w:hideMark/>
          </w:tcPr>
          <w:p w14:paraId="4B5EEB98" w14:textId="77777777" w:rsidR="00202AA5" w:rsidRPr="00D66514" w:rsidRDefault="00202AA5" w:rsidP="00202AA5">
            <w:pPr>
              <w:jc w:val="center"/>
              <w:rPr>
                <w:b/>
                <w:bCs/>
              </w:rPr>
            </w:pPr>
            <w:r w:rsidRPr="00D66514">
              <w:rPr>
                <w:b/>
                <w:bCs/>
              </w:rPr>
              <w:t>Crash Type or Severity</w:t>
            </w:r>
          </w:p>
        </w:tc>
        <w:tc>
          <w:tcPr>
            <w:tcW w:w="1144" w:type="dxa"/>
            <w:shd w:val="clear" w:color="auto" w:fill="auto"/>
            <w:noWrap/>
            <w:vAlign w:val="center"/>
            <w:hideMark/>
          </w:tcPr>
          <w:p w14:paraId="1380FEB6" w14:textId="77777777" w:rsidR="00202AA5" w:rsidRPr="00D66514" w:rsidRDefault="00202AA5" w:rsidP="00202AA5">
            <w:pPr>
              <w:jc w:val="center"/>
              <w:rPr>
                <w:b/>
                <w:bCs/>
              </w:rPr>
            </w:pPr>
            <w:r w:rsidRPr="00D66514">
              <w:rPr>
                <w:b/>
                <w:bCs/>
              </w:rPr>
              <w:t>KABCO</w:t>
            </w:r>
          </w:p>
        </w:tc>
        <w:tc>
          <w:tcPr>
            <w:tcW w:w="1266" w:type="dxa"/>
            <w:shd w:val="clear" w:color="auto" w:fill="auto"/>
            <w:noWrap/>
            <w:vAlign w:val="center"/>
            <w:hideMark/>
          </w:tcPr>
          <w:p w14:paraId="56B85373" w14:textId="77777777" w:rsidR="00202AA5" w:rsidRPr="00D66514" w:rsidRDefault="00202AA5" w:rsidP="00202AA5">
            <w:pPr>
              <w:jc w:val="center"/>
              <w:rPr>
                <w:b/>
                <w:bCs/>
              </w:rPr>
            </w:pPr>
            <w:r w:rsidRPr="00D66514">
              <w:rPr>
                <w:b/>
                <w:bCs/>
              </w:rPr>
              <w:t>KABC</w:t>
            </w:r>
          </w:p>
        </w:tc>
        <w:tc>
          <w:tcPr>
            <w:tcW w:w="1111" w:type="dxa"/>
            <w:shd w:val="clear" w:color="auto" w:fill="auto"/>
            <w:noWrap/>
            <w:vAlign w:val="center"/>
            <w:hideMark/>
          </w:tcPr>
          <w:p w14:paraId="7866399E" w14:textId="77777777" w:rsidR="00202AA5" w:rsidRPr="00D66514" w:rsidRDefault="00202AA5" w:rsidP="00202AA5">
            <w:pPr>
              <w:jc w:val="center"/>
              <w:rPr>
                <w:b/>
                <w:bCs/>
              </w:rPr>
            </w:pPr>
            <w:r w:rsidRPr="00D66514">
              <w:rPr>
                <w:b/>
                <w:bCs/>
              </w:rPr>
              <w:t>KAB</w:t>
            </w:r>
          </w:p>
        </w:tc>
        <w:tc>
          <w:tcPr>
            <w:tcW w:w="1317" w:type="dxa"/>
            <w:shd w:val="clear" w:color="auto" w:fill="auto"/>
            <w:noWrap/>
            <w:vAlign w:val="center"/>
            <w:hideMark/>
          </w:tcPr>
          <w:p w14:paraId="04BD503F" w14:textId="77777777" w:rsidR="00202AA5" w:rsidRPr="00D66514" w:rsidRDefault="00202AA5" w:rsidP="00202AA5">
            <w:pPr>
              <w:jc w:val="center"/>
              <w:rPr>
                <w:b/>
                <w:bCs/>
              </w:rPr>
            </w:pPr>
            <w:r w:rsidRPr="00D66514">
              <w:rPr>
                <w:b/>
                <w:bCs/>
              </w:rPr>
              <w:t>KA</w:t>
            </w:r>
          </w:p>
        </w:tc>
        <w:tc>
          <w:tcPr>
            <w:tcW w:w="1328" w:type="dxa"/>
            <w:shd w:val="clear" w:color="auto" w:fill="auto"/>
            <w:noWrap/>
            <w:vAlign w:val="center"/>
            <w:hideMark/>
          </w:tcPr>
          <w:p w14:paraId="6DBC3F73" w14:textId="77777777" w:rsidR="00202AA5" w:rsidRPr="00D66514" w:rsidRDefault="00202AA5" w:rsidP="00202AA5">
            <w:pPr>
              <w:jc w:val="center"/>
              <w:rPr>
                <w:b/>
                <w:bCs/>
              </w:rPr>
            </w:pPr>
            <w:r w:rsidRPr="00D66514">
              <w:rPr>
                <w:b/>
                <w:bCs/>
              </w:rPr>
              <w:t>SV</w:t>
            </w:r>
          </w:p>
        </w:tc>
        <w:tc>
          <w:tcPr>
            <w:tcW w:w="1347" w:type="dxa"/>
            <w:shd w:val="clear" w:color="auto" w:fill="auto"/>
            <w:noWrap/>
            <w:vAlign w:val="center"/>
            <w:hideMark/>
          </w:tcPr>
          <w:p w14:paraId="69DB1251" w14:textId="77777777" w:rsidR="00202AA5" w:rsidRPr="00D66514" w:rsidRDefault="00202AA5" w:rsidP="00202AA5">
            <w:pPr>
              <w:jc w:val="center"/>
              <w:rPr>
                <w:b/>
                <w:bCs/>
              </w:rPr>
            </w:pPr>
            <w:r w:rsidRPr="00D66514">
              <w:rPr>
                <w:b/>
                <w:bCs/>
              </w:rPr>
              <w:t>MV</w:t>
            </w:r>
          </w:p>
        </w:tc>
      </w:tr>
      <w:tr w:rsidR="006F7A21" w:rsidRPr="00D66514" w14:paraId="40FA09BC" w14:textId="77777777" w:rsidTr="00E70528">
        <w:trPr>
          <w:trHeight w:val="300"/>
          <w:jc w:val="center"/>
        </w:trPr>
        <w:tc>
          <w:tcPr>
            <w:tcW w:w="1838" w:type="dxa"/>
            <w:shd w:val="clear" w:color="auto" w:fill="auto"/>
            <w:noWrap/>
            <w:vAlign w:val="center"/>
            <w:hideMark/>
          </w:tcPr>
          <w:p w14:paraId="708E072A" w14:textId="77777777" w:rsidR="00202AA5" w:rsidRPr="00D66514" w:rsidRDefault="00202AA5" w:rsidP="00202AA5">
            <w:pPr>
              <w:jc w:val="center"/>
              <w:rPr>
                <w:b/>
                <w:bCs/>
              </w:rPr>
            </w:pPr>
            <w:r w:rsidRPr="00D66514">
              <w:rPr>
                <w:b/>
                <w:bCs/>
              </w:rPr>
              <w:t>Parameters</w:t>
            </w:r>
          </w:p>
        </w:tc>
        <w:tc>
          <w:tcPr>
            <w:tcW w:w="7513" w:type="dxa"/>
            <w:gridSpan w:val="6"/>
            <w:shd w:val="clear" w:color="auto" w:fill="auto"/>
            <w:noWrap/>
            <w:vAlign w:val="center"/>
            <w:hideMark/>
          </w:tcPr>
          <w:p w14:paraId="13B5D005" w14:textId="77777777" w:rsidR="00202AA5" w:rsidRPr="00D66514" w:rsidRDefault="00202AA5" w:rsidP="00202AA5">
            <w:pPr>
              <w:jc w:val="center"/>
              <w:rPr>
                <w:b/>
                <w:bCs/>
              </w:rPr>
            </w:pPr>
            <w:r w:rsidRPr="00D66514">
              <w:rPr>
                <w:b/>
                <w:bCs/>
              </w:rPr>
              <w:t>Parameter Estimates and P-Values</w:t>
            </w:r>
          </w:p>
        </w:tc>
      </w:tr>
      <w:tr w:rsidR="00202AA5" w:rsidRPr="00D66514" w14:paraId="0F2EDDAD" w14:textId="77777777" w:rsidTr="00E70528">
        <w:trPr>
          <w:trHeight w:val="300"/>
          <w:jc w:val="center"/>
        </w:trPr>
        <w:tc>
          <w:tcPr>
            <w:tcW w:w="1838" w:type="dxa"/>
            <w:shd w:val="clear" w:color="auto" w:fill="auto"/>
            <w:noWrap/>
            <w:vAlign w:val="center"/>
            <w:hideMark/>
          </w:tcPr>
          <w:p w14:paraId="53545ACC" w14:textId="77777777" w:rsidR="00202AA5" w:rsidRPr="00D66514" w:rsidRDefault="00202AA5" w:rsidP="00202AA5">
            <w:pPr>
              <w:jc w:val="center"/>
              <w:rPr>
                <w:b/>
                <w:bCs/>
              </w:rPr>
            </w:pPr>
            <w:r w:rsidRPr="00D66514">
              <w:rPr>
                <w:b/>
                <w:bCs/>
              </w:rPr>
              <w:t>Intercept</w:t>
            </w:r>
          </w:p>
        </w:tc>
        <w:tc>
          <w:tcPr>
            <w:tcW w:w="1144" w:type="dxa"/>
            <w:shd w:val="clear" w:color="auto" w:fill="auto"/>
            <w:noWrap/>
            <w:vAlign w:val="center"/>
            <w:hideMark/>
          </w:tcPr>
          <w:p w14:paraId="662C145B" w14:textId="77777777" w:rsidR="00202AA5" w:rsidRPr="00D66514" w:rsidRDefault="00202AA5" w:rsidP="00202AA5">
            <w:pPr>
              <w:jc w:val="center"/>
            </w:pPr>
            <w:r w:rsidRPr="00D66514">
              <w:t>-8.773</w:t>
            </w:r>
            <w:r w:rsidRPr="00D66514">
              <w:br/>
              <w:t>(&lt;.0001)</w:t>
            </w:r>
          </w:p>
        </w:tc>
        <w:tc>
          <w:tcPr>
            <w:tcW w:w="1266" w:type="dxa"/>
            <w:shd w:val="clear" w:color="auto" w:fill="auto"/>
            <w:vAlign w:val="center"/>
            <w:hideMark/>
          </w:tcPr>
          <w:p w14:paraId="4415D581" w14:textId="77777777" w:rsidR="00202AA5" w:rsidRPr="00D66514" w:rsidRDefault="00202AA5" w:rsidP="00202AA5">
            <w:pPr>
              <w:jc w:val="center"/>
            </w:pPr>
            <w:r w:rsidRPr="00D66514">
              <w:t>-9.21</w:t>
            </w:r>
          </w:p>
          <w:p w14:paraId="14AC85AA" w14:textId="77777777" w:rsidR="00202AA5" w:rsidRPr="00D66514" w:rsidRDefault="00202AA5" w:rsidP="00202AA5">
            <w:pPr>
              <w:jc w:val="center"/>
            </w:pPr>
            <w:r w:rsidRPr="00D66514">
              <w:t>(&lt;.0001)</w:t>
            </w:r>
          </w:p>
        </w:tc>
        <w:tc>
          <w:tcPr>
            <w:tcW w:w="1111" w:type="dxa"/>
            <w:shd w:val="clear" w:color="auto" w:fill="auto"/>
            <w:noWrap/>
            <w:vAlign w:val="center"/>
            <w:hideMark/>
          </w:tcPr>
          <w:p w14:paraId="39908F65" w14:textId="77777777" w:rsidR="00202AA5" w:rsidRPr="00D66514" w:rsidRDefault="00202AA5" w:rsidP="00202AA5">
            <w:pPr>
              <w:jc w:val="center"/>
            </w:pPr>
            <w:r w:rsidRPr="00D66514">
              <w:t>-8.4354</w:t>
            </w:r>
          </w:p>
          <w:p w14:paraId="79D9D7DA" w14:textId="77777777" w:rsidR="00202AA5" w:rsidRPr="00D66514" w:rsidRDefault="00202AA5" w:rsidP="00202AA5">
            <w:pPr>
              <w:jc w:val="center"/>
            </w:pPr>
            <w:r w:rsidRPr="00D66514">
              <w:t>(&lt;.0001)</w:t>
            </w:r>
          </w:p>
        </w:tc>
        <w:tc>
          <w:tcPr>
            <w:tcW w:w="1317" w:type="dxa"/>
            <w:shd w:val="clear" w:color="auto" w:fill="auto"/>
            <w:noWrap/>
            <w:vAlign w:val="center"/>
            <w:hideMark/>
          </w:tcPr>
          <w:p w14:paraId="353AAEF2" w14:textId="77777777" w:rsidR="00202AA5" w:rsidRPr="00D66514" w:rsidRDefault="00202AA5" w:rsidP="00202AA5">
            <w:pPr>
              <w:jc w:val="center"/>
            </w:pPr>
            <w:r w:rsidRPr="00D66514">
              <w:t>-6.931</w:t>
            </w:r>
          </w:p>
          <w:p w14:paraId="2756515B" w14:textId="77777777" w:rsidR="00202AA5" w:rsidRPr="00D66514" w:rsidRDefault="00202AA5" w:rsidP="00202AA5">
            <w:pPr>
              <w:jc w:val="center"/>
            </w:pPr>
            <w:r w:rsidRPr="00D66514">
              <w:t>(&lt;.0001)</w:t>
            </w:r>
          </w:p>
        </w:tc>
        <w:tc>
          <w:tcPr>
            <w:tcW w:w="1328" w:type="dxa"/>
            <w:shd w:val="clear" w:color="auto" w:fill="auto"/>
            <w:noWrap/>
            <w:vAlign w:val="center"/>
            <w:hideMark/>
          </w:tcPr>
          <w:p w14:paraId="357BE8ED" w14:textId="77777777" w:rsidR="00202AA5" w:rsidRPr="00D66514" w:rsidRDefault="00202AA5" w:rsidP="00202AA5">
            <w:pPr>
              <w:jc w:val="center"/>
            </w:pPr>
            <w:r w:rsidRPr="00D66514">
              <w:t>-3.323</w:t>
            </w:r>
          </w:p>
          <w:p w14:paraId="6DA38FE8" w14:textId="77777777" w:rsidR="00202AA5" w:rsidRPr="00D66514" w:rsidRDefault="00202AA5" w:rsidP="00202AA5">
            <w:pPr>
              <w:jc w:val="center"/>
            </w:pPr>
            <w:r w:rsidRPr="00D66514">
              <w:t>(&lt;.0001)</w:t>
            </w:r>
          </w:p>
        </w:tc>
        <w:tc>
          <w:tcPr>
            <w:tcW w:w="1347" w:type="dxa"/>
            <w:shd w:val="clear" w:color="auto" w:fill="auto"/>
            <w:noWrap/>
            <w:vAlign w:val="center"/>
            <w:hideMark/>
          </w:tcPr>
          <w:p w14:paraId="36D49FE2" w14:textId="77777777" w:rsidR="00202AA5" w:rsidRPr="00D66514" w:rsidRDefault="00202AA5" w:rsidP="00202AA5">
            <w:pPr>
              <w:jc w:val="center"/>
            </w:pPr>
            <w:r w:rsidRPr="00D66514">
              <w:t>-12.4247</w:t>
            </w:r>
          </w:p>
          <w:p w14:paraId="16066A76" w14:textId="77777777" w:rsidR="00202AA5" w:rsidRPr="00D66514" w:rsidRDefault="00202AA5" w:rsidP="00202AA5">
            <w:pPr>
              <w:jc w:val="center"/>
            </w:pPr>
            <w:r w:rsidRPr="00D66514">
              <w:t>(&lt;.0001)</w:t>
            </w:r>
          </w:p>
        </w:tc>
      </w:tr>
      <w:tr w:rsidR="00202AA5" w:rsidRPr="00D66514" w14:paraId="61E1AFF2" w14:textId="77777777" w:rsidTr="00E70528">
        <w:trPr>
          <w:trHeight w:val="300"/>
          <w:jc w:val="center"/>
        </w:trPr>
        <w:tc>
          <w:tcPr>
            <w:tcW w:w="1838" w:type="dxa"/>
            <w:shd w:val="clear" w:color="auto" w:fill="auto"/>
            <w:noWrap/>
            <w:vAlign w:val="center"/>
            <w:hideMark/>
          </w:tcPr>
          <w:p w14:paraId="13FB0127" w14:textId="77777777" w:rsidR="00202AA5" w:rsidRPr="00D66514" w:rsidRDefault="00202AA5" w:rsidP="00202AA5">
            <w:pPr>
              <w:jc w:val="center"/>
              <w:rPr>
                <w:b/>
                <w:bCs/>
              </w:rPr>
            </w:pPr>
            <w:r w:rsidRPr="00D66514">
              <w:rPr>
                <w:b/>
                <w:bCs/>
              </w:rPr>
              <w:t>Ln(AADT)</w:t>
            </w:r>
          </w:p>
        </w:tc>
        <w:tc>
          <w:tcPr>
            <w:tcW w:w="1144" w:type="dxa"/>
            <w:shd w:val="clear" w:color="auto" w:fill="auto"/>
            <w:noWrap/>
            <w:vAlign w:val="center"/>
            <w:hideMark/>
          </w:tcPr>
          <w:p w14:paraId="1F67FDB3" w14:textId="77777777" w:rsidR="00202AA5" w:rsidRPr="00D66514" w:rsidRDefault="00202AA5" w:rsidP="00202AA5">
            <w:pPr>
              <w:jc w:val="center"/>
            </w:pPr>
            <w:r w:rsidRPr="00D66514">
              <w:t>1.0366</w:t>
            </w:r>
            <w:r w:rsidRPr="00D66514">
              <w:br/>
              <w:t>(&lt;.0001)</w:t>
            </w:r>
          </w:p>
        </w:tc>
        <w:tc>
          <w:tcPr>
            <w:tcW w:w="1266" w:type="dxa"/>
            <w:shd w:val="clear" w:color="auto" w:fill="auto"/>
            <w:vAlign w:val="center"/>
            <w:hideMark/>
          </w:tcPr>
          <w:p w14:paraId="737C8F45" w14:textId="77777777" w:rsidR="00680DD0" w:rsidRPr="00D66514" w:rsidRDefault="00202AA5" w:rsidP="00202AA5">
            <w:pPr>
              <w:jc w:val="center"/>
            </w:pPr>
            <w:r w:rsidRPr="00D66514">
              <w:t>0.9964</w:t>
            </w:r>
          </w:p>
          <w:p w14:paraId="0C9142B4" w14:textId="77777777" w:rsidR="00202AA5" w:rsidRPr="00D66514" w:rsidRDefault="00202AA5" w:rsidP="00202AA5">
            <w:pPr>
              <w:jc w:val="center"/>
            </w:pPr>
            <w:r w:rsidRPr="00D66514">
              <w:t>(&lt;.0001)</w:t>
            </w:r>
          </w:p>
        </w:tc>
        <w:tc>
          <w:tcPr>
            <w:tcW w:w="1111" w:type="dxa"/>
            <w:shd w:val="clear" w:color="auto" w:fill="auto"/>
            <w:noWrap/>
            <w:vAlign w:val="center"/>
            <w:hideMark/>
          </w:tcPr>
          <w:p w14:paraId="3BB8B7F3" w14:textId="77777777" w:rsidR="00202AA5" w:rsidRPr="00D66514" w:rsidRDefault="00202AA5" w:rsidP="00202AA5">
            <w:pPr>
              <w:jc w:val="center"/>
            </w:pPr>
            <w:r w:rsidRPr="00D66514">
              <w:t>0.8458</w:t>
            </w:r>
          </w:p>
          <w:p w14:paraId="3875C6D6" w14:textId="77777777" w:rsidR="00202AA5" w:rsidRPr="00D66514" w:rsidRDefault="00202AA5" w:rsidP="00202AA5">
            <w:pPr>
              <w:jc w:val="center"/>
            </w:pPr>
            <w:r w:rsidRPr="00D66514">
              <w:t>(&lt;.0001)</w:t>
            </w:r>
          </w:p>
        </w:tc>
        <w:tc>
          <w:tcPr>
            <w:tcW w:w="1317" w:type="dxa"/>
            <w:shd w:val="clear" w:color="auto" w:fill="auto"/>
            <w:noWrap/>
            <w:vAlign w:val="center"/>
            <w:hideMark/>
          </w:tcPr>
          <w:p w14:paraId="1959C641" w14:textId="77777777" w:rsidR="00202AA5" w:rsidRPr="00D66514" w:rsidRDefault="00202AA5" w:rsidP="00202AA5">
            <w:pPr>
              <w:jc w:val="center"/>
            </w:pPr>
            <w:r w:rsidRPr="00D66514">
              <w:t>0.5761</w:t>
            </w:r>
          </w:p>
          <w:p w14:paraId="24175C2B" w14:textId="77777777" w:rsidR="00202AA5" w:rsidRPr="00D66514" w:rsidRDefault="00202AA5" w:rsidP="00202AA5">
            <w:pPr>
              <w:jc w:val="center"/>
            </w:pPr>
            <w:r w:rsidRPr="00D66514">
              <w:t>(&lt;.0001)</w:t>
            </w:r>
          </w:p>
        </w:tc>
        <w:tc>
          <w:tcPr>
            <w:tcW w:w="1328" w:type="dxa"/>
            <w:shd w:val="clear" w:color="auto" w:fill="auto"/>
            <w:noWrap/>
            <w:vAlign w:val="center"/>
            <w:hideMark/>
          </w:tcPr>
          <w:p w14:paraId="2F37AC13" w14:textId="77777777" w:rsidR="00202AA5" w:rsidRPr="00D66514" w:rsidRDefault="00202AA5" w:rsidP="00202AA5">
            <w:pPr>
              <w:jc w:val="center"/>
            </w:pPr>
            <w:r w:rsidRPr="00D66514">
              <w:t>0.3142</w:t>
            </w:r>
          </w:p>
          <w:p w14:paraId="05D10F33" w14:textId="77777777" w:rsidR="00202AA5" w:rsidRPr="00D66514" w:rsidRDefault="00202AA5" w:rsidP="00202AA5">
            <w:pPr>
              <w:jc w:val="center"/>
            </w:pPr>
            <w:r w:rsidRPr="00D66514">
              <w:t>(&lt;.0001)</w:t>
            </w:r>
          </w:p>
        </w:tc>
        <w:tc>
          <w:tcPr>
            <w:tcW w:w="1347" w:type="dxa"/>
            <w:shd w:val="clear" w:color="auto" w:fill="auto"/>
            <w:noWrap/>
            <w:vAlign w:val="center"/>
            <w:hideMark/>
          </w:tcPr>
          <w:p w14:paraId="4040D724" w14:textId="77777777" w:rsidR="00202AA5" w:rsidRPr="00D66514" w:rsidRDefault="00202AA5" w:rsidP="00202AA5">
            <w:pPr>
              <w:jc w:val="center"/>
            </w:pPr>
            <w:r w:rsidRPr="00D66514">
              <w:t>1.3741</w:t>
            </w:r>
          </w:p>
          <w:p w14:paraId="128A6216" w14:textId="77777777" w:rsidR="00202AA5" w:rsidRPr="00D66514" w:rsidRDefault="00202AA5" w:rsidP="00202AA5">
            <w:pPr>
              <w:jc w:val="center"/>
            </w:pPr>
            <w:r w:rsidRPr="00D66514">
              <w:t>(&lt;.0001)</w:t>
            </w:r>
          </w:p>
        </w:tc>
      </w:tr>
      <w:tr w:rsidR="00202AA5" w:rsidRPr="00D66514" w14:paraId="5543297C" w14:textId="77777777" w:rsidTr="00E70528">
        <w:trPr>
          <w:trHeight w:val="300"/>
          <w:jc w:val="center"/>
        </w:trPr>
        <w:tc>
          <w:tcPr>
            <w:tcW w:w="1838" w:type="dxa"/>
            <w:shd w:val="clear" w:color="auto" w:fill="auto"/>
            <w:noWrap/>
            <w:vAlign w:val="center"/>
            <w:hideMark/>
          </w:tcPr>
          <w:p w14:paraId="2A27BB78" w14:textId="77777777" w:rsidR="00202AA5" w:rsidRPr="00D66514" w:rsidRDefault="00202AA5" w:rsidP="00202AA5">
            <w:pPr>
              <w:jc w:val="center"/>
              <w:rPr>
                <w:b/>
                <w:bCs/>
              </w:rPr>
            </w:pPr>
            <w:r w:rsidRPr="00D66514">
              <w:rPr>
                <w:b/>
                <w:bCs/>
              </w:rPr>
              <w:t>OH</w:t>
            </w:r>
          </w:p>
        </w:tc>
        <w:tc>
          <w:tcPr>
            <w:tcW w:w="1144" w:type="dxa"/>
            <w:shd w:val="clear" w:color="auto" w:fill="auto"/>
            <w:noWrap/>
            <w:vAlign w:val="center"/>
            <w:hideMark/>
          </w:tcPr>
          <w:p w14:paraId="514FBB4A" w14:textId="77777777" w:rsidR="00202AA5" w:rsidRPr="00D66514" w:rsidRDefault="00202AA5" w:rsidP="00202AA5">
            <w:pPr>
              <w:jc w:val="center"/>
            </w:pPr>
            <w:r w:rsidRPr="00D66514">
              <w:t>-0.6091</w:t>
            </w:r>
            <w:r w:rsidRPr="00D66514">
              <w:br/>
              <w:t>(&lt;.0001)</w:t>
            </w:r>
          </w:p>
        </w:tc>
        <w:tc>
          <w:tcPr>
            <w:tcW w:w="1266" w:type="dxa"/>
            <w:shd w:val="clear" w:color="auto" w:fill="auto"/>
            <w:vAlign w:val="center"/>
            <w:hideMark/>
          </w:tcPr>
          <w:p w14:paraId="7AD0F7C5" w14:textId="77777777" w:rsidR="00202AA5" w:rsidRPr="00D66514" w:rsidRDefault="00202AA5" w:rsidP="00202AA5">
            <w:pPr>
              <w:jc w:val="center"/>
            </w:pPr>
            <w:r w:rsidRPr="00D66514">
              <w:t>-0.9475</w:t>
            </w:r>
          </w:p>
          <w:p w14:paraId="3DBE445E" w14:textId="77777777" w:rsidR="00202AA5" w:rsidRPr="00D66514" w:rsidRDefault="00202AA5" w:rsidP="00202AA5">
            <w:pPr>
              <w:jc w:val="center"/>
            </w:pPr>
            <w:r w:rsidRPr="00D66514">
              <w:t>(&lt;.0001)</w:t>
            </w:r>
          </w:p>
        </w:tc>
        <w:tc>
          <w:tcPr>
            <w:tcW w:w="1111" w:type="dxa"/>
            <w:shd w:val="clear" w:color="auto" w:fill="auto"/>
            <w:noWrap/>
            <w:vAlign w:val="center"/>
            <w:hideMark/>
          </w:tcPr>
          <w:p w14:paraId="4751911B" w14:textId="77777777" w:rsidR="00202AA5" w:rsidRPr="00D66514" w:rsidRDefault="00202AA5" w:rsidP="00202AA5">
            <w:pPr>
              <w:jc w:val="center"/>
            </w:pPr>
            <w:r w:rsidRPr="00D66514">
              <w:t>-0.6256</w:t>
            </w:r>
          </w:p>
          <w:p w14:paraId="1F38932D" w14:textId="77777777" w:rsidR="00202AA5" w:rsidRPr="00D66514" w:rsidRDefault="00202AA5" w:rsidP="00202AA5">
            <w:pPr>
              <w:jc w:val="center"/>
            </w:pPr>
            <w:r w:rsidRPr="00D66514">
              <w:t>(&lt;.0001)</w:t>
            </w:r>
          </w:p>
        </w:tc>
        <w:tc>
          <w:tcPr>
            <w:tcW w:w="1317" w:type="dxa"/>
            <w:shd w:val="clear" w:color="auto" w:fill="auto"/>
            <w:noWrap/>
            <w:vAlign w:val="center"/>
            <w:hideMark/>
          </w:tcPr>
          <w:p w14:paraId="5872DB12" w14:textId="40B61CCE" w:rsidR="00202AA5" w:rsidRPr="00D66514" w:rsidRDefault="00202AA5" w:rsidP="00202AA5">
            <w:pPr>
              <w:jc w:val="center"/>
            </w:pPr>
            <w:r w:rsidRPr="00D66514">
              <w:t>-1</w:t>
            </w:r>
            <w:r w:rsidR="00C6023E" w:rsidRPr="00D66514">
              <w:t>.000</w:t>
            </w:r>
          </w:p>
          <w:p w14:paraId="494B2472" w14:textId="77777777" w:rsidR="00202AA5" w:rsidRPr="00D66514" w:rsidRDefault="00202AA5" w:rsidP="00202AA5">
            <w:pPr>
              <w:jc w:val="center"/>
            </w:pPr>
            <w:r w:rsidRPr="00D66514">
              <w:t>(&lt;.0001)</w:t>
            </w:r>
          </w:p>
        </w:tc>
        <w:tc>
          <w:tcPr>
            <w:tcW w:w="1328" w:type="dxa"/>
            <w:shd w:val="clear" w:color="auto" w:fill="auto"/>
            <w:noWrap/>
            <w:vAlign w:val="center"/>
            <w:hideMark/>
          </w:tcPr>
          <w:p w14:paraId="62C1FA43" w14:textId="77777777" w:rsidR="00202AA5" w:rsidRPr="00D66514" w:rsidRDefault="00202AA5" w:rsidP="00202AA5">
            <w:pPr>
              <w:jc w:val="center"/>
            </w:pPr>
            <w:r w:rsidRPr="00D66514">
              <w:t>-3.9077</w:t>
            </w:r>
          </w:p>
          <w:p w14:paraId="46AAB5CE" w14:textId="77777777" w:rsidR="00202AA5" w:rsidRPr="00D66514" w:rsidRDefault="00202AA5" w:rsidP="00202AA5">
            <w:pPr>
              <w:jc w:val="center"/>
            </w:pPr>
            <w:r w:rsidRPr="00D66514">
              <w:t>(&lt;.0001)</w:t>
            </w:r>
          </w:p>
        </w:tc>
        <w:tc>
          <w:tcPr>
            <w:tcW w:w="1347" w:type="dxa"/>
            <w:shd w:val="clear" w:color="auto" w:fill="auto"/>
            <w:noWrap/>
            <w:vAlign w:val="center"/>
            <w:hideMark/>
          </w:tcPr>
          <w:p w14:paraId="1E0D7508" w14:textId="77777777" w:rsidR="00202AA5" w:rsidRPr="00D66514" w:rsidRDefault="00202AA5" w:rsidP="00202AA5">
            <w:pPr>
              <w:jc w:val="center"/>
            </w:pPr>
            <w:r w:rsidRPr="00D66514">
              <w:t>-0.9284</w:t>
            </w:r>
          </w:p>
          <w:p w14:paraId="054F7B8B" w14:textId="77777777" w:rsidR="00202AA5" w:rsidRPr="00D66514" w:rsidRDefault="00202AA5" w:rsidP="00202AA5">
            <w:pPr>
              <w:jc w:val="center"/>
            </w:pPr>
            <w:r w:rsidRPr="00D66514">
              <w:t>(&lt;.0001)</w:t>
            </w:r>
          </w:p>
        </w:tc>
      </w:tr>
      <w:tr w:rsidR="00202AA5" w:rsidRPr="00D66514" w14:paraId="35209CDC" w14:textId="77777777" w:rsidTr="00E70528">
        <w:trPr>
          <w:trHeight w:val="300"/>
          <w:jc w:val="center"/>
        </w:trPr>
        <w:tc>
          <w:tcPr>
            <w:tcW w:w="1838" w:type="dxa"/>
            <w:shd w:val="clear" w:color="auto" w:fill="auto"/>
            <w:noWrap/>
            <w:vAlign w:val="center"/>
            <w:hideMark/>
          </w:tcPr>
          <w:p w14:paraId="0C9B5769" w14:textId="77777777" w:rsidR="006F7A21" w:rsidRPr="00D66514" w:rsidRDefault="00202AA5" w:rsidP="006F7A21">
            <w:pPr>
              <w:jc w:val="center"/>
              <w:rPr>
                <w:rFonts w:cs="Times New Roman"/>
                <w:b/>
                <w:bCs/>
              </w:rPr>
            </w:pPr>
            <w:r w:rsidRPr="00D66514">
              <w:rPr>
                <w:b/>
                <w:bCs/>
              </w:rPr>
              <w:t>OH</w:t>
            </w:r>
            <w:r w:rsidRPr="00D66514">
              <w:rPr>
                <w:rFonts w:cs="Times New Roman"/>
                <w:b/>
                <w:bCs/>
              </w:rPr>
              <w:t>×</w:t>
            </w:r>
          </w:p>
          <w:p w14:paraId="3E75170F" w14:textId="77777777" w:rsidR="00202AA5" w:rsidRPr="00D66514" w:rsidRDefault="00202AA5" w:rsidP="006F7A21">
            <w:pPr>
              <w:jc w:val="center"/>
              <w:rPr>
                <w:b/>
                <w:bCs/>
              </w:rPr>
            </w:pPr>
            <w:r w:rsidRPr="00D66514">
              <w:rPr>
                <w:b/>
                <w:bCs/>
              </w:rPr>
              <w:t>Ln(AADT)</w:t>
            </w:r>
          </w:p>
        </w:tc>
        <w:tc>
          <w:tcPr>
            <w:tcW w:w="1144" w:type="dxa"/>
            <w:shd w:val="clear" w:color="auto" w:fill="auto"/>
            <w:noWrap/>
            <w:vAlign w:val="center"/>
            <w:hideMark/>
          </w:tcPr>
          <w:p w14:paraId="2D0271F8" w14:textId="77777777" w:rsidR="00202AA5" w:rsidRPr="00D66514" w:rsidRDefault="00202AA5" w:rsidP="00202AA5">
            <w:pPr>
              <w:jc w:val="center"/>
            </w:pPr>
            <w:r w:rsidRPr="00D66514">
              <w:t>-</w:t>
            </w:r>
          </w:p>
        </w:tc>
        <w:tc>
          <w:tcPr>
            <w:tcW w:w="1266" w:type="dxa"/>
            <w:shd w:val="clear" w:color="auto" w:fill="auto"/>
            <w:vAlign w:val="center"/>
            <w:hideMark/>
          </w:tcPr>
          <w:p w14:paraId="51DAF090" w14:textId="77777777" w:rsidR="00202AA5" w:rsidRPr="00D66514" w:rsidRDefault="00202AA5" w:rsidP="00202AA5">
            <w:pPr>
              <w:jc w:val="center"/>
            </w:pPr>
            <w:r w:rsidRPr="00D66514">
              <w:t>-</w:t>
            </w:r>
          </w:p>
        </w:tc>
        <w:tc>
          <w:tcPr>
            <w:tcW w:w="1111" w:type="dxa"/>
            <w:shd w:val="clear" w:color="auto" w:fill="auto"/>
            <w:noWrap/>
            <w:vAlign w:val="center"/>
            <w:hideMark/>
          </w:tcPr>
          <w:p w14:paraId="574BAA5D" w14:textId="77777777" w:rsidR="00202AA5" w:rsidRPr="00D66514" w:rsidRDefault="00202AA5" w:rsidP="00202AA5">
            <w:pPr>
              <w:jc w:val="center"/>
            </w:pPr>
            <w:r w:rsidRPr="00D66514">
              <w:t>-</w:t>
            </w:r>
          </w:p>
        </w:tc>
        <w:tc>
          <w:tcPr>
            <w:tcW w:w="1317" w:type="dxa"/>
            <w:shd w:val="clear" w:color="auto" w:fill="auto"/>
            <w:noWrap/>
            <w:vAlign w:val="center"/>
            <w:hideMark/>
          </w:tcPr>
          <w:p w14:paraId="0CD39AC3" w14:textId="77777777" w:rsidR="00202AA5" w:rsidRPr="00D66514" w:rsidRDefault="00202AA5" w:rsidP="00202AA5">
            <w:pPr>
              <w:jc w:val="center"/>
            </w:pPr>
            <w:r w:rsidRPr="00D66514">
              <w:t>-</w:t>
            </w:r>
          </w:p>
        </w:tc>
        <w:tc>
          <w:tcPr>
            <w:tcW w:w="1328" w:type="dxa"/>
            <w:shd w:val="clear" w:color="auto" w:fill="auto"/>
            <w:noWrap/>
            <w:vAlign w:val="center"/>
            <w:hideMark/>
          </w:tcPr>
          <w:p w14:paraId="2CE4F0AD" w14:textId="77777777" w:rsidR="00202AA5" w:rsidRPr="00D66514" w:rsidRDefault="00202AA5" w:rsidP="00202AA5">
            <w:pPr>
              <w:jc w:val="center"/>
            </w:pPr>
            <w:r w:rsidRPr="00D66514">
              <w:t>0.4271</w:t>
            </w:r>
          </w:p>
          <w:p w14:paraId="65F1DB69" w14:textId="77777777" w:rsidR="00202AA5" w:rsidRPr="00D66514" w:rsidRDefault="00202AA5" w:rsidP="00202AA5">
            <w:pPr>
              <w:jc w:val="center"/>
            </w:pPr>
            <w:r w:rsidRPr="00D66514">
              <w:t>(&lt;.0001)</w:t>
            </w:r>
          </w:p>
        </w:tc>
        <w:tc>
          <w:tcPr>
            <w:tcW w:w="1347" w:type="dxa"/>
            <w:shd w:val="clear" w:color="auto" w:fill="auto"/>
            <w:noWrap/>
            <w:vAlign w:val="center"/>
            <w:hideMark/>
          </w:tcPr>
          <w:p w14:paraId="0A7B3EB0" w14:textId="77777777" w:rsidR="00202AA5" w:rsidRPr="00D66514" w:rsidRDefault="00202AA5" w:rsidP="00202AA5">
            <w:pPr>
              <w:jc w:val="center"/>
            </w:pPr>
            <w:r w:rsidRPr="00D66514">
              <w:t>-</w:t>
            </w:r>
          </w:p>
        </w:tc>
      </w:tr>
      <w:tr w:rsidR="00202AA5" w:rsidRPr="00D66514" w14:paraId="103B3759" w14:textId="77777777" w:rsidTr="00E70528">
        <w:trPr>
          <w:trHeight w:val="300"/>
          <w:jc w:val="center"/>
        </w:trPr>
        <w:tc>
          <w:tcPr>
            <w:tcW w:w="1838" w:type="dxa"/>
            <w:shd w:val="clear" w:color="auto" w:fill="auto"/>
            <w:noWrap/>
            <w:vAlign w:val="center"/>
            <w:hideMark/>
          </w:tcPr>
          <w:p w14:paraId="3F2E833B" w14:textId="4FDA503B" w:rsidR="00202AA5" w:rsidRPr="00D66514" w:rsidRDefault="004F3F42" w:rsidP="00202AA5">
            <w:pPr>
              <w:jc w:val="center"/>
              <w:rPr>
                <w:b/>
                <w:bCs/>
              </w:rPr>
            </w:pPr>
            <w:r w:rsidRPr="00D66514">
              <w:rPr>
                <w:rFonts w:cs="Times New Roman"/>
                <w:b/>
                <w:bCs/>
              </w:rPr>
              <w:t>C</w:t>
            </w:r>
          </w:p>
        </w:tc>
        <w:tc>
          <w:tcPr>
            <w:tcW w:w="1144" w:type="dxa"/>
            <w:shd w:val="clear" w:color="auto" w:fill="auto"/>
            <w:noWrap/>
            <w:vAlign w:val="center"/>
            <w:hideMark/>
          </w:tcPr>
          <w:p w14:paraId="766D4A11" w14:textId="77777777" w:rsidR="00202AA5" w:rsidRPr="00D66514" w:rsidRDefault="00202AA5" w:rsidP="00202AA5">
            <w:pPr>
              <w:jc w:val="center"/>
            </w:pPr>
            <w:r w:rsidRPr="00D66514">
              <w:t>0.6793</w:t>
            </w:r>
            <w:r w:rsidRPr="00D66514">
              <w:br/>
              <w:t>(&lt;.0001)</w:t>
            </w:r>
          </w:p>
        </w:tc>
        <w:tc>
          <w:tcPr>
            <w:tcW w:w="1266" w:type="dxa"/>
            <w:shd w:val="clear" w:color="auto" w:fill="auto"/>
            <w:vAlign w:val="center"/>
            <w:hideMark/>
          </w:tcPr>
          <w:p w14:paraId="59BF73FF" w14:textId="77777777" w:rsidR="00202AA5" w:rsidRPr="00D66514" w:rsidRDefault="00202AA5" w:rsidP="00202AA5">
            <w:pPr>
              <w:jc w:val="center"/>
            </w:pPr>
            <w:r w:rsidRPr="00D66514">
              <w:t>0.7171</w:t>
            </w:r>
          </w:p>
          <w:p w14:paraId="20D1E75D" w14:textId="77777777" w:rsidR="00202AA5" w:rsidRPr="00D66514" w:rsidRDefault="00202AA5" w:rsidP="00202AA5">
            <w:pPr>
              <w:jc w:val="center"/>
            </w:pPr>
            <w:r w:rsidRPr="00D66514">
              <w:t>(&lt;.0001)</w:t>
            </w:r>
          </w:p>
        </w:tc>
        <w:tc>
          <w:tcPr>
            <w:tcW w:w="1111" w:type="dxa"/>
            <w:shd w:val="clear" w:color="auto" w:fill="auto"/>
            <w:noWrap/>
            <w:vAlign w:val="center"/>
            <w:hideMark/>
          </w:tcPr>
          <w:p w14:paraId="2FA59994" w14:textId="77777777" w:rsidR="00202AA5" w:rsidRPr="00D66514" w:rsidRDefault="00202AA5" w:rsidP="00202AA5">
            <w:pPr>
              <w:jc w:val="center"/>
            </w:pPr>
            <w:r w:rsidRPr="00D66514">
              <w:t>0.9804</w:t>
            </w:r>
          </w:p>
          <w:p w14:paraId="7F017E7B" w14:textId="77777777" w:rsidR="00202AA5" w:rsidRPr="00D66514" w:rsidRDefault="00202AA5" w:rsidP="00202AA5">
            <w:pPr>
              <w:jc w:val="center"/>
            </w:pPr>
            <w:r w:rsidRPr="00D66514">
              <w:t>(&lt;.0001)</w:t>
            </w:r>
          </w:p>
        </w:tc>
        <w:tc>
          <w:tcPr>
            <w:tcW w:w="1317" w:type="dxa"/>
            <w:shd w:val="clear" w:color="auto" w:fill="auto"/>
            <w:noWrap/>
            <w:vAlign w:val="center"/>
            <w:hideMark/>
          </w:tcPr>
          <w:p w14:paraId="775E2BF7" w14:textId="77777777" w:rsidR="00202AA5" w:rsidRPr="00D66514" w:rsidRDefault="00202AA5" w:rsidP="00202AA5">
            <w:pPr>
              <w:jc w:val="center"/>
            </w:pPr>
            <w:r w:rsidRPr="00D66514">
              <w:t>0.8405</w:t>
            </w:r>
          </w:p>
          <w:p w14:paraId="72C9A986" w14:textId="77777777" w:rsidR="00202AA5" w:rsidRPr="00D66514" w:rsidRDefault="00202AA5" w:rsidP="00202AA5">
            <w:pPr>
              <w:jc w:val="center"/>
            </w:pPr>
            <w:r w:rsidRPr="00D66514">
              <w:t>(0.0151)</w:t>
            </w:r>
          </w:p>
        </w:tc>
        <w:tc>
          <w:tcPr>
            <w:tcW w:w="1328" w:type="dxa"/>
            <w:shd w:val="clear" w:color="auto" w:fill="auto"/>
            <w:noWrap/>
            <w:vAlign w:val="center"/>
            <w:hideMark/>
          </w:tcPr>
          <w:p w14:paraId="3D797131" w14:textId="77777777" w:rsidR="00202AA5" w:rsidRPr="00D66514" w:rsidRDefault="00202AA5" w:rsidP="00202AA5">
            <w:pPr>
              <w:jc w:val="center"/>
            </w:pPr>
            <w:r w:rsidRPr="00D66514">
              <w:t>0.4376</w:t>
            </w:r>
          </w:p>
          <w:p w14:paraId="76F833D9" w14:textId="77777777" w:rsidR="00202AA5" w:rsidRPr="00D66514" w:rsidRDefault="00202AA5" w:rsidP="00202AA5">
            <w:pPr>
              <w:jc w:val="center"/>
            </w:pPr>
            <w:r w:rsidRPr="00D66514">
              <w:t>(0.0002)</w:t>
            </w:r>
          </w:p>
        </w:tc>
        <w:tc>
          <w:tcPr>
            <w:tcW w:w="1347" w:type="dxa"/>
            <w:shd w:val="clear" w:color="auto" w:fill="auto"/>
            <w:noWrap/>
            <w:vAlign w:val="center"/>
            <w:hideMark/>
          </w:tcPr>
          <w:p w14:paraId="2AE9FDE0" w14:textId="77777777" w:rsidR="00202AA5" w:rsidRPr="00D66514" w:rsidRDefault="00202AA5" w:rsidP="00202AA5">
            <w:pPr>
              <w:jc w:val="center"/>
            </w:pPr>
            <w:r w:rsidRPr="00D66514">
              <w:t>0.3652</w:t>
            </w:r>
          </w:p>
          <w:p w14:paraId="6DBD3F88" w14:textId="77777777" w:rsidR="00202AA5" w:rsidRPr="00D66514" w:rsidRDefault="00202AA5" w:rsidP="00202AA5">
            <w:pPr>
              <w:jc w:val="center"/>
            </w:pPr>
            <w:r w:rsidRPr="00D66514">
              <w:t>(&lt;.0001)</w:t>
            </w:r>
          </w:p>
        </w:tc>
      </w:tr>
      <w:tr w:rsidR="00202AA5" w:rsidRPr="00D66514" w14:paraId="05BAF704" w14:textId="77777777" w:rsidTr="00E70528">
        <w:trPr>
          <w:trHeight w:val="300"/>
          <w:jc w:val="center"/>
        </w:trPr>
        <w:tc>
          <w:tcPr>
            <w:tcW w:w="1838" w:type="dxa"/>
            <w:shd w:val="clear" w:color="auto" w:fill="auto"/>
            <w:noWrap/>
            <w:vAlign w:val="center"/>
            <w:hideMark/>
          </w:tcPr>
          <w:p w14:paraId="4AC71D62" w14:textId="2A72D832" w:rsidR="00202AA5" w:rsidRPr="00D66514" w:rsidRDefault="00B86C54" w:rsidP="00202AA5">
            <w:pPr>
              <w:jc w:val="center"/>
              <w:rPr>
                <w:b/>
                <w:bCs/>
              </w:rPr>
            </w:pPr>
            <w:r w:rsidRPr="00D66514">
              <w:rPr>
                <w:rFonts w:cs="Times New Roman"/>
                <w:b/>
                <w:bCs/>
              </w:rPr>
              <w:t>G</w:t>
            </w:r>
          </w:p>
        </w:tc>
        <w:tc>
          <w:tcPr>
            <w:tcW w:w="1144" w:type="dxa"/>
            <w:shd w:val="clear" w:color="auto" w:fill="auto"/>
            <w:noWrap/>
            <w:vAlign w:val="center"/>
            <w:hideMark/>
          </w:tcPr>
          <w:p w14:paraId="53BF2074" w14:textId="77777777" w:rsidR="00202AA5" w:rsidRPr="00D66514" w:rsidRDefault="00202AA5" w:rsidP="00202AA5">
            <w:pPr>
              <w:jc w:val="center"/>
            </w:pPr>
            <w:r w:rsidRPr="00D66514">
              <w:t>-0.381</w:t>
            </w:r>
            <w:r w:rsidRPr="00D66514">
              <w:br/>
              <w:t>(0.0018)</w:t>
            </w:r>
          </w:p>
        </w:tc>
        <w:tc>
          <w:tcPr>
            <w:tcW w:w="1266" w:type="dxa"/>
            <w:shd w:val="clear" w:color="auto" w:fill="auto"/>
            <w:vAlign w:val="center"/>
            <w:hideMark/>
          </w:tcPr>
          <w:p w14:paraId="664CD289" w14:textId="77777777" w:rsidR="00202AA5" w:rsidRPr="00D66514" w:rsidRDefault="00202AA5" w:rsidP="00202AA5">
            <w:pPr>
              <w:jc w:val="center"/>
            </w:pPr>
            <w:r w:rsidRPr="00D66514">
              <w:t>-0.5039</w:t>
            </w:r>
          </w:p>
          <w:p w14:paraId="2C35CE27" w14:textId="77777777" w:rsidR="00202AA5" w:rsidRPr="00D66514" w:rsidRDefault="00202AA5" w:rsidP="00202AA5">
            <w:pPr>
              <w:jc w:val="center"/>
            </w:pPr>
            <w:r w:rsidRPr="00D66514">
              <w:t>(0.0434)</w:t>
            </w:r>
          </w:p>
        </w:tc>
        <w:tc>
          <w:tcPr>
            <w:tcW w:w="1111" w:type="dxa"/>
            <w:shd w:val="clear" w:color="auto" w:fill="auto"/>
            <w:noWrap/>
            <w:vAlign w:val="center"/>
            <w:hideMark/>
          </w:tcPr>
          <w:p w14:paraId="273275BA" w14:textId="77777777" w:rsidR="00202AA5" w:rsidRPr="00D66514" w:rsidRDefault="00202AA5" w:rsidP="00202AA5">
            <w:pPr>
              <w:jc w:val="center"/>
            </w:pPr>
            <w:r w:rsidRPr="00D66514">
              <w:t>-0.917</w:t>
            </w:r>
          </w:p>
          <w:p w14:paraId="55DB25F4" w14:textId="77777777" w:rsidR="00202AA5" w:rsidRPr="00D66514" w:rsidRDefault="00202AA5" w:rsidP="00202AA5">
            <w:pPr>
              <w:jc w:val="center"/>
            </w:pPr>
            <w:r w:rsidRPr="00D66514">
              <w:t>(0.0043)</w:t>
            </w:r>
          </w:p>
        </w:tc>
        <w:tc>
          <w:tcPr>
            <w:tcW w:w="1317" w:type="dxa"/>
            <w:shd w:val="clear" w:color="auto" w:fill="auto"/>
            <w:noWrap/>
            <w:vAlign w:val="center"/>
            <w:hideMark/>
          </w:tcPr>
          <w:p w14:paraId="534BE31F" w14:textId="77777777" w:rsidR="00202AA5" w:rsidRPr="00D66514" w:rsidRDefault="00202AA5" w:rsidP="00202AA5">
            <w:pPr>
              <w:jc w:val="center"/>
            </w:pPr>
            <w:r w:rsidRPr="00D66514">
              <w:t>-0.9145</w:t>
            </w:r>
          </w:p>
          <w:p w14:paraId="2155022B" w14:textId="77777777" w:rsidR="00202AA5" w:rsidRPr="00D66514" w:rsidRDefault="00202AA5" w:rsidP="00202AA5">
            <w:pPr>
              <w:jc w:val="center"/>
            </w:pPr>
            <w:r w:rsidRPr="00D66514">
              <w:t>(0.3546)</w:t>
            </w:r>
          </w:p>
        </w:tc>
        <w:tc>
          <w:tcPr>
            <w:tcW w:w="1328" w:type="dxa"/>
            <w:shd w:val="clear" w:color="auto" w:fill="auto"/>
            <w:noWrap/>
            <w:vAlign w:val="center"/>
            <w:hideMark/>
          </w:tcPr>
          <w:p w14:paraId="5540E04B" w14:textId="77777777" w:rsidR="00202AA5" w:rsidRPr="00D66514" w:rsidRDefault="00202AA5" w:rsidP="00202AA5">
            <w:pPr>
              <w:jc w:val="center"/>
            </w:pPr>
            <w:r w:rsidRPr="00D66514">
              <w:t>-0.1285</w:t>
            </w:r>
          </w:p>
          <w:p w14:paraId="34E991B0" w14:textId="77777777" w:rsidR="00202AA5" w:rsidRPr="00D66514" w:rsidRDefault="00202AA5" w:rsidP="00202AA5">
            <w:pPr>
              <w:jc w:val="center"/>
            </w:pPr>
            <w:r w:rsidRPr="00D66514">
              <w:t>(0.519)</w:t>
            </w:r>
          </w:p>
        </w:tc>
        <w:tc>
          <w:tcPr>
            <w:tcW w:w="1347" w:type="dxa"/>
            <w:shd w:val="clear" w:color="auto" w:fill="auto"/>
            <w:noWrap/>
            <w:vAlign w:val="center"/>
            <w:hideMark/>
          </w:tcPr>
          <w:p w14:paraId="7F86CAC0" w14:textId="77777777" w:rsidR="00202AA5" w:rsidRPr="00D66514" w:rsidRDefault="00202AA5" w:rsidP="00202AA5">
            <w:pPr>
              <w:jc w:val="center"/>
            </w:pPr>
            <w:r w:rsidRPr="00D66514">
              <w:t>-0.7125</w:t>
            </w:r>
          </w:p>
          <w:p w14:paraId="711D2254" w14:textId="77777777" w:rsidR="00202AA5" w:rsidRPr="00D66514" w:rsidRDefault="00202AA5" w:rsidP="00202AA5">
            <w:pPr>
              <w:jc w:val="center"/>
            </w:pPr>
            <w:r w:rsidRPr="00D66514">
              <w:t>(&lt;.0001)</w:t>
            </w:r>
          </w:p>
        </w:tc>
      </w:tr>
      <w:tr w:rsidR="00202AA5" w:rsidRPr="00D66514" w14:paraId="56740225" w14:textId="77777777" w:rsidTr="00E70528">
        <w:trPr>
          <w:trHeight w:val="600"/>
          <w:jc w:val="center"/>
        </w:trPr>
        <w:tc>
          <w:tcPr>
            <w:tcW w:w="1838" w:type="dxa"/>
            <w:shd w:val="clear" w:color="auto" w:fill="auto"/>
            <w:noWrap/>
            <w:vAlign w:val="center"/>
            <w:hideMark/>
          </w:tcPr>
          <w:p w14:paraId="70A309B9" w14:textId="4058B999" w:rsidR="00202AA5" w:rsidRPr="00D66514" w:rsidRDefault="004F3F42" w:rsidP="00202AA5">
            <w:pPr>
              <w:jc w:val="center"/>
              <w:rPr>
                <w:b/>
                <w:bCs/>
              </w:rPr>
            </w:pPr>
            <w:r w:rsidRPr="00D66514">
              <w:rPr>
                <w:rFonts w:cs="Times New Roman"/>
                <w:b/>
                <w:bCs/>
              </w:rPr>
              <w:t>D</w:t>
            </w:r>
          </w:p>
        </w:tc>
        <w:tc>
          <w:tcPr>
            <w:tcW w:w="1144" w:type="dxa"/>
            <w:shd w:val="clear" w:color="auto" w:fill="auto"/>
            <w:noWrap/>
            <w:vAlign w:val="center"/>
            <w:hideMark/>
          </w:tcPr>
          <w:p w14:paraId="39B90408" w14:textId="77777777" w:rsidR="00202AA5" w:rsidRPr="00D66514" w:rsidRDefault="00202AA5" w:rsidP="00202AA5">
            <w:pPr>
              <w:jc w:val="center"/>
            </w:pPr>
            <w:r w:rsidRPr="00D66514">
              <w:t>-0.1958</w:t>
            </w:r>
            <w:r w:rsidRPr="00D66514">
              <w:br/>
              <w:t>(0.0004)</w:t>
            </w:r>
          </w:p>
        </w:tc>
        <w:tc>
          <w:tcPr>
            <w:tcW w:w="1266" w:type="dxa"/>
            <w:shd w:val="clear" w:color="auto" w:fill="auto"/>
            <w:vAlign w:val="center"/>
            <w:hideMark/>
          </w:tcPr>
          <w:p w14:paraId="09DC6A45" w14:textId="77777777" w:rsidR="00202AA5" w:rsidRPr="00D66514" w:rsidRDefault="00202AA5" w:rsidP="00202AA5">
            <w:pPr>
              <w:jc w:val="center"/>
            </w:pPr>
            <w:r w:rsidRPr="00D66514">
              <w:t>-0.04821</w:t>
            </w:r>
          </w:p>
          <w:p w14:paraId="67E597DB" w14:textId="77777777" w:rsidR="00202AA5" w:rsidRPr="00D66514" w:rsidRDefault="00202AA5" w:rsidP="00202AA5">
            <w:pPr>
              <w:jc w:val="center"/>
            </w:pPr>
            <w:r w:rsidRPr="00D66514">
              <w:t>(0.4897)</w:t>
            </w:r>
          </w:p>
        </w:tc>
        <w:tc>
          <w:tcPr>
            <w:tcW w:w="1111" w:type="dxa"/>
            <w:shd w:val="clear" w:color="auto" w:fill="auto"/>
            <w:noWrap/>
            <w:vAlign w:val="center"/>
            <w:hideMark/>
          </w:tcPr>
          <w:p w14:paraId="6DFF8EA3" w14:textId="77777777" w:rsidR="00202AA5" w:rsidRPr="00D66514" w:rsidRDefault="00202AA5" w:rsidP="00202AA5">
            <w:pPr>
              <w:jc w:val="center"/>
            </w:pPr>
            <w:r w:rsidRPr="00D66514">
              <w:t>-0.03411</w:t>
            </w:r>
          </w:p>
          <w:p w14:paraId="000FFA81" w14:textId="77777777" w:rsidR="00202AA5" w:rsidRPr="00D66514" w:rsidRDefault="00202AA5" w:rsidP="00202AA5">
            <w:pPr>
              <w:jc w:val="center"/>
            </w:pPr>
            <w:r w:rsidRPr="00D66514">
              <w:t>(0.7566)</w:t>
            </w:r>
          </w:p>
        </w:tc>
        <w:tc>
          <w:tcPr>
            <w:tcW w:w="1317" w:type="dxa"/>
            <w:shd w:val="clear" w:color="auto" w:fill="auto"/>
            <w:noWrap/>
            <w:vAlign w:val="center"/>
            <w:hideMark/>
          </w:tcPr>
          <w:p w14:paraId="0009E0F0" w14:textId="77777777" w:rsidR="00202AA5" w:rsidRPr="00D66514" w:rsidRDefault="00202AA5" w:rsidP="00202AA5">
            <w:pPr>
              <w:jc w:val="center"/>
            </w:pPr>
            <w:r w:rsidRPr="00D66514">
              <w:t>0.2049</w:t>
            </w:r>
          </w:p>
          <w:p w14:paraId="160701E7" w14:textId="77777777" w:rsidR="00202AA5" w:rsidRPr="00D66514" w:rsidRDefault="00202AA5" w:rsidP="00202AA5">
            <w:pPr>
              <w:jc w:val="center"/>
            </w:pPr>
            <w:r w:rsidRPr="00D66514">
              <w:t>(0.3483)</w:t>
            </w:r>
          </w:p>
        </w:tc>
        <w:tc>
          <w:tcPr>
            <w:tcW w:w="1328" w:type="dxa"/>
            <w:shd w:val="clear" w:color="auto" w:fill="auto"/>
            <w:noWrap/>
            <w:vAlign w:val="center"/>
            <w:hideMark/>
          </w:tcPr>
          <w:p w14:paraId="25E0AA38" w14:textId="77777777" w:rsidR="00202AA5" w:rsidRPr="00D66514" w:rsidRDefault="00202AA5" w:rsidP="00202AA5">
            <w:pPr>
              <w:jc w:val="center"/>
            </w:pPr>
            <w:r w:rsidRPr="00D66514">
              <w:t>0.4729</w:t>
            </w:r>
          </w:p>
          <w:p w14:paraId="36EEE544" w14:textId="77777777" w:rsidR="00202AA5" w:rsidRPr="00D66514" w:rsidRDefault="00202AA5" w:rsidP="00202AA5">
            <w:pPr>
              <w:jc w:val="center"/>
            </w:pPr>
            <w:r w:rsidRPr="00D66514">
              <w:t>(&lt;.0001)</w:t>
            </w:r>
          </w:p>
        </w:tc>
        <w:tc>
          <w:tcPr>
            <w:tcW w:w="1347" w:type="dxa"/>
            <w:shd w:val="clear" w:color="auto" w:fill="auto"/>
            <w:noWrap/>
            <w:vAlign w:val="center"/>
            <w:hideMark/>
          </w:tcPr>
          <w:p w14:paraId="05DE333B" w14:textId="77777777" w:rsidR="00202AA5" w:rsidRPr="00D66514" w:rsidRDefault="00202AA5" w:rsidP="00202AA5">
            <w:pPr>
              <w:jc w:val="center"/>
            </w:pPr>
            <w:r w:rsidRPr="00D66514">
              <w:t>-0.2278</w:t>
            </w:r>
          </w:p>
          <w:p w14:paraId="38600386" w14:textId="77777777" w:rsidR="00202AA5" w:rsidRPr="00D66514" w:rsidRDefault="00202AA5" w:rsidP="00202AA5">
            <w:pPr>
              <w:jc w:val="center"/>
            </w:pPr>
            <w:r w:rsidRPr="00D66514">
              <w:t>(&lt;.0001)</w:t>
            </w:r>
          </w:p>
        </w:tc>
      </w:tr>
      <w:tr w:rsidR="00202AA5" w:rsidRPr="00D66514" w14:paraId="694A1604" w14:textId="77777777" w:rsidTr="00E70528">
        <w:trPr>
          <w:trHeight w:val="300"/>
          <w:jc w:val="center"/>
        </w:trPr>
        <w:tc>
          <w:tcPr>
            <w:tcW w:w="1838" w:type="dxa"/>
            <w:shd w:val="clear" w:color="auto" w:fill="auto"/>
            <w:noWrap/>
            <w:vAlign w:val="center"/>
            <w:hideMark/>
          </w:tcPr>
          <w:p w14:paraId="3B8336CF" w14:textId="3941C946" w:rsidR="00202AA5" w:rsidRPr="00D66514" w:rsidRDefault="00B86C54" w:rsidP="00202AA5">
            <w:pPr>
              <w:jc w:val="center"/>
              <w:rPr>
                <w:b/>
                <w:bCs/>
              </w:rPr>
            </w:pPr>
            <w:r w:rsidRPr="00D66514">
              <w:rPr>
                <w:rFonts w:cs="Times New Roman"/>
                <w:b/>
                <w:bCs/>
              </w:rPr>
              <w:t>H</w:t>
            </w:r>
          </w:p>
        </w:tc>
        <w:tc>
          <w:tcPr>
            <w:tcW w:w="1144" w:type="dxa"/>
            <w:shd w:val="clear" w:color="auto" w:fill="auto"/>
            <w:noWrap/>
            <w:vAlign w:val="center"/>
            <w:hideMark/>
          </w:tcPr>
          <w:p w14:paraId="33DA7639" w14:textId="77777777" w:rsidR="00202AA5" w:rsidRPr="00D66514" w:rsidRDefault="00202AA5" w:rsidP="00202AA5">
            <w:pPr>
              <w:jc w:val="center"/>
            </w:pPr>
            <w:r w:rsidRPr="00D66514">
              <w:t>0.7809</w:t>
            </w:r>
            <w:r w:rsidRPr="00D66514">
              <w:br/>
              <w:t>(&lt;.0001)</w:t>
            </w:r>
          </w:p>
        </w:tc>
        <w:tc>
          <w:tcPr>
            <w:tcW w:w="1266" w:type="dxa"/>
            <w:shd w:val="clear" w:color="auto" w:fill="auto"/>
            <w:vAlign w:val="center"/>
            <w:hideMark/>
          </w:tcPr>
          <w:p w14:paraId="5EF62612" w14:textId="77777777" w:rsidR="00202AA5" w:rsidRPr="00D66514" w:rsidRDefault="00202AA5" w:rsidP="00202AA5">
            <w:pPr>
              <w:jc w:val="center"/>
            </w:pPr>
            <w:r w:rsidRPr="00D66514">
              <w:t>0.3019</w:t>
            </w:r>
          </w:p>
          <w:p w14:paraId="241F77AD" w14:textId="77777777" w:rsidR="00202AA5" w:rsidRPr="00D66514" w:rsidRDefault="00202AA5" w:rsidP="00202AA5">
            <w:pPr>
              <w:jc w:val="center"/>
            </w:pPr>
            <w:r w:rsidRPr="00D66514">
              <w:t>(0.1324)</w:t>
            </w:r>
          </w:p>
        </w:tc>
        <w:tc>
          <w:tcPr>
            <w:tcW w:w="1111" w:type="dxa"/>
            <w:shd w:val="clear" w:color="auto" w:fill="auto"/>
            <w:noWrap/>
            <w:vAlign w:val="center"/>
            <w:hideMark/>
          </w:tcPr>
          <w:p w14:paraId="663EFA57" w14:textId="77777777" w:rsidR="00202AA5" w:rsidRPr="00D66514" w:rsidRDefault="00202AA5" w:rsidP="00202AA5">
            <w:pPr>
              <w:jc w:val="center"/>
            </w:pPr>
            <w:r w:rsidRPr="00D66514">
              <w:t>0.392</w:t>
            </w:r>
          </w:p>
          <w:p w14:paraId="1916DB49" w14:textId="77777777" w:rsidR="00202AA5" w:rsidRPr="00D66514" w:rsidRDefault="00202AA5" w:rsidP="00202AA5">
            <w:pPr>
              <w:jc w:val="center"/>
            </w:pPr>
            <w:r w:rsidRPr="00D66514">
              <w:t>(0.1298)</w:t>
            </w:r>
          </w:p>
        </w:tc>
        <w:tc>
          <w:tcPr>
            <w:tcW w:w="1317" w:type="dxa"/>
            <w:shd w:val="clear" w:color="auto" w:fill="auto"/>
            <w:noWrap/>
            <w:vAlign w:val="center"/>
            <w:hideMark/>
          </w:tcPr>
          <w:p w14:paraId="1CE746C7" w14:textId="77777777" w:rsidR="00202AA5" w:rsidRPr="00D66514" w:rsidRDefault="00202AA5" w:rsidP="00202AA5">
            <w:pPr>
              <w:jc w:val="center"/>
            </w:pPr>
            <w:r w:rsidRPr="00D66514">
              <w:t>1.6752</w:t>
            </w:r>
          </w:p>
          <w:p w14:paraId="6F93102A" w14:textId="77777777" w:rsidR="00202AA5" w:rsidRPr="00D66514" w:rsidRDefault="00202AA5" w:rsidP="00202AA5">
            <w:pPr>
              <w:jc w:val="center"/>
            </w:pPr>
            <w:r w:rsidRPr="00D66514">
              <w:t>(0.0961)</w:t>
            </w:r>
          </w:p>
        </w:tc>
        <w:tc>
          <w:tcPr>
            <w:tcW w:w="1328" w:type="dxa"/>
            <w:shd w:val="clear" w:color="auto" w:fill="auto"/>
            <w:noWrap/>
            <w:vAlign w:val="center"/>
            <w:hideMark/>
          </w:tcPr>
          <w:p w14:paraId="77E00D38" w14:textId="77777777" w:rsidR="00202AA5" w:rsidRPr="00D66514" w:rsidRDefault="00202AA5" w:rsidP="00202AA5">
            <w:pPr>
              <w:jc w:val="center"/>
            </w:pPr>
            <w:r w:rsidRPr="00D66514">
              <w:t>0.2936</w:t>
            </w:r>
          </w:p>
          <w:p w14:paraId="6968282F" w14:textId="77777777" w:rsidR="00202AA5" w:rsidRPr="00D66514" w:rsidRDefault="00202AA5" w:rsidP="00202AA5">
            <w:pPr>
              <w:jc w:val="center"/>
            </w:pPr>
            <w:r w:rsidRPr="00D66514">
              <w:t>(0.1487)</w:t>
            </w:r>
          </w:p>
        </w:tc>
        <w:tc>
          <w:tcPr>
            <w:tcW w:w="1347" w:type="dxa"/>
            <w:shd w:val="clear" w:color="auto" w:fill="auto"/>
            <w:noWrap/>
            <w:vAlign w:val="center"/>
            <w:hideMark/>
          </w:tcPr>
          <w:p w14:paraId="5BDA833E" w14:textId="77777777" w:rsidR="00202AA5" w:rsidRPr="00D66514" w:rsidRDefault="00202AA5" w:rsidP="00202AA5">
            <w:pPr>
              <w:jc w:val="center"/>
            </w:pPr>
            <w:r w:rsidRPr="00D66514">
              <w:t>0.7553</w:t>
            </w:r>
          </w:p>
          <w:p w14:paraId="68E9B823" w14:textId="77777777" w:rsidR="00202AA5" w:rsidRPr="00D66514" w:rsidRDefault="00202AA5" w:rsidP="00202AA5">
            <w:pPr>
              <w:jc w:val="center"/>
            </w:pPr>
            <w:r w:rsidRPr="00D66514">
              <w:t>(&lt;.0001)</w:t>
            </w:r>
          </w:p>
        </w:tc>
      </w:tr>
      <w:tr w:rsidR="00202AA5" w:rsidRPr="00D66514" w14:paraId="38F413B3" w14:textId="77777777" w:rsidTr="00E70528">
        <w:trPr>
          <w:trHeight w:val="300"/>
          <w:jc w:val="center"/>
        </w:trPr>
        <w:tc>
          <w:tcPr>
            <w:tcW w:w="9351" w:type="dxa"/>
            <w:gridSpan w:val="7"/>
            <w:shd w:val="clear" w:color="auto" w:fill="auto"/>
            <w:noWrap/>
            <w:vAlign w:val="center"/>
            <w:hideMark/>
          </w:tcPr>
          <w:p w14:paraId="5A3B8898" w14:textId="77777777" w:rsidR="00202AA5" w:rsidRPr="00D66514" w:rsidRDefault="00202AA5" w:rsidP="00202AA5">
            <w:pPr>
              <w:jc w:val="center"/>
              <w:rPr>
                <w:b/>
                <w:bCs/>
              </w:rPr>
            </w:pPr>
            <w:r w:rsidRPr="00D66514">
              <w:rPr>
                <w:b/>
                <w:bCs/>
              </w:rPr>
              <w:t>Goodness of Fit Measures</w:t>
            </w:r>
          </w:p>
        </w:tc>
      </w:tr>
      <w:tr w:rsidR="00202AA5" w:rsidRPr="00D66514" w14:paraId="2F2C24C2" w14:textId="77777777" w:rsidTr="00E70528">
        <w:trPr>
          <w:trHeight w:val="300"/>
          <w:jc w:val="center"/>
        </w:trPr>
        <w:tc>
          <w:tcPr>
            <w:tcW w:w="1838" w:type="dxa"/>
            <w:shd w:val="clear" w:color="auto" w:fill="auto"/>
            <w:noWrap/>
            <w:vAlign w:val="center"/>
            <w:hideMark/>
          </w:tcPr>
          <w:p w14:paraId="06A483C3" w14:textId="77777777" w:rsidR="00202AA5" w:rsidRPr="00D66514" w:rsidRDefault="00202AA5" w:rsidP="00202AA5">
            <w:pPr>
              <w:jc w:val="center"/>
              <w:rPr>
                <w:b/>
                <w:bCs/>
              </w:rPr>
            </w:pPr>
            <w:r w:rsidRPr="00D66514">
              <w:rPr>
                <w:b/>
                <w:bCs/>
              </w:rPr>
              <w:t>-2LL</w:t>
            </w:r>
          </w:p>
        </w:tc>
        <w:tc>
          <w:tcPr>
            <w:tcW w:w="1144" w:type="dxa"/>
            <w:shd w:val="clear" w:color="auto" w:fill="auto"/>
            <w:noWrap/>
            <w:vAlign w:val="center"/>
            <w:hideMark/>
          </w:tcPr>
          <w:p w14:paraId="705F791F" w14:textId="77777777" w:rsidR="00202AA5" w:rsidRPr="00D66514" w:rsidRDefault="00202AA5" w:rsidP="00202AA5">
            <w:pPr>
              <w:jc w:val="center"/>
            </w:pPr>
            <w:r w:rsidRPr="00D66514">
              <w:t>11,345.0</w:t>
            </w:r>
          </w:p>
        </w:tc>
        <w:tc>
          <w:tcPr>
            <w:tcW w:w="1266" w:type="dxa"/>
            <w:shd w:val="clear" w:color="auto" w:fill="auto"/>
            <w:noWrap/>
            <w:vAlign w:val="center"/>
            <w:hideMark/>
          </w:tcPr>
          <w:p w14:paraId="19B69DB0" w14:textId="77777777" w:rsidR="00202AA5" w:rsidRPr="00D66514" w:rsidRDefault="00202AA5" w:rsidP="00202AA5">
            <w:pPr>
              <w:jc w:val="center"/>
            </w:pPr>
            <w:r w:rsidRPr="00D66514">
              <w:t>7,946.5</w:t>
            </w:r>
          </w:p>
        </w:tc>
        <w:tc>
          <w:tcPr>
            <w:tcW w:w="1111" w:type="dxa"/>
            <w:shd w:val="clear" w:color="auto" w:fill="auto"/>
            <w:noWrap/>
            <w:vAlign w:val="center"/>
            <w:hideMark/>
          </w:tcPr>
          <w:p w14:paraId="0DCC337F" w14:textId="77777777" w:rsidR="00202AA5" w:rsidRPr="00D66514" w:rsidRDefault="00202AA5" w:rsidP="00202AA5">
            <w:pPr>
              <w:jc w:val="center"/>
            </w:pPr>
            <w:r w:rsidRPr="00D66514">
              <w:t>6,162.3</w:t>
            </w:r>
          </w:p>
        </w:tc>
        <w:tc>
          <w:tcPr>
            <w:tcW w:w="1317" w:type="dxa"/>
            <w:shd w:val="clear" w:color="auto" w:fill="auto"/>
            <w:noWrap/>
            <w:vAlign w:val="center"/>
            <w:hideMark/>
          </w:tcPr>
          <w:p w14:paraId="6DE03858" w14:textId="77777777" w:rsidR="00202AA5" w:rsidRPr="00D66514" w:rsidRDefault="00202AA5" w:rsidP="00202AA5">
            <w:pPr>
              <w:jc w:val="center"/>
            </w:pPr>
            <w:r w:rsidRPr="00D66514">
              <w:t>3,127.5</w:t>
            </w:r>
          </w:p>
        </w:tc>
        <w:tc>
          <w:tcPr>
            <w:tcW w:w="1328" w:type="dxa"/>
            <w:shd w:val="clear" w:color="auto" w:fill="auto"/>
            <w:noWrap/>
            <w:vAlign w:val="center"/>
            <w:hideMark/>
          </w:tcPr>
          <w:p w14:paraId="4DDE846D" w14:textId="77777777" w:rsidR="00202AA5" w:rsidRPr="00D66514" w:rsidRDefault="00202AA5" w:rsidP="00202AA5">
            <w:pPr>
              <w:jc w:val="center"/>
            </w:pPr>
            <w:r w:rsidRPr="00D66514">
              <w:t>6,949.4</w:t>
            </w:r>
          </w:p>
        </w:tc>
        <w:tc>
          <w:tcPr>
            <w:tcW w:w="1347" w:type="dxa"/>
            <w:shd w:val="clear" w:color="auto" w:fill="auto"/>
            <w:noWrap/>
            <w:vAlign w:val="center"/>
            <w:hideMark/>
          </w:tcPr>
          <w:p w14:paraId="6C8B1832" w14:textId="77777777" w:rsidR="00202AA5" w:rsidRPr="00D66514" w:rsidRDefault="00202AA5" w:rsidP="00202AA5">
            <w:pPr>
              <w:jc w:val="center"/>
            </w:pPr>
            <w:r w:rsidRPr="00D66514">
              <w:t>9,562.7</w:t>
            </w:r>
          </w:p>
        </w:tc>
      </w:tr>
      <w:tr w:rsidR="00202AA5" w:rsidRPr="00D66514" w14:paraId="067E4D76" w14:textId="77777777" w:rsidTr="00E70528">
        <w:trPr>
          <w:trHeight w:val="300"/>
          <w:jc w:val="center"/>
        </w:trPr>
        <w:tc>
          <w:tcPr>
            <w:tcW w:w="1838" w:type="dxa"/>
            <w:shd w:val="clear" w:color="auto" w:fill="auto"/>
            <w:noWrap/>
            <w:vAlign w:val="center"/>
            <w:hideMark/>
          </w:tcPr>
          <w:p w14:paraId="4D95C0EB" w14:textId="77777777" w:rsidR="00202AA5" w:rsidRPr="00D66514" w:rsidRDefault="00202AA5" w:rsidP="00202AA5">
            <w:pPr>
              <w:jc w:val="center"/>
              <w:rPr>
                <w:b/>
                <w:bCs/>
              </w:rPr>
            </w:pPr>
            <w:r w:rsidRPr="00D66514">
              <w:rPr>
                <w:b/>
                <w:bCs/>
              </w:rPr>
              <w:t>MAD</w:t>
            </w:r>
          </w:p>
        </w:tc>
        <w:tc>
          <w:tcPr>
            <w:tcW w:w="1144" w:type="dxa"/>
            <w:shd w:val="clear" w:color="auto" w:fill="auto"/>
            <w:noWrap/>
            <w:vAlign w:val="center"/>
            <w:hideMark/>
          </w:tcPr>
          <w:p w14:paraId="0516CCF1" w14:textId="77777777" w:rsidR="00202AA5" w:rsidRPr="00D66514" w:rsidRDefault="00202AA5" w:rsidP="00202AA5">
            <w:pPr>
              <w:jc w:val="center"/>
            </w:pPr>
            <w:r w:rsidRPr="00D66514">
              <w:t>3.894</w:t>
            </w:r>
          </w:p>
        </w:tc>
        <w:tc>
          <w:tcPr>
            <w:tcW w:w="1266" w:type="dxa"/>
            <w:shd w:val="clear" w:color="auto" w:fill="auto"/>
            <w:noWrap/>
            <w:vAlign w:val="center"/>
            <w:hideMark/>
          </w:tcPr>
          <w:p w14:paraId="56C0FDA9" w14:textId="77777777" w:rsidR="00202AA5" w:rsidRPr="00D66514" w:rsidRDefault="00202AA5" w:rsidP="00202AA5">
            <w:pPr>
              <w:jc w:val="center"/>
            </w:pPr>
            <w:r w:rsidRPr="00D66514">
              <w:t>1.692</w:t>
            </w:r>
          </w:p>
        </w:tc>
        <w:tc>
          <w:tcPr>
            <w:tcW w:w="1111" w:type="dxa"/>
            <w:shd w:val="clear" w:color="auto" w:fill="auto"/>
            <w:noWrap/>
            <w:vAlign w:val="center"/>
            <w:hideMark/>
          </w:tcPr>
          <w:p w14:paraId="44D01A81" w14:textId="77777777" w:rsidR="00202AA5" w:rsidRPr="00D66514" w:rsidRDefault="00202AA5" w:rsidP="00202AA5">
            <w:pPr>
              <w:jc w:val="center"/>
            </w:pPr>
            <w:r w:rsidRPr="00D66514">
              <w:t>0.952</w:t>
            </w:r>
          </w:p>
        </w:tc>
        <w:tc>
          <w:tcPr>
            <w:tcW w:w="1317" w:type="dxa"/>
            <w:shd w:val="clear" w:color="auto" w:fill="auto"/>
            <w:noWrap/>
            <w:vAlign w:val="center"/>
            <w:hideMark/>
          </w:tcPr>
          <w:p w14:paraId="7E95A618" w14:textId="77777777" w:rsidR="00202AA5" w:rsidRPr="00D66514" w:rsidRDefault="00202AA5" w:rsidP="00202AA5">
            <w:pPr>
              <w:jc w:val="center"/>
            </w:pPr>
            <w:r w:rsidRPr="00D66514">
              <w:t>0.383</w:t>
            </w:r>
          </w:p>
        </w:tc>
        <w:tc>
          <w:tcPr>
            <w:tcW w:w="1328" w:type="dxa"/>
            <w:shd w:val="clear" w:color="auto" w:fill="auto"/>
            <w:noWrap/>
            <w:vAlign w:val="center"/>
            <w:hideMark/>
          </w:tcPr>
          <w:p w14:paraId="4E11E1C0" w14:textId="77777777" w:rsidR="00202AA5" w:rsidRPr="00D66514" w:rsidRDefault="00202AA5" w:rsidP="00202AA5">
            <w:pPr>
              <w:jc w:val="center"/>
            </w:pPr>
            <w:r w:rsidRPr="00D66514">
              <w:t>1.004</w:t>
            </w:r>
          </w:p>
        </w:tc>
        <w:tc>
          <w:tcPr>
            <w:tcW w:w="1347" w:type="dxa"/>
            <w:shd w:val="clear" w:color="auto" w:fill="auto"/>
            <w:noWrap/>
            <w:vAlign w:val="center"/>
            <w:hideMark/>
          </w:tcPr>
          <w:p w14:paraId="1F0E667B" w14:textId="77777777" w:rsidR="00202AA5" w:rsidRPr="00D66514" w:rsidRDefault="00202AA5" w:rsidP="00202AA5">
            <w:pPr>
              <w:jc w:val="center"/>
            </w:pPr>
            <w:r w:rsidRPr="00D66514">
              <w:t>3.386</w:t>
            </w:r>
          </w:p>
        </w:tc>
      </w:tr>
      <w:tr w:rsidR="00F94F5C" w:rsidRPr="00D66514" w14:paraId="1DE2A7EA" w14:textId="77777777" w:rsidTr="00E70528">
        <w:trPr>
          <w:trHeight w:val="300"/>
          <w:jc w:val="center"/>
        </w:trPr>
        <w:tc>
          <w:tcPr>
            <w:tcW w:w="1838" w:type="dxa"/>
            <w:shd w:val="clear" w:color="auto" w:fill="auto"/>
            <w:noWrap/>
            <w:vAlign w:val="center"/>
          </w:tcPr>
          <w:p w14:paraId="6842F107" w14:textId="180541DB" w:rsidR="00F94F5C" w:rsidRPr="00D66514" w:rsidRDefault="00F94F5C" w:rsidP="00202AA5">
            <w:pPr>
              <w:jc w:val="center"/>
              <w:rPr>
                <w:b/>
                <w:bCs/>
              </w:rPr>
            </w:pPr>
            <w:r w:rsidRPr="00D66514">
              <w:rPr>
                <w:b/>
                <w:bCs/>
              </w:rPr>
              <w:t>MSPE</w:t>
            </w:r>
          </w:p>
        </w:tc>
        <w:tc>
          <w:tcPr>
            <w:tcW w:w="1144" w:type="dxa"/>
            <w:shd w:val="clear" w:color="auto" w:fill="auto"/>
            <w:noWrap/>
            <w:vAlign w:val="center"/>
          </w:tcPr>
          <w:p w14:paraId="6B257960" w14:textId="25108F22" w:rsidR="00F94F5C" w:rsidRPr="00D66514" w:rsidRDefault="00F94F5C">
            <w:pPr>
              <w:jc w:val="center"/>
            </w:pPr>
            <w:r w:rsidRPr="00D66514">
              <w:t>102.963</w:t>
            </w:r>
          </w:p>
        </w:tc>
        <w:tc>
          <w:tcPr>
            <w:tcW w:w="1266" w:type="dxa"/>
            <w:shd w:val="clear" w:color="auto" w:fill="auto"/>
            <w:noWrap/>
            <w:vAlign w:val="center"/>
          </w:tcPr>
          <w:p w14:paraId="17AE3DEE" w14:textId="54EAA086" w:rsidR="00F94F5C" w:rsidRPr="00D66514" w:rsidRDefault="00F94F5C">
            <w:pPr>
              <w:jc w:val="center"/>
            </w:pPr>
            <w:r w:rsidRPr="00D66514">
              <w:t>15.316</w:t>
            </w:r>
          </w:p>
        </w:tc>
        <w:tc>
          <w:tcPr>
            <w:tcW w:w="1111" w:type="dxa"/>
            <w:shd w:val="clear" w:color="auto" w:fill="auto"/>
            <w:noWrap/>
            <w:vAlign w:val="center"/>
          </w:tcPr>
          <w:p w14:paraId="128A963A" w14:textId="335E752F" w:rsidR="00F94F5C" w:rsidRPr="00D66514" w:rsidRDefault="00F94F5C">
            <w:pPr>
              <w:jc w:val="center"/>
            </w:pPr>
            <w:r w:rsidRPr="00D66514">
              <w:t>3.224</w:t>
            </w:r>
          </w:p>
        </w:tc>
        <w:tc>
          <w:tcPr>
            <w:tcW w:w="1317" w:type="dxa"/>
            <w:shd w:val="clear" w:color="auto" w:fill="auto"/>
            <w:noWrap/>
            <w:vAlign w:val="center"/>
          </w:tcPr>
          <w:p w14:paraId="69B1DC7A" w14:textId="6AD15380" w:rsidR="00F94F5C" w:rsidRPr="00D66514" w:rsidRDefault="00F94F5C">
            <w:pPr>
              <w:jc w:val="center"/>
            </w:pPr>
            <w:r w:rsidRPr="00D66514">
              <w:t>0.460</w:t>
            </w:r>
          </w:p>
        </w:tc>
        <w:tc>
          <w:tcPr>
            <w:tcW w:w="1328" w:type="dxa"/>
            <w:shd w:val="clear" w:color="auto" w:fill="auto"/>
            <w:noWrap/>
            <w:vAlign w:val="center"/>
          </w:tcPr>
          <w:p w14:paraId="67641101" w14:textId="7A5FEEC2" w:rsidR="00F94F5C" w:rsidRPr="00D66514" w:rsidRDefault="00F94F5C">
            <w:pPr>
              <w:jc w:val="center"/>
            </w:pPr>
            <w:r w:rsidRPr="00D66514">
              <w:t>2.455</w:t>
            </w:r>
          </w:p>
        </w:tc>
        <w:tc>
          <w:tcPr>
            <w:tcW w:w="1347" w:type="dxa"/>
            <w:shd w:val="clear" w:color="auto" w:fill="auto"/>
            <w:noWrap/>
            <w:vAlign w:val="center"/>
          </w:tcPr>
          <w:p w14:paraId="04ED47A8" w14:textId="0DAEC9C3" w:rsidR="00F94F5C" w:rsidRPr="00D66514" w:rsidRDefault="00F94F5C">
            <w:pPr>
              <w:jc w:val="center"/>
            </w:pPr>
            <w:r w:rsidRPr="00D66514">
              <w:t>96.157</w:t>
            </w:r>
          </w:p>
        </w:tc>
      </w:tr>
      <w:tr w:rsidR="00D26242" w:rsidRPr="00D66514" w14:paraId="6E01BF47" w14:textId="77777777" w:rsidTr="00E70528">
        <w:trPr>
          <w:trHeight w:val="300"/>
          <w:jc w:val="center"/>
        </w:trPr>
        <w:tc>
          <w:tcPr>
            <w:tcW w:w="1838" w:type="dxa"/>
            <w:shd w:val="clear" w:color="auto" w:fill="auto"/>
            <w:noWrap/>
            <w:vAlign w:val="center"/>
          </w:tcPr>
          <w:p w14:paraId="203B9BBB" w14:textId="77777777" w:rsidR="00D26242" w:rsidRPr="00D66514" w:rsidRDefault="00D26242" w:rsidP="00202AA5">
            <w:pPr>
              <w:jc w:val="center"/>
              <w:rPr>
                <w:b/>
                <w:bCs/>
              </w:rPr>
            </w:pPr>
          </w:p>
        </w:tc>
        <w:tc>
          <w:tcPr>
            <w:tcW w:w="7513" w:type="dxa"/>
            <w:gridSpan w:val="6"/>
            <w:shd w:val="clear" w:color="auto" w:fill="auto"/>
            <w:noWrap/>
            <w:vAlign w:val="center"/>
          </w:tcPr>
          <w:p w14:paraId="32FB4E90" w14:textId="3ACEEF8E" w:rsidR="00D26242" w:rsidRPr="00D66514" w:rsidRDefault="00D26242" w:rsidP="00774FB3">
            <w:pPr>
              <w:ind w:left="317" w:hanging="317"/>
            </w:pPr>
            <w:r w:rsidRPr="00D66514">
              <w:t>-  : statistically insignificant variables at alpha = 0.05 removed from the SPF</w:t>
            </w:r>
          </w:p>
        </w:tc>
      </w:tr>
    </w:tbl>
    <w:p w14:paraId="366E5400" w14:textId="77777777" w:rsidR="009F5B15" w:rsidRPr="00D66514" w:rsidRDefault="009F5B15" w:rsidP="0096488B">
      <w:pPr>
        <w:spacing w:after="0"/>
      </w:pPr>
    </w:p>
    <w:p w14:paraId="4E757602" w14:textId="4396CC38" w:rsidR="0002068C" w:rsidRPr="00D66514" w:rsidRDefault="0004240D" w:rsidP="00464934">
      <w:pPr>
        <w:pStyle w:val="Heading3"/>
      </w:pPr>
      <w:r w:rsidRPr="00D66514">
        <w:t xml:space="preserve">Average Conditions </w:t>
      </w:r>
      <w:r w:rsidR="0002068C" w:rsidRPr="00D66514">
        <w:t xml:space="preserve">Florida and California </w:t>
      </w:r>
      <w:r w:rsidR="00A72C9B" w:rsidRPr="00D66514">
        <w:t>J</w:t>
      </w:r>
      <w:r w:rsidR="0002068C" w:rsidRPr="00D66514">
        <w:t xml:space="preserve">oint </w:t>
      </w:r>
      <w:r w:rsidR="00037D20" w:rsidRPr="00D66514">
        <w:t>Safety Performance Functions</w:t>
      </w:r>
    </w:p>
    <w:p w14:paraId="795E404C" w14:textId="7FDBF7DB" w:rsidR="002515C5" w:rsidRPr="00D66514" w:rsidRDefault="00C6023E" w:rsidP="009A5A98">
      <w:pPr>
        <w:spacing w:after="0"/>
      </w:pPr>
      <w:r w:rsidRPr="00D66514">
        <w:t xml:space="preserve">The results </w:t>
      </w:r>
      <w:r w:rsidR="00037D20" w:rsidRPr="00D66514">
        <w:t xml:space="preserve">of </w:t>
      </w:r>
      <w:r w:rsidRPr="00D66514">
        <w:t>the Florida and California joint SPF</w:t>
      </w:r>
      <w:r w:rsidR="00037D20" w:rsidRPr="00D66514">
        <w:t>s</w:t>
      </w:r>
      <w:r w:rsidRPr="00D66514">
        <w:t xml:space="preserve"> are presented in</w:t>
      </w:r>
      <w:r w:rsidR="00037D20" w:rsidRPr="00D66514">
        <w:t xml:space="preserve"> </w:t>
      </w:r>
      <w:r w:rsidR="00037D20" w:rsidRPr="00D66514">
        <w:fldChar w:fldCharType="begin"/>
      </w:r>
      <w:r w:rsidR="00037D20" w:rsidRPr="00D66514">
        <w:instrText xml:space="preserve"> REF _Ref426154650 \h </w:instrText>
      </w:r>
      <w:r w:rsidR="00071DE2" w:rsidRPr="00D66514">
        <w:instrText xml:space="preserve"> \* MERGEFORMAT </w:instrText>
      </w:r>
      <w:r w:rsidR="00037D20" w:rsidRPr="00D66514">
        <w:fldChar w:fldCharType="separate"/>
      </w:r>
      <w:r w:rsidR="004F0410" w:rsidRPr="00D66514">
        <w:t xml:space="preserve">Table </w:t>
      </w:r>
      <w:r w:rsidR="004F0410">
        <w:rPr>
          <w:noProof/>
        </w:rPr>
        <w:t>3</w:t>
      </w:r>
      <w:r w:rsidR="00037D20" w:rsidRPr="00D66514">
        <w:fldChar w:fldCharType="end"/>
      </w:r>
      <w:r w:rsidRPr="00D66514">
        <w:t>. The California state indicator is significant and negative in all models except</w:t>
      </w:r>
      <w:r w:rsidR="00037D20" w:rsidRPr="00D66514">
        <w:t xml:space="preserve"> that of</w:t>
      </w:r>
      <w:r w:rsidRPr="00D66514">
        <w:t xml:space="preserve"> KABCO. The AADT interaction variable is significant only for the SV crashes (as was the case in the </w:t>
      </w:r>
      <w:r w:rsidR="00037D20" w:rsidRPr="00D66514">
        <w:t>Florida-</w:t>
      </w:r>
      <w:r w:rsidRPr="00D66514">
        <w:t xml:space="preserve">Ohio model). The state indicators in the </w:t>
      </w:r>
      <w:r w:rsidR="00686910" w:rsidRPr="00D66514">
        <w:t>over-dispersion</w:t>
      </w:r>
      <w:r w:rsidRPr="00D66514">
        <w:t xml:space="preserve"> are significant</w:t>
      </w:r>
      <w:r w:rsidR="002515C5" w:rsidRPr="00D66514">
        <w:t xml:space="preserve"> in all </w:t>
      </w:r>
      <w:r w:rsidR="009A5A98" w:rsidRPr="00D66514">
        <w:t>crash classifications</w:t>
      </w:r>
      <w:r w:rsidRPr="00D66514">
        <w:t xml:space="preserve">. </w:t>
      </w:r>
    </w:p>
    <w:p w14:paraId="140BE946" w14:textId="77777777" w:rsidR="00A72C9B" w:rsidRPr="00D66514" w:rsidRDefault="00A72C9B" w:rsidP="0096488B">
      <w:pPr>
        <w:spacing w:after="0"/>
      </w:pPr>
    </w:p>
    <w:p w14:paraId="7815B0C2" w14:textId="77777777" w:rsidR="00A72C9B" w:rsidRPr="00D66514" w:rsidRDefault="00A72C9B" w:rsidP="0096488B">
      <w:pPr>
        <w:spacing w:after="0"/>
      </w:pPr>
    </w:p>
    <w:p w14:paraId="208C7324" w14:textId="77777777" w:rsidR="00A72C9B" w:rsidRPr="00D66514" w:rsidRDefault="00A72C9B" w:rsidP="0096488B">
      <w:pPr>
        <w:spacing w:after="0"/>
      </w:pPr>
    </w:p>
    <w:p w14:paraId="53D49058" w14:textId="77777777" w:rsidR="00A72C9B" w:rsidRPr="00D66514" w:rsidRDefault="00A72C9B" w:rsidP="0096488B">
      <w:pPr>
        <w:spacing w:after="0"/>
      </w:pPr>
    </w:p>
    <w:p w14:paraId="3EC2E489" w14:textId="77777777" w:rsidR="00A72C9B" w:rsidRPr="00D66514" w:rsidRDefault="00A72C9B" w:rsidP="0096488B">
      <w:pPr>
        <w:spacing w:after="0"/>
      </w:pPr>
    </w:p>
    <w:p w14:paraId="0AAF07D9" w14:textId="77777777" w:rsidR="00A72C9B" w:rsidRPr="00D66514" w:rsidRDefault="00A72C9B" w:rsidP="0096488B">
      <w:pPr>
        <w:spacing w:after="0"/>
      </w:pPr>
    </w:p>
    <w:p w14:paraId="28A16174" w14:textId="77777777" w:rsidR="00A72C9B" w:rsidRPr="00D66514" w:rsidRDefault="00A72C9B" w:rsidP="0096488B">
      <w:pPr>
        <w:spacing w:after="0"/>
      </w:pPr>
    </w:p>
    <w:p w14:paraId="7DCF3359" w14:textId="77777777" w:rsidR="00A72C9B" w:rsidRPr="00D66514" w:rsidRDefault="00A72C9B" w:rsidP="0096488B">
      <w:pPr>
        <w:spacing w:after="0"/>
      </w:pPr>
    </w:p>
    <w:p w14:paraId="2E5DD4DD" w14:textId="77777777" w:rsidR="00B80F53" w:rsidRPr="00D66514" w:rsidRDefault="00B80F53" w:rsidP="0096488B">
      <w:pPr>
        <w:spacing w:after="0"/>
      </w:pPr>
    </w:p>
    <w:p w14:paraId="6DC5624C" w14:textId="01FCC3D2" w:rsidR="006F7A21" w:rsidRPr="00D66514" w:rsidRDefault="006F7A21" w:rsidP="00D67911">
      <w:pPr>
        <w:pStyle w:val="Caption"/>
        <w:keepNext/>
      </w:pPr>
      <w:bookmarkStart w:id="3" w:name="_Ref426154650"/>
      <w:r w:rsidRPr="00D66514">
        <w:lastRenderedPageBreak/>
        <w:t>T</w:t>
      </w:r>
      <w:r w:rsidR="0040634D" w:rsidRPr="00D66514">
        <w:t>able</w:t>
      </w:r>
      <w:r w:rsidRPr="00D66514">
        <w:t xml:space="preserve"> </w:t>
      </w:r>
      <w:r w:rsidR="00A226E1">
        <w:fldChar w:fldCharType="begin"/>
      </w:r>
      <w:r w:rsidR="00A226E1">
        <w:instrText xml:space="preserve"> SEQ Table \* ARABIC </w:instrText>
      </w:r>
      <w:r w:rsidR="00A226E1">
        <w:fldChar w:fldCharType="separate"/>
      </w:r>
      <w:r w:rsidR="004F0410">
        <w:rPr>
          <w:noProof/>
        </w:rPr>
        <w:t>3</w:t>
      </w:r>
      <w:r w:rsidR="00A226E1">
        <w:rPr>
          <w:noProof/>
        </w:rPr>
        <w:fldChar w:fldCharType="end"/>
      </w:r>
      <w:bookmarkEnd w:id="3"/>
      <w:r w:rsidRPr="00D66514">
        <w:t xml:space="preserve"> </w:t>
      </w:r>
      <w:r w:rsidR="0004240D" w:rsidRPr="00D66514">
        <w:rPr>
          <w:iCs w:val="0"/>
        </w:rPr>
        <w:t>Average Conditions</w:t>
      </w:r>
      <w:r w:rsidR="0004240D" w:rsidRPr="00D66514">
        <w:t xml:space="preserve"> </w:t>
      </w:r>
      <w:r w:rsidRPr="00D66514">
        <w:t>Florida and California</w:t>
      </w:r>
      <w:r w:rsidR="00A72C9B" w:rsidRPr="00D66514">
        <w:t xml:space="preserve"> Joint</w:t>
      </w:r>
      <w:r w:rsidRPr="00D66514">
        <w:t xml:space="preserve"> </w:t>
      </w:r>
      <w:r w:rsidR="0004240D" w:rsidRPr="00D66514">
        <w:t>Safety Performance Functions</w:t>
      </w:r>
    </w:p>
    <w:tbl>
      <w:tblPr>
        <w:tblStyle w:val="TableGrid"/>
        <w:tblW w:w="0" w:type="auto"/>
        <w:tblInd w:w="137" w:type="dxa"/>
        <w:tblLook w:val="04A0" w:firstRow="1" w:lastRow="0" w:firstColumn="1" w:lastColumn="0" w:noHBand="0" w:noVBand="1"/>
      </w:tblPr>
      <w:tblGrid>
        <w:gridCol w:w="2210"/>
        <w:gridCol w:w="1200"/>
        <w:gridCol w:w="1162"/>
        <w:gridCol w:w="1162"/>
        <w:gridCol w:w="1151"/>
        <w:gridCol w:w="1162"/>
        <w:gridCol w:w="1166"/>
      </w:tblGrid>
      <w:tr w:rsidR="006F7A21" w:rsidRPr="00D66514" w14:paraId="6F07B4FF" w14:textId="77777777" w:rsidTr="00E70528">
        <w:trPr>
          <w:trHeight w:val="300"/>
        </w:trPr>
        <w:tc>
          <w:tcPr>
            <w:tcW w:w="2257" w:type="dxa"/>
            <w:shd w:val="clear" w:color="auto" w:fill="auto"/>
            <w:noWrap/>
            <w:vAlign w:val="center"/>
            <w:hideMark/>
          </w:tcPr>
          <w:p w14:paraId="4858E5E9" w14:textId="77777777" w:rsidR="006F7A21" w:rsidRPr="00D66514" w:rsidRDefault="006F7A21" w:rsidP="006F7A21">
            <w:pPr>
              <w:jc w:val="center"/>
              <w:rPr>
                <w:b/>
                <w:bCs/>
              </w:rPr>
            </w:pPr>
            <w:r w:rsidRPr="00D66514">
              <w:rPr>
                <w:b/>
                <w:bCs/>
              </w:rPr>
              <w:t>Crash Type or Severity</w:t>
            </w:r>
          </w:p>
        </w:tc>
        <w:tc>
          <w:tcPr>
            <w:tcW w:w="0" w:type="auto"/>
            <w:shd w:val="clear" w:color="auto" w:fill="auto"/>
            <w:noWrap/>
            <w:vAlign w:val="center"/>
            <w:hideMark/>
          </w:tcPr>
          <w:p w14:paraId="1578EF7E" w14:textId="77777777" w:rsidR="006F7A21" w:rsidRPr="00D66514" w:rsidRDefault="006F7A21" w:rsidP="006F7A21">
            <w:pPr>
              <w:jc w:val="center"/>
              <w:rPr>
                <w:b/>
                <w:bCs/>
              </w:rPr>
            </w:pPr>
            <w:r w:rsidRPr="00D66514">
              <w:rPr>
                <w:b/>
                <w:bCs/>
              </w:rPr>
              <w:t>KABCO</w:t>
            </w:r>
          </w:p>
        </w:tc>
        <w:tc>
          <w:tcPr>
            <w:tcW w:w="0" w:type="auto"/>
            <w:shd w:val="clear" w:color="auto" w:fill="auto"/>
            <w:noWrap/>
            <w:vAlign w:val="center"/>
            <w:hideMark/>
          </w:tcPr>
          <w:p w14:paraId="5B887210" w14:textId="77777777" w:rsidR="006F7A21" w:rsidRPr="00D66514" w:rsidRDefault="006F7A21" w:rsidP="006F7A21">
            <w:pPr>
              <w:jc w:val="center"/>
              <w:rPr>
                <w:b/>
                <w:bCs/>
              </w:rPr>
            </w:pPr>
            <w:r w:rsidRPr="00D66514">
              <w:rPr>
                <w:b/>
                <w:bCs/>
              </w:rPr>
              <w:t>KABC</w:t>
            </w:r>
          </w:p>
        </w:tc>
        <w:tc>
          <w:tcPr>
            <w:tcW w:w="0" w:type="auto"/>
            <w:shd w:val="clear" w:color="auto" w:fill="auto"/>
            <w:noWrap/>
            <w:vAlign w:val="center"/>
            <w:hideMark/>
          </w:tcPr>
          <w:p w14:paraId="1C8CBFFC" w14:textId="77777777" w:rsidR="006F7A21" w:rsidRPr="00D66514" w:rsidRDefault="006F7A21" w:rsidP="006F7A21">
            <w:pPr>
              <w:jc w:val="center"/>
              <w:rPr>
                <w:b/>
                <w:bCs/>
              </w:rPr>
            </w:pPr>
            <w:r w:rsidRPr="00D66514">
              <w:rPr>
                <w:b/>
                <w:bCs/>
              </w:rPr>
              <w:t>KAB</w:t>
            </w:r>
          </w:p>
        </w:tc>
        <w:tc>
          <w:tcPr>
            <w:tcW w:w="0" w:type="auto"/>
            <w:shd w:val="clear" w:color="auto" w:fill="auto"/>
            <w:noWrap/>
            <w:vAlign w:val="center"/>
            <w:hideMark/>
          </w:tcPr>
          <w:p w14:paraId="5EADD6CD" w14:textId="77777777" w:rsidR="006F7A21" w:rsidRPr="00D66514" w:rsidRDefault="006F7A21" w:rsidP="006F7A21">
            <w:pPr>
              <w:jc w:val="center"/>
              <w:rPr>
                <w:b/>
                <w:bCs/>
              </w:rPr>
            </w:pPr>
            <w:r w:rsidRPr="00D66514">
              <w:rPr>
                <w:b/>
                <w:bCs/>
              </w:rPr>
              <w:t>KA</w:t>
            </w:r>
          </w:p>
        </w:tc>
        <w:tc>
          <w:tcPr>
            <w:tcW w:w="0" w:type="auto"/>
            <w:shd w:val="clear" w:color="auto" w:fill="auto"/>
            <w:noWrap/>
            <w:vAlign w:val="center"/>
            <w:hideMark/>
          </w:tcPr>
          <w:p w14:paraId="4E164F69" w14:textId="77777777" w:rsidR="006F7A21" w:rsidRPr="00D66514" w:rsidRDefault="006F7A21" w:rsidP="006F7A21">
            <w:pPr>
              <w:jc w:val="center"/>
              <w:rPr>
                <w:b/>
                <w:bCs/>
              </w:rPr>
            </w:pPr>
            <w:r w:rsidRPr="00D66514">
              <w:rPr>
                <w:b/>
                <w:bCs/>
              </w:rPr>
              <w:t>SV</w:t>
            </w:r>
          </w:p>
        </w:tc>
        <w:tc>
          <w:tcPr>
            <w:tcW w:w="0" w:type="auto"/>
            <w:shd w:val="clear" w:color="auto" w:fill="auto"/>
            <w:noWrap/>
            <w:vAlign w:val="center"/>
            <w:hideMark/>
          </w:tcPr>
          <w:p w14:paraId="48F16049" w14:textId="77777777" w:rsidR="006F7A21" w:rsidRPr="00D66514" w:rsidRDefault="006F7A21" w:rsidP="006F7A21">
            <w:pPr>
              <w:jc w:val="center"/>
              <w:rPr>
                <w:b/>
                <w:bCs/>
              </w:rPr>
            </w:pPr>
            <w:r w:rsidRPr="00D66514">
              <w:rPr>
                <w:b/>
                <w:bCs/>
              </w:rPr>
              <w:t>MV</w:t>
            </w:r>
          </w:p>
        </w:tc>
      </w:tr>
      <w:tr w:rsidR="006F7A21" w:rsidRPr="00D66514" w14:paraId="0C93EC31" w14:textId="77777777" w:rsidTr="00E70528">
        <w:trPr>
          <w:trHeight w:val="300"/>
        </w:trPr>
        <w:tc>
          <w:tcPr>
            <w:tcW w:w="2257" w:type="dxa"/>
            <w:shd w:val="clear" w:color="auto" w:fill="auto"/>
            <w:noWrap/>
            <w:vAlign w:val="center"/>
            <w:hideMark/>
          </w:tcPr>
          <w:p w14:paraId="15B78ABB" w14:textId="77777777" w:rsidR="006F7A21" w:rsidRPr="00D66514" w:rsidRDefault="006F7A21" w:rsidP="006F7A21">
            <w:pPr>
              <w:jc w:val="center"/>
              <w:rPr>
                <w:b/>
                <w:bCs/>
              </w:rPr>
            </w:pPr>
            <w:r w:rsidRPr="00D66514">
              <w:rPr>
                <w:b/>
                <w:bCs/>
              </w:rPr>
              <w:t>Parameters</w:t>
            </w:r>
          </w:p>
        </w:tc>
        <w:tc>
          <w:tcPr>
            <w:tcW w:w="0" w:type="auto"/>
            <w:gridSpan w:val="6"/>
            <w:shd w:val="clear" w:color="auto" w:fill="auto"/>
            <w:noWrap/>
            <w:vAlign w:val="center"/>
            <w:hideMark/>
          </w:tcPr>
          <w:p w14:paraId="3D51F795" w14:textId="77777777" w:rsidR="006F7A21" w:rsidRPr="00D66514" w:rsidRDefault="006F7A21" w:rsidP="006F7A21">
            <w:pPr>
              <w:jc w:val="center"/>
              <w:rPr>
                <w:b/>
                <w:bCs/>
              </w:rPr>
            </w:pPr>
            <w:r w:rsidRPr="00D66514">
              <w:rPr>
                <w:b/>
                <w:bCs/>
              </w:rPr>
              <w:t>Parameter Estimates and P-Values</w:t>
            </w:r>
          </w:p>
        </w:tc>
      </w:tr>
      <w:tr w:rsidR="006F7A21" w:rsidRPr="00D66514" w14:paraId="417421B3" w14:textId="77777777" w:rsidTr="00E70528">
        <w:trPr>
          <w:trHeight w:val="600"/>
        </w:trPr>
        <w:tc>
          <w:tcPr>
            <w:tcW w:w="2257" w:type="dxa"/>
            <w:shd w:val="clear" w:color="auto" w:fill="auto"/>
            <w:noWrap/>
            <w:vAlign w:val="center"/>
            <w:hideMark/>
          </w:tcPr>
          <w:p w14:paraId="21D8DE35" w14:textId="77777777" w:rsidR="006F7A21" w:rsidRPr="00D66514" w:rsidRDefault="006F7A21" w:rsidP="006F7A21">
            <w:pPr>
              <w:jc w:val="center"/>
              <w:rPr>
                <w:b/>
                <w:bCs/>
              </w:rPr>
            </w:pPr>
            <w:r w:rsidRPr="00D66514">
              <w:rPr>
                <w:b/>
                <w:bCs/>
              </w:rPr>
              <w:t>Intercept</w:t>
            </w:r>
          </w:p>
        </w:tc>
        <w:tc>
          <w:tcPr>
            <w:tcW w:w="0" w:type="auto"/>
            <w:shd w:val="clear" w:color="auto" w:fill="auto"/>
            <w:vAlign w:val="center"/>
            <w:hideMark/>
          </w:tcPr>
          <w:p w14:paraId="17D158E5" w14:textId="77777777" w:rsidR="006F7A21" w:rsidRPr="00D66514" w:rsidRDefault="006F7A21" w:rsidP="006F7A21">
            <w:pPr>
              <w:jc w:val="center"/>
            </w:pPr>
            <w:r w:rsidRPr="00D66514">
              <w:t>-9.0931</w:t>
            </w:r>
            <w:r w:rsidRPr="00D66514">
              <w:br/>
              <w:t>(&lt;.0001)</w:t>
            </w:r>
          </w:p>
        </w:tc>
        <w:tc>
          <w:tcPr>
            <w:tcW w:w="0" w:type="auto"/>
            <w:shd w:val="clear" w:color="auto" w:fill="auto"/>
            <w:vAlign w:val="center"/>
            <w:hideMark/>
          </w:tcPr>
          <w:p w14:paraId="554C0129" w14:textId="77777777" w:rsidR="006F7A21" w:rsidRPr="00D66514" w:rsidRDefault="006F7A21" w:rsidP="006F7A21">
            <w:pPr>
              <w:jc w:val="center"/>
            </w:pPr>
            <w:r w:rsidRPr="00D66514">
              <w:t>-9.3789</w:t>
            </w:r>
            <w:r w:rsidRPr="00D66514">
              <w:br/>
              <w:t>(&lt;.0001)</w:t>
            </w:r>
          </w:p>
        </w:tc>
        <w:tc>
          <w:tcPr>
            <w:tcW w:w="0" w:type="auto"/>
            <w:shd w:val="clear" w:color="auto" w:fill="auto"/>
            <w:vAlign w:val="center"/>
            <w:hideMark/>
          </w:tcPr>
          <w:p w14:paraId="5FD57608" w14:textId="77777777" w:rsidR="006F7A21" w:rsidRPr="00D66514" w:rsidRDefault="006F7A21" w:rsidP="006F7A21">
            <w:pPr>
              <w:jc w:val="center"/>
            </w:pPr>
            <w:r w:rsidRPr="00D66514">
              <w:t>-8.392</w:t>
            </w:r>
            <w:r w:rsidRPr="00D66514">
              <w:br/>
              <w:t>(&lt;.0001)</w:t>
            </w:r>
          </w:p>
        </w:tc>
        <w:tc>
          <w:tcPr>
            <w:tcW w:w="0" w:type="auto"/>
            <w:shd w:val="clear" w:color="auto" w:fill="auto"/>
            <w:vAlign w:val="center"/>
            <w:hideMark/>
          </w:tcPr>
          <w:p w14:paraId="1B1DFF94" w14:textId="77777777" w:rsidR="006F7A21" w:rsidRPr="00D66514" w:rsidRDefault="006F7A21" w:rsidP="006F7A21">
            <w:pPr>
              <w:jc w:val="center"/>
            </w:pPr>
            <w:r w:rsidRPr="00D66514">
              <w:t>-7.1268</w:t>
            </w:r>
            <w:r w:rsidRPr="00D66514">
              <w:br/>
              <w:t>(&lt;.0001)</w:t>
            </w:r>
          </w:p>
        </w:tc>
        <w:tc>
          <w:tcPr>
            <w:tcW w:w="0" w:type="auto"/>
            <w:shd w:val="clear" w:color="auto" w:fill="auto"/>
            <w:vAlign w:val="center"/>
            <w:hideMark/>
          </w:tcPr>
          <w:p w14:paraId="68E28F1B" w14:textId="77777777" w:rsidR="006F7A21" w:rsidRPr="00D66514" w:rsidRDefault="006F7A21" w:rsidP="006F7A21">
            <w:pPr>
              <w:jc w:val="center"/>
            </w:pPr>
            <w:r w:rsidRPr="00D66514">
              <w:t>-3.323</w:t>
            </w:r>
            <w:r w:rsidRPr="00D66514">
              <w:br/>
              <w:t>(&lt;.0001)</w:t>
            </w:r>
          </w:p>
        </w:tc>
        <w:tc>
          <w:tcPr>
            <w:tcW w:w="0" w:type="auto"/>
            <w:shd w:val="clear" w:color="auto" w:fill="auto"/>
            <w:vAlign w:val="center"/>
            <w:hideMark/>
          </w:tcPr>
          <w:p w14:paraId="5698DD71" w14:textId="77777777" w:rsidR="006F7A21" w:rsidRPr="00D66514" w:rsidRDefault="006F7A21" w:rsidP="006F7A21">
            <w:pPr>
              <w:jc w:val="center"/>
            </w:pPr>
            <w:r w:rsidRPr="00D66514">
              <w:t>-11.8394</w:t>
            </w:r>
            <w:r w:rsidRPr="00D66514">
              <w:br/>
              <w:t>(&lt;.0001)</w:t>
            </w:r>
          </w:p>
        </w:tc>
      </w:tr>
      <w:tr w:rsidR="006F7A21" w:rsidRPr="00D66514" w14:paraId="76962C4D" w14:textId="77777777" w:rsidTr="00E70528">
        <w:trPr>
          <w:trHeight w:val="600"/>
        </w:trPr>
        <w:tc>
          <w:tcPr>
            <w:tcW w:w="2257" w:type="dxa"/>
            <w:shd w:val="clear" w:color="auto" w:fill="auto"/>
            <w:noWrap/>
            <w:vAlign w:val="center"/>
            <w:hideMark/>
          </w:tcPr>
          <w:p w14:paraId="1F3DAE37" w14:textId="77777777" w:rsidR="006F7A21" w:rsidRPr="00D66514" w:rsidRDefault="006F7A21" w:rsidP="006F7A21">
            <w:pPr>
              <w:jc w:val="center"/>
              <w:rPr>
                <w:b/>
                <w:bCs/>
              </w:rPr>
            </w:pPr>
            <w:r w:rsidRPr="00D66514">
              <w:rPr>
                <w:b/>
                <w:bCs/>
              </w:rPr>
              <w:t>Ln(AADT)</w:t>
            </w:r>
          </w:p>
        </w:tc>
        <w:tc>
          <w:tcPr>
            <w:tcW w:w="0" w:type="auto"/>
            <w:shd w:val="clear" w:color="auto" w:fill="auto"/>
            <w:vAlign w:val="center"/>
            <w:hideMark/>
          </w:tcPr>
          <w:p w14:paraId="1C5133D2" w14:textId="77777777" w:rsidR="006F7A21" w:rsidRPr="00D66514" w:rsidRDefault="006F7A21" w:rsidP="006F7A21">
            <w:pPr>
              <w:jc w:val="center"/>
            </w:pPr>
            <w:r w:rsidRPr="00D66514">
              <w:t>1.0658</w:t>
            </w:r>
            <w:r w:rsidRPr="00D66514">
              <w:br/>
              <w:t>(&lt;.0001)</w:t>
            </w:r>
          </w:p>
        </w:tc>
        <w:tc>
          <w:tcPr>
            <w:tcW w:w="0" w:type="auto"/>
            <w:shd w:val="clear" w:color="auto" w:fill="auto"/>
            <w:vAlign w:val="center"/>
            <w:hideMark/>
          </w:tcPr>
          <w:p w14:paraId="723DCFD6" w14:textId="77777777" w:rsidR="006F7A21" w:rsidRPr="00D66514" w:rsidRDefault="006F7A21" w:rsidP="006F7A21">
            <w:pPr>
              <w:jc w:val="center"/>
            </w:pPr>
            <w:r w:rsidRPr="00D66514">
              <w:t>1.013</w:t>
            </w:r>
            <w:r w:rsidRPr="00D66514">
              <w:br/>
              <w:t>(&lt;.0001)</w:t>
            </w:r>
          </w:p>
        </w:tc>
        <w:tc>
          <w:tcPr>
            <w:tcW w:w="0" w:type="auto"/>
            <w:shd w:val="clear" w:color="auto" w:fill="auto"/>
            <w:vAlign w:val="center"/>
            <w:hideMark/>
          </w:tcPr>
          <w:p w14:paraId="485B28B2" w14:textId="77777777" w:rsidR="006F7A21" w:rsidRPr="00D66514" w:rsidRDefault="006F7A21" w:rsidP="006F7A21">
            <w:pPr>
              <w:jc w:val="center"/>
            </w:pPr>
            <w:r w:rsidRPr="00D66514">
              <w:t>0.8415</w:t>
            </w:r>
            <w:r w:rsidRPr="00D66514">
              <w:br/>
              <w:t>(&lt;.0001)</w:t>
            </w:r>
          </w:p>
        </w:tc>
        <w:tc>
          <w:tcPr>
            <w:tcW w:w="0" w:type="auto"/>
            <w:shd w:val="clear" w:color="auto" w:fill="auto"/>
            <w:vAlign w:val="center"/>
            <w:hideMark/>
          </w:tcPr>
          <w:p w14:paraId="6C351A7D" w14:textId="77777777" w:rsidR="006F7A21" w:rsidRPr="00D66514" w:rsidRDefault="006F7A21" w:rsidP="006F7A21">
            <w:pPr>
              <w:jc w:val="center"/>
            </w:pPr>
            <w:r w:rsidRPr="00D66514">
              <w:t>0.5955</w:t>
            </w:r>
            <w:r w:rsidRPr="00D66514">
              <w:br/>
              <w:t>(&lt;.0001)</w:t>
            </w:r>
          </w:p>
        </w:tc>
        <w:tc>
          <w:tcPr>
            <w:tcW w:w="0" w:type="auto"/>
            <w:shd w:val="clear" w:color="auto" w:fill="auto"/>
            <w:vAlign w:val="center"/>
            <w:hideMark/>
          </w:tcPr>
          <w:p w14:paraId="4C4627D8" w14:textId="77777777" w:rsidR="006F7A21" w:rsidRPr="00D66514" w:rsidRDefault="006F7A21" w:rsidP="006F7A21">
            <w:pPr>
              <w:jc w:val="center"/>
            </w:pPr>
            <w:r w:rsidRPr="00D66514">
              <w:t>0.3142</w:t>
            </w:r>
            <w:r w:rsidRPr="00D66514">
              <w:br/>
              <w:t>(&lt;.0001)</w:t>
            </w:r>
          </w:p>
        </w:tc>
        <w:tc>
          <w:tcPr>
            <w:tcW w:w="0" w:type="auto"/>
            <w:shd w:val="clear" w:color="auto" w:fill="auto"/>
            <w:vAlign w:val="center"/>
            <w:hideMark/>
          </w:tcPr>
          <w:p w14:paraId="3A735BD1" w14:textId="77777777" w:rsidR="006F7A21" w:rsidRPr="00D66514" w:rsidRDefault="006F7A21" w:rsidP="006F7A21">
            <w:pPr>
              <w:jc w:val="center"/>
            </w:pPr>
            <w:r w:rsidRPr="00D66514">
              <w:t>1.3166</w:t>
            </w:r>
            <w:r w:rsidRPr="00D66514">
              <w:br/>
              <w:t>(&lt;.0001)</w:t>
            </w:r>
          </w:p>
        </w:tc>
      </w:tr>
      <w:tr w:rsidR="006F7A21" w:rsidRPr="00D66514" w14:paraId="41F747A9" w14:textId="77777777" w:rsidTr="00E70528">
        <w:trPr>
          <w:trHeight w:val="600"/>
        </w:trPr>
        <w:tc>
          <w:tcPr>
            <w:tcW w:w="2257" w:type="dxa"/>
            <w:shd w:val="clear" w:color="auto" w:fill="auto"/>
            <w:noWrap/>
            <w:vAlign w:val="center"/>
            <w:hideMark/>
          </w:tcPr>
          <w:p w14:paraId="7A2E7BD5" w14:textId="77777777" w:rsidR="006F7A21" w:rsidRPr="00D66514" w:rsidRDefault="006F7A21" w:rsidP="006F7A21">
            <w:pPr>
              <w:jc w:val="center"/>
              <w:rPr>
                <w:b/>
                <w:bCs/>
              </w:rPr>
            </w:pPr>
            <w:r w:rsidRPr="00D66514">
              <w:rPr>
                <w:b/>
                <w:bCs/>
              </w:rPr>
              <w:t>CA</w:t>
            </w:r>
          </w:p>
        </w:tc>
        <w:tc>
          <w:tcPr>
            <w:tcW w:w="0" w:type="auto"/>
            <w:shd w:val="clear" w:color="auto" w:fill="auto"/>
            <w:vAlign w:val="center"/>
            <w:hideMark/>
          </w:tcPr>
          <w:p w14:paraId="64518FF1" w14:textId="77777777" w:rsidR="006F7A21" w:rsidRPr="00D66514" w:rsidRDefault="006F7A21" w:rsidP="006F7A21">
            <w:pPr>
              <w:jc w:val="center"/>
            </w:pPr>
            <w:r w:rsidRPr="00D66514">
              <w:t>-</w:t>
            </w:r>
          </w:p>
        </w:tc>
        <w:tc>
          <w:tcPr>
            <w:tcW w:w="0" w:type="auto"/>
            <w:shd w:val="clear" w:color="auto" w:fill="auto"/>
            <w:vAlign w:val="center"/>
            <w:hideMark/>
          </w:tcPr>
          <w:p w14:paraId="280BEA3E" w14:textId="77777777" w:rsidR="006F7A21" w:rsidRPr="00D66514" w:rsidRDefault="006F7A21" w:rsidP="006F7A21">
            <w:pPr>
              <w:jc w:val="center"/>
            </w:pPr>
            <w:r w:rsidRPr="00D66514">
              <w:t>-0.1951</w:t>
            </w:r>
            <w:r w:rsidRPr="00D66514">
              <w:br/>
              <w:t>(&lt;.0001)</w:t>
            </w:r>
          </w:p>
        </w:tc>
        <w:tc>
          <w:tcPr>
            <w:tcW w:w="0" w:type="auto"/>
            <w:shd w:val="clear" w:color="auto" w:fill="auto"/>
            <w:vAlign w:val="center"/>
            <w:hideMark/>
          </w:tcPr>
          <w:p w14:paraId="6C261042" w14:textId="77777777" w:rsidR="006F7A21" w:rsidRPr="00D66514" w:rsidRDefault="006F7A21" w:rsidP="006F7A21">
            <w:pPr>
              <w:jc w:val="center"/>
            </w:pPr>
            <w:r w:rsidRPr="00D66514">
              <w:t>-0.1673</w:t>
            </w:r>
            <w:r w:rsidRPr="00D66514">
              <w:br/>
              <w:t>(0.0019)</w:t>
            </w:r>
          </w:p>
        </w:tc>
        <w:tc>
          <w:tcPr>
            <w:tcW w:w="0" w:type="auto"/>
            <w:shd w:val="clear" w:color="auto" w:fill="auto"/>
            <w:vAlign w:val="center"/>
            <w:hideMark/>
          </w:tcPr>
          <w:p w14:paraId="0B4A959D" w14:textId="77777777" w:rsidR="006F7A21" w:rsidRPr="00D66514" w:rsidRDefault="006F7A21" w:rsidP="006F7A21">
            <w:pPr>
              <w:jc w:val="center"/>
            </w:pPr>
            <w:r w:rsidRPr="00D66514">
              <w:t>-0.257</w:t>
            </w:r>
            <w:r w:rsidRPr="00D66514">
              <w:br/>
              <w:t>(0.0017)</w:t>
            </w:r>
          </w:p>
        </w:tc>
        <w:tc>
          <w:tcPr>
            <w:tcW w:w="0" w:type="auto"/>
            <w:shd w:val="clear" w:color="auto" w:fill="auto"/>
            <w:vAlign w:val="center"/>
            <w:hideMark/>
          </w:tcPr>
          <w:p w14:paraId="475A4F39" w14:textId="77777777" w:rsidR="006F7A21" w:rsidRPr="00D66514" w:rsidRDefault="006F7A21" w:rsidP="006F7A21">
            <w:pPr>
              <w:jc w:val="center"/>
            </w:pPr>
            <w:r w:rsidRPr="00D66514">
              <w:t>-4.9467</w:t>
            </w:r>
            <w:r w:rsidRPr="00D66514">
              <w:br/>
              <w:t>(&lt;.0001)</w:t>
            </w:r>
          </w:p>
        </w:tc>
        <w:tc>
          <w:tcPr>
            <w:tcW w:w="0" w:type="auto"/>
            <w:shd w:val="clear" w:color="auto" w:fill="auto"/>
            <w:vAlign w:val="center"/>
            <w:hideMark/>
          </w:tcPr>
          <w:p w14:paraId="6E9E1778" w14:textId="77777777" w:rsidR="006F7A21" w:rsidRPr="00D66514" w:rsidRDefault="006F7A21" w:rsidP="006F7A21">
            <w:pPr>
              <w:jc w:val="center"/>
            </w:pPr>
            <w:r w:rsidRPr="00D66514">
              <w:t>-0.3041</w:t>
            </w:r>
            <w:r w:rsidRPr="00D66514">
              <w:br/>
              <w:t>(&lt;.0001)</w:t>
            </w:r>
          </w:p>
        </w:tc>
      </w:tr>
      <w:tr w:rsidR="006F7A21" w:rsidRPr="00D66514" w14:paraId="1523ABDB" w14:textId="77777777" w:rsidTr="00E70528">
        <w:trPr>
          <w:trHeight w:val="600"/>
        </w:trPr>
        <w:tc>
          <w:tcPr>
            <w:tcW w:w="2257" w:type="dxa"/>
            <w:shd w:val="clear" w:color="auto" w:fill="auto"/>
            <w:noWrap/>
            <w:vAlign w:val="center"/>
            <w:hideMark/>
          </w:tcPr>
          <w:p w14:paraId="4684FBFB" w14:textId="77777777" w:rsidR="006F7A21" w:rsidRPr="00D66514" w:rsidRDefault="006F7A21" w:rsidP="006F7A21">
            <w:pPr>
              <w:jc w:val="center"/>
              <w:rPr>
                <w:b/>
                <w:bCs/>
              </w:rPr>
            </w:pPr>
            <w:r w:rsidRPr="00D66514">
              <w:rPr>
                <w:b/>
                <w:bCs/>
              </w:rPr>
              <w:t>CA</w:t>
            </w:r>
            <w:r w:rsidRPr="00D66514">
              <w:rPr>
                <w:rFonts w:cs="Times New Roman"/>
                <w:b/>
                <w:bCs/>
              </w:rPr>
              <w:t>×</w:t>
            </w:r>
            <w:r w:rsidRPr="00D66514">
              <w:rPr>
                <w:b/>
                <w:bCs/>
              </w:rPr>
              <w:t>Ln(AADT)</w:t>
            </w:r>
          </w:p>
        </w:tc>
        <w:tc>
          <w:tcPr>
            <w:tcW w:w="0" w:type="auto"/>
            <w:shd w:val="clear" w:color="auto" w:fill="auto"/>
            <w:vAlign w:val="center"/>
            <w:hideMark/>
          </w:tcPr>
          <w:p w14:paraId="76C3A100" w14:textId="77777777" w:rsidR="006F7A21" w:rsidRPr="00D66514" w:rsidRDefault="006F7A21" w:rsidP="006F7A21">
            <w:pPr>
              <w:jc w:val="center"/>
            </w:pPr>
            <w:r w:rsidRPr="00D66514">
              <w:t>-</w:t>
            </w:r>
          </w:p>
        </w:tc>
        <w:tc>
          <w:tcPr>
            <w:tcW w:w="0" w:type="auto"/>
            <w:shd w:val="clear" w:color="auto" w:fill="auto"/>
            <w:vAlign w:val="center"/>
            <w:hideMark/>
          </w:tcPr>
          <w:p w14:paraId="4A046E84" w14:textId="77777777" w:rsidR="006F7A21" w:rsidRPr="00D66514" w:rsidRDefault="006F7A21" w:rsidP="006F7A21">
            <w:pPr>
              <w:jc w:val="center"/>
            </w:pPr>
            <w:r w:rsidRPr="00D66514">
              <w:t>-</w:t>
            </w:r>
          </w:p>
        </w:tc>
        <w:tc>
          <w:tcPr>
            <w:tcW w:w="0" w:type="auto"/>
            <w:shd w:val="clear" w:color="auto" w:fill="auto"/>
            <w:vAlign w:val="center"/>
            <w:hideMark/>
          </w:tcPr>
          <w:p w14:paraId="27109EFD" w14:textId="77777777" w:rsidR="006F7A21" w:rsidRPr="00D66514" w:rsidRDefault="006F7A21" w:rsidP="006F7A21">
            <w:pPr>
              <w:jc w:val="center"/>
            </w:pPr>
            <w:r w:rsidRPr="00D66514">
              <w:t>-</w:t>
            </w:r>
          </w:p>
        </w:tc>
        <w:tc>
          <w:tcPr>
            <w:tcW w:w="0" w:type="auto"/>
            <w:shd w:val="clear" w:color="auto" w:fill="auto"/>
            <w:vAlign w:val="center"/>
            <w:hideMark/>
          </w:tcPr>
          <w:p w14:paraId="43B00C01" w14:textId="77777777" w:rsidR="006F7A21" w:rsidRPr="00D66514" w:rsidRDefault="006F7A21" w:rsidP="006F7A21">
            <w:pPr>
              <w:jc w:val="center"/>
            </w:pPr>
            <w:r w:rsidRPr="00D66514">
              <w:t>-</w:t>
            </w:r>
          </w:p>
        </w:tc>
        <w:tc>
          <w:tcPr>
            <w:tcW w:w="0" w:type="auto"/>
            <w:shd w:val="clear" w:color="auto" w:fill="auto"/>
            <w:vAlign w:val="center"/>
            <w:hideMark/>
          </w:tcPr>
          <w:p w14:paraId="53C94FC3" w14:textId="77777777" w:rsidR="006F7A21" w:rsidRPr="00D66514" w:rsidRDefault="006F7A21" w:rsidP="006F7A21">
            <w:pPr>
              <w:jc w:val="center"/>
            </w:pPr>
            <w:r w:rsidRPr="00D66514">
              <w:t>0.5758</w:t>
            </w:r>
            <w:r w:rsidRPr="00D66514">
              <w:br/>
              <w:t>(&lt;.0001)</w:t>
            </w:r>
          </w:p>
        </w:tc>
        <w:tc>
          <w:tcPr>
            <w:tcW w:w="0" w:type="auto"/>
            <w:shd w:val="clear" w:color="auto" w:fill="auto"/>
            <w:vAlign w:val="center"/>
            <w:hideMark/>
          </w:tcPr>
          <w:p w14:paraId="6D05DE07" w14:textId="77777777" w:rsidR="006F7A21" w:rsidRPr="00D66514" w:rsidRDefault="006F7A21" w:rsidP="006F7A21">
            <w:pPr>
              <w:jc w:val="center"/>
            </w:pPr>
            <w:r w:rsidRPr="00D66514">
              <w:t>-</w:t>
            </w:r>
          </w:p>
        </w:tc>
      </w:tr>
      <w:tr w:rsidR="006F7A21" w:rsidRPr="00D66514" w14:paraId="298B553D" w14:textId="77777777" w:rsidTr="00E70528">
        <w:trPr>
          <w:trHeight w:val="600"/>
        </w:trPr>
        <w:tc>
          <w:tcPr>
            <w:tcW w:w="2257" w:type="dxa"/>
            <w:shd w:val="clear" w:color="auto" w:fill="auto"/>
            <w:noWrap/>
            <w:vAlign w:val="center"/>
            <w:hideMark/>
          </w:tcPr>
          <w:p w14:paraId="1484A709" w14:textId="7BD5FAC5" w:rsidR="006F7A21" w:rsidRPr="00D66514" w:rsidRDefault="004F3F42" w:rsidP="006F7A21">
            <w:pPr>
              <w:jc w:val="center"/>
              <w:rPr>
                <w:b/>
                <w:bCs/>
              </w:rPr>
            </w:pPr>
            <w:r w:rsidRPr="00D66514">
              <w:rPr>
                <w:rFonts w:cs="Times New Roman"/>
                <w:b/>
                <w:bCs/>
              </w:rPr>
              <w:t>C</w:t>
            </w:r>
          </w:p>
        </w:tc>
        <w:tc>
          <w:tcPr>
            <w:tcW w:w="0" w:type="auto"/>
            <w:shd w:val="clear" w:color="auto" w:fill="auto"/>
            <w:vAlign w:val="center"/>
            <w:hideMark/>
          </w:tcPr>
          <w:p w14:paraId="4008B9C5" w14:textId="77777777" w:rsidR="006F7A21" w:rsidRPr="00D66514" w:rsidRDefault="006F7A21" w:rsidP="006F7A21">
            <w:pPr>
              <w:jc w:val="center"/>
            </w:pPr>
            <w:r w:rsidRPr="00D66514">
              <w:t>0.6783</w:t>
            </w:r>
            <w:r w:rsidRPr="00D66514">
              <w:br/>
              <w:t>(&lt;.0001)</w:t>
            </w:r>
          </w:p>
        </w:tc>
        <w:tc>
          <w:tcPr>
            <w:tcW w:w="0" w:type="auto"/>
            <w:shd w:val="clear" w:color="auto" w:fill="auto"/>
            <w:vAlign w:val="center"/>
            <w:hideMark/>
          </w:tcPr>
          <w:p w14:paraId="29CB8892" w14:textId="77777777" w:rsidR="006F7A21" w:rsidRPr="00D66514" w:rsidRDefault="006F7A21" w:rsidP="006F7A21">
            <w:pPr>
              <w:jc w:val="center"/>
            </w:pPr>
            <w:r w:rsidRPr="00D66514">
              <w:t>0.7183</w:t>
            </w:r>
            <w:r w:rsidRPr="00D66514">
              <w:br/>
              <w:t>(&lt;.0001)</w:t>
            </w:r>
          </w:p>
        </w:tc>
        <w:tc>
          <w:tcPr>
            <w:tcW w:w="0" w:type="auto"/>
            <w:shd w:val="clear" w:color="auto" w:fill="auto"/>
            <w:vAlign w:val="center"/>
            <w:hideMark/>
          </w:tcPr>
          <w:p w14:paraId="0042FFE4" w14:textId="77777777" w:rsidR="006F7A21" w:rsidRPr="00D66514" w:rsidRDefault="006F7A21" w:rsidP="006F7A21">
            <w:pPr>
              <w:jc w:val="center"/>
            </w:pPr>
            <w:r w:rsidRPr="00D66514">
              <w:t>0.9801</w:t>
            </w:r>
            <w:r w:rsidRPr="00D66514">
              <w:br/>
              <w:t>(&lt;.0001)</w:t>
            </w:r>
          </w:p>
        </w:tc>
        <w:tc>
          <w:tcPr>
            <w:tcW w:w="0" w:type="auto"/>
            <w:shd w:val="clear" w:color="auto" w:fill="auto"/>
            <w:vAlign w:val="center"/>
            <w:hideMark/>
          </w:tcPr>
          <w:p w14:paraId="255F7FCF" w14:textId="77777777" w:rsidR="006F7A21" w:rsidRPr="00D66514" w:rsidRDefault="006F7A21" w:rsidP="006F7A21">
            <w:pPr>
              <w:jc w:val="center"/>
            </w:pPr>
            <w:r w:rsidRPr="00D66514">
              <w:t>0.8451</w:t>
            </w:r>
            <w:r w:rsidRPr="00D66514">
              <w:br/>
              <w:t>(0.0149)</w:t>
            </w:r>
          </w:p>
        </w:tc>
        <w:tc>
          <w:tcPr>
            <w:tcW w:w="0" w:type="auto"/>
            <w:shd w:val="clear" w:color="auto" w:fill="auto"/>
            <w:vAlign w:val="center"/>
            <w:hideMark/>
          </w:tcPr>
          <w:p w14:paraId="5BB6E198" w14:textId="77777777" w:rsidR="006F7A21" w:rsidRPr="00D66514" w:rsidRDefault="006F7A21" w:rsidP="006F7A21">
            <w:pPr>
              <w:jc w:val="center"/>
            </w:pPr>
            <w:r w:rsidRPr="00D66514">
              <w:t>0.4376</w:t>
            </w:r>
            <w:r w:rsidRPr="00D66514">
              <w:br/>
              <w:t>(0.0002)</w:t>
            </w:r>
          </w:p>
        </w:tc>
        <w:tc>
          <w:tcPr>
            <w:tcW w:w="0" w:type="auto"/>
            <w:shd w:val="clear" w:color="auto" w:fill="auto"/>
            <w:vAlign w:val="center"/>
            <w:hideMark/>
          </w:tcPr>
          <w:p w14:paraId="11F971B1" w14:textId="77777777" w:rsidR="006F7A21" w:rsidRPr="00D66514" w:rsidRDefault="006F7A21" w:rsidP="006F7A21">
            <w:pPr>
              <w:jc w:val="center"/>
            </w:pPr>
            <w:r w:rsidRPr="00D66514">
              <w:t>0.3641</w:t>
            </w:r>
            <w:r w:rsidRPr="00D66514">
              <w:br/>
              <w:t>(&lt;.0001)</w:t>
            </w:r>
          </w:p>
        </w:tc>
      </w:tr>
      <w:tr w:rsidR="006F7A21" w:rsidRPr="00D66514" w14:paraId="12D8D874" w14:textId="77777777" w:rsidTr="00E70528">
        <w:trPr>
          <w:trHeight w:val="600"/>
        </w:trPr>
        <w:tc>
          <w:tcPr>
            <w:tcW w:w="2257" w:type="dxa"/>
            <w:shd w:val="clear" w:color="auto" w:fill="auto"/>
            <w:noWrap/>
            <w:vAlign w:val="center"/>
            <w:hideMark/>
          </w:tcPr>
          <w:p w14:paraId="6151D901" w14:textId="23945F33" w:rsidR="006F7A21" w:rsidRPr="00D66514" w:rsidRDefault="00B86C54" w:rsidP="006F7A21">
            <w:pPr>
              <w:jc w:val="center"/>
              <w:rPr>
                <w:b/>
                <w:bCs/>
              </w:rPr>
            </w:pPr>
            <w:r w:rsidRPr="00D66514">
              <w:rPr>
                <w:rFonts w:cs="Times New Roman"/>
                <w:b/>
                <w:bCs/>
              </w:rPr>
              <w:t>G</w:t>
            </w:r>
          </w:p>
        </w:tc>
        <w:tc>
          <w:tcPr>
            <w:tcW w:w="0" w:type="auto"/>
            <w:shd w:val="clear" w:color="auto" w:fill="auto"/>
            <w:vAlign w:val="center"/>
            <w:hideMark/>
          </w:tcPr>
          <w:p w14:paraId="1BFEDF05" w14:textId="77777777" w:rsidR="006F7A21" w:rsidRPr="00D66514" w:rsidRDefault="006F7A21" w:rsidP="006F7A21">
            <w:pPr>
              <w:jc w:val="center"/>
            </w:pPr>
            <w:r w:rsidRPr="00D66514">
              <w:t>-0.4231</w:t>
            </w:r>
            <w:r w:rsidRPr="00D66514">
              <w:br/>
              <w:t>(&lt;.0001)</w:t>
            </w:r>
          </w:p>
        </w:tc>
        <w:tc>
          <w:tcPr>
            <w:tcW w:w="0" w:type="auto"/>
            <w:shd w:val="clear" w:color="auto" w:fill="auto"/>
            <w:vAlign w:val="center"/>
            <w:hideMark/>
          </w:tcPr>
          <w:p w14:paraId="1BBE8CA0" w14:textId="77777777" w:rsidR="006F7A21" w:rsidRPr="00D66514" w:rsidRDefault="006F7A21" w:rsidP="006F7A21">
            <w:pPr>
              <w:jc w:val="center"/>
            </w:pPr>
            <w:r w:rsidRPr="00D66514">
              <w:t>-0.5048</w:t>
            </w:r>
            <w:r w:rsidRPr="00D66514">
              <w:br/>
              <w:t>(&lt;.0001)</w:t>
            </w:r>
          </w:p>
        </w:tc>
        <w:tc>
          <w:tcPr>
            <w:tcW w:w="0" w:type="auto"/>
            <w:shd w:val="clear" w:color="auto" w:fill="auto"/>
            <w:vAlign w:val="center"/>
            <w:hideMark/>
          </w:tcPr>
          <w:p w14:paraId="78258660" w14:textId="77777777" w:rsidR="006F7A21" w:rsidRPr="00D66514" w:rsidRDefault="006F7A21" w:rsidP="006F7A21">
            <w:pPr>
              <w:jc w:val="center"/>
            </w:pPr>
            <w:r w:rsidRPr="00D66514">
              <w:t>-0.6706</w:t>
            </w:r>
            <w:r w:rsidRPr="00D66514">
              <w:br/>
              <w:t>(0.0012)</w:t>
            </w:r>
          </w:p>
        </w:tc>
        <w:tc>
          <w:tcPr>
            <w:tcW w:w="0" w:type="auto"/>
            <w:shd w:val="clear" w:color="auto" w:fill="auto"/>
            <w:vAlign w:val="center"/>
            <w:hideMark/>
          </w:tcPr>
          <w:p w14:paraId="52A1102D" w14:textId="77777777" w:rsidR="006F7A21" w:rsidRPr="00D66514" w:rsidRDefault="006F7A21" w:rsidP="006F7A21">
            <w:pPr>
              <w:jc w:val="center"/>
            </w:pPr>
            <w:r w:rsidRPr="00D66514">
              <w:t>-0.5999</w:t>
            </w:r>
            <w:r w:rsidRPr="00D66514">
              <w:br/>
              <w:t>(0.2326)</w:t>
            </w:r>
          </w:p>
        </w:tc>
        <w:tc>
          <w:tcPr>
            <w:tcW w:w="0" w:type="auto"/>
            <w:shd w:val="clear" w:color="auto" w:fill="auto"/>
            <w:vAlign w:val="center"/>
            <w:hideMark/>
          </w:tcPr>
          <w:p w14:paraId="07F67F91" w14:textId="77777777" w:rsidR="006F7A21" w:rsidRPr="00D66514" w:rsidRDefault="006F7A21" w:rsidP="006F7A21">
            <w:pPr>
              <w:jc w:val="center"/>
            </w:pPr>
            <w:r w:rsidRPr="00D66514">
              <w:t>-0.04098</w:t>
            </w:r>
            <w:r w:rsidRPr="00D66514">
              <w:br/>
              <w:t>(0.7776)</w:t>
            </w:r>
          </w:p>
        </w:tc>
        <w:tc>
          <w:tcPr>
            <w:tcW w:w="0" w:type="auto"/>
            <w:shd w:val="clear" w:color="auto" w:fill="auto"/>
            <w:vAlign w:val="center"/>
            <w:hideMark/>
          </w:tcPr>
          <w:p w14:paraId="1688A2C3" w14:textId="77777777" w:rsidR="006F7A21" w:rsidRPr="00D66514" w:rsidRDefault="006F7A21" w:rsidP="006F7A21">
            <w:pPr>
              <w:jc w:val="center"/>
            </w:pPr>
            <w:r w:rsidRPr="00D66514">
              <w:t>-0.7927</w:t>
            </w:r>
            <w:r w:rsidRPr="00D66514">
              <w:br/>
              <w:t>(&lt;.0001)</w:t>
            </w:r>
          </w:p>
        </w:tc>
      </w:tr>
      <w:tr w:rsidR="006F7A21" w:rsidRPr="00D66514" w14:paraId="093C0F76" w14:textId="77777777" w:rsidTr="00E70528">
        <w:trPr>
          <w:trHeight w:val="600"/>
        </w:trPr>
        <w:tc>
          <w:tcPr>
            <w:tcW w:w="2257" w:type="dxa"/>
            <w:shd w:val="clear" w:color="auto" w:fill="auto"/>
            <w:noWrap/>
            <w:vAlign w:val="center"/>
            <w:hideMark/>
          </w:tcPr>
          <w:p w14:paraId="23F483CE" w14:textId="21D8944A" w:rsidR="006F7A21" w:rsidRPr="00D66514" w:rsidRDefault="004F3F42" w:rsidP="006F7A21">
            <w:pPr>
              <w:jc w:val="center"/>
              <w:rPr>
                <w:b/>
                <w:bCs/>
              </w:rPr>
            </w:pPr>
            <w:r w:rsidRPr="00D66514">
              <w:rPr>
                <w:rFonts w:cs="Times New Roman"/>
                <w:b/>
                <w:bCs/>
              </w:rPr>
              <w:t>D</w:t>
            </w:r>
          </w:p>
        </w:tc>
        <w:tc>
          <w:tcPr>
            <w:tcW w:w="0" w:type="auto"/>
            <w:shd w:val="clear" w:color="auto" w:fill="auto"/>
            <w:vAlign w:val="center"/>
            <w:hideMark/>
          </w:tcPr>
          <w:p w14:paraId="76712902" w14:textId="77777777" w:rsidR="006F7A21" w:rsidRPr="00D66514" w:rsidRDefault="006F7A21" w:rsidP="006F7A21">
            <w:pPr>
              <w:jc w:val="center"/>
            </w:pPr>
            <w:r w:rsidRPr="00D66514">
              <w:t>-0.1727</w:t>
            </w:r>
            <w:r w:rsidRPr="00D66514">
              <w:br/>
              <w:t>(0.0011)</w:t>
            </w:r>
          </w:p>
        </w:tc>
        <w:tc>
          <w:tcPr>
            <w:tcW w:w="0" w:type="auto"/>
            <w:shd w:val="clear" w:color="auto" w:fill="auto"/>
            <w:vAlign w:val="center"/>
            <w:hideMark/>
          </w:tcPr>
          <w:p w14:paraId="6E3F3440" w14:textId="77777777" w:rsidR="006F7A21" w:rsidRPr="00D66514" w:rsidRDefault="006F7A21" w:rsidP="006F7A21">
            <w:pPr>
              <w:jc w:val="center"/>
            </w:pPr>
            <w:r w:rsidRPr="00D66514">
              <w:t>-0.04601</w:t>
            </w:r>
            <w:r w:rsidRPr="00D66514">
              <w:br/>
              <w:t>(0.5091)</w:t>
            </w:r>
          </w:p>
        </w:tc>
        <w:tc>
          <w:tcPr>
            <w:tcW w:w="0" w:type="auto"/>
            <w:shd w:val="clear" w:color="auto" w:fill="auto"/>
            <w:vAlign w:val="center"/>
            <w:hideMark/>
          </w:tcPr>
          <w:p w14:paraId="09C46547" w14:textId="77777777" w:rsidR="006F7A21" w:rsidRPr="00D66514" w:rsidRDefault="006F7A21" w:rsidP="006F7A21">
            <w:pPr>
              <w:jc w:val="center"/>
            </w:pPr>
            <w:r w:rsidRPr="00D66514">
              <w:t>-0.03469</w:t>
            </w:r>
            <w:r w:rsidRPr="00D66514">
              <w:br/>
              <w:t>(0.7526)</w:t>
            </w:r>
          </w:p>
        </w:tc>
        <w:tc>
          <w:tcPr>
            <w:tcW w:w="0" w:type="auto"/>
            <w:shd w:val="clear" w:color="auto" w:fill="auto"/>
            <w:vAlign w:val="center"/>
            <w:hideMark/>
          </w:tcPr>
          <w:p w14:paraId="4E6E092B" w14:textId="77777777" w:rsidR="006F7A21" w:rsidRPr="00D66514" w:rsidRDefault="006F7A21" w:rsidP="006F7A21">
            <w:pPr>
              <w:jc w:val="center"/>
            </w:pPr>
            <w:r w:rsidRPr="00D66514">
              <w:t>0.2015</w:t>
            </w:r>
            <w:r w:rsidRPr="00D66514">
              <w:br/>
              <w:t>(0.3564)</w:t>
            </w:r>
          </w:p>
        </w:tc>
        <w:tc>
          <w:tcPr>
            <w:tcW w:w="0" w:type="auto"/>
            <w:shd w:val="clear" w:color="auto" w:fill="auto"/>
            <w:vAlign w:val="center"/>
            <w:hideMark/>
          </w:tcPr>
          <w:p w14:paraId="6E628F2F" w14:textId="77777777" w:rsidR="006F7A21" w:rsidRPr="00D66514" w:rsidRDefault="006F7A21" w:rsidP="006F7A21">
            <w:pPr>
              <w:jc w:val="center"/>
            </w:pPr>
            <w:r w:rsidRPr="00D66514">
              <w:t>0.4729</w:t>
            </w:r>
            <w:r w:rsidRPr="00D66514">
              <w:br/>
              <w:t>(&lt;.0001)</w:t>
            </w:r>
          </w:p>
        </w:tc>
        <w:tc>
          <w:tcPr>
            <w:tcW w:w="0" w:type="auto"/>
            <w:shd w:val="clear" w:color="auto" w:fill="auto"/>
            <w:vAlign w:val="center"/>
            <w:hideMark/>
          </w:tcPr>
          <w:p w14:paraId="561BF2BD" w14:textId="77777777" w:rsidR="006F7A21" w:rsidRPr="00D66514" w:rsidRDefault="006F7A21" w:rsidP="006F7A21">
            <w:pPr>
              <w:jc w:val="center"/>
            </w:pPr>
            <w:r w:rsidRPr="00D66514">
              <w:t>-0.2372</w:t>
            </w:r>
            <w:r w:rsidRPr="00D66514">
              <w:br/>
              <w:t>(&lt;.0001)</w:t>
            </w:r>
          </w:p>
        </w:tc>
      </w:tr>
      <w:tr w:rsidR="006F7A21" w:rsidRPr="00D66514" w14:paraId="503489ED" w14:textId="77777777" w:rsidTr="00E70528">
        <w:trPr>
          <w:trHeight w:val="600"/>
        </w:trPr>
        <w:tc>
          <w:tcPr>
            <w:tcW w:w="2257" w:type="dxa"/>
            <w:shd w:val="clear" w:color="auto" w:fill="auto"/>
            <w:noWrap/>
            <w:vAlign w:val="center"/>
            <w:hideMark/>
          </w:tcPr>
          <w:p w14:paraId="6029CA54" w14:textId="51DA7EC2" w:rsidR="006F7A21" w:rsidRPr="00D66514" w:rsidRDefault="00B86C54" w:rsidP="006F7A21">
            <w:pPr>
              <w:jc w:val="center"/>
              <w:rPr>
                <w:b/>
                <w:bCs/>
              </w:rPr>
            </w:pPr>
            <w:r w:rsidRPr="00D66514">
              <w:rPr>
                <w:rFonts w:cs="Times New Roman"/>
                <w:b/>
                <w:bCs/>
              </w:rPr>
              <w:t>H</w:t>
            </w:r>
          </w:p>
        </w:tc>
        <w:tc>
          <w:tcPr>
            <w:tcW w:w="0" w:type="auto"/>
            <w:shd w:val="clear" w:color="auto" w:fill="auto"/>
            <w:vAlign w:val="center"/>
            <w:hideMark/>
          </w:tcPr>
          <w:p w14:paraId="3E43D5A7" w14:textId="77777777" w:rsidR="006F7A21" w:rsidRPr="00D66514" w:rsidRDefault="006F7A21" w:rsidP="006F7A21">
            <w:pPr>
              <w:jc w:val="center"/>
            </w:pPr>
            <w:r w:rsidRPr="00D66514">
              <w:t>0.6434</w:t>
            </w:r>
            <w:r w:rsidRPr="00D66514">
              <w:br/>
              <w:t>(&lt;.0001)</w:t>
            </w:r>
          </w:p>
        </w:tc>
        <w:tc>
          <w:tcPr>
            <w:tcW w:w="0" w:type="auto"/>
            <w:shd w:val="clear" w:color="auto" w:fill="auto"/>
            <w:vAlign w:val="center"/>
            <w:hideMark/>
          </w:tcPr>
          <w:p w14:paraId="4B68390A" w14:textId="77777777" w:rsidR="006F7A21" w:rsidRPr="00D66514" w:rsidRDefault="006F7A21" w:rsidP="006F7A21">
            <w:pPr>
              <w:jc w:val="center"/>
            </w:pPr>
            <w:r w:rsidRPr="00D66514">
              <w:t>0.751</w:t>
            </w:r>
            <w:r w:rsidRPr="00D66514">
              <w:br/>
              <w:t>(&lt;.0001)</w:t>
            </w:r>
          </w:p>
        </w:tc>
        <w:tc>
          <w:tcPr>
            <w:tcW w:w="0" w:type="auto"/>
            <w:shd w:val="clear" w:color="auto" w:fill="auto"/>
            <w:vAlign w:val="center"/>
            <w:hideMark/>
          </w:tcPr>
          <w:p w14:paraId="78611882" w14:textId="77777777" w:rsidR="006F7A21" w:rsidRPr="00D66514" w:rsidRDefault="006F7A21" w:rsidP="006F7A21">
            <w:pPr>
              <w:jc w:val="center"/>
            </w:pPr>
            <w:r w:rsidRPr="00D66514">
              <w:t>0.9613</w:t>
            </w:r>
            <w:r w:rsidRPr="00D66514">
              <w:br/>
              <w:t>(&lt;.0001)</w:t>
            </w:r>
          </w:p>
        </w:tc>
        <w:tc>
          <w:tcPr>
            <w:tcW w:w="0" w:type="auto"/>
            <w:shd w:val="clear" w:color="auto" w:fill="auto"/>
            <w:vAlign w:val="center"/>
            <w:hideMark/>
          </w:tcPr>
          <w:p w14:paraId="3FF6384D" w14:textId="77777777" w:rsidR="006F7A21" w:rsidRPr="00D66514" w:rsidRDefault="006F7A21" w:rsidP="006F7A21">
            <w:pPr>
              <w:jc w:val="center"/>
            </w:pPr>
            <w:r w:rsidRPr="00D66514">
              <w:t>0.2812</w:t>
            </w:r>
            <w:r w:rsidRPr="00D66514">
              <w:br/>
              <w:t>(0.6184)</w:t>
            </w:r>
          </w:p>
        </w:tc>
        <w:tc>
          <w:tcPr>
            <w:tcW w:w="0" w:type="auto"/>
            <w:shd w:val="clear" w:color="auto" w:fill="auto"/>
            <w:vAlign w:val="center"/>
            <w:hideMark/>
          </w:tcPr>
          <w:p w14:paraId="63DAAC3A" w14:textId="77777777" w:rsidR="006F7A21" w:rsidRPr="00D66514" w:rsidRDefault="006F7A21" w:rsidP="006F7A21">
            <w:pPr>
              <w:jc w:val="center"/>
            </w:pPr>
            <w:r w:rsidRPr="00D66514">
              <w:t>-0.04686</w:t>
            </w:r>
            <w:r w:rsidRPr="00D66514">
              <w:br/>
              <w:t>(0.7586)</w:t>
            </w:r>
          </w:p>
        </w:tc>
        <w:tc>
          <w:tcPr>
            <w:tcW w:w="0" w:type="auto"/>
            <w:shd w:val="clear" w:color="auto" w:fill="auto"/>
            <w:vAlign w:val="center"/>
            <w:hideMark/>
          </w:tcPr>
          <w:p w14:paraId="570E0722" w14:textId="77777777" w:rsidR="006F7A21" w:rsidRPr="00D66514" w:rsidRDefault="006F7A21" w:rsidP="006F7A21">
            <w:pPr>
              <w:jc w:val="center"/>
            </w:pPr>
            <w:r w:rsidRPr="00D66514">
              <w:t>0.7256</w:t>
            </w:r>
            <w:r w:rsidRPr="00D66514">
              <w:br/>
              <w:t>(&lt;.0001)</w:t>
            </w:r>
          </w:p>
        </w:tc>
      </w:tr>
      <w:tr w:rsidR="006F7A21" w:rsidRPr="00D66514" w14:paraId="26C956C3" w14:textId="77777777" w:rsidTr="00E70528">
        <w:trPr>
          <w:trHeight w:val="300"/>
        </w:trPr>
        <w:tc>
          <w:tcPr>
            <w:tcW w:w="9213" w:type="dxa"/>
            <w:gridSpan w:val="7"/>
            <w:shd w:val="clear" w:color="auto" w:fill="auto"/>
            <w:noWrap/>
            <w:vAlign w:val="center"/>
            <w:hideMark/>
          </w:tcPr>
          <w:p w14:paraId="0A9C3C7E" w14:textId="77777777" w:rsidR="006F7A21" w:rsidRPr="00D66514" w:rsidRDefault="006F7A21" w:rsidP="006F7A21">
            <w:pPr>
              <w:jc w:val="center"/>
              <w:rPr>
                <w:b/>
                <w:bCs/>
              </w:rPr>
            </w:pPr>
            <w:r w:rsidRPr="00D66514">
              <w:rPr>
                <w:b/>
                <w:bCs/>
              </w:rPr>
              <w:t>Goodness of Fit Measures</w:t>
            </w:r>
          </w:p>
        </w:tc>
      </w:tr>
      <w:tr w:rsidR="006F7A21" w:rsidRPr="00D66514" w14:paraId="55C0F5A1" w14:textId="77777777" w:rsidTr="00E70528">
        <w:trPr>
          <w:trHeight w:val="300"/>
        </w:trPr>
        <w:tc>
          <w:tcPr>
            <w:tcW w:w="2257" w:type="dxa"/>
            <w:shd w:val="clear" w:color="auto" w:fill="auto"/>
            <w:noWrap/>
            <w:vAlign w:val="center"/>
            <w:hideMark/>
          </w:tcPr>
          <w:p w14:paraId="15123808" w14:textId="77777777" w:rsidR="006F7A21" w:rsidRPr="00D66514" w:rsidRDefault="006F7A21" w:rsidP="006F7A21">
            <w:pPr>
              <w:jc w:val="center"/>
              <w:rPr>
                <w:b/>
                <w:bCs/>
              </w:rPr>
            </w:pPr>
            <w:r w:rsidRPr="00D66514">
              <w:rPr>
                <w:b/>
                <w:bCs/>
              </w:rPr>
              <w:t>-2LL</w:t>
            </w:r>
          </w:p>
        </w:tc>
        <w:tc>
          <w:tcPr>
            <w:tcW w:w="0" w:type="auto"/>
            <w:shd w:val="clear" w:color="auto" w:fill="auto"/>
            <w:noWrap/>
            <w:vAlign w:val="center"/>
            <w:hideMark/>
          </w:tcPr>
          <w:p w14:paraId="76FC3F6E" w14:textId="77777777" w:rsidR="006F7A21" w:rsidRPr="00D66514" w:rsidRDefault="006F7A21" w:rsidP="006F7A21">
            <w:pPr>
              <w:jc w:val="center"/>
            </w:pPr>
            <w:r w:rsidRPr="00D66514">
              <w:t>13,118.0</w:t>
            </w:r>
          </w:p>
        </w:tc>
        <w:tc>
          <w:tcPr>
            <w:tcW w:w="0" w:type="auto"/>
            <w:shd w:val="clear" w:color="auto" w:fill="auto"/>
            <w:noWrap/>
            <w:vAlign w:val="center"/>
            <w:hideMark/>
          </w:tcPr>
          <w:p w14:paraId="461A4576" w14:textId="77777777" w:rsidR="006F7A21" w:rsidRPr="00D66514" w:rsidRDefault="006F7A21" w:rsidP="006F7A21">
            <w:pPr>
              <w:jc w:val="center"/>
            </w:pPr>
            <w:r w:rsidRPr="00D66514">
              <w:t>9,502.0</w:t>
            </w:r>
          </w:p>
        </w:tc>
        <w:tc>
          <w:tcPr>
            <w:tcW w:w="0" w:type="auto"/>
            <w:shd w:val="clear" w:color="auto" w:fill="auto"/>
            <w:noWrap/>
            <w:vAlign w:val="center"/>
            <w:hideMark/>
          </w:tcPr>
          <w:p w14:paraId="78E7AC49" w14:textId="77777777" w:rsidR="006F7A21" w:rsidRPr="00D66514" w:rsidRDefault="006F7A21" w:rsidP="006F7A21">
            <w:pPr>
              <w:jc w:val="center"/>
            </w:pPr>
            <w:r w:rsidRPr="00D66514">
              <w:t>6,959.3</w:t>
            </w:r>
          </w:p>
        </w:tc>
        <w:tc>
          <w:tcPr>
            <w:tcW w:w="0" w:type="auto"/>
            <w:shd w:val="clear" w:color="auto" w:fill="auto"/>
            <w:noWrap/>
            <w:vAlign w:val="center"/>
            <w:hideMark/>
          </w:tcPr>
          <w:p w14:paraId="6AC9665A" w14:textId="77777777" w:rsidR="006F7A21" w:rsidRPr="00D66514" w:rsidRDefault="006F7A21" w:rsidP="006F7A21">
            <w:pPr>
              <w:jc w:val="center"/>
            </w:pPr>
            <w:r w:rsidRPr="00D66514">
              <w:t>3,681.6</w:t>
            </w:r>
          </w:p>
        </w:tc>
        <w:tc>
          <w:tcPr>
            <w:tcW w:w="0" w:type="auto"/>
            <w:shd w:val="clear" w:color="auto" w:fill="auto"/>
            <w:noWrap/>
            <w:vAlign w:val="center"/>
            <w:hideMark/>
          </w:tcPr>
          <w:p w14:paraId="4B687205" w14:textId="77777777" w:rsidR="006F7A21" w:rsidRPr="00D66514" w:rsidRDefault="006F7A21" w:rsidP="006F7A21">
            <w:pPr>
              <w:jc w:val="center"/>
            </w:pPr>
            <w:r w:rsidRPr="00D66514">
              <w:t>7,838.0</w:t>
            </w:r>
          </w:p>
        </w:tc>
        <w:tc>
          <w:tcPr>
            <w:tcW w:w="0" w:type="auto"/>
            <w:shd w:val="clear" w:color="auto" w:fill="auto"/>
            <w:noWrap/>
            <w:vAlign w:val="center"/>
            <w:hideMark/>
          </w:tcPr>
          <w:p w14:paraId="00EB163E" w14:textId="77777777" w:rsidR="006F7A21" w:rsidRPr="00D66514" w:rsidRDefault="006F7A21" w:rsidP="006F7A21">
            <w:pPr>
              <w:jc w:val="center"/>
            </w:pPr>
            <w:r w:rsidRPr="00D66514">
              <w:t>11,455.0</w:t>
            </w:r>
          </w:p>
        </w:tc>
      </w:tr>
      <w:tr w:rsidR="006F7A21" w:rsidRPr="00D66514" w14:paraId="1BF7BD68" w14:textId="77777777" w:rsidTr="00E70528">
        <w:trPr>
          <w:trHeight w:val="300"/>
        </w:trPr>
        <w:tc>
          <w:tcPr>
            <w:tcW w:w="2257" w:type="dxa"/>
            <w:shd w:val="clear" w:color="auto" w:fill="auto"/>
            <w:noWrap/>
            <w:vAlign w:val="center"/>
            <w:hideMark/>
          </w:tcPr>
          <w:p w14:paraId="03B54F04" w14:textId="77777777" w:rsidR="006F7A21" w:rsidRPr="00D66514" w:rsidRDefault="006F7A21" w:rsidP="006F7A21">
            <w:pPr>
              <w:jc w:val="center"/>
              <w:rPr>
                <w:b/>
                <w:bCs/>
              </w:rPr>
            </w:pPr>
            <w:r w:rsidRPr="00D66514">
              <w:rPr>
                <w:b/>
                <w:bCs/>
              </w:rPr>
              <w:t>MAD</w:t>
            </w:r>
          </w:p>
        </w:tc>
        <w:tc>
          <w:tcPr>
            <w:tcW w:w="0" w:type="auto"/>
            <w:shd w:val="clear" w:color="auto" w:fill="auto"/>
            <w:noWrap/>
            <w:vAlign w:val="center"/>
            <w:hideMark/>
          </w:tcPr>
          <w:p w14:paraId="5DA4EBFF" w14:textId="77777777" w:rsidR="006F7A21" w:rsidRPr="00D66514" w:rsidRDefault="006F7A21" w:rsidP="006F7A21">
            <w:pPr>
              <w:jc w:val="center"/>
            </w:pPr>
            <w:r w:rsidRPr="00D66514">
              <w:t>4.472</w:t>
            </w:r>
          </w:p>
        </w:tc>
        <w:tc>
          <w:tcPr>
            <w:tcW w:w="0" w:type="auto"/>
            <w:shd w:val="clear" w:color="auto" w:fill="auto"/>
            <w:noWrap/>
            <w:vAlign w:val="center"/>
            <w:hideMark/>
          </w:tcPr>
          <w:p w14:paraId="1AFE8189" w14:textId="77777777" w:rsidR="006F7A21" w:rsidRPr="00D66514" w:rsidRDefault="006F7A21" w:rsidP="006F7A21">
            <w:pPr>
              <w:jc w:val="center"/>
            </w:pPr>
            <w:r w:rsidRPr="00D66514">
              <w:t>1.951</w:t>
            </w:r>
          </w:p>
        </w:tc>
        <w:tc>
          <w:tcPr>
            <w:tcW w:w="0" w:type="auto"/>
            <w:shd w:val="clear" w:color="auto" w:fill="auto"/>
            <w:noWrap/>
            <w:vAlign w:val="center"/>
            <w:hideMark/>
          </w:tcPr>
          <w:p w14:paraId="30BC2DD3" w14:textId="77777777" w:rsidR="006F7A21" w:rsidRPr="00D66514" w:rsidRDefault="006F7A21" w:rsidP="006F7A21">
            <w:pPr>
              <w:jc w:val="center"/>
            </w:pPr>
            <w:r w:rsidRPr="00D66514">
              <w:t>1.03</w:t>
            </w:r>
          </w:p>
        </w:tc>
        <w:tc>
          <w:tcPr>
            <w:tcW w:w="0" w:type="auto"/>
            <w:shd w:val="clear" w:color="auto" w:fill="auto"/>
            <w:noWrap/>
            <w:vAlign w:val="center"/>
            <w:hideMark/>
          </w:tcPr>
          <w:p w14:paraId="3E36D550" w14:textId="77777777" w:rsidR="006F7A21" w:rsidRPr="00D66514" w:rsidRDefault="006F7A21" w:rsidP="006F7A21">
            <w:pPr>
              <w:jc w:val="center"/>
            </w:pPr>
            <w:r w:rsidRPr="00D66514">
              <w:t>0.439</w:t>
            </w:r>
          </w:p>
        </w:tc>
        <w:tc>
          <w:tcPr>
            <w:tcW w:w="0" w:type="auto"/>
            <w:shd w:val="clear" w:color="auto" w:fill="auto"/>
            <w:noWrap/>
            <w:vAlign w:val="center"/>
            <w:hideMark/>
          </w:tcPr>
          <w:p w14:paraId="58A239D9" w14:textId="77777777" w:rsidR="006F7A21" w:rsidRPr="00D66514" w:rsidRDefault="006F7A21" w:rsidP="006F7A21">
            <w:pPr>
              <w:jc w:val="center"/>
            </w:pPr>
            <w:r w:rsidRPr="00D66514">
              <w:t>1.178</w:t>
            </w:r>
          </w:p>
        </w:tc>
        <w:tc>
          <w:tcPr>
            <w:tcW w:w="0" w:type="auto"/>
            <w:shd w:val="clear" w:color="auto" w:fill="auto"/>
            <w:noWrap/>
            <w:vAlign w:val="center"/>
            <w:hideMark/>
          </w:tcPr>
          <w:p w14:paraId="6292273A" w14:textId="77777777" w:rsidR="006F7A21" w:rsidRPr="00D66514" w:rsidRDefault="006F7A21" w:rsidP="006F7A21">
            <w:pPr>
              <w:jc w:val="center"/>
            </w:pPr>
            <w:r w:rsidRPr="00D66514">
              <w:t>3.94</w:t>
            </w:r>
          </w:p>
        </w:tc>
      </w:tr>
      <w:tr w:rsidR="00F94F5C" w:rsidRPr="00D66514" w14:paraId="69DA29CB" w14:textId="77777777" w:rsidTr="00E70528">
        <w:trPr>
          <w:trHeight w:val="300"/>
        </w:trPr>
        <w:tc>
          <w:tcPr>
            <w:tcW w:w="2257" w:type="dxa"/>
            <w:shd w:val="clear" w:color="auto" w:fill="auto"/>
            <w:noWrap/>
            <w:vAlign w:val="center"/>
          </w:tcPr>
          <w:p w14:paraId="13CE924A" w14:textId="66D4020D" w:rsidR="00F94F5C" w:rsidRPr="00D66514" w:rsidRDefault="00F94F5C" w:rsidP="006F7A21">
            <w:pPr>
              <w:jc w:val="center"/>
              <w:rPr>
                <w:b/>
                <w:bCs/>
              </w:rPr>
            </w:pPr>
            <w:r w:rsidRPr="00D66514">
              <w:rPr>
                <w:b/>
                <w:bCs/>
              </w:rPr>
              <w:t>MSPE</w:t>
            </w:r>
          </w:p>
        </w:tc>
        <w:tc>
          <w:tcPr>
            <w:tcW w:w="0" w:type="auto"/>
            <w:shd w:val="clear" w:color="auto" w:fill="auto"/>
            <w:noWrap/>
            <w:vAlign w:val="center"/>
          </w:tcPr>
          <w:p w14:paraId="76CEDC86" w14:textId="6C467E1F" w:rsidR="00F94F5C" w:rsidRPr="00D66514" w:rsidRDefault="00F94F5C">
            <w:pPr>
              <w:jc w:val="center"/>
            </w:pPr>
            <w:r w:rsidRPr="00D66514">
              <w:t>109.273</w:t>
            </w:r>
          </w:p>
        </w:tc>
        <w:tc>
          <w:tcPr>
            <w:tcW w:w="0" w:type="auto"/>
            <w:shd w:val="clear" w:color="auto" w:fill="auto"/>
            <w:noWrap/>
            <w:vAlign w:val="center"/>
          </w:tcPr>
          <w:p w14:paraId="78EEF0FE" w14:textId="64D1950D" w:rsidR="00F94F5C" w:rsidRPr="00D66514" w:rsidRDefault="00F94F5C">
            <w:pPr>
              <w:jc w:val="center"/>
            </w:pPr>
            <w:r w:rsidRPr="00D66514">
              <w:t>16.678</w:t>
            </w:r>
          </w:p>
        </w:tc>
        <w:tc>
          <w:tcPr>
            <w:tcW w:w="0" w:type="auto"/>
            <w:shd w:val="clear" w:color="auto" w:fill="auto"/>
            <w:noWrap/>
            <w:vAlign w:val="center"/>
          </w:tcPr>
          <w:p w14:paraId="01A04B45" w14:textId="1D0A0652" w:rsidR="00F94F5C" w:rsidRPr="00D66514" w:rsidRDefault="00F94F5C">
            <w:pPr>
              <w:jc w:val="center"/>
            </w:pPr>
            <w:r w:rsidRPr="00D66514">
              <w:t>3.385</w:t>
            </w:r>
          </w:p>
        </w:tc>
        <w:tc>
          <w:tcPr>
            <w:tcW w:w="0" w:type="auto"/>
            <w:shd w:val="clear" w:color="auto" w:fill="auto"/>
            <w:noWrap/>
            <w:vAlign w:val="center"/>
          </w:tcPr>
          <w:p w14:paraId="7D744771" w14:textId="2C115CA7" w:rsidR="00F94F5C" w:rsidRPr="00D66514" w:rsidRDefault="00F94F5C">
            <w:pPr>
              <w:jc w:val="center"/>
            </w:pPr>
            <w:r w:rsidRPr="00D66514">
              <w:t>0.517</w:t>
            </w:r>
          </w:p>
        </w:tc>
        <w:tc>
          <w:tcPr>
            <w:tcW w:w="0" w:type="auto"/>
            <w:shd w:val="clear" w:color="auto" w:fill="auto"/>
            <w:noWrap/>
            <w:vAlign w:val="center"/>
          </w:tcPr>
          <w:p w14:paraId="70E5AECA" w14:textId="4D807BDB" w:rsidR="00F94F5C" w:rsidRPr="00D66514" w:rsidRDefault="00F94F5C">
            <w:pPr>
              <w:jc w:val="center"/>
            </w:pPr>
            <w:r w:rsidRPr="00D66514">
              <w:t>4.756</w:t>
            </w:r>
          </w:p>
        </w:tc>
        <w:tc>
          <w:tcPr>
            <w:tcW w:w="0" w:type="auto"/>
            <w:shd w:val="clear" w:color="auto" w:fill="auto"/>
            <w:noWrap/>
            <w:vAlign w:val="center"/>
          </w:tcPr>
          <w:p w14:paraId="366F609D" w14:textId="4FE6837F" w:rsidR="00F94F5C" w:rsidRPr="00D66514" w:rsidRDefault="00F94F5C">
            <w:pPr>
              <w:jc w:val="center"/>
            </w:pPr>
            <w:r w:rsidRPr="00D66514">
              <w:t>98.706</w:t>
            </w:r>
          </w:p>
        </w:tc>
      </w:tr>
      <w:tr w:rsidR="00D26242" w:rsidRPr="00D66514" w14:paraId="22DB427D" w14:textId="77777777" w:rsidTr="00E70528">
        <w:trPr>
          <w:trHeight w:val="300"/>
        </w:trPr>
        <w:tc>
          <w:tcPr>
            <w:tcW w:w="2257" w:type="dxa"/>
            <w:shd w:val="clear" w:color="auto" w:fill="auto"/>
            <w:noWrap/>
            <w:vAlign w:val="center"/>
          </w:tcPr>
          <w:p w14:paraId="6C673454" w14:textId="77777777" w:rsidR="00D26242" w:rsidRPr="00D66514" w:rsidRDefault="00D26242" w:rsidP="006F7A21">
            <w:pPr>
              <w:jc w:val="center"/>
              <w:rPr>
                <w:b/>
                <w:bCs/>
              </w:rPr>
            </w:pPr>
          </w:p>
        </w:tc>
        <w:tc>
          <w:tcPr>
            <w:tcW w:w="0" w:type="auto"/>
            <w:gridSpan w:val="6"/>
            <w:shd w:val="clear" w:color="auto" w:fill="auto"/>
            <w:noWrap/>
            <w:vAlign w:val="center"/>
          </w:tcPr>
          <w:p w14:paraId="66C4B186" w14:textId="02F3F518" w:rsidR="00D26242" w:rsidRPr="00D66514" w:rsidRDefault="00D26242" w:rsidP="00774FB3">
            <w:pPr>
              <w:ind w:left="328" w:hanging="328"/>
            </w:pPr>
            <w:r w:rsidRPr="00D66514">
              <w:t>-  : statistically insignificant variables at alpha = 0.05 removed from the SPF</w:t>
            </w:r>
          </w:p>
        </w:tc>
      </w:tr>
    </w:tbl>
    <w:p w14:paraId="0A29F063" w14:textId="77777777" w:rsidR="0096488B" w:rsidRPr="00D66514" w:rsidRDefault="0096488B" w:rsidP="0096488B">
      <w:pPr>
        <w:spacing w:after="0"/>
      </w:pPr>
    </w:p>
    <w:p w14:paraId="5940EAD8" w14:textId="07354246" w:rsidR="00C6023E" w:rsidRPr="00D66514" w:rsidRDefault="0004240D" w:rsidP="00464934">
      <w:pPr>
        <w:pStyle w:val="Heading3"/>
      </w:pPr>
      <w:r w:rsidRPr="00D66514">
        <w:t xml:space="preserve">Average Conditions </w:t>
      </w:r>
      <w:r w:rsidR="00C6023E" w:rsidRPr="00D66514">
        <w:t xml:space="preserve">Ohio and California </w:t>
      </w:r>
      <w:r w:rsidR="00A72C9B" w:rsidRPr="00D66514">
        <w:t>J</w:t>
      </w:r>
      <w:r w:rsidR="00C6023E" w:rsidRPr="00D66514">
        <w:t xml:space="preserve">oint </w:t>
      </w:r>
      <w:r w:rsidR="00037D20" w:rsidRPr="00D66514">
        <w:t>Safety Performance Functions</w:t>
      </w:r>
    </w:p>
    <w:p w14:paraId="5EC8DE7B" w14:textId="58C1C1D3" w:rsidR="00A72C9B" w:rsidRPr="00D66514" w:rsidRDefault="0071756A" w:rsidP="00B6740C">
      <w:r w:rsidRPr="00D66514">
        <w:t xml:space="preserve">The results </w:t>
      </w:r>
      <w:r w:rsidR="00037D20" w:rsidRPr="00D66514">
        <w:t xml:space="preserve">of </w:t>
      </w:r>
      <w:r w:rsidRPr="00D66514">
        <w:t>the Ohio and California jo</w:t>
      </w:r>
      <w:r w:rsidR="00FF0052" w:rsidRPr="00D66514">
        <w:t>int SPF</w:t>
      </w:r>
      <w:r w:rsidR="00037D20" w:rsidRPr="00D66514">
        <w:t>s</w:t>
      </w:r>
      <w:r w:rsidR="00FF0052" w:rsidRPr="00D66514">
        <w:t xml:space="preserve"> are presented in</w:t>
      </w:r>
      <w:r w:rsidR="00037D20" w:rsidRPr="00D66514">
        <w:t xml:space="preserve"> </w:t>
      </w:r>
      <w:r w:rsidR="00037D20" w:rsidRPr="00D66514">
        <w:fldChar w:fldCharType="begin"/>
      </w:r>
      <w:r w:rsidR="00037D20" w:rsidRPr="00D66514">
        <w:instrText xml:space="preserve"> REF _Ref426154724 \h </w:instrText>
      </w:r>
      <w:r w:rsidR="00071DE2" w:rsidRPr="00D66514">
        <w:instrText xml:space="preserve"> \* MERGEFORMAT </w:instrText>
      </w:r>
      <w:r w:rsidR="00037D20" w:rsidRPr="00D66514">
        <w:fldChar w:fldCharType="separate"/>
      </w:r>
      <w:r w:rsidR="004F0410" w:rsidRPr="00D66514">
        <w:t xml:space="preserve">Table </w:t>
      </w:r>
      <w:r w:rsidR="004F0410">
        <w:rPr>
          <w:noProof/>
        </w:rPr>
        <w:t>4</w:t>
      </w:r>
      <w:r w:rsidR="00037D20" w:rsidRPr="00D66514">
        <w:fldChar w:fldCharType="end"/>
      </w:r>
      <w:r w:rsidRPr="00D66514">
        <w:t xml:space="preserve">. In this model, the dummy variable for Ohio is significant in all crash types. At the same time, the AADT interaction with </w:t>
      </w:r>
      <w:r w:rsidR="00037D20" w:rsidRPr="00D66514">
        <w:t xml:space="preserve">the </w:t>
      </w:r>
      <w:r w:rsidRPr="00D66514">
        <w:t xml:space="preserve">Ohio variable is statistically insignificant across all crash </w:t>
      </w:r>
      <w:r w:rsidR="00477D06" w:rsidRPr="00D66514">
        <w:t xml:space="preserve">severities and </w:t>
      </w:r>
      <w:r w:rsidRPr="00D66514">
        <w:t>types. In these models</w:t>
      </w:r>
      <w:r w:rsidR="00037D20" w:rsidRPr="00D66514">
        <w:t>,</w:t>
      </w:r>
      <w:r w:rsidRPr="00D66514">
        <w:t xml:space="preserve"> also</w:t>
      </w:r>
      <w:r w:rsidR="00037D20" w:rsidRPr="00D66514">
        <w:t>,</w:t>
      </w:r>
      <w:r w:rsidRPr="00D66514">
        <w:t xml:space="preserve"> the interaction variables in the </w:t>
      </w:r>
      <w:r w:rsidR="00686910" w:rsidRPr="00D66514">
        <w:t>over-dispersion</w:t>
      </w:r>
      <w:r w:rsidRPr="00D66514">
        <w:t xml:space="preserve"> component are significant and account for unobserved differences across the two states.</w:t>
      </w:r>
    </w:p>
    <w:p w14:paraId="55800E54" w14:textId="77777777" w:rsidR="00A72C9B" w:rsidRPr="00D66514" w:rsidRDefault="00A72C9B"/>
    <w:p w14:paraId="618E3BA3" w14:textId="77777777" w:rsidR="00A72C9B" w:rsidRPr="00D66514" w:rsidRDefault="00A72C9B"/>
    <w:p w14:paraId="40B6FDF1" w14:textId="77777777" w:rsidR="00A72C9B" w:rsidRPr="00D66514" w:rsidRDefault="00A72C9B"/>
    <w:p w14:paraId="4FEF769F" w14:textId="106D05D1" w:rsidR="00FC17EF" w:rsidRPr="00D66514" w:rsidRDefault="00FC17EF">
      <w:pPr>
        <w:rPr>
          <w:b/>
          <w:iCs/>
          <w:szCs w:val="18"/>
        </w:rPr>
      </w:pPr>
      <w:bookmarkStart w:id="4" w:name="_Ref425462148"/>
    </w:p>
    <w:p w14:paraId="3BFE3FF8" w14:textId="77777777" w:rsidR="00E70528" w:rsidRPr="00D66514" w:rsidRDefault="00E70528">
      <w:pPr>
        <w:jc w:val="left"/>
        <w:rPr>
          <w:b/>
          <w:iCs/>
          <w:szCs w:val="18"/>
        </w:rPr>
      </w:pPr>
      <w:r w:rsidRPr="00D66514">
        <w:br w:type="page"/>
      </w:r>
    </w:p>
    <w:p w14:paraId="6E35958F" w14:textId="30A22F47" w:rsidR="00F809F2" w:rsidRPr="00D66514" w:rsidRDefault="0040634D" w:rsidP="00D67911">
      <w:pPr>
        <w:pStyle w:val="Caption"/>
        <w:keepNext/>
      </w:pPr>
      <w:bookmarkStart w:id="5" w:name="_Ref426154724"/>
      <w:r w:rsidRPr="00D66514">
        <w:lastRenderedPageBreak/>
        <w:t xml:space="preserve">Table </w:t>
      </w:r>
      <w:r w:rsidR="00A226E1">
        <w:fldChar w:fldCharType="begin"/>
      </w:r>
      <w:r w:rsidR="00A226E1">
        <w:instrText xml:space="preserve"> SEQ Table \* ARABIC </w:instrText>
      </w:r>
      <w:r w:rsidR="00A226E1">
        <w:fldChar w:fldCharType="separate"/>
      </w:r>
      <w:r w:rsidR="004F0410">
        <w:rPr>
          <w:noProof/>
        </w:rPr>
        <w:t>4</w:t>
      </w:r>
      <w:r w:rsidR="00A226E1">
        <w:rPr>
          <w:noProof/>
        </w:rPr>
        <w:fldChar w:fldCharType="end"/>
      </w:r>
      <w:bookmarkEnd w:id="5"/>
      <w:r w:rsidR="00F809F2" w:rsidRPr="00D66514">
        <w:t xml:space="preserve"> </w:t>
      </w:r>
      <w:r w:rsidR="0004240D" w:rsidRPr="00D66514">
        <w:rPr>
          <w:iCs w:val="0"/>
        </w:rPr>
        <w:t>Average Conditions</w:t>
      </w:r>
      <w:r w:rsidR="0004240D" w:rsidRPr="00D66514">
        <w:t xml:space="preserve"> </w:t>
      </w:r>
      <w:r w:rsidR="00F809F2" w:rsidRPr="00D66514">
        <w:t xml:space="preserve">Ohio and California </w:t>
      </w:r>
      <w:r w:rsidR="00A72C9B" w:rsidRPr="00D66514">
        <w:t xml:space="preserve">Joint </w:t>
      </w:r>
      <w:bookmarkEnd w:id="4"/>
      <w:r w:rsidR="0004240D" w:rsidRPr="00D66514">
        <w:t>Safety Performance Functions</w:t>
      </w:r>
    </w:p>
    <w:tbl>
      <w:tblPr>
        <w:tblStyle w:val="TableGrid"/>
        <w:tblW w:w="0" w:type="auto"/>
        <w:tblLook w:val="04A0" w:firstRow="1" w:lastRow="0" w:firstColumn="1" w:lastColumn="0" w:noHBand="0" w:noVBand="1"/>
      </w:tblPr>
      <w:tblGrid>
        <w:gridCol w:w="2244"/>
        <w:gridCol w:w="1219"/>
        <w:gridCol w:w="1183"/>
        <w:gridCol w:w="1170"/>
        <w:gridCol w:w="1170"/>
        <w:gridCol w:w="1182"/>
        <w:gridCol w:w="1182"/>
      </w:tblGrid>
      <w:tr w:rsidR="00F809F2" w:rsidRPr="00D66514" w14:paraId="14A62738" w14:textId="77777777" w:rsidTr="00E70528">
        <w:trPr>
          <w:trHeight w:val="300"/>
        </w:trPr>
        <w:tc>
          <w:tcPr>
            <w:tcW w:w="0" w:type="auto"/>
            <w:shd w:val="clear" w:color="auto" w:fill="auto"/>
            <w:noWrap/>
            <w:vAlign w:val="center"/>
            <w:hideMark/>
          </w:tcPr>
          <w:p w14:paraId="18B77F1F" w14:textId="77777777" w:rsidR="00F809F2" w:rsidRPr="00D66514" w:rsidRDefault="00F809F2" w:rsidP="00F809F2">
            <w:pPr>
              <w:jc w:val="center"/>
              <w:rPr>
                <w:b/>
                <w:bCs/>
              </w:rPr>
            </w:pPr>
            <w:r w:rsidRPr="00D66514">
              <w:rPr>
                <w:b/>
                <w:bCs/>
              </w:rPr>
              <w:t>Crash Type or Severity</w:t>
            </w:r>
          </w:p>
        </w:tc>
        <w:tc>
          <w:tcPr>
            <w:tcW w:w="0" w:type="auto"/>
            <w:shd w:val="clear" w:color="auto" w:fill="auto"/>
            <w:noWrap/>
            <w:vAlign w:val="center"/>
            <w:hideMark/>
          </w:tcPr>
          <w:p w14:paraId="52947897" w14:textId="77777777" w:rsidR="00F809F2" w:rsidRPr="00D66514" w:rsidRDefault="00F809F2" w:rsidP="00F809F2">
            <w:pPr>
              <w:jc w:val="center"/>
              <w:rPr>
                <w:b/>
                <w:bCs/>
              </w:rPr>
            </w:pPr>
            <w:r w:rsidRPr="00D66514">
              <w:rPr>
                <w:b/>
                <w:bCs/>
              </w:rPr>
              <w:t>KABCO</w:t>
            </w:r>
          </w:p>
        </w:tc>
        <w:tc>
          <w:tcPr>
            <w:tcW w:w="0" w:type="auto"/>
            <w:shd w:val="clear" w:color="auto" w:fill="auto"/>
            <w:noWrap/>
            <w:vAlign w:val="center"/>
            <w:hideMark/>
          </w:tcPr>
          <w:p w14:paraId="24E318C4" w14:textId="77777777" w:rsidR="00F809F2" w:rsidRPr="00D66514" w:rsidRDefault="00F809F2" w:rsidP="00F809F2">
            <w:pPr>
              <w:jc w:val="center"/>
              <w:rPr>
                <w:b/>
                <w:bCs/>
              </w:rPr>
            </w:pPr>
            <w:r w:rsidRPr="00D66514">
              <w:rPr>
                <w:b/>
                <w:bCs/>
              </w:rPr>
              <w:t>KABC</w:t>
            </w:r>
          </w:p>
        </w:tc>
        <w:tc>
          <w:tcPr>
            <w:tcW w:w="0" w:type="auto"/>
            <w:shd w:val="clear" w:color="auto" w:fill="auto"/>
            <w:noWrap/>
            <w:vAlign w:val="center"/>
            <w:hideMark/>
          </w:tcPr>
          <w:p w14:paraId="3739DDDD" w14:textId="77777777" w:rsidR="00F809F2" w:rsidRPr="00D66514" w:rsidRDefault="00F809F2" w:rsidP="00F809F2">
            <w:pPr>
              <w:jc w:val="center"/>
              <w:rPr>
                <w:b/>
                <w:bCs/>
              </w:rPr>
            </w:pPr>
            <w:r w:rsidRPr="00D66514">
              <w:rPr>
                <w:b/>
                <w:bCs/>
              </w:rPr>
              <w:t>KAB</w:t>
            </w:r>
          </w:p>
        </w:tc>
        <w:tc>
          <w:tcPr>
            <w:tcW w:w="0" w:type="auto"/>
            <w:shd w:val="clear" w:color="auto" w:fill="auto"/>
            <w:noWrap/>
            <w:vAlign w:val="center"/>
            <w:hideMark/>
          </w:tcPr>
          <w:p w14:paraId="420125C7" w14:textId="77777777" w:rsidR="00F809F2" w:rsidRPr="00D66514" w:rsidRDefault="00F809F2" w:rsidP="00F809F2">
            <w:pPr>
              <w:jc w:val="center"/>
              <w:rPr>
                <w:b/>
                <w:bCs/>
              </w:rPr>
            </w:pPr>
            <w:r w:rsidRPr="00D66514">
              <w:rPr>
                <w:b/>
                <w:bCs/>
              </w:rPr>
              <w:t>KA</w:t>
            </w:r>
          </w:p>
        </w:tc>
        <w:tc>
          <w:tcPr>
            <w:tcW w:w="0" w:type="auto"/>
            <w:shd w:val="clear" w:color="auto" w:fill="auto"/>
            <w:noWrap/>
            <w:vAlign w:val="center"/>
            <w:hideMark/>
          </w:tcPr>
          <w:p w14:paraId="41130980" w14:textId="77777777" w:rsidR="00F809F2" w:rsidRPr="00D66514" w:rsidRDefault="00F809F2" w:rsidP="00F809F2">
            <w:pPr>
              <w:jc w:val="center"/>
              <w:rPr>
                <w:b/>
                <w:bCs/>
              </w:rPr>
            </w:pPr>
            <w:r w:rsidRPr="00D66514">
              <w:rPr>
                <w:b/>
                <w:bCs/>
              </w:rPr>
              <w:t>SV</w:t>
            </w:r>
          </w:p>
        </w:tc>
        <w:tc>
          <w:tcPr>
            <w:tcW w:w="0" w:type="auto"/>
            <w:shd w:val="clear" w:color="auto" w:fill="auto"/>
            <w:noWrap/>
            <w:vAlign w:val="center"/>
            <w:hideMark/>
          </w:tcPr>
          <w:p w14:paraId="126054E9" w14:textId="77777777" w:rsidR="00F809F2" w:rsidRPr="00D66514" w:rsidRDefault="00F809F2" w:rsidP="00F809F2">
            <w:pPr>
              <w:jc w:val="center"/>
              <w:rPr>
                <w:b/>
                <w:bCs/>
              </w:rPr>
            </w:pPr>
            <w:r w:rsidRPr="00D66514">
              <w:rPr>
                <w:b/>
                <w:bCs/>
              </w:rPr>
              <w:t>MV</w:t>
            </w:r>
          </w:p>
        </w:tc>
      </w:tr>
      <w:tr w:rsidR="00F809F2" w:rsidRPr="00D66514" w14:paraId="7BE66BFE" w14:textId="77777777" w:rsidTr="00E70528">
        <w:trPr>
          <w:trHeight w:val="300"/>
        </w:trPr>
        <w:tc>
          <w:tcPr>
            <w:tcW w:w="0" w:type="auto"/>
            <w:shd w:val="clear" w:color="auto" w:fill="auto"/>
            <w:noWrap/>
            <w:vAlign w:val="center"/>
            <w:hideMark/>
          </w:tcPr>
          <w:p w14:paraId="453B4824" w14:textId="77777777" w:rsidR="00F809F2" w:rsidRPr="00D66514" w:rsidRDefault="00F809F2" w:rsidP="00F809F2">
            <w:pPr>
              <w:jc w:val="center"/>
              <w:rPr>
                <w:b/>
                <w:bCs/>
              </w:rPr>
            </w:pPr>
            <w:r w:rsidRPr="00D66514">
              <w:rPr>
                <w:b/>
                <w:bCs/>
              </w:rPr>
              <w:t>Parameters</w:t>
            </w:r>
          </w:p>
        </w:tc>
        <w:tc>
          <w:tcPr>
            <w:tcW w:w="0" w:type="auto"/>
            <w:gridSpan w:val="6"/>
            <w:shd w:val="clear" w:color="auto" w:fill="auto"/>
            <w:noWrap/>
            <w:vAlign w:val="center"/>
            <w:hideMark/>
          </w:tcPr>
          <w:p w14:paraId="0E4B5AC8" w14:textId="77777777" w:rsidR="00F809F2" w:rsidRPr="00D66514" w:rsidRDefault="00F809F2" w:rsidP="00F809F2">
            <w:pPr>
              <w:jc w:val="center"/>
              <w:rPr>
                <w:b/>
                <w:bCs/>
              </w:rPr>
            </w:pPr>
            <w:r w:rsidRPr="00D66514">
              <w:rPr>
                <w:b/>
                <w:bCs/>
              </w:rPr>
              <w:t>Parameter Estimates and P-Values</w:t>
            </w:r>
          </w:p>
        </w:tc>
      </w:tr>
      <w:tr w:rsidR="00F809F2" w:rsidRPr="00D66514" w14:paraId="27617890" w14:textId="77777777" w:rsidTr="00E70528">
        <w:trPr>
          <w:trHeight w:val="600"/>
        </w:trPr>
        <w:tc>
          <w:tcPr>
            <w:tcW w:w="0" w:type="auto"/>
            <w:shd w:val="clear" w:color="auto" w:fill="auto"/>
            <w:noWrap/>
            <w:vAlign w:val="center"/>
            <w:hideMark/>
          </w:tcPr>
          <w:p w14:paraId="51C9D819" w14:textId="77777777" w:rsidR="00F809F2" w:rsidRPr="00D66514" w:rsidRDefault="00F809F2" w:rsidP="00F809F2">
            <w:pPr>
              <w:jc w:val="center"/>
              <w:rPr>
                <w:b/>
                <w:bCs/>
              </w:rPr>
            </w:pPr>
            <w:r w:rsidRPr="00D66514">
              <w:rPr>
                <w:b/>
                <w:bCs/>
              </w:rPr>
              <w:t>Intercept</w:t>
            </w:r>
          </w:p>
        </w:tc>
        <w:tc>
          <w:tcPr>
            <w:tcW w:w="0" w:type="auto"/>
            <w:shd w:val="clear" w:color="auto" w:fill="auto"/>
            <w:vAlign w:val="center"/>
            <w:hideMark/>
          </w:tcPr>
          <w:p w14:paraId="4774156B" w14:textId="77777777" w:rsidR="00F809F2" w:rsidRPr="00D66514" w:rsidRDefault="00F809F2" w:rsidP="00F809F2">
            <w:pPr>
              <w:jc w:val="center"/>
            </w:pPr>
            <w:r w:rsidRPr="00D66514">
              <w:t>-9.2195</w:t>
            </w:r>
            <w:r w:rsidRPr="00D66514">
              <w:br/>
              <w:t>(&lt;.0001)</w:t>
            </w:r>
          </w:p>
        </w:tc>
        <w:tc>
          <w:tcPr>
            <w:tcW w:w="0" w:type="auto"/>
            <w:shd w:val="clear" w:color="auto" w:fill="auto"/>
            <w:vAlign w:val="center"/>
            <w:hideMark/>
          </w:tcPr>
          <w:p w14:paraId="4B6677A5" w14:textId="77777777" w:rsidR="00F809F2" w:rsidRPr="00D66514" w:rsidRDefault="00F809F2" w:rsidP="00F809F2">
            <w:pPr>
              <w:jc w:val="center"/>
            </w:pPr>
            <w:r w:rsidRPr="00D66514">
              <w:t>-9.3468</w:t>
            </w:r>
            <w:r w:rsidRPr="00D66514">
              <w:br/>
              <w:t>(&lt;.0001)</w:t>
            </w:r>
          </w:p>
        </w:tc>
        <w:tc>
          <w:tcPr>
            <w:tcW w:w="0" w:type="auto"/>
            <w:shd w:val="clear" w:color="auto" w:fill="auto"/>
            <w:vAlign w:val="center"/>
            <w:hideMark/>
          </w:tcPr>
          <w:p w14:paraId="3508E39D" w14:textId="77777777" w:rsidR="00F809F2" w:rsidRPr="00D66514" w:rsidRDefault="00F809F2" w:rsidP="00F809F2">
            <w:pPr>
              <w:jc w:val="center"/>
            </w:pPr>
            <w:r w:rsidRPr="00D66514">
              <w:t>-8.5024</w:t>
            </w:r>
            <w:r w:rsidRPr="00D66514">
              <w:br/>
              <w:t>(&lt;.0001)</w:t>
            </w:r>
          </w:p>
        </w:tc>
        <w:tc>
          <w:tcPr>
            <w:tcW w:w="0" w:type="auto"/>
            <w:shd w:val="clear" w:color="auto" w:fill="auto"/>
            <w:vAlign w:val="center"/>
            <w:hideMark/>
          </w:tcPr>
          <w:p w14:paraId="3110BC60" w14:textId="77777777" w:rsidR="00F809F2" w:rsidRPr="00D66514" w:rsidRDefault="00F809F2" w:rsidP="00F809F2">
            <w:pPr>
              <w:jc w:val="center"/>
            </w:pPr>
            <w:r w:rsidRPr="00D66514">
              <w:t>-8.091</w:t>
            </w:r>
            <w:r w:rsidRPr="00D66514">
              <w:br/>
              <w:t>(&lt;.0001)</w:t>
            </w:r>
          </w:p>
        </w:tc>
        <w:tc>
          <w:tcPr>
            <w:tcW w:w="0" w:type="auto"/>
            <w:shd w:val="clear" w:color="auto" w:fill="auto"/>
            <w:vAlign w:val="center"/>
            <w:hideMark/>
          </w:tcPr>
          <w:p w14:paraId="6A178D82" w14:textId="77777777" w:rsidR="00F809F2" w:rsidRPr="00D66514" w:rsidRDefault="00F809F2" w:rsidP="00F809F2">
            <w:pPr>
              <w:jc w:val="center"/>
            </w:pPr>
            <w:r w:rsidRPr="00D66514">
              <w:t>-7.8223</w:t>
            </w:r>
            <w:r w:rsidRPr="00D66514">
              <w:br/>
              <w:t>(&lt;.0001)</w:t>
            </w:r>
          </w:p>
        </w:tc>
        <w:tc>
          <w:tcPr>
            <w:tcW w:w="0" w:type="auto"/>
            <w:shd w:val="clear" w:color="auto" w:fill="auto"/>
            <w:vAlign w:val="center"/>
            <w:hideMark/>
          </w:tcPr>
          <w:p w14:paraId="249C9DE1" w14:textId="77777777" w:rsidR="00F809F2" w:rsidRPr="00D66514" w:rsidRDefault="00F809F2" w:rsidP="00F809F2">
            <w:pPr>
              <w:jc w:val="center"/>
            </w:pPr>
            <w:r w:rsidRPr="00D66514">
              <w:t>-12.3026</w:t>
            </w:r>
            <w:r w:rsidRPr="00D66514">
              <w:br/>
              <w:t>(&lt;.0001)</w:t>
            </w:r>
          </w:p>
        </w:tc>
      </w:tr>
      <w:tr w:rsidR="00F809F2" w:rsidRPr="00D66514" w14:paraId="0ED00208" w14:textId="77777777" w:rsidTr="00E70528">
        <w:trPr>
          <w:trHeight w:val="600"/>
        </w:trPr>
        <w:tc>
          <w:tcPr>
            <w:tcW w:w="0" w:type="auto"/>
            <w:shd w:val="clear" w:color="auto" w:fill="auto"/>
            <w:noWrap/>
            <w:vAlign w:val="center"/>
            <w:hideMark/>
          </w:tcPr>
          <w:p w14:paraId="615AEC26" w14:textId="77777777" w:rsidR="00F809F2" w:rsidRPr="00D66514" w:rsidRDefault="00F809F2" w:rsidP="00F809F2">
            <w:pPr>
              <w:jc w:val="center"/>
              <w:rPr>
                <w:b/>
                <w:bCs/>
              </w:rPr>
            </w:pPr>
            <w:r w:rsidRPr="00D66514">
              <w:rPr>
                <w:b/>
                <w:bCs/>
              </w:rPr>
              <w:t>Ln(AADT)</w:t>
            </w:r>
          </w:p>
        </w:tc>
        <w:tc>
          <w:tcPr>
            <w:tcW w:w="0" w:type="auto"/>
            <w:shd w:val="clear" w:color="auto" w:fill="auto"/>
            <w:vAlign w:val="center"/>
            <w:hideMark/>
          </w:tcPr>
          <w:p w14:paraId="782264B6" w14:textId="77777777" w:rsidR="00F809F2" w:rsidRPr="00D66514" w:rsidRDefault="00F809F2" w:rsidP="00F809F2">
            <w:pPr>
              <w:jc w:val="center"/>
            </w:pPr>
            <w:r w:rsidRPr="00D66514">
              <w:t>1.0751</w:t>
            </w:r>
            <w:r w:rsidRPr="00D66514">
              <w:br/>
              <w:t>(&lt;.0001)</w:t>
            </w:r>
          </w:p>
        </w:tc>
        <w:tc>
          <w:tcPr>
            <w:tcW w:w="0" w:type="auto"/>
            <w:shd w:val="clear" w:color="auto" w:fill="auto"/>
            <w:vAlign w:val="center"/>
            <w:hideMark/>
          </w:tcPr>
          <w:p w14:paraId="5A7EA46F" w14:textId="77777777" w:rsidR="00F809F2" w:rsidRPr="00D66514" w:rsidRDefault="00F809F2" w:rsidP="00F809F2">
            <w:pPr>
              <w:jc w:val="center"/>
            </w:pPr>
            <w:r w:rsidRPr="00D66514">
              <w:t>0.9898</w:t>
            </w:r>
            <w:r w:rsidRPr="00D66514">
              <w:br/>
              <w:t>(&lt;.0001)</w:t>
            </w:r>
          </w:p>
        </w:tc>
        <w:tc>
          <w:tcPr>
            <w:tcW w:w="0" w:type="auto"/>
            <w:shd w:val="clear" w:color="auto" w:fill="auto"/>
            <w:vAlign w:val="center"/>
            <w:hideMark/>
          </w:tcPr>
          <w:p w14:paraId="47771C27" w14:textId="77777777" w:rsidR="00F809F2" w:rsidRPr="00D66514" w:rsidRDefault="00F809F2" w:rsidP="00F809F2">
            <w:pPr>
              <w:jc w:val="center"/>
            </w:pPr>
            <w:r w:rsidRPr="00D66514">
              <w:t>0.8357</w:t>
            </w:r>
            <w:r w:rsidRPr="00D66514">
              <w:br/>
              <w:t>(&lt;.0001)</w:t>
            </w:r>
          </w:p>
        </w:tc>
        <w:tc>
          <w:tcPr>
            <w:tcW w:w="0" w:type="auto"/>
            <w:shd w:val="clear" w:color="auto" w:fill="auto"/>
            <w:vAlign w:val="center"/>
            <w:hideMark/>
          </w:tcPr>
          <w:p w14:paraId="3F7FD83D" w14:textId="77777777" w:rsidR="00F809F2" w:rsidRPr="00D66514" w:rsidRDefault="00F809F2" w:rsidP="00F809F2">
            <w:pPr>
              <w:jc w:val="center"/>
            </w:pPr>
            <w:r w:rsidRPr="00D66514">
              <w:t>0.6675</w:t>
            </w:r>
            <w:r w:rsidRPr="00D66514">
              <w:br/>
              <w:t>(&lt;.0001)</w:t>
            </w:r>
          </w:p>
        </w:tc>
        <w:tc>
          <w:tcPr>
            <w:tcW w:w="0" w:type="auto"/>
            <w:shd w:val="clear" w:color="auto" w:fill="auto"/>
            <w:vAlign w:val="center"/>
            <w:hideMark/>
          </w:tcPr>
          <w:p w14:paraId="26976E5C" w14:textId="77777777" w:rsidR="00F809F2" w:rsidRPr="00D66514" w:rsidRDefault="00F809F2" w:rsidP="00F809F2">
            <w:pPr>
              <w:jc w:val="center"/>
            </w:pPr>
            <w:r w:rsidRPr="00D66514">
              <w:t>0.8444</w:t>
            </w:r>
            <w:r w:rsidRPr="00D66514">
              <w:br/>
              <w:t>(&lt;.0001)</w:t>
            </w:r>
          </w:p>
        </w:tc>
        <w:tc>
          <w:tcPr>
            <w:tcW w:w="0" w:type="auto"/>
            <w:shd w:val="clear" w:color="auto" w:fill="auto"/>
            <w:vAlign w:val="center"/>
            <w:hideMark/>
          </w:tcPr>
          <w:p w14:paraId="1A717CDE" w14:textId="77777777" w:rsidR="00F809F2" w:rsidRPr="00D66514" w:rsidRDefault="00F809F2" w:rsidP="00F809F2">
            <w:pPr>
              <w:jc w:val="center"/>
            </w:pPr>
            <w:r w:rsidRPr="00D66514">
              <w:t>1.3329</w:t>
            </w:r>
            <w:r w:rsidRPr="00D66514">
              <w:br/>
              <w:t>(&lt;.0001)</w:t>
            </w:r>
          </w:p>
        </w:tc>
      </w:tr>
      <w:tr w:rsidR="00F809F2" w:rsidRPr="00D66514" w14:paraId="674F3A35" w14:textId="77777777" w:rsidTr="00E70528">
        <w:trPr>
          <w:trHeight w:val="600"/>
        </w:trPr>
        <w:tc>
          <w:tcPr>
            <w:tcW w:w="0" w:type="auto"/>
            <w:shd w:val="clear" w:color="auto" w:fill="auto"/>
            <w:noWrap/>
            <w:vAlign w:val="center"/>
            <w:hideMark/>
          </w:tcPr>
          <w:p w14:paraId="5CEA94EB" w14:textId="77777777" w:rsidR="00F809F2" w:rsidRPr="00D66514" w:rsidRDefault="00F809F2" w:rsidP="00F809F2">
            <w:pPr>
              <w:jc w:val="center"/>
              <w:rPr>
                <w:b/>
                <w:bCs/>
              </w:rPr>
            </w:pPr>
            <w:r w:rsidRPr="00D66514">
              <w:rPr>
                <w:b/>
                <w:bCs/>
              </w:rPr>
              <w:t>OH</w:t>
            </w:r>
          </w:p>
        </w:tc>
        <w:tc>
          <w:tcPr>
            <w:tcW w:w="0" w:type="auto"/>
            <w:shd w:val="clear" w:color="auto" w:fill="auto"/>
            <w:vAlign w:val="center"/>
            <w:hideMark/>
          </w:tcPr>
          <w:p w14:paraId="2E5FD510" w14:textId="77777777" w:rsidR="00F809F2" w:rsidRPr="00D66514" w:rsidRDefault="00F809F2" w:rsidP="00F809F2">
            <w:pPr>
              <w:jc w:val="center"/>
            </w:pPr>
            <w:r w:rsidRPr="00D66514">
              <w:t>-0.5197</w:t>
            </w:r>
            <w:r w:rsidRPr="00D66514">
              <w:br/>
              <w:t>(&lt;.0001)</w:t>
            </w:r>
          </w:p>
        </w:tc>
        <w:tc>
          <w:tcPr>
            <w:tcW w:w="0" w:type="auto"/>
            <w:shd w:val="clear" w:color="auto" w:fill="auto"/>
            <w:vAlign w:val="center"/>
            <w:hideMark/>
          </w:tcPr>
          <w:p w14:paraId="2D7D8A8D" w14:textId="77777777" w:rsidR="00F809F2" w:rsidRPr="00D66514" w:rsidRDefault="00F809F2" w:rsidP="00F809F2">
            <w:pPr>
              <w:jc w:val="center"/>
            </w:pPr>
            <w:r w:rsidRPr="00D66514">
              <w:t>-0.7498</w:t>
            </w:r>
            <w:r w:rsidRPr="00D66514">
              <w:br/>
              <w:t>(&lt;.0001)</w:t>
            </w:r>
          </w:p>
        </w:tc>
        <w:tc>
          <w:tcPr>
            <w:tcW w:w="0" w:type="auto"/>
            <w:shd w:val="clear" w:color="auto" w:fill="auto"/>
            <w:vAlign w:val="center"/>
            <w:hideMark/>
          </w:tcPr>
          <w:p w14:paraId="4438FE7E" w14:textId="77777777" w:rsidR="00F809F2" w:rsidRPr="00D66514" w:rsidRDefault="00F809F2" w:rsidP="00F809F2">
            <w:pPr>
              <w:jc w:val="center"/>
            </w:pPr>
            <w:r w:rsidRPr="00D66514">
              <w:t>-0.465</w:t>
            </w:r>
            <w:r w:rsidRPr="00D66514">
              <w:br/>
              <w:t>(&lt;.0001)</w:t>
            </w:r>
          </w:p>
        </w:tc>
        <w:tc>
          <w:tcPr>
            <w:tcW w:w="0" w:type="auto"/>
            <w:shd w:val="clear" w:color="auto" w:fill="auto"/>
            <w:vAlign w:val="center"/>
            <w:hideMark/>
          </w:tcPr>
          <w:p w14:paraId="5987F540" w14:textId="77777777" w:rsidR="00F809F2" w:rsidRPr="00D66514" w:rsidRDefault="00F809F2" w:rsidP="00F809F2">
            <w:pPr>
              <w:jc w:val="center"/>
            </w:pPr>
            <w:r w:rsidRPr="00D66514">
              <w:t>-0.6908</w:t>
            </w:r>
            <w:r w:rsidRPr="00D66514">
              <w:br/>
              <w:t>(&lt;.0001)</w:t>
            </w:r>
          </w:p>
        </w:tc>
        <w:tc>
          <w:tcPr>
            <w:tcW w:w="0" w:type="auto"/>
            <w:shd w:val="clear" w:color="auto" w:fill="auto"/>
            <w:vAlign w:val="center"/>
            <w:hideMark/>
          </w:tcPr>
          <w:p w14:paraId="4FD86B0C" w14:textId="77777777" w:rsidR="00F809F2" w:rsidRPr="00D66514" w:rsidRDefault="00F809F2" w:rsidP="00F809F2">
            <w:pPr>
              <w:jc w:val="center"/>
            </w:pPr>
            <w:r w:rsidRPr="00D66514">
              <w:t>-0.3637</w:t>
            </w:r>
            <w:r w:rsidRPr="00D66514">
              <w:br/>
              <w:t>(&lt;.0001)</w:t>
            </w:r>
          </w:p>
        </w:tc>
        <w:tc>
          <w:tcPr>
            <w:tcW w:w="0" w:type="auto"/>
            <w:shd w:val="clear" w:color="auto" w:fill="auto"/>
            <w:vAlign w:val="center"/>
            <w:hideMark/>
          </w:tcPr>
          <w:p w14:paraId="3C8F7A2F" w14:textId="77777777" w:rsidR="00F809F2" w:rsidRPr="00D66514" w:rsidRDefault="00F809F2" w:rsidP="00F809F2">
            <w:pPr>
              <w:jc w:val="center"/>
            </w:pPr>
            <w:r w:rsidRPr="00D66514">
              <w:t>-0.6663</w:t>
            </w:r>
            <w:r w:rsidRPr="00D66514">
              <w:br/>
              <w:t>(&lt;.0001)</w:t>
            </w:r>
          </w:p>
        </w:tc>
      </w:tr>
      <w:tr w:rsidR="00F809F2" w:rsidRPr="00D66514" w14:paraId="5A833CB1" w14:textId="77777777" w:rsidTr="00E70528">
        <w:trPr>
          <w:trHeight w:val="300"/>
        </w:trPr>
        <w:tc>
          <w:tcPr>
            <w:tcW w:w="0" w:type="auto"/>
            <w:shd w:val="clear" w:color="auto" w:fill="auto"/>
            <w:noWrap/>
            <w:vAlign w:val="center"/>
            <w:hideMark/>
          </w:tcPr>
          <w:p w14:paraId="6578FAFD" w14:textId="77777777" w:rsidR="00F809F2" w:rsidRPr="00D66514" w:rsidRDefault="00F809F2" w:rsidP="00F809F2">
            <w:pPr>
              <w:jc w:val="center"/>
              <w:rPr>
                <w:b/>
                <w:bCs/>
              </w:rPr>
            </w:pPr>
            <w:r w:rsidRPr="00D66514">
              <w:rPr>
                <w:b/>
                <w:bCs/>
              </w:rPr>
              <w:t>OH</w:t>
            </w:r>
            <w:r w:rsidRPr="00D66514">
              <w:rPr>
                <w:rFonts w:cs="Times New Roman"/>
                <w:b/>
                <w:bCs/>
              </w:rPr>
              <w:t>×</w:t>
            </w:r>
            <w:r w:rsidRPr="00D66514">
              <w:rPr>
                <w:b/>
                <w:bCs/>
              </w:rPr>
              <w:t>Ln(AADT)</w:t>
            </w:r>
          </w:p>
        </w:tc>
        <w:tc>
          <w:tcPr>
            <w:tcW w:w="0" w:type="auto"/>
            <w:shd w:val="clear" w:color="auto" w:fill="auto"/>
            <w:vAlign w:val="center"/>
            <w:hideMark/>
          </w:tcPr>
          <w:p w14:paraId="6D419FCA" w14:textId="77777777" w:rsidR="00F809F2" w:rsidRPr="00D66514" w:rsidRDefault="00F809F2" w:rsidP="00F809F2">
            <w:pPr>
              <w:jc w:val="center"/>
            </w:pPr>
            <w:r w:rsidRPr="00D66514">
              <w:t>-</w:t>
            </w:r>
          </w:p>
        </w:tc>
        <w:tc>
          <w:tcPr>
            <w:tcW w:w="0" w:type="auto"/>
            <w:shd w:val="clear" w:color="auto" w:fill="auto"/>
            <w:vAlign w:val="center"/>
            <w:hideMark/>
          </w:tcPr>
          <w:p w14:paraId="099BE719" w14:textId="77777777" w:rsidR="00F809F2" w:rsidRPr="00D66514" w:rsidRDefault="00F809F2" w:rsidP="00F809F2">
            <w:pPr>
              <w:jc w:val="center"/>
            </w:pPr>
            <w:r w:rsidRPr="00D66514">
              <w:t>-</w:t>
            </w:r>
          </w:p>
        </w:tc>
        <w:tc>
          <w:tcPr>
            <w:tcW w:w="0" w:type="auto"/>
            <w:shd w:val="clear" w:color="auto" w:fill="auto"/>
            <w:vAlign w:val="center"/>
            <w:hideMark/>
          </w:tcPr>
          <w:p w14:paraId="3CFD4DF9" w14:textId="77777777" w:rsidR="00F809F2" w:rsidRPr="00D66514" w:rsidRDefault="00F809F2" w:rsidP="00F809F2">
            <w:pPr>
              <w:jc w:val="center"/>
            </w:pPr>
            <w:r w:rsidRPr="00D66514">
              <w:t>-</w:t>
            </w:r>
          </w:p>
        </w:tc>
        <w:tc>
          <w:tcPr>
            <w:tcW w:w="0" w:type="auto"/>
            <w:shd w:val="clear" w:color="auto" w:fill="auto"/>
            <w:vAlign w:val="center"/>
            <w:hideMark/>
          </w:tcPr>
          <w:p w14:paraId="5CA52385" w14:textId="77777777" w:rsidR="00F809F2" w:rsidRPr="00D66514" w:rsidRDefault="00F809F2" w:rsidP="00F809F2">
            <w:pPr>
              <w:jc w:val="center"/>
            </w:pPr>
            <w:r w:rsidRPr="00D66514">
              <w:t>-</w:t>
            </w:r>
          </w:p>
        </w:tc>
        <w:tc>
          <w:tcPr>
            <w:tcW w:w="0" w:type="auto"/>
            <w:shd w:val="clear" w:color="auto" w:fill="auto"/>
            <w:vAlign w:val="center"/>
            <w:hideMark/>
          </w:tcPr>
          <w:p w14:paraId="46508BE5" w14:textId="77777777" w:rsidR="00F809F2" w:rsidRPr="00D66514" w:rsidRDefault="00F809F2" w:rsidP="00F809F2">
            <w:pPr>
              <w:jc w:val="center"/>
            </w:pPr>
            <w:r w:rsidRPr="00D66514">
              <w:t>-</w:t>
            </w:r>
          </w:p>
        </w:tc>
        <w:tc>
          <w:tcPr>
            <w:tcW w:w="0" w:type="auto"/>
            <w:shd w:val="clear" w:color="auto" w:fill="auto"/>
            <w:vAlign w:val="center"/>
            <w:hideMark/>
          </w:tcPr>
          <w:p w14:paraId="1B139D38" w14:textId="77777777" w:rsidR="00F809F2" w:rsidRPr="00D66514" w:rsidRDefault="00F809F2" w:rsidP="00F809F2">
            <w:pPr>
              <w:jc w:val="center"/>
            </w:pPr>
            <w:r w:rsidRPr="00D66514">
              <w:t>-</w:t>
            </w:r>
          </w:p>
        </w:tc>
      </w:tr>
      <w:tr w:rsidR="00F809F2" w:rsidRPr="00D66514" w14:paraId="0499C832" w14:textId="77777777" w:rsidTr="00E70528">
        <w:trPr>
          <w:trHeight w:val="600"/>
        </w:trPr>
        <w:tc>
          <w:tcPr>
            <w:tcW w:w="0" w:type="auto"/>
            <w:shd w:val="clear" w:color="auto" w:fill="auto"/>
            <w:noWrap/>
            <w:vAlign w:val="center"/>
            <w:hideMark/>
          </w:tcPr>
          <w:p w14:paraId="77BC39D9" w14:textId="46E51F15" w:rsidR="00F809F2" w:rsidRPr="00D66514" w:rsidRDefault="004F3F42" w:rsidP="00F809F2">
            <w:pPr>
              <w:jc w:val="center"/>
              <w:rPr>
                <w:b/>
                <w:bCs/>
              </w:rPr>
            </w:pPr>
            <w:r w:rsidRPr="00D66514">
              <w:rPr>
                <w:rFonts w:cs="Times New Roman"/>
                <w:b/>
                <w:bCs/>
              </w:rPr>
              <w:t>C</w:t>
            </w:r>
          </w:p>
        </w:tc>
        <w:tc>
          <w:tcPr>
            <w:tcW w:w="0" w:type="auto"/>
            <w:shd w:val="clear" w:color="auto" w:fill="auto"/>
            <w:vAlign w:val="center"/>
            <w:hideMark/>
          </w:tcPr>
          <w:p w14:paraId="0B043B16" w14:textId="77777777" w:rsidR="00F809F2" w:rsidRPr="00D66514" w:rsidRDefault="00F809F2" w:rsidP="00F809F2">
            <w:pPr>
              <w:jc w:val="center"/>
            </w:pPr>
            <w:r w:rsidRPr="00D66514">
              <w:t>0.2666</w:t>
            </w:r>
            <w:r w:rsidRPr="00D66514">
              <w:br/>
              <w:t>(&lt;.0001)</w:t>
            </w:r>
          </w:p>
        </w:tc>
        <w:tc>
          <w:tcPr>
            <w:tcW w:w="0" w:type="auto"/>
            <w:shd w:val="clear" w:color="auto" w:fill="auto"/>
            <w:vAlign w:val="center"/>
            <w:hideMark/>
          </w:tcPr>
          <w:p w14:paraId="3C5B7B35" w14:textId="77777777" w:rsidR="00F809F2" w:rsidRPr="00D66514" w:rsidRDefault="00F809F2" w:rsidP="00F809F2">
            <w:pPr>
              <w:jc w:val="center"/>
            </w:pPr>
            <w:r w:rsidRPr="00D66514">
              <w:t>0.2133</w:t>
            </w:r>
            <w:r w:rsidRPr="00D66514">
              <w:br/>
              <w:t>(0.0168)</w:t>
            </w:r>
          </w:p>
        </w:tc>
        <w:tc>
          <w:tcPr>
            <w:tcW w:w="0" w:type="auto"/>
            <w:shd w:val="clear" w:color="auto" w:fill="auto"/>
            <w:vAlign w:val="center"/>
            <w:hideMark/>
          </w:tcPr>
          <w:p w14:paraId="1C926D48" w14:textId="77777777" w:rsidR="00F809F2" w:rsidRPr="00D66514" w:rsidRDefault="00F809F2" w:rsidP="00F809F2">
            <w:pPr>
              <w:jc w:val="center"/>
            </w:pPr>
            <w:r w:rsidRPr="00D66514">
              <w:t>0.31</w:t>
            </w:r>
            <w:r w:rsidRPr="00D66514">
              <w:br/>
              <w:t>(0.0331)</w:t>
            </w:r>
          </w:p>
        </w:tc>
        <w:tc>
          <w:tcPr>
            <w:tcW w:w="0" w:type="auto"/>
            <w:shd w:val="clear" w:color="auto" w:fill="auto"/>
            <w:vAlign w:val="center"/>
            <w:hideMark/>
          </w:tcPr>
          <w:p w14:paraId="38773282" w14:textId="77777777" w:rsidR="00F809F2" w:rsidRPr="00D66514" w:rsidRDefault="00F809F2" w:rsidP="00F809F2">
            <w:pPr>
              <w:jc w:val="center"/>
            </w:pPr>
            <w:r w:rsidRPr="00D66514">
              <w:t>0.2422</w:t>
            </w:r>
            <w:r w:rsidRPr="00D66514">
              <w:br/>
              <w:t>(0.5054)</w:t>
            </w:r>
          </w:p>
        </w:tc>
        <w:tc>
          <w:tcPr>
            <w:tcW w:w="0" w:type="auto"/>
            <w:shd w:val="clear" w:color="auto" w:fill="auto"/>
            <w:vAlign w:val="center"/>
            <w:hideMark/>
          </w:tcPr>
          <w:p w14:paraId="4FD9666A" w14:textId="77777777" w:rsidR="00F809F2" w:rsidRPr="00D66514" w:rsidRDefault="00F809F2" w:rsidP="00F809F2">
            <w:pPr>
              <w:jc w:val="center"/>
            </w:pPr>
            <w:r w:rsidRPr="00D66514">
              <w:t>0.3913</w:t>
            </w:r>
            <w:r w:rsidRPr="00D66514">
              <w:br/>
              <w:t>(&lt;.0001)</w:t>
            </w:r>
          </w:p>
        </w:tc>
        <w:tc>
          <w:tcPr>
            <w:tcW w:w="0" w:type="auto"/>
            <w:shd w:val="clear" w:color="auto" w:fill="auto"/>
            <w:vAlign w:val="center"/>
            <w:hideMark/>
          </w:tcPr>
          <w:p w14:paraId="623ACB65" w14:textId="77777777" w:rsidR="00F809F2" w:rsidRPr="00D66514" w:rsidRDefault="00F809F2" w:rsidP="00F809F2">
            <w:pPr>
              <w:jc w:val="center"/>
            </w:pPr>
            <w:r w:rsidRPr="00D66514">
              <w:t>-0.4281</w:t>
            </w:r>
            <w:r w:rsidRPr="00D66514">
              <w:br/>
              <w:t>(&lt;.0001)</w:t>
            </w:r>
          </w:p>
        </w:tc>
      </w:tr>
      <w:tr w:rsidR="00F809F2" w:rsidRPr="00D66514" w14:paraId="489028CA" w14:textId="77777777" w:rsidTr="00E70528">
        <w:trPr>
          <w:trHeight w:val="600"/>
        </w:trPr>
        <w:tc>
          <w:tcPr>
            <w:tcW w:w="0" w:type="auto"/>
            <w:shd w:val="clear" w:color="auto" w:fill="auto"/>
            <w:noWrap/>
            <w:vAlign w:val="center"/>
            <w:hideMark/>
          </w:tcPr>
          <w:p w14:paraId="1AA1EC3A" w14:textId="261013FF" w:rsidR="00F809F2" w:rsidRPr="00D66514" w:rsidRDefault="00B86C54" w:rsidP="00F809F2">
            <w:pPr>
              <w:jc w:val="center"/>
              <w:rPr>
                <w:b/>
                <w:bCs/>
              </w:rPr>
            </w:pPr>
            <w:r w:rsidRPr="00D66514">
              <w:rPr>
                <w:rFonts w:cs="Times New Roman"/>
                <w:b/>
                <w:bCs/>
              </w:rPr>
              <w:t>G</w:t>
            </w:r>
          </w:p>
        </w:tc>
        <w:tc>
          <w:tcPr>
            <w:tcW w:w="0" w:type="auto"/>
            <w:shd w:val="clear" w:color="auto" w:fill="auto"/>
            <w:vAlign w:val="center"/>
            <w:hideMark/>
          </w:tcPr>
          <w:p w14:paraId="50F01A2D" w14:textId="77777777" w:rsidR="00F809F2" w:rsidRPr="00D66514" w:rsidRDefault="00F809F2" w:rsidP="00F809F2">
            <w:pPr>
              <w:jc w:val="center"/>
            </w:pPr>
            <w:r w:rsidRPr="00D66514">
              <w:t>0.03701</w:t>
            </w:r>
            <w:r w:rsidRPr="00D66514">
              <w:br/>
              <w:t>(0.7682)</w:t>
            </w:r>
          </w:p>
        </w:tc>
        <w:tc>
          <w:tcPr>
            <w:tcW w:w="0" w:type="auto"/>
            <w:shd w:val="clear" w:color="auto" w:fill="auto"/>
            <w:vAlign w:val="center"/>
            <w:hideMark/>
          </w:tcPr>
          <w:p w14:paraId="26291787" w14:textId="77777777" w:rsidR="00F809F2" w:rsidRPr="00D66514" w:rsidRDefault="00F809F2" w:rsidP="00F809F2">
            <w:pPr>
              <w:jc w:val="center"/>
            </w:pPr>
            <w:r w:rsidRPr="00D66514">
              <w:t>-0.00157</w:t>
            </w:r>
            <w:r w:rsidRPr="00D66514">
              <w:br/>
              <w:t>(0.9951)</w:t>
            </w:r>
          </w:p>
        </w:tc>
        <w:tc>
          <w:tcPr>
            <w:tcW w:w="0" w:type="auto"/>
            <w:shd w:val="clear" w:color="auto" w:fill="auto"/>
            <w:vAlign w:val="center"/>
            <w:hideMark/>
          </w:tcPr>
          <w:p w14:paraId="11784E18" w14:textId="77777777" w:rsidR="00F809F2" w:rsidRPr="00D66514" w:rsidRDefault="00F809F2" w:rsidP="00F809F2">
            <w:pPr>
              <w:jc w:val="center"/>
            </w:pPr>
            <w:r w:rsidRPr="00D66514">
              <w:t>-0.2491</w:t>
            </w:r>
            <w:r w:rsidRPr="00D66514">
              <w:br/>
              <w:t>(0.4354)</w:t>
            </w:r>
          </w:p>
        </w:tc>
        <w:tc>
          <w:tcPr>
            <w:tcW w:w="0" w:type="auto"/>
            <w:shd w:val="clear" w:color="auto" w:fill="auto"/>
            <w:vAlign w:val="center"/>
            <w:hideMark/>
          </w:tcPr>
          <w:p w14:paraId="4F589D19" w14:textId="77777777" w:rsidR="00F809F2" w:rsidRPr="00D66514" w:rsidRDefault="00F809F2" w:rsidP="00F809F2">
            <w:pPr>
              <w:jc w:val="center"/>
            </w:pPr>
            <w:r w:rsidRPr="00D66514">
              <w:t>-0.2813</w:t>
            </w:r>
            <w:r w:rsidRPr="00D66514">
              <w:br/>
              <w:t>(0.7821)</w:t>
            </w:r>
          </w:p>
        </w:tc>
        <w:tc>
          <w:tcPr>
            <w:tcW w:w="0" w:type="auto"/>
            <w:shd w:val="clear" w:color="auto" w:fill="auto"/>
            <w:vAlign w:val="center"/>
            <w:hideMark/>
          </w:tcPr>
          <w:p w14:paraId="158FB2A2" w14:textId="77777777" w:rsidR="00F809F2" w:rsidRPr="00D66514" w:rsidRDefault="00F809F2" w:rsidP="00F809F2">
            <w:pPr>
              <w:jc w:val="center"/>
            </w:pPr>
            <w:r w:rsidRPr="00D66514">
              <w:t>-0.08927</w:t>
            </w:r>
            <w:r w:rsidRPr="00D66514">
              <w:br/>
              <w:t>(0.6277)</w:t>
            </w:r>
          </w:p>
        </w:tc>
        <w:tc>
          <w:tcPr>
            <w:tcW w:w="0" w:type="auto"/>
            <w:shd w:val="clear" w:color="auto" w:fill="auto"/>
            <w:vAlign w:val="center"/>
            <w:hideMark/>
          </w:tcPr>
          <w:p w14:paraId="44C4AF91" w14:textId="77777777" w:rsidR="00F809F2" w:rsidRPr="00D66514" w:rsidRDefault="00F809F2" w:rsidP="00F809F2">
            <w:pPr>
              <w:jc w:val="center"/>
            </w:pPr>
            <w:r w:rsidRPr="00D66514">
              <w:t>0.072</w:t>
            </w:r>
            <w:r w:rsidRPr="00D66514">
              <w:br/>
              <w:t>(0.6279)</w:t>
            </w:r>
          </w:p>
        </w:tc>
      </w:tr>
      <w:tr w:rsidR="00F809F2" w:rsidRPr="00D66514" w14:paraId="091A4102" w14:textId="77777777" w:rsidTr="00E70528">
        <w:trPr>
          <w:trHeight w:val="600"/>
        </w:trPr>
        <w:tc>
          <w:tcPr>
            <w:tcW w:w="0" w:type="auto"/>
            <w:shd w:val="clear" w:color="auto" w:fill="auto"/>
            <w:noWrap/>
            <w:vAlign w:val="center"/>
            <w:hideMark/>
          </w:tcPr>
          <w:p w14:paraId="5D79A26D" w14:textId="610AEFE2" w:rsidR="00F809F2" w:rsidRPr="00D66514" w:rsidRDefault="004F3F42" w:rsidP="00F809F2">
            <w:pPr>
              <w:jc w:val="center"/>
              <w:rPr>
                <w:b/>
                <w:bCs/>
              </w:rPr>
            </w:pPr>
            <w:r w:rsidRPr="00D66514">
              <w:rPr>
                <w:rFonts w:cs="Times New Roman"/>
                <w:b/>
                <w:bCs/>
              </w:rPr>
              <w:t>D</w:t>
            </w:r>
          </w:p>
        </w:tc>
        <w:tc>
          <w:tcPr>
            <w:tcW w:w="0" w:type="auto"/>
            <w:shd w:val="clear" w:color="auto" w:fill="auto"/>
            <w:vAlign w:val="center"/>
            <w:hideMark/>
          </w:tcPr>
          <w:p w14:paraId="1E590FA8" w14:textId="77777777" w:rsidR="00F809F2" w:rsidRPr="00D66514" w:rsidRDefault="00F809F2" w:rsidP="00F809F2">
            <w:pPr>
              <w:jc w:val="center"/>
            </w:pPr>
            <w:r w:rsidRPr="00D66514">
              <w:t>0.502</w:t>
            </w:r>
            <w:r w:rsidRPr="00D66514">
              <w:br/>
              <w:t>(&lt;.0001)</w:t>
            </w:r>
          </w:p>
        </w:tc>
        <w:tc>
          <w:tcPr>
            <w:tcW w:w="0" w:type="auto"/>
            <w:shd w:val="clear" w:color="auto" w:fill="auto"/>
            <w:vAlign w:val="center"/>
            <w:hideMark/>
          </w:tcPr>
          <w:p w14:paraId="59BA74A0" w14:textId="77777777" w:rsidR="00F809F2" w:rsidRPr="00D66514" w:rsidRDefault="00F809F2" w:rsidP="00F809F2">
            <w:pPr>
              <w:jc w:val="center"/>
            </w:pPr>
            <w:r w:rsidRPr="00D66514">
              <w:t>0.7086</w:t>
            </w:r>
            <w:r w:rsidRPr="00D66514">
              <w:br/>
              <w:t>(&lt;.0001)</w:t>
            </w:r>
          </w:p>
        </w:tc>
        <w:tc>
          <w:tcPr>
            <w:tcW w:w="0" w:type="auto"/>
            <w:shd w:val="clear" w:color="auto" w:fill="auto"/>
            <w:vAlign w:val="center"/>
            <w:hideMark/>
          </w:tcPr>
          <w:p w14:paraId="6118FABC" w14:textId="77777777" w:rsidR="00F809F2" w:rsidRPr="00D66514" w:rsidRDefault="00F809F2" w:rsidP="00F809F2">
            <w:pPr>
              <w:jc w:val="center"/>
            </w:pPr>
            <w:r w:rsidRPr="00D66514">
              <w:t>0.9285</w:t>
            </w:r>
            <w:r w:rsidRPr="00D66514">
              <w:br/>
              <w:t>(&lt;.0001)</w:t>
            </w:r>
          </w:p>
        </w:tc>
        <w:tc>
          <w:tcPr>
            <w:tcW w:w="0" w:type="auto"/>
            <w:shd w:val="clear" w:color="auto" w:fill="auto"/>
            <w:vAlign w:val="center"/>
            <w:hideMark/>
          </w:tcPr>
          <w:p w14:paraId="1657EB9F" w14:textId="77777777" w:rsidR="00F809F2" w:rsidRPr="00D66514" w:rsidRDefault="00F809F2" w:rsidP="00F809F2">
            <w:pPr>
              <w:jc w:val="center"/>
            </w:pPr>
            <w:r w:rsidRPr="00D66514">
              <w:t>0.4713</w:t>
            </w:r>
            <w:r w:rsidRPr="00D66514">
              <w:br/>
              <w:t>(0.3582)</w:t>
            </w:r>
          </w:p>
        </w:tc>
        <w:tc>
          <w:tcPr>
            <w:tcW w:w="0" w:type="auto"/>
            <w:shd w:val="clear" w:color="auto" w:fill="auto"/>
            <w:vAlign w:val="center"/>
            <w:hideMark/>
          </w:tcPr>
          <w:p w14:paraId="45F6E6C3" w14:textId="77777777" w:rsidR="00F809F2" w:rsidRPr="00D66514" w:rsidRDefault="00F809F2" w:rsidP="00F809F2">
            <w:pPr>
              <w:jc w:val="center"/>
            </w:pPr>
            <w:r w:rsidRPr="00D66514">
              <w:t>0.437</w:t>
            </w:r>
            <w:r w:rsidRPr="00D66514">
              <w:br/>
              <w:t>(&lt;.0001)</w:t>
            </w:r>
          </w:p>
        </w:tc>
        <w:tc>
          <w:tcPr>
            <w:tcW w:w="0" w:type="auto"/>
            <w:shd w:val="clear" w:color="auto" w:fill="auto"/>
            <w:vAlign w:val="center"/>
            <w:hideMark/>
          </w:tcPr>
          <w:p w14:paraId="2BFFA2EE" w14:textId="77777777" w:rsidR="00F809F2" w:rsidRPr="00D66514" w:rsidRDefault="00F809F2" w:rsidP="00F809F2">
            <w:pPr>
              <w:jc w:val="center"/>
            </w:pPr>
            <w:r w:rsidRPr="00D66514">
              <w:t>0.4904</w:t>
            </w:r>
            <w:r w:rsidRPr="00D66514">
              <w:br/>
              <w:t>(&lt;.0001)</w:t>
            </w:r>
          </w:p>
        </w:tc>
      </w:tr>
      <w:tr w:rsidR="00F809F2" w:rsidRPr="00D66514" w14:paraId="4D130FE6" w14:textId="77777777" w:rsidTr="00E70528">
        <w:trPr>
          <w:trHeight w:val="600"/>
        </w:trPr>
        <w:tc>
          <w:tcPr>
            <w:tcW w:w="0" w:type="auto"/>
            <w:shd w:val="clear" w:color="auto" w:fill="auto"/>
            <w:noWrap/>
            <w:vAlign w:val="center"/>
            <w:hideMark/>
          </w:tcPr>
          <w:p w14:paraId="4F3C9436" w14:textId="7A426813" w:rsidR="00F809F2" w:rsidRPr="00D66514" w:rsidRDefault="00B86C54" w:rsidP="00F809F2">
            <w:pPr>
              <w:jc w:val="center"/>
              <w:rPr>
                <w:b/>
                <w:bCs/>
              </w:rPr>
            </w:pPr>
            <w:r w:rsidRPr="00D66514">
              <w:rPr>
                <w:rFonts w:cs="Times New Roman"/>
                <w:b/>
                <w:bCs/>
              </w:rPr>
              <w:t>H</w:t>
            </w:r>
          </w:p>
        </w:tc>
        <w:tc>
          <w:tcPr>
            <w:tcW w:w="0" w:type="auto"/>
            <w:shd w:val="clear" w:color="auto" w:fill="auto"/>
            <w:vAlign w:val="center"/>
            <w:hideMark/>
          </w:tcPr>
          <w:p w14:paraId="620EB514" w14:textId="77777777" w:rsidR="00F809F2" w:rsidRPr="00D66514" w:rsidRDefault="00F809F2" w:rsidP="00F809F2">
            <w:pPr>
              <w:jc w:val="center"/>
            </w:pPr>
            <w:r w:rsidRPr="00D66514">
              <w:t>0.07615</w:t>
            </w:r>
            <w:r w:rsidRPr="00D66514">
              <w:br/>
              <w:t>(0.5854)</w:t>
            </w:r>
          </w:p>
        </w:tc>
        <w:tc>
          <w:tcPr>
            <w:tcW w:w="0" w:type="auto"/>
            <w:shd w:val="clear" w:color="auto" w:fill="auto"/>
            <w:vAlign w:val="center"/>
            <w:hideMark/>
          </w:tcPr>
          <w:p w14:paraId="6945BBD2" w14:textId="77777777" w:rsidR="00F809F2" w:rsidRPr="00D66514" w:rsidRDefault="00F809F2" w:rsidP="00F809F2">
            <w:pPr>
              <w:jc w:val="center"/>
            </w:pPr>
            <w:r w:rsidRPr="00D66514">
              <w:t>-0.4535</w:t>
            </w:r>
            <w:r w:rsidRPr="00D66514">
              <w:br/>
              <w:t>(0.0363)</w:t>
            </w:r>
          </w:p>
        </w:tc>
        <w:tc>
          <w:tcPr>
            <w:tcW w:w="0" w:type="auto"/>
            <w:shd w:val="clear" w:color="auto" w:fill="auto"/>
            <w:vAlign w:val="center"/>
            <w:hideMark/>
          </w:tcPr>
          <w:p w14:paraId="33435549" w14:textId="77777777" w:rsidR="00F809F2" w:rsidRPr="00D66514" w:rsidRDefault="00F809F2" w:rsidP="00F809F2">
            <w:pPr>
              <w:jc w:val="center"/>
            </w:pPr>
            <w:r w:rsidRPr="00D66514">
              <w:t>-0.5685</w:t>
            </w:r>
            <w:r w:rsidRPr="00D66514">
              <w:br/>
              <w:t>(0.0513)</w:t>
            </w:r>
          </w:p>
        </w:tc>
        <w:tc>
          <w:tcPr>
            <w:tcW w:w="0" w:type="auto"/>
            <w:shd w:val="clear" w:color="auto" w:fill="auto"/>
            <w:vAlign w:val="center"/>
            <w:hideMark/>
          </w:tcPr>
          <w:p w14:paraId="392B9DDF" w14:textId="77777777" w:rsidR="00F809F2" w:rsidRPr="00D66514" w:rsidRDefault="00F809F2" w:rsidP="00F809F2">
            <w:pPr>
              <w:jc w:val="center"/>
            </w:pPr>
            <w:r w:rsidRPr="00D66514">
              <w:t>1.4232</w:t>
            </w:r>
            <w:r w:rsidRPr="00D66514">
              <w:br/>
              <w:t>(0.206)</w:t>
            </w:r>
          </w:p>
        </w:tc>
        <w:tc>
          <w:tcPr>
            <w:tcW w:w="0" w:type="auto"/>
            <w:shd w:val="clear" w:color="auto" w:fill="auto"/>
            <w:vAlign w:val="center"/>
            <w:hideMark/>
          </w:tcPr>
          <w:p w14:paraId="5954515F" w14:textId="77777777" w:rsidR="00F809F2" w:rsidRPr="00D66514" w:rsidRDefault="00F809F2" w:rsidP="00F809F2">
            <w:pPr>
              <w:jc w:val="center"/>
            </w:pPr>
            <w:r w:rsidRPr="00D66514">
              <w:t>0.3158</w:t>
            </w:r>
            <w:r w:rsidRPr="00D66514">
              <w:br/>
              <w:t>(0.1136)</w:t>
            </w:r>
          </w:p>
        </w:tc>
        <w:tc>
          <w:tcPr>
            <w:tcW w:w="0" w:type="auto"/>
            <w:shd w:val="clear" w:color="auto" w:fill="auto"/>
            <w:vAlign w:val="center"/>
            <w:hideMark/>
          </w:tcPr>
          <w:p w14:paraId="12C28FCB" w14:textId="77777777" w:rsidR="00F809F2" w:rsidRPr="00D66514" w:rsidRDefault="00F809F2" w:rsidP="00F809F2">
            <w:pPr>
              <w:jc w:val="center"/>
            </w:pPr>
            <w:r w:rsidRPr="00D66514">
              <w:t>0.04359</w:t>
            </w:r>
            <w:r w:rsidRPr="00D66514">
              <w:br/>
              <w:t>(0.7909)</w:t>
            </w:r>
          </w:p>
        </w:tc>
      </w:tr>
      <w:tr w:rsidR="00F809F2" w:rsidRPr="00D66514" w14:paraId="49421E04" w14:textId="77777777" w:rsidTr="00E70528">
        <w:trPr>
          <w:trHeight w:val="300"/>
        </w:trPr>
        <w:tc>
          <w:tcPr>
            <w:tcW w:w="0" w:type="auto"/>
            <w:gridSpan w:val="7"/>
            <w:shd w:val="clear" w:color="auto" w:fill="auto"/>
            <w:noWrap/>
            <w:vAlign w:val="center"/>
            <w:hideMark/>
          </w:tcPr>
          <w:p w14:paraId="6F55CA63" w14:textId="77777777" w:rsidR="00F809F2" w:rsidRPr="00D66514" w:rsidRDefault="00F809F2" w:rsidP="00F809F2">
            <w:pPr>
              <w:jc w:val="center"/>
              <w:rPr>
                <w:b/>
                <w:bCs/>
              </w:rPr>
            </w:pPr>
            <w:r w:rsidRPr="00D66514">
              <w:rPr>
                <w:b/>
                <w:bCs/>
              </w:rPr>
              <w:t>Goodness of Fit Measures</w:t>
            </w:r>
          </w:p>
        </w:tc>
      </w:tr>
      <w:tr w:rsidR="00F809F2" w:rsidRPr="00D66514" w14:paraId="7B8171DE" w14:textId="77777777" w:rsidTr="00E70528">
        <w:trPr>
          <w:trHeight w:val="300"/>
        </w:trPr>
        <w:tc>
          <w:tcPr>
            <w:tcW w:w="0" w:type="auto"/>
            <w:shd w:val="clear" w:color="auto" w:fill="auto"/>
            <w:noWrap/>
            <w:vAlign w:val="center"/>
            <w:hideMark/>
          </w:tcPr>
          <w:p w14:paraId="08866895" w14:textId="77777777" w:rsidR="00F809F2" w:rsidRPr="00D66514" w:rsidRDefault="00F809F2" w:rsidP="00F809F2">
            <w:pPr>
              <w:jc w:val="center"/>
              <w:rPr>
                <w:b/>
                <w:bCs/>
              </w:rPr>
            </w:pPr>
            <w:r w:rsidRPr="00D66514">
              <w:rPr>
                <w:b/>
                <w:bCs/>
              </w:rPr>
              <w:t>-2LL</w:t>
            </w:r>
          </w:p>
        </w:tc>
        <w:tc>
          <w:tcPr>
            <w:tcW w:w="0" w:type="auto"/>
            <w:shd w:val="clear" w:color="auto" w:fill="auto"/>
            <w:noWrap/>
            <w:vAlign w:val="center"/>
            <w:hideMark/>
          </w:tcPr>
          <w:p w14:paraId="2766C98A" w14:textId="77777777" w:rsidR="00F809F2" w:rsidRPr="00D66514" w:rsidRDefault="00F809F2" w:rsidP="00F809F2">
            <w:pPr>
              <w:jc w:val="center"/>
            </w:pPr>
            <w:r w:rsidRPr="00D66514">
              <w:t>9,672.5</w:t>
            </w:r>
          </w:p>
        </w:tc>
        <w:tc>
          <w:tcPr>
            <w:tcW w:w="0" w:type="auto"/>
            <w:shd w:val="clear" w:color="auto" w:fill="auto"/>
            <w:noWrap/>
            <w:vAlign w:val="center"/>
            <w:hideMark/>
          </w:tcPr>
          <w:p w14:paraId="2D4E6975" w14:textId="77777777" w:rsidR="00F809F2" w:rsidRPr="00D66514" w:rsidRDefault="00F809F2" w:rsidP="00F809F2">
            <w:pPr>
              <w:jc w:val="center"/>
            </w:pPr>
            <w:r w:rsidRPr="00D66514">
              <w:t>6,122.9</w:t>
            </w:r>
          </w:p>
        </w:tc>
        <w:tc>
          <w:tcPr>
            <w:tcW w:w="0" w:type="auto"/>
            <w:shd w:val="clear" w:color="auto" w:fill="auto"/>
            <w:noWrap/>
            <w:vAlign w:val="center"/>
            <w:hideMark/>
          </w:tcPr>
          <w:p w14:paraId="34307B6E" w14:textId="77777777" w:rsidR="00F809F2" w:rsidRPr="00D66514" w:rsidRDefault="00F809F2" w:rsidP="00F809F2">
            <w:pPr>
              <w:jc w:val="center"/>
            </w:pPr>
            <w:r w:rsidRPr="00D66514">
              <w:t>4,677.3</w:t>
            </w:r>
          </w:p>
        </w:tc>
        <w:tc>
          <w:tcPr>
            <w:tcW w:w="0" w:type="auto"/>
            <w:shd w:val="clear" w:color="auto" w:fill="auto"/>
            <w:noWrap/>
            <w:vAlign w:val="center"/>
            <w:hideMark/>
          </w:tcPr>
          <w:p w14:paraId="42FC0134" w14:textId="77777777" w:rsidR="00F809F2" w:rsidRPr="00D66514" w:rsidRDefault="00F809F2" w:rsidP="00F809F2">
            <w:pPr>
              <w:jc w:val="center"/>
            </w:pPr>
            <w:r w:rsidRPr="00D66514">
              <w:t>2,154.6</w:t>
            </w:r>
          </w:p>
        </w:tc>
        <w:tc>
          <w:tcPr>
            <w:tcW w:w="0" w:type="auto"/>
            <w:shd w:val="clear" w:color="auto" w:fill="auto"/>
            <w:noWrap/>
            <w:vAlign w:val="center"/>
            <w:hideMark/>
          </w:tcPr>
          <w:p w14:paraId="58C7045A" w14:textId="77777777" w:rsidR="00F809F2" w:rsidRPr="00D66514" w:rsidRDefault="00F809F2" w:rsidP="00F809F2">
            <w:pPr>
              <w:jc w:val="center"/>
            </w:pPr>
            <w:r w:rsidRPr="00D66514">
              <w:t>6,893.2</w:t>
            </w:r>
          </w:p>
        </w:tc>
        <w:tc>
          <w:tcPr>
            <w:tcW w:w="0" w:type="auto"/>
            <w:shd w:val="clear" w:color="auto" w:fill="auto"/>
            <w:noWrap/>
            <w:vAlign w:val="center"/>
            <w:hideMark/>
          </w:tcPr>
          <w:p w14:paraId="65FED014" w14:textId="77777777" w:rsidR="00F809F2" w:rsidRPr="00D66514" w:rsidRDefault="00F809F2" w:rsidP="00F809F2">
            <w:pPr>
              <w:jc w:val="center"/>
            </w:pPr>
            <w:r w:rsidRPr="00D66514">
              <w:t>7,276.9</w:t>
            </w:r>
          </w:p>
        </w:tc>
      </w:tr>
      <w:tr w:rsidR="00F809F2" w:rsidRPr="00D66514" w14:paraId="5A34CC09" w14:textId="77777777" w:rsidTr="00E70528">
        <w:trPr>
          <w:trHeight w:val="300"/>
        </w:trPr>
        <w:tc>
          <w:tcPr>
            <w:tcW w:w="0" w:type="auto"/>
            <w:shd w:val="clear" w:color="auto" w:fill="auto"/>
            <w:noWrap/>
            <w:vAlign w:val="center"/>
            <w:hideMark/>
          </w:tcPr>
          <w:p w14:paraId="6B03BCD4" w14:textId="77777777" w:rsidR="00F809F2" w:rsidRPr="00D66514" w:rsidRDefault="00F809F2" w:rsidP="00F809F2">
            <w:pPr>
              <w:jc w:val="center"/>
              <w:rPr>
                <w:b/>
                <w:bCs/>
              </w:rPr>
            </w:pPr>
            <w:r w:rsidRPr="00D66514">
              <w:rPr>
                <w:b/>
                <w:bCs/>
              </w:rPr>
              <w:t>MAD</w:t>
            </w:r>
          </w:p>
        </w:tc>
        <w:tc>
          <w:tcPr>
            <w:tcW w:w="0" w:type="auto"/>
            <w:shd w:val="clear" w:color="auto" w:fill="auto"/>
            <w:noWrap/>
            <w:vAlign w:val="center"/>
            <w:hideMark/>
          </w:tcPr>
          <w:p w14:paraId="097005D5" w14:textId="77777777" w:rsidR="00F809F2" w:rsidRPr="00D66514" w:rsidRDefault="00F809F2" w:rsidP="00F809F2">
            <w:pPr>
              <w:jc w:val="center"/>
            </w:pPr>
            <w:r w:rsidRPr="00D66514">
              <w:t>2.128</w:t>
            </w:r>
          </w:p>
        </w:tc>
        <w:tc>
          <w:tcPr>
            <w:tcW w:w="0" w:type="auto"/>
            <w:shd w:val="clear" w:color="auto" w:fill="auto"/>
            <w:noWrap/>
            <w:vAlign w:val="center"/>
            <w:hideMark/>
          </w:tcPr>
          <w:p w14:paraId="299C76C0" w14:textId="77777777" w:rsidR="00F809F2" w:rsidRPr="00D66514" w:rsidRDefault="00F809F2" w:rsidP="00F809F2">
            <w:pPr>
              <w:jc w:val="center"/>
            </w:pPr>
            <w:r w:rsidRPr="00D66514">
              <w:t>0.958</w:t>
            </w:r>
          </w:p>
        </w:tc>
        <w:tc>
          <w:tcPr>
            <w:tcW w:w="0" w:type="auto"/>
            <w:shd w:val="clear" w:color="auto" w:fill="auto"/>
            <w:noWrap/>
            <w:vAlign w:val="center"/>
            <w:hideMark/>
          </w:tcPr>
          <w:p w14:paraId="72846A54" w14:textId="77777777" w:rsidR="00F809F2" w:rsidRPr="00D66514" w:rsidRDefault="00F809F2" w:rsidP="00F809F2">
            <w:pPr>
              <w:jc w:val="center"/>
            </w:pPr>
            <w:r w:rsidRPr="00D66514">
              <w:t>0.625</w:t>
            </w:r>
          </w:p>
        </w:tc>
        <w:tc>
          <w:tcPr>
            <w:tcW w:w="0" w:type="auto"/>
            <w:shd w:val="clear" w:color="auto" w:fill="auto"/>
            <w:noWrap/>
            <w:vAlign w:val="center"/>
            <w:hideMark/>
          </w:tcPr>
          <w:p w14:paraId="5CF01CC3" w14:textId="77777777" w:rsidR="00F809F2" w:rsidRPr="00D66514" w:rsidRDefault="00F809F2" w:rsidP="00F809F2">
            <w:pPr>
              <w:jc w:val="center"/>
            </w:pPr>
            <w:r w:rsidRPr="00D66514">
              <w:t>0.24</w:t>
            </w:r>
          </w:p>
        </w:tc>
        <w:tc>
          <w:tcPr>
            <w:tcW w:w="0" w:type="auto"/>
            <w:shd w:val="clear" w:color="auto" w:fill="auto"/>
            <w:noWrap/>
            <w:vAlign w:val="center"/>
            <w:hideMark/>
          </w:tcPr>
          <w:p w14:paraId="028C559C" w14:textId="77777777" w:rsidR="00F809F2" w:rsidRPr="00D66514" w:rsidRDefault="00F809F2" w:rsidP="00F809F2">
            <w:pPr>
              <w:jc w:val="center"/>
            </w:pPr>
            <w:r w:rsidRPr="00D66514">
              <w:t>1.062</w:t>
            </w:r>
          </w:p>
        </w:tc>
        <w:tc>
          <w:tcPr>
            <w:tcW w:w="0" w:type="auto"/>
            <w:shd w:val="clear" w:color="auto" w:fill="auto"/>
            <w:noWrap/>
            <w:vAlign w:val="center"/>
            <w:hideMark/>
          </w:tcPr>
          <w:p w14:paraId="5CBD034F" w14:textId="77777777" w:rsidR="00F809F2" w:rsidRPr="00D66514" w:rsidRDefault="00F809F2" w:rsidP="00F809F2">
            <w:pPr>
              <w:jc w:val="center"/>
            </w:pPr>
            <w:r w:rsidRPr="00D66514">
              <w:t>1.549</w:t>
            </w:r>
          </w:p>
        </w:tc>
      </w:tr>
      <w:tr w:rsidR="00BE4C31" w:rsidRPr="00D66514" w14:paraId="6DFE256B" w14:textId="77777777" w:rsidTr="00E70528">
        <w:trPr>
          <w:trHeight w:val="300"/>
        </w:trPr>
        <w:tc>
          <w:tcPr>
            <w:tcW w:w="0" w:type="auto"/>
            <w:shd w:val="clear" w:color="auto" w:fill="auto"/>
            <w:noWrap/>
            <w:vAlign w:val="center"/>
          </w:tcPr>
          <w:p w14:paraId="522B5B45" w14:textId="1010CA08" w:rsidR="00BE4C31" w:rsidRPr="00D66514" w:rsidRDefault="00BE4C31" w:rsidP="00F809F2">
            <w:pPr>
              <w:jc w:val="center"/>
              <w:rPr>
                <w:b/>
                <w:bCs/>
              </w:rPr>
            </w:pPr>
            <w:r w:rsidRPr="00D66514">
              <w:rPr>
                <w:b/>
                <w:bCs/>
              </w:rPr>
              <w:t>MSPE</w:t>
            </w:r>
          </w:p>
        </w:tc>
        <w:tc>
          <w:tcPr>
            <w:tcW w:w="0" w:type="auto"/>
            <w:shd w:val="clear" w:color="auto" w:fill="auto"/>
            <w:noWrap/>
            <w:vAlign w:val="center"/>
          </w:tcPr>
          <w:p w14:paraId="64594838" w14:textId="6FDCE2BA" w:rsidR="00BE4C31" w:rsidRPr="00D66514" w:rsidRDefault="00BE4C31">
            <w:pPr>
              <w:jc w:val="center"/>
            </w:pPr>
            <w:r w:rsidRPr="00D66514">
              <w:t>17.978</w:t>
            </w:r>
          </w:p>
        </w:tc>
        <w:tc>
          <w:tcPr>
            <w:tcW w:w="0" w:type="auto"/>
            <w:shd w:val="clear" w:color="auto" w:fill="auto"/>
            <w:noWrap/>
            <w:vAlign w:val="center"/>
          </w:tcPr>
          <w:p w14:paraId="50348A99" w14:textId="2DF78958" w:rsidR="00BE4C31" w:rsidRPr="00D66514" w:rsidRDefault="00BE4C31">
            <w:pPr>
              <w:jc w:val="center"/>
            </w:pPr>
            <w:r w:rsidRPr="00D66514">
              <w:t>3.155</w:t>
            </w:r>
          </w:p>
        </w:tc>
        <w:tc>
          <w:tcPr>
            <w:tcW w:w="0" w:type="auto"/>
            <w:shd w:val="clear" w:color="auto" w:fill="auto"/>
            <w:noWrap/>
            <w:vAlign w:val="center"/>
          </w:tcPr>
          <w:p w14:paraId="0AB5EBE6" w14:textId="65D89CA1" w:rsidR="00BE4C31" w:rsidRPr="00D66514" w:rsidRDefault="00BE4C31">
            <w:pPr>
              <w:jc w:val="center"/>
            </w:pPr>
            <w:r w:rsidRPr="00D66514">
              <w:t>1.011</w:t>
            </w:r>
          </w:p>
        </w:tc>
        <w:tc>
          <w:tcPr>
            <w:tcW w:w="0" w:type="auto"/>
            <w:shd w:val="clear" w:color="auto" w:fill="auto"/>
            <w:noWrap/>
            <w:vAlign w:val="center"/>
          </w:tcPr>
          <w:p w14:paraId="002781A5" w14:textId="1586ACCB" w:rsidR="00BE4C31" w:rsidRPr="00D66514" w:rsidRDefault="00BE4C31">
            <w:pPr>
              <w:jc w:val="center"/>
            </w:pPr>
            <w:r w:rsidRPr="00D66514">
              <w:t>0.188</w:t>
            </w:r>
          </w:p>
        </w:tc>
        <w:tc>
          <w:tcPr>
            <w:tcW w:w="0" w:type="auto"/>
            <w:shd w:val="clear" w:color="auto" w:fill="auto"/>
            <w:noWrap/>
            <w:vAlign w:val="center"/>
          </w:tcPr>
          <w:p w14:paraId="06A53511" w14:textId="132B74A5" w:rsidR="00BE4C31" w:rsidRPr="00D66514" w:rsidRDefault="00BE4C31">
            <w:pPr>
              <w:jc w:val="center"/>
            </w:pPr>
            <w:r w:rsidRPr="00D66514">
              <w:t>4.346</w:t>
            </w:r>
          </w:p>
        </w:tc>
        <w:tc>
          <w:tcPr>
            <w:tcW w:w="0" w:type="auto"/>
            <w:shd w:val="clear" w:color="auto" w:fill="auto"/>
            <w:noWrap/>
            <w:vAlign w:val="center"/>
          </w:tcPr>
          <w:p w14:paraId="0AF18168" w14:textId="0F6C3AF7" w:rsidR="00BE4C31" w:rsidRPr="00D66514" w:rsidRDefault="00BE4C31">
            <w:pPr>
              <w:jc w:val="center"/>
            </w:pPr>
            <w:r w:rsidRPr="00D66514">
              <w:t>11.228</w:t>
            </w:r>
          </w:p>
        </w:tc>
      </w:tr>
      <w:tr w:rsidR="00D26242" w:rsidRPr="00D66514" w14:paraId="5228F1B3" w14:textId="77777777" w:rsidTr="00E70528">
        <w:trPr>
          <w:trHeight w:val="300"/>
        </w:trPr>
        <w:tc>
          <w:tcPr>
            <w:tcW w:w="0" w:type="auto"/>
            <w:shd w:val="clear" w:color="auto" w:fill="auto"/>
            <w:noWrap/>
            <w:vAlign w:val="center"/>
          </w:tcPr>
          <w:p w14:paraId="726ADD11" w14:textId="77777777" w:rsidR="00D26242" w:rsidRPr="00D66514" w:rsidRDefault="00D26242" w:rsidP="00F809F2">
            <w:pPr>
              <w:jc w:val="center"/>
              <w:rPr>
                <w:b/>
                <w:bCs/>
              </w:rPr>
            </w:pPr>
          </w:p>
        </w:tc>
        <w:tc>
          <w:tcPr>
            <w:tcW w:w="0" w:type="auto"/>
            <w:gridSpan w:val="6"/>
            <w:shd w:val="clear" w:color="auto" w:fill="auto"/>
            <w:noWrap/>
            <w:vAlign w:val="center"/>
          </w:tcPr>
          <w:p w14:paraId="3866932D" w14:textId="310DDFA7" w:rsidR="00D26242" w:rsidRPr="00D66514" w:rsidRDefault="00D26242" w:rsidP="00774FB3">
            <w:pPr>
              <w:ind w:left="337" w:hanging="337"/>
            </w:pPr>
            <w:r w:rsidRPr="00D66514">
              <w:t>-  : statistically insignificant variables at alpha = 0.05 removed from the           SPF</w:t>
            </w:r>
          </w:p>
        </w:tc>
      </w:tr>
    </w:tbl>
    <w:p w14:paraId="352F79EC" w14:textId="77777777" w:rsidR="00F5082A" w:rsidRPr="00D66514" w:rsidRDefault="00F5082A" w:rsidP="00680DD0">
      <w:pPr>
        <w:pStyle w:val="Caption"/>
        <w:keepNext/>
        <w:rPr>
          <w:b w:val="0"/>
          <w:iCs w:val="0"/>
          <w:szCs w:val="22"/>
        </w:rPr>
      </w:pPr>
    </w:p>
    <w:p w14:paraId="249E0694" w14:textId="6F362414" w:rsidR="00F5082A" w:rsidRPr="00D66514" w:rsidRDefault="0004240D" w:rsidP="00464934">
      <w:pPr>
        <w:pStyle w:val="Heading3"/>
      </w:pPr>
      <w:r w:rsidRPr="00D66514">
        <w:t xml:space="preserve">Average Conditions </w:t>
      </w:r>
      <w:r w:rsidR="0071756A" w:rsidRPr="00D66514">
        <w:t xml:space="preserve">Florida, Ohio and California </w:t>
      </w:r>
      <w:r w:rsidR="00A72C9B" w:rsidRPr="00D66514">
        <w:t>J</w:t>
      </w:r>
      <w:r w:rsidR="0071756A" w:rsidRPr="00D66514">
        <w:t xml:space="preserve">oint </w:t>
      </w:r>
      <w:r w:rsidR="00CF10F0" w:rsidRPr="00D66514">
        <w:t>Safety Performance Functions</w:t>
      </w:r>
    </w:p>
    <w:p w14:paraId="7409F881" w14:textId="665F4940" w:rsidR="00A72C9B" w:rsidRPr="00D66514" w:rsidRDefault="00FF0052">
      <w:pPr>
        <w:spacing w:after="0"/>
      </w:pPr>
      <w:r w:rsidRPr="00D66514">
        <w:t xml:space="preserve">The results </w:t>
      </w:r>
      <w:r w:rsidR="00CF10F0" w:rsidRPr="00D66514">
        <w:t xml:space="preserve">of </w:t>
      </w:r>
      <w:r w:rsidRPr="00D66514">
        <w:t>the Florida, Ohio and California joint SPF</w:t>
      </w:r>
      <w:r w:rsidR="0054396F" w:rsidRPr="00D66514">
        <w:t>s</w:t>
      </w:r>
      <w:r w:rsidRPr="00D66514">
        <w:t xml:space="preserve"> are presented in</w:t>
      </w:r>
      <w:r w:rsidR="0054396F" w:rsidRPr="00D66514">
        <w:t xml:space="preserve"> </w:t>
      </w:r>
      <w:r w:rsidR="0054396F" w:rsidRPr="00D66514">
        <w:fldChar w:fldCharType="begin"/>
      </w:r>
      <w:r w:rsidR="0054396F" w:rsidRPr="00D66514">
        <w:instrText xml:space="preserve"> REF _Ref424570063 \h </w:instrText>
      </w:r>
      <w:r w:rsidR="00071DE2" w:rsidRPr="00D66514">
        <w:instrText xml:space="preserve"> \* MERGEFORMAT </w:instrText>
      </w:r>
      <w:r w:rsidR="0054396F" w:rsidRPr="00D66514">
        <w:fldChar w:fldCharType="separate"/>
      </w:r>
      <w:r w:rsidR="004F0410" w:rsidRPr="00D66514">
        <w:t xml:space="preserve">Table </w:t>
      </w:r>
      <w:r w:rsidR="004F0410">
        <w:rPr>
          <w:noProof/>
        </w:rPr>
        <w:t>5</w:t>
      </w:r>
      <w:r w:rsidR="0054396F" w:rsidRPr="00D66514">
        <w:fldChar w:fldCharType="end"/>
      </w:r>
      <w:r w:rsidRPr="00D66514">
        <w:t>. The number of parameters estimated in the three s</w:t>
      </w:r>
      <w:r w:rsidR="00A62ECD" w:rsidRPr="00D66514">
        <w:t>t</w:t>
      </w:r>
      <w:r w:rsidRPr="00D66514">
        <w:t>ate model increase</w:t>
      </w:r>
      <w:r w:rsidR="004725B3" w:rsidRPr="00D66514">
        <w:t>s</w:t>
      </w:r>
      <w:r w:rsidRPr="00D66514">
        <w:t xml:space="preserve"> because of two state indicator variables being interacted with </w:t>
      </w:r>
      <w:r w:rsidR="0054396F" w:rsidRPr="00D66514">
        <w:t xml:space="preserve">the </w:t>
      </w:r>
      <w:r w:rsidRPr="00D66514">
        <w:t>intercept, the</w:t>
      </w:r>
      <w:r w:rsidR="004725B3" w:rsidRPr="00D66514">
        <w:t xml:space="preserve"> transformed</w:t>
      </w:r>
      <w:r w:rsidRPr="00D66514">
        <w:t xml:space="preserve"> AAD</w:t>
      </w:r>
      <w:r w:rsidR="004725B3" w:rsidRPr="00D66514">
        <w:t>T</w:t>
      </w:r>
      <w:r w:rsidRPr="00D66514">
        <w:t xml:space="preserve"> variable in crash propensity and over-dispersion components. The model results indicate that a majority of the intercept indicator state dummies are significant (as seen in the two state models). In terms of the AADT and state interaction, only SV crash types have significant differences (as observed in two state models). The interaction variables in the over-dispersion component are all statistically significant highlighting the variation in unobserved factors across the three states.</w:t>
      </w:r>
    </w:p>
    <w:p w14:paraId="594E0F25" w14:textId="77777777" w:rsidR="00FE219B" w:rsidRPr="00D66514" w:rsidRDefault="00FE219B">
      <w:pPr>
        <w:spacing w:after="0"/>
      </w:pPr>
    </w:p>
    <w:p w14:paraId="3D3DDDD8" w14:textId="77777777" w:rsidR="00FE219B" w:rsidRPr="00D66514" w:rsidRDefault="00FE219B">
      <w:pPr>
        <w:spacing w:after="0"/>
      </w:pPr>
    </w:p>
    <w:p w14:paraId="0E7F63F7" w14:textId="0C3D1457" w:rsidR="00FC17EF" w:rsidRPr="00D66514" w:rsidRDefault="00FC17EF">
      <w:pPr>
        <w:rPr>
          <w:b/>
          <w:iCs/>
          <w:szCs w:val="18"/>
        </w:rPr>
      </w:pPr>
    </w:p>
    <w:p w14:paraId="482AB9E5" w14:textId="4B78459B" w:rsidR="00680DD0" w:rsidRPr="00D66514" w:rsidRDefault="00680DD0" w:rsidP="00D67911">
      <w:pPr>
        <w:pStyle w:val="Caption"/>
        <w:keepNext/>
      </w:pPr>
      <w:bookmarkStart w:id="6" w:name="_Ref424570063"/>
      <w:r w:rsidRPr="00D66514">
        <w:lastRenderedPageBreak/>
        <w:t>T</w:t>
      </w:r>
      <w:r w:rsidR="0040634D" w:rsidRPr="00D66514">
        <w:t>able</w:t>
      </w:r>
      <w:r w:rsidRPr="00D66514">
        <w:t xml:space="preserve"> </w:t>
      </w:r>
      <w:r w:rsidR="00A226E1">
        <w:fldChar w:fldCharType="begin"/>
      </w:r>
      <w:r w:rsidR="00A226E1">
        <w:instrText xml:space="preserve"> SEQ Table \* ARABIC </w:instrText>
      </w:r>
      <w:r w:rsidR="00A226E1">
        <w:fldChar w:fldCharType="separate"/>
      </w:r>
      <w:r w:rsidR="004F0410">
        <w:rPr>
          <w:noProof/>
        </w:rPr>
        <w:t>5</w:t>
      </w:r>
      <w:r w:rsidR="00A226E1">
        <w:rPr>
          <w:noProof/>
        </w:rPr>
        <w:fldChar w:fldCharType="end"/>
      </w:r>
      <w:bookmarkEnd w:id="6"/>
      <w:r w:rsidRPr="00D66514">
        <w:t xml:space="preserve"> </w:t>
      </w:r>
      <w:r w:rsidR="0004240D" w:rsidRPr="00D66514">
        <w:rPr>
          <w:iCs w:val="0"/>
        </w:rPr>
        <w:t>Average Conditions</w:t>
      </w:r>
      <w:r w:rsidR="0004240D" w:rsidRPr="00D66514">
        <w:t xml:space="preserve"> </w:t>
      </w:r>
      <w:r w:rsidRPr="00D66514">
        <w:t>Florida, Ohio and California</w:t>
      </w:r>
      <w:r w:rsidR="00A72C9B" w:rsidRPr="00D66514">
        <w:t xml:space="preserve"> Joint</w:t>
      </w:r>
      <w:r w:rsidRPr="00D66514">
        <w:t xml:space="preserve"> </w:t>
      </w:r>
      <w:r w:rsidR="0004240D" w:rsidRPr="00D66514">
        <w:t>Safety Performance Functions</w:t>
      </w:r>
    </w:p>
    <w:tbl>
      <w:tblPr>
        <w:tblW w:w="9877" w:type="dxa"/>
        <w:jc w:val="center"/>
        <w:tblLayout w:type="fixed"/>
        <w:tblCellMar>
          <w:left w:w="30" w:type="dxa"/>
          <w:right w:w="30" w:type="dxa"/>
        </w:tblCellMar>
        <w:tblLook w:val="0000" w:firstRow="0" w:lastRow="0" w:firstColumn="0" w:lastColumn="0" w:noHBand="0" w:noVBand="0"/>
      </w:tblPr>
      <w:tblGrid>
        <w:gridCol w:w="2058"/>
        <w:gridCol w:w="1341"/>
        <w:gridCol w:w="1113"/>
        <w:gridCol w:w="1276"/>
        <w:gridCol w:w="1134"/>
        <w:gridCol w:w="1417"/>
        <w:gridCol w:w="1538"/>
      </w:tblGrid>
      <w:tr w:rsidR="000B561C" w:rsidRPr="00D66514" w14:paraId="27E8229B" w14:textId="77777777" w:rsidTr="00E70528">
        <w:trPr>
          <w:trHeight w:val="290"/>
          <w:jc w:val="center"/>
        </w:trPr>
        <w:tc>
          <w:tcPr>
            <w:tcW w:w="205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A2A64C1" w14:textId="77777777" w:rsidR="000B64BD" w:rsidRPr="00D66514" w:rsidRDefault="000B64BD" w:rsidP="000B64BD">
            <w:pPr>
              <w:pStyle w:val="NoSpacing"/>
              <w:jc w:val="center"/>
              <w:rPr>
                <w:b/>
                <w:bCs/>
              </w:rPr>
            </w:pPr>
            <w:r w:rsidRPr="00D66514">
              <w:rPr>
                <w:b/>
                <w:bCs/>
              </w:rPr>
              <w:t>Crash Type or Severity</w:t>
            </w:r>
          </w:p>
        </w:tc>
        <w:tc>
          <w:tcPr>
            <w:tcW w:w="13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767FC6E" w14:textId="77777777" w:rsidR="000B64BD" w:rsidRPr="00D66514" w:rsidRDefault="000B64BD" w:rsidP="000B64BD">
            <w:pPr>
              <w:pStyle w:val="NoSpacing"/>
              <w:jc w:val="center"/>
              <w:rPr>
                <w:b/>
                <w:bCs/>
              </w:rPr>
            </w:pPr>
            <w:r w:rsidRPr="00D66514">
              <w:rPr>
                <w:b/>
                <w:bCs/>
              </w:rPr>
              <w:t>KABCO</w:t>
            </w:r>
          </w:p>
        </w:tc>
        <w:tc>
          <w:tcPr>
            <w:tcW w:w="111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B4BEA45" w14:textId="77777777" w:rsidR="000B64BD" w:rsidRPr="00D66514" w:rsidRDefault="000B64BD" w:rsidP="000B64BD">
            <w:pPr>
              <w:pStyle w:val="NoSpacing"/>
              <w:jc w:val="center"/>
              <w:rPr>
                <w:b/>
                <w:bCs/>
              </w:rPr>
            </w:pPr>
            <w:r w:rsidRPr="00D66514">
              <w:rPr>
                <w:b/>
                <w:bCs/>
              </w:rPr>
              <w:t>KABC</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A671889" w14:textId="77777777" w:rsidR="000B64BD" w:rsidRPr="00D66514" w:rsidRDefault="000B64BD" w:rsidP="000B64BD">
            <w:pPr>
              <w:pStyle w:val="NoSpacing"/>
              <w:jc w:val="center"/>
              <w:rPr>
                <w:b/>
                <w:bCs/>
              </w:rPr>
            </w:pPr>
            <w:r w:rsidRPr="00D66514">
              <w:rPr>
                <w:b/>
                <w:bCs/>
              </w:rPr>
              <w:t>KAB</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024ED7B" w14:textId="77777777" w:rsidR="000B64BD" w:rsidRPr="00D66514" w:rsidRDefault="000B64BD" w:rsidP="000B64BD">
            <w:pPr>
              <w:pStyle w:val="NoSpacing"/>
              <w:jc w:val="center"/>
              <w:rPr>
                <w:b/>
                <w:bCs/>
              </w:rPr>
            </w:pPr>
            <w:r w:rsidRPr="00D66514">
              <w:rPr>
                <w:b/>
                <w:bCs/>
              </w:rPr>
              <w:t>KA</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3B73385" w14:textId="77777777" w:rsidR="000B64BD" w:rsidRPr="00D66514" w:rsidRDefault="000B64BD" w:rsidP="000B64BD">
            <w:pPr>
              <w:pStyle w:val="NoSpacing"/>
              <w:jc w:val="center"/>
              <w:rPr>
                <w:b/>
                <w:bCs/>
              </w:rPr>
            </w:pPr>
            <w:r w:rsidRPr="00D66514">
              <w:rPr>
                <w:b/>
                <w:bCs/>
              </w:rPr>
              <w:t>SV</w:t>
            </w:r>
          </w:p>
        </w:tc>
        <w:tc>
          <w:tcPr>
            <w:tcW w:w="153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64032C2" w14:textId="77777777" w:rsidR="000B64BD" w:rsidRPr="00D66514" w:rsidRDefault="000B64BD" w:rsidP="000B64BD">
            <w:pPr>
              <w:pStyle w:val="NoSpacing"/>
              <w:jc w:val="center"/>
              <w:rPr>
                <w:b/>
                <w:bCs/>
              </w:rPr>
            </w:pPr>
            <w:r w:rsidRPr="00D66514">
              <w:rPr>
                <w:b/>
                <w:bCs/>
              </w:rPr>
              <w:t>MV</w:t>
            </w:r>
          </w:p>
        </w:tc>
      </w:tr>
      <w:tr w:rsidR="002446E6" w:rsidRPr="00D66514" w14:paraId="3CCB5470" w14:textId="77777777" w:rsidTr="00E70528">
        <w:trPr>
          <w:trHeight w:val="290"/>
          <w:jc w:val="center"/>
        </w:trPr>
        <w:tc>
          <w:tcPr>
            <w:tcW w:w="205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F845DE4" w14:textId="77777777" w:rsidR="000B64BD" w:rsidRPr="00D66514" w:rsidRDefault="000B64BD" w:rsidP="000B64BD">
            <w:pPr>
              <w:pStyle w:val="NoSpacing"/>
              <w:jc w:val="center"/>
              <w:rPr>
                <w:b/>
                <w:bCs/>
              </w:rPr>
            </w:pPr>
            <w:r w:rsidRPr="00D66514">
              <w:rPr>
                <w:b/>
                <w:bCs/>
              </w:rPr>
              <w:t>Parameters</w:t>
            </w:r>
          </w:p>
        </w:tc>
        <w:tc>
          <w:tcPr>
            <w:tcW w:w="7819" w:type="dxa"/>
            <w:gridSpan w:val="6"/>
            <w:tcBorders>
              <w:top w:val="single" w:sz="2" w:space="0" w:color="000000"/>
              <w:left w:val="single" w:sz="2" w:space="0" w:color="000000"/>
              <w:bottom w:val="single" w:sz="2" w:space="0" w:color="000000"/>
              <w:right w:val="single" w:sz="2" w:space="0" w:color="000000"/>
            </w:tcBorders>
            <w:shd w:val="clear" w:color="auto" w:fill="auto"/>
            <w:vAlign w:val="center"/>
          </w:tcPr>
          <w:p w14:paraId="6412B58A" w14:textId="77777777" w:rsidR="000B64BD" w:rsidRPr="00D66514" w:rsidRDefault="000B64BD" w:rsidP="000B64BD">
            <w:pPr>
              <w:pStyle w:val="NoSpacing"/>
              <w:jc w:val="center"/>
              <w:rPr>
                <w:b/>
                <w:bCs/>
              </w:rPr>
            </w:pPr>
            <w:r w:rsidRPr="00D66514">
              <w:rPr>
                <w:b/>
                <w:bCs/>
              </w:rPr>
              <w:t>Parameter Estimates and P-Values</w:t>
            </w:r>
          </w:p>
        </w:tc>
      </w:tr>
      <w:tr w:rsidR="008C322C" w:rsidRPr="00D66514" w14:paraId="6E8A4696" w14:textId="77777777" w:rsidTr="00E70528">
        <w:trPr>
          <w:trHeight w:val="581"/>
          <w:jc w:val="center"/>
        </w:trPr>
        <w:tc>
          <w:tcPr>
            <w:tcW w:w="205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731657" w14:textId="77777777" w:rsidR="008C322C" w:rsidRPr="00D66514" w:rsidRDefault="008C322C" w:rsidP="008C322C">
            <w:pPr>
              <w:pStyle w:val="NoSpacing"/>
              <w:jc w:val="center"/>
              <w:rPr>
                <w:b/>
                <w:bCs/>
              </w:rPr>
            </w:pPr>
            <w:r w:rsidRPr="00D66514">
              <w:rPr>
                <w:b/>
                <w:bCs/>
              </w:rPr>
              <w:t>Intercept</w:t>
            </w:r>
          </w:p>
        </w:tc>
        <w:tc>
          <w:tcPr>
            <w:tcW w:w="13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D2CF6A6" w14:textId="77777777" w:rsidR="008C322C" w:rsidRPr="00D66514" w:rsidRDefault="008C322C" w:rsidP="008C322C">
            <w:pPr>
              <w:pStyle w:val="NoSpacing"/>
              <w:jc w:val="center"/>
            </w:pPr>
            <w:r w:rsidRPr="00D66514">
              <w:t>-9.0923</w:t>
            </w:r>
          </w:p>
          <w:p w14:paraId="20FF1F7D" w14:textId="77777777" w:rsidR="008C322C" w:rsidRPr="00D66514" w:rsidRDefault="008C322C" w:rsidP="008C322C">
            <w:pPr>
              <w:pStyle w:val="NoSpacing"/>
              <w:jc w:val="center"/>
            </w:pPr>
            <w:r w:rsidRPr="00D66514">
              <w:t>(&lt;.0001)</w:t>
            </w:r>
          </w:p>
        </w:tc>
        <w:tc>
          <w:tcPr>
            <w:tcW w:w="111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667C870" w14:textId="77777777" w:rsidR="008C322C" w:rsidRPr="00D66514" w:rsidRDefault="008C322C" w:rsidP="008C322C">
            <w:pPr>
              <w:pStyle w:val="NoSpacing"/>
              <w:jc w:val="center"/>
            </w:pPr>
            <w:r w:rsidRPr="00D66514">
              <w:t>-9.2633</w:t>
            </w:r>
          </w:p>
          <w:p w14:paraId="06815C37" w14:textId="77777777" w:rsidR="008C322C" w:rsidRPr="00D66514" w:rsidRDefault="008C322C" w:rsidP="008C322C">
            <w:pPr>
              <w:pStyle w:val="NoSpacing"/>
              <w:jc w:val="center"/>
            </w:pPr>
            <w:r w:rsidRPr="00D66514">
              <w:t>(&lt;.0001)</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F57643A" w14:textId="77777777" w:rsidR="008C322C" w:rsidRPr="00D66514" w:rsidRDefault="008C322C" w:rsidP="008C322C">
            <w:pPr>
              <w:pStyle w:val="NoSpacing"/>
              <w:jc w:val="center"/>
            </w:pPr>
            <w:r w:rsidRPr="00D66514">
              <w:t>-8.3885</w:t>
            </w:r>
          </w:p>
          <w:p w14:paraId="4C0339F0" w14:textId="36AE23E5" w:rsidR="008C322C" w:rsidRPr="00D66514" w:rsidRDefault="008C322C" w:rsidP="008C322C">
            <w:pPr>
              <w:pStyle w:val="NoSpacing"/>
              <w:jc w:val="center"/>
            </w:pPr>
            <w:r w:rsidRPr="00D66514">
              <w:t>(&lt;.0001)</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2D281FB" w14:textId="77777777" w:rsidR="008C322C" w:rsidRPr="00D66514" w:rsidRDefault="008C322C" w:rsidP="008C322C">
            <w:pPr>
              <w:pStyle w:val="NoSpacing"/>
              <w:jc w:val="center"/>
            </w:pPr>
            <w:r w:rsidRPr="00D66514">
              <w:t>-7.2242</w:t>
            </w:r>
          </w:p>
          <w:p w14:paraId="50D15333" w14:textId="77777777" w:rsidR="008C322C" w:rsidRPr="00D66514" w:rsidRDefault="008C322C" w:rsidP="008C322C">
            <w:pPr>
              <w:pStyle w:val="NoSpacing"/>
              <w:jc w:val="center"/>
            </w:pPr>
            <w:r w:rsidRPr="00D66514">
              <w:t>(&lt;.0001)</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9719D47" w14:textId="77777777" w:rsidR="008C322C" w:rsidRPr="00D66514" w:rsidRDefault="008C322C" w:rsidP="008C322C">
            <w:pPr>
              <w:pStyle w:val="NoSpacing"/>
              <w:jc w:val="center"/>
            </w:pPr>
            <w:r w:rsidRPr="00D66514">
              <w:t>-3.323</w:t>
            </w:r>
          </w:p>
          <w:p w14:paraId="66AB66C9" w14:textId="77777777" w:rsidR="008C322C" w:rsidRPr="00D66514" w:rsidRDefault="008C322C" w:rsidP="008C322C">
            <w:pPr>
              <w:pStyle w:val="NoSpacing"/>
              <w:jc w:val="center"/>
            </w:pPr>
            <w:r w:rsidRPr="00D66514">
              <w:t>(&lt;.0001)</w:t>
            </w:r>
          </w:p>
        </w:tc>
        <w:tc>
          <w:tcPr>
            <w:tcW w:w="153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EBD8402" w14:textId="77777777" w:rsidR="008C322C" w:rsidRPr="00D66514" w:rsidRDefault="008C322C" w:rsidP="008C322C">
            <w:pPr>
              <w:pStyle w:val="NoSpacing"/>
              <w:jc w:val="center"/>
            </w:pPr>
            <w:r w:rsidRPr="00D66514">
              <w:t>-12.0694</w:t>
            </w:r>
          </w:p>
          <w:p w14:paraId="1EDF108A" w14:textId="106F4EF6" w:rsidR="008C322C" w:rsidRPr="00D66514" w:rsidRDefault="008C322C" w:rsidP="008C322C">
            <w:pPr>
              <w:pStyle w:val="NoSpacing"/>
              <w:jc w:val="center"/>
            </w:pPr>
            <w:r w:rsidRPr="00D66514">
              <w:t>(&lt;.0001)</w:t>
            </w:r>
          </w:p>
        </w:tc>
      </w:tr>
      <w:tr w:rsidR="008C322C" w:rsidRPr="00D66514" w14:paraId="15B7B375" w14:textId="77777777" w:rsidTr="00E70528">
        <w:trPr>
          <w:trHeight w:val="581"/>
          <w:jc w:val="center"/>
        </w:trPr>
        <w:tc>
          <w:tcPr>
            <w:tcW w:w="205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9C2DB22" w14:textId="77777777" w:rsidR="008C322C" w:rsidRPr="00D66514" w:rsidRDefault="008C322C" w:rsidP="008C322C">
            <w:pPr>
              <w:pStyle w:val="NoSpacing"/>
              <w:jc w:val="center"/>
              <w:rPr>
                <w:b/>
                <w:bCs/>
              </w:rPr>
            </w:pPr>
            <w:r w:rsidRPr="00D66514">
              <w:rPr>
                <w:b/>
                <w:bCs/>
              </w:rPr>
              <w:t>Ln(AADT)</w:t>
            </w:r>
          </w:p>
        </w:tc>
        <w:tc>
          <w:tcPr>
            <w:tcW w:w="13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35D7DE5" w14:textId="77777777" w:rsidR="008C322C" w:rsidRPr="00D66514" w:rsidRDefault="008C322C" w:rsidP="008C322C">
            <w:pPr>
              <w:pStyle w:val="NoSpacing"/>
              <w:jc w:val="center"/>
            </w:pPr>
            <w:r w:rsidRPr="00D66514">
              <w:t>1.0657</w:t>
            </w:r>
          </w:p>
          <w:p w14:paraId="44B38C2A" w14:textId="77777777" w:rsidR="008C322C" w:rsidRPr="00D66514" w:rsidRDefault="008C322C" w:rsidP="008C322C">
            <w:pPr>
              <w:pStyle w:val="NoSpacing"/>
              <w:jc w:val="center"/>
            </w:pPr>
            <w:r w:rsidRPr="00D66514">
              <w:t>(&lt;.0001)</w:t>
            </w:r>
          </w:p>
        </w:tc>
        <w:tc>
          <w:tcPr>
            <w:tcW w:w="111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714F628" w14:textId="77777777" w:rsidR="008C322C" w:rsidRPr="00D66514" w:rsidRDefault="008C322C" w:rsidP="008C322C">
            <w:pPr>
              <w:pStyle w:val="NoSpacing"/>
              <w:jc w:val="center"/>
            </w:pPr>
            <w:r w:rsidRPr="00D66514">
              <w:t>1.0016</w:t>
            </w:r>
          </w:p>
          <w:p w14:paraId="3A3440A3" w14:textId="77777777" w:rsidR="008C322C" w:rsidRPr="00D66514" w:rsidRDefault="008C322C" w:rsidP="008C322C">
            <w:pPr>
              <w:pStyle w:val="NoSpacing"/>
              <w:jc w:val="center"/>
            </w:pPr>
            <w:r w:rsidRPr="00D66514">
              <w:t>(&lt;.0001)</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00A6CA9" w14:textId="77777777" w:rsidR="008C322C" w:rsidRPr="00D66514" w:rsidRDefault="008C322C" w:rsidP="008C322C">
            <w:pPr>
              <w:pStyle w:val="NoSpacing"/>
              <w:jc w:val="center"/>
            </w:pPr>
            <w:r w:rsidRPr="00D66514">
              <w:t>0.8412</w:t>
            </w:r>
          </w:p>
          <w:p w14:paraId="04870B7D" w14:textId="373C687E" w:rsidR="008C322C" w:rsidRPr="00D66514" w:rsidRDefault="008C322C" w:rsidP="00830ABC">
            <w:pPr>
              <w:jc w:val="center"/>
            </w:pPr>
            <w:r w:rsidRPr="00D66514">
              <w:t>(&lt;.0001)</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BD06F3C" w14:textId="77777777" w:rsidR="008C322C" w:rsidRPr="00D66514" w:rsidRDefault="008C322C" w:rsidP="008C322C">
            <w:pPr>
              <w:pStyle w:val="NoSpacing"/>
              <w:jc w:val="center"/>
            </w:pPr>
            <w:r w:rsidRPr="00D66514">
              <w:t>0.6052</w:t>
            </w:r>
          </w:p>
          <w:p w14:paraId="1648384F" w14:textId="77777777" w:rsidR="008C322C" w:rsidRPr="00D66514" w:rsidRDefault="008C322C" w:rsidP="008C322C">
            <w:pPr>
              <w:pStyle w:val="NoSpacing"/>
              <w:jc w:val="center"/>
            </w:pPr>
            <w:r w:rsidRPr="00D66514">
              <w:t>(&lt;.0001)</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BA4EB50" w14:textId="77777777" w:rsidR="008C322C" w:rsidRPr="00D66514" w:rsidRDefault="008C322C" w:rsidP="008C322C">
            <w:pPr>
              <w:pStyle w:val="NoSpacing"/>
              <w:jc w:val="center"/>
            </w:pPr>
            <w:r w:rsidRPr="00D66514">
              <w:t>0.3142</w:t>
            </w:r>
          </w:p>
          <w:p w14:paraId="30E45A3E" w14:textId="77777777" w:rsidR="008C322C" w:rsidRPr="00D66514" w:rsidRDefault="008C322C" w:rsidP="008C322C">
            <w:pPr>
              <w:pStyle w:val="NoSpacing"/>
              <w:jc w:val="center"/>
            </w:pPr>
            <w:r w:rsidRPr="00D66514">
              <w:t>(&lt;.0001)</w:t>
            </w:r>
          </w:p>
        </w:tc>
        <w:tc>
          <w:tcPr>
            <w:tcW w:w="153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D7A4B15" w14:textId="77777777" w:rsidR="008C322C" w:rsidRPr="00D66514" w:rsidRDefault="008C322C" w:rsidP="008C322C">
            <w:pPr>
              <w:pStyle w:val="NoSpacing"/>
              <w:jc w:val="center"/>
            </w:pPr>
            <w:r w:rsidRPr="00D66514">
              <w:t>1.3392</w:t>
            </w:r>
          </w:p>
          <w:p w14:paraId="5A8E0737" w14:textId="23F6D32C" w:rsidR="008C322C" w:rsidRPr="00D66514" w:rsidRDefault="008C322C" w:rsidP="008C322C">
            <w:pPr>
              <w:pStyle w:val="NoSpacing"/>
              <w:jc w:val="center"/>
            </w:pPr>
            <w:r w:rsidRPr="00D66514">
              <w:t>(&lt;.0001)</w:t>
            </w:r>
          </w:p>
        </w:tc>
      </w:tr>
      <w:tr w:rsidR="008C322C" w:rsidRPr="00D66514" w14:paraId="38B5857E" w14:textId="77777777" w:rsidTr="00E70528">
        <w:trPr>
          <w:trHeight w:val="581"/>
          <w:jc w:val="center"/>
        </w:trPr>
        <w:tc>
          <w:tcPr>
            <w:tcW w:w="205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25C4007" w14:textId="77777777" w:rsidR="008C322C" w:rsidRPr="00D66514" w:rsidRDefault="008C322C" w:rsidP="008C322C">
            <w:pPr>
              <w:pStyle w:val="NoSpacing"/>
              <w:jc w:val="center"/>
              <w:rPr>
                <w:b/>
                <w:bCs/>
              </w:rPr>
            </w:pPr>
            <w:r w:rsidRPr="00D66514">
              <w:rPr>
                <w:b/>
                <w:bCs/>
              </w:rPr>
              <w:t>OH</w:t>
            </w:r>
          </w:p>
        </w:tc>
        <w:tc>
          <w:tcPr>
            <w:tcW w:w="13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8111DEA" w14:textId="77777777" w:rsidR="008C322C" w:rsidRPr="00D66514" w:rsidRDefault="008C322C" w:rsidP="008C322C">
            <w:pPr>
              <w:pStyle w:val="NoSpacing"/>
              <w:jc w:val="center"/>
            </w:pPr>
            <w:r w:rsidRPr="00D66514">
              <w:t>-0.5599</w:t>
            </w:r>
          </w:p>
          <w:p w14:paraId="53B57DE3" w14:textId="77777777" w:rsidR="008C322C" w:rsidRPr="00D66514" w:rsidRDefault="008C322C" w:rsidP="008C322C">
            <w:pPr>
              <w:pStyle w:val="NoSpacing"/>
              <w:jc w:val="center"/>
            </w:pPr>
            <w:r w:rsidRPr="00D66514">
              <w:t>(&lt;.0001)</w:t>
            </w:r>
          </w:p>
        </w:tc>
        <w:tc>
          <w:tcPr>
            <w:tcW w:w="111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4AB4C2C" w14:textId="77777777" w:rsidR="008C322C" w:rsidRPr="00D66514" w:rsidRDefault="008C322C" w:rsidP="008C322C">
            <w:pPr>
              <w:pStyle w:val="NoSpacing"/>
              <w:jc w:val="center"/>
            </w:pPr>
            <w:r w:rsidRPr="00D66514">
              <w:t>-0.943</w:t>
            </w:r>
          </w:p>
          <w:p w14:paraId="6A962499" w14:textId="77777777" w:rsidR="008C322C" w:rsidRPr="00D66514" w:rsidRDefault="008C322C" w:rsidP="008C322C">
            <w:pPr>
              <w:pStyle w:val="NoSpacing"/>
              <w:jc w:val="center"/>
            </w:pPr>
            <w:r w:rsidRPr="00D66514">
              <w:t>(&lt;.0001)</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789FD92" w14:textId="77777777" w:rsidR="008C322C" w:rsidRPr="00D66514" w:rsidRDefault="008C322C" w:rsidP="008C322C">
            <w:pPr>
              <w:pStyle w:val="NoSpacing"/>
              <w:jc w:val="center"/>
            </w:pPr>
            <w:r w:rsidRPr="00D66514">
              <w:t>-0.6295</w:t>
            </w:r>
          </w:p>
          <w:p w14:paraId="1D070216" w14:textId="4F0FF262" w:rsidR="008C322C" w:rsidRPr="00D66514" w:rsidRDefault="008C322C" w:rsidP="008C322C">
            <w:pPr>
              <w:pStyle w:val="NoSpacing"/>
              <w:jc w:val="center"/>
            </w:pPr>
            <w:r w:rsidRPr="00D66514">
              <w:t>(&lt;.0001)</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0E7CD2D" w14:textId="77777777" w:rsidR="008C322C" w:rsidRPr="00D66514" w:rsidRDefault="008C322C" w:rsidP="008C322C">
            <w:pPr>
              <w:pStyle w:val="NoSpacing"/>
              <w:jc w:val="center"/>
            </w:pPr>
            <w:r w:rsidRPr="00D66514">
              <w:t>-0.9777</w:t>
            </w:r>
          </w:p>
          <w:p w14:paraId="47B70041" w14:textId="77777777" w:rsidR="008C322C" w:rsidRPr="00D66514" w:rsidRDefault="008C322C" w:rsidP="008C322C">
            <w:pPr>
              <w:pStyle w:val="NoSpacing"/>
              <w:jc w:val="center"/>
            </w:pPr>
            <w:r w:rsidRPr="00D66514">
              <w:t>(&lt;.0001)</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2918D56" w14:textId="77777777" w:rsidR="008C322C" w:rsidRPr="00D66514" w:rsidRDefault="008C322C" w:rsidP="008C322C">
            <w:pPr>
              <w:pStyle w:val="NoSpacing"/>
              <w:jc w:val="center"/>
            </w:pPr>
            <w:r w:rsidRPr="00D66514">
              <w:t>-3.9077</w:t>
            </w:r>
          </w:p>
          <w:p w14:paraId="34E80046" w14:textId="77777777" w:rsidR="008C322C" w:rsidRPr="00D66514" w:rsidRDefault="008C322C" w:rsidP="008C322C">
            <w:pPr>
              <w:pStyle w:val="NoSpacing"/>
              <w:jc w:val="center"/>
            </w:pPr>
            <w:r w:rsidRPr="00D66514">
              <w:t>(&lt;.0001)</w:t>
            </w:r>
          </w:p>
        </w:tc>
        <w:tc>
          <w:tcPr>
            <w:tcW w:w="153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44F3C89" w14:textId="77777777" w:rsidR="008C322C" w:rsidRPr="00D66514" w:rsidRDefault="008C322C" w:rsidP="008C322C">
            <w:pPr>
              <w:pStyle w:val="NoSpacing"/>
              <w:jc w:val="center"/>
            </w:pPr>
            <w:r w:rsidRPr="00D66514">
              <w:t>-0.9586</w:t>
            </w:r>
          </w:p>
          <w:p w14:paraId="435F43B6" w14:textId="31D28AAB" w:rsidR="008C322C" w:rsidRPr="00D66514" w:rsidRDefault="008C322C" w:rsidP="008C322C">
            <w:pPr>
              <w:pStyle w:val="NoSpacing"/>
              <w:jc w:val="center"/>
            </w:pPr>
            <w:r w:rsidRPr="00D66514">
              <w:t>(&lt;.0001)</w:t>
            </w:r>
          </w:p>
        </w:tc>
      </w:tr>
      <w:tr w:rsidR="008C322C" w:rsidRPr="00D66514" w14:paraId="11CA7CB4" w14:textId="77777777" w:rsidTr="00E70528">
        <w:trPr>
          <w:trHeight w:val="581"/>
          <w:jc w:val="center"/>
        </w:trPr>
        <w:tc>
          <w:tcPr>
            <w:tcW w:w="205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6CF0D97" w14:textId="77777777" w:rsidR="008C322C" w:rsidRPr="00D66514" w:rsidRDefault="008C322C" w:rsidP="008C322C">
            <w:pPr>
              <w:pStyle w:val="NoSpacing"/>
              <w:jc w:val="center"/>
              <w:rPr>
                <w:b/>
                <w:bCs/>
              </w:rPr>
            </w:pPr>
            <w:r w:rsidRPr="00D66514">
              <w:rPr>
                <w:b/>
                <w:bCs/>
              </w:rPr>
              <w:t>CA</w:t>
            </w:r>
          </w:p>
        </w:tc>
        <w:tc>
          <w:tcPr>
            <w:tcW w:w="13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0491306" w14:textId="59BE8546" w:rsidR="008C322C" w:rsidRPr="00D66514" w:rsidRDefault="008C322C" w:rsidP="008C322C">
            <w:pPr>
              <w:pStyle w:val="NoSpacing"/>
              <w:jc w:val="center"/>
            </w:pPr>
            <w:r w:rsidRPr="00D66514">
              <w:t>-</w:t>
            </w:r>
          </w:p>
        </w:tc>
        <w:tc>
          <w:tcPr>
            <w:tcW w:w="111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E6BBDB9" w14:textId="77777777" w:rsidR="008C322C" w:rsidRPr="00D66514" w:rsidRDefault="008C322C" w:rsidP="008C322C">
            <w:pPr>
              <w:pStyle w:val="NoSpacing"/>
              <w:jc w:val="center"/>
            </w:pPr>
            <w:r w:rsidRPr="00D66514">
              <w:t>-0.1991</w:t>
            </w:r>
          </w:p>
          <w:p w14:paraId="465A3574" w14:textId="77777777" w:rsidR="008C322C" w:rsidRPr="00D66514" w:rsidRDefault="008C322C" w:rsidP="008C322C">
            <w:pPr>
              <w:pStyle w:val="NoSpacing"/>
              <w:jc w:val="center"/>
            </w:pPr>
            <w:r w:rsidRPr="00D66514">
              <w:t>(&lt;.0001)</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FFE18A8" w14:textId="77777777" w:rsidR="008C322C" w:rsidRPr="00D66514" w:rsidRDefault="008C322C" w:rsidP="008C322C">
            <w:pPr>
              <w:pStyle w:val="NoSpacing"/>
              <w:jc w:val="center"/>
            </w:pPr>
            <w:r w:rsidRPr="00D66514">
              <w:t>-0.1674</w:t>
            </w:r>
          </w:p>
          <w:p w14:paraId="51C227EB" w14:textId="2A05E3BE" w:rsidR="008C322C" w:rsidRPr="00D66514" w:rsidRDefault="008C322C" w:rsidP="008C322C">
            <w:pPr>
              <w:pStyle w:val="NoSpacing"/>
              <w:jc w:val="center"/>
            </w:pPr>
            <w:r w:rsidRPr="00D66514">
              <w:t>(0.0018)</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8235FE" w14:textId="77777777" w:rsidR="008C322C" w:rsidRPr="00D66514" w:rsidRDefault="008C322C" w:rsidP="008C322C">
            <w:pPr>
              <w:pStyle w:val="NoSpacing"/>
              <w:jc w:val="center"/>
            </w:pPr>
            <w:r w:rsidRPr="00D66514">
              <w:t>-0.2546</w:t>
            </w:r>
          </w:p>
          <w:p w14:paraId="3E5E2006" w14:textId="77777777" w:rsidR="008C322C" w:rsidRPr="00D66514" w:rsidRDefault="008C322C" w:rsidP="008C322C">
            <w:pPr>
              <w:pStyle w:val="NoSpacing"/>
              <w:jc w:val="center"/>
            </w:pPr>
            <w:r w:rsidRPr="00D66514">
              <w:t>(0.0018)</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BFF5C59" w14:textId="77777777" w:rsidR="008C322C" w:rsidRPr="00D66514" w:rsidRDefault="008C322C" w:rsidP="008C322C">
            <w:pPr>
              <w:pStyle w:val="NoSpacing"/>
              <w:jc w:val="center"/>
            </w:pPr>
            <w:r w:rsidRPr="00D66514">
              <w:t>-4.9467</w:t>
            </w:r>
          </w:p>
          <w:p w14:paraId="4E8697D3" w14:textId="77777777" w:rsidR="008C322C" w:rsidRPr="00D66514" w:rsidRDefault="008C322C" w:rsidP="008C322C">
            <w:pPr>
              <w:pStyle w:val="NoSpacing"/>
              <w:jc w:val="center"/>
            </w:pPr>
            <w:r w:rsidRPr="00D66514">
              <w:t>(&lt;.0001)</w:t>
            </w:r>
          </w:p>
        </w:tc>
        <w:tc>
          <w:tcPr>
            <w:tcW w:w="153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CC2B2AA" w14:textId="77777777" w:rsidR="008C322C" w:rsidRPr="00D66514" w:rsidRDefault="008C322C" w:rsidP="008C322C">
            <w:pPr>
              <w:pStyle w:val="NoSpacing"/>
              <w:jc w:val="center"/>
            </w:pPr>
            <w:r w:rsidRPr="00D66514">
              <w:t>-0.2954</w:t>
            </w:r>
          </w:p>
          <w:p w14:paraId="43B1A9C3" w14:textId="1B4E1E5E" w:rsidR="008C322C" w:rsidRPr="00D66514" w:rsidRDefault="008C322C" w:rsidP="008C322C">
            <w:pPr>
              <w:pStyle w:val="NoSpacing"/>
              <w:jc w:val="center"/>
            </w:pPr>
            <w:r w:rsidRPr="00D66514">
              <w:t>(&lt;.0001)</w:t>
            </w:r>
          </w:p>
        </w:tc>
      </w:tr>
      <w:tr w:rsidR="008C322C" w:rsidRPr="00D66514" w14:paraId="3C93E9D8" w14:textId="77777777" w:rsidTr="00E70528">
        <w:trPr>
          <w:trHeight w:val="581"/>
          <w:jc w:val="center"/>
        </w:trPr>
        <w:tc>
          <w:tcPr>
            <w:tcW w:w="205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E203275" w14:textId="77777777" w:rsidR="008C322C" w:rsidRPr="00D66514" w:rsidRDefault="008C322C" w:rsidP="008C322C">
            <w:pPr>
              <w:pStyle w:val="NoSpacing"/>
              <w:jc w:val="center"/>
              <w:rPr>
                <w:b/>
                <w:bCs/>
              </w:rPr>
            </w:pPr>
            <w:r w:rsidRPr="00D66514">
              <w:rPr>
                <w:b/>
                <w:bCs/>
              </w:rPr>
              <w:t>OH</w:t>
            </w:r>
            <w:r w:rsidRPr="00D66514">
              <w:rPr>
                <w:rFonts w:cs="Times New Roman"/>
                <w:b/>
                <w:bCs/>
              </w:rPr>
              <w:t>×</w:t>
            </w:r>
            <w:r w:rsidRPr="00D66514">
              <w:rPr>
                <w:b/>
                <w:bCs/>
              </w:rPr>
              <w:t>Ln(AADT)</w:t>
            </w:r>
          </w:p>
        </w:tc>
        <w:tc>
          <w:tcPr>
            <w:tcW w:w="13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43C6815" w14:textId="6B60153D" w:rsidR="008C322C" w:rsidRPr="00D66514" w:rsidRDefault="008C322C" w:rsidP="008C322C">
            <w:pPr>
              <w:pStyle w:val="NoSpacing"/>
              <w:jc w:val="center"/>
            </w:pPr>
            <w:r w:rsidRPr="00D66514">
              <w:t>-</w:t>
            </w:r>
          </w:p>
        </w:tc>
        <w:tc>
          <w:tcPr>
            <w:tcW w:w="111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C719C3D" w14:textId="601BAE82" w:rsidR="008C322C" w:rsidRPr="00D66514" w:rsidRDefault="008C322C" w:rsidP="008C322C">
            <w:pPr>
              <w:pStyle w:val="NoSpacing"/>
              <w:jc w:val="center"/>
            </w:pPr>
            <w:r w:rsidRPr="00D66514">
              <w:t>-</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D8382E3" w14:textId="1EEFC235" w:rsidR="008C322C" w:rsidRPr="00D66514" w:rsidRDefault="008C322C" w:rsidP="008C322C">
            <w:pPr>
              <w:pStyle w:val="NoSpacing"/>
              <w:jc w:val="center"/>
            </w:pPr>
            <w:r w:rsidRPr="00D66514">
              <w:t>-</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941172E" w14:textId="7BDCC2FB" w:rsidR="008C322C" w:rsidRPr="00D66514" w:rsidRDefault="008C322C" w:rsidP="008C322C">
            <w:pPr>
              <w:pStyle w:val="NoSpacing"/>
              <w:jc w:val="center"/>
            </w:pPr>
            <w:r w:rsidRPr="00D66514">
              <w:t>-</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1231BF2" w14:textId="77777777" w:rsidR="008C322C" w:rsidRPr="00D66514" w:rsidRDefault="008C322C" w:rsidP="008C322C">
            <w:pPr>
              <w:pStyle w:val="NoSpacing"/>
              <w:jc w:val="center"/>
            </w:pPr>
            <w:r w:rsidRPr="00D66514">
              <w:t>0.4271</w:t>
            </w:r>
          </w:p>
          <w:p w14:paraId="1AF403C2" w14:textId="77777777" w:rsidR="008C322C" w:rsidRPr="00D66514" w:rsidRDefault="008C322C" w:rsidP="008C322C">
            <w:pPr>
              <w:pStyle w:val="NoSpacing"/>
              <w:jc w:val="center"/>
            </w:pPr>
            <w:r w:rsidRPr="00D66514">
              <w:t>(&lt;.0001)</w:t>
            </w:r>
          </w:p>
        </w:tc>
        <w:tc>
          <w:tcPr>
            <w:tcW w:w="153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E40F216" w14:textId="6EFA3EB9" w:rsidR="008C322C" w:rsidRPr="00D66514" w:rsidRDefault="008C322C" w:rsidP="008C322C">
            <w:pPr>
              <w:pStyle w:val="NoSpacing"/>
              <w:jc w:val="center"/>
            </w:pPr>
            <w:r w:rsidRPr="00D66514">
              <w:t>-</w:t>
            </w:r>
          </w:p>
        </w:tc>
      </w:tr>
      <w:tr w:rsidR="008C322C" w:rsidRPr="00D66514" w14:paraId="226992A6" w14:textId="77777777" w:rsidTr="00E70528">
        <w:trPr>
          <w:trHeight w:val="276"/>
          <w:jc w:val="center"/>
        </w:trPr>
        <w:tc>
          <w:tcPr>
            <w:tcW w:w="205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17ED19F" w14:textId="77777777" w:rsidR="008C322C" w:rsidRPr="00D66514" w:rsidRDefault="008C322C" w:rsidP="008C322C">
            <w:pPr>
              <w:pStyle w:val="NoSpacing"/>
              <w:jc w:val="center"/>
              <w:rPr>
                <w:b/>
                <w:bCs/>
              </w:rPr>
            </w:pPr>
            <w:r w:rsidRPr="00D66514">
              <w:rPr>
                <w:b/>
                <w:bCs/>
              </w:rPr>
              <w:t>CA</w:t>
            </w:r>
            <w:r w:rsidRPr="00D66514">
              <w:rPr>
                <w:rFonts w:cs="Times New Roman"/>
                <w:b/>
                <w:bCs/>
              </w:rPr>
              <w:t>×</w:t>
            </w:r>
            <w:r w:rsidRPr="00D66514">
              <w:rPr>
                <w:b/>
                <w:bCs/>
              </w:rPr>
              <w:t>Ln(AADT)</w:t>
            </w:r>
          </w:p>
        </w:tc>
        <w:tc>
          <w:tcPr>
            <w:tcW w:w="13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93C858C" w14:textId="7680E38F" w:rsidR="008C322C" w:rsidRPr="00D66514" w:rsidRDefault="008C322C" w:rsidP="008C322C">
            <w:pPr>
              <w:pStyle w:val="NoSpacing"/>
              <w:jc w:val="center"/>
            </w:pPr>
            <w:r w:rsidRPr="00D66514">
              <w:t>-</w:t>
            </w:r>
          </w:p>
        </w:tc>
        <w:tc>
          <w:tcPr>
            <w:tcW w:w="111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1DC1BF5" w14:textId="49A6D03F" w:rsidR="008C322C" w:rsidRPr="00D66514" w:rsidRDefault="008C322C" w:rsidP="008C322C">
            <w:pPr>
              <w:pStyle w:val="NoSpacing"/>
              <w:jc w:val="center"/>
            </w:pPr>
            <w:r w:rsidRPr="00D66514">
              <w:t>-</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4296682" w14:textId="11452663" w:rsidR="008C322C" w:rsidRPr="00D66514" w:rsidRDefault="008C322C" w:rsidP="008C322C">
            <w:pPr>
              <w:pStyle w:val="NoSpacing"/>
              <w:jc w:val="center"/>
            </w:pPr>
            <w:r w:rsidRPr="00D66514">
              <w:t>-</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34E87A2" w14:textId="6D67DBFF" w:rsidR="008C322C" w:rsidRPr="00D66514" w:rsidRDefault="008C322C" w:rsidP="008C322C">
            <w:pPr>
              <w:pStyle w:val="NoSpacing"/>
              <w:jc w:val="center"/>
            </w:pPr>
            <w:r w:rsidRPr="00D66514">
              <w:t>-</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6B615BD" w14:textId="77777777" w:rsidR="008C322C" w:rsidRPr="00D66514" w:rsidRDefault="008C322C" w:rsidP="008C322C">
            <w:pPr>
              <w:pStyle w:val="NoSpacing"/>
              <w:jc w:val="center"/>
            </w:pPr>
            <w:r w:rsidRPr="00D66514">
              <w:t>0.5758</w:t>
            </w:r>
          </w:p>
          <w:p w14:paraId="626CBCDD" w14:textId="77777777" w:rsidR="008C322C" w:rsidRPr="00D66514" w:rsidRDefault="008C322C" w:rsidP="008C322C">
            <w:pPr>
              <w:pStyle w:val="NoSpacing"/>
              <w:jc w:val="center"/>
            </w:pPr>
            <w:r w:rsidRPr="00D66514">
              <w:t>(&lt;.0001)</w:t>
            </w:r>
          </w:p>
        </w:tc>
        <w:tc>
          <w:tcPr>
            <w:tcW w:w="153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09655E3" w14:textId="24DE5C17" w:rsidR="008C322C" w:rsidRPr="00D66514" w:rsidRDefault="008C322C" w:rsidP="008C322C">
            <w:pPr>
              <w:pStyle w:val="NoSpacing"/>
              <w:jc w:val="center"/>
            </w:pPr>
            <w:r w:rsidRPr="00D66514">
              <w:t>-</w:t>
            </w:r>
          </w:p>
        </w:tc>
      </w:tr>
      <w:tr w:rsidR="008C322C" w:rsidRPr="00D66514" w14:paraId="3D7D696C" w14:textId="77777777" w:rsidTr="00E70528">
        <w:trPr>
          <w:trHeight w:val="581"/>
          <w:jc w:val="center"/>
        </w:trPr>
        <w:tc>
          <w:tcPr>
            <w:tcW w:w="205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72BB216" w14:textId="0EDD5CAB" w:rsidR="008C322C" w:rsidRPr="00D66514" w:rsidRDefault="008C322C" w:rsidP="008C322C">
            <w:pPr>
              <w:pStyle w:val="NoSpacing"/>
              <w:jc w:val="center"/>
              <w:rPr>
                <w:b/>
                <w:bCs/>
              </w:rPr>
            </w:pPr>
            <w:r w:rsidRPr="00D66514">
              <w:rPr>
                <w:rFonts w:cs="Times New Roman"/>
                <w:b/>
                <w:bCs/>
              </w:rPr>
              <w:t>C</w:t>
            </w:r>
          </w:p>
        </w:tc>
        <w:tc>
          <w:tcPr>
            <w:tcW w:w="13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25BDBC8" w14:textId="77777777" w:rsidR="008C322C" w:rsidRPr="00D66514" w:rsidRDefault="008C322C" w:rsidP="008C322C">
            <w:pPr>
              <w:pStyle w:val="NoSpacing"/>
              <w:jc w:val="center"/>
            </w:pPr>
            <w:r w:rsidRPr="00D66514">
              <w:t>0.6783</w:t>
            </w:r>
          </w:p>
          <w:p w14:paraId="490B6B76" w14:textId="77777777" w:rsidR="008C322C" w:rsidRPr="00D66514" w:rsidRDefault="008C322C" w:rsidP="008C322C">
            <w:pPr>
              <w:pStyle w:val="NoSpacing"/>
              <w:jc w:val="center"/>
            </w:pPr>
            <w:r w:rsidRPr="00D66514">
              <w:t>(&lt;.0001)</w:t>
            </w:r>
          </w:p>
        </w:tc>
        <w:tc>
          <w:tcPr>
            <w:tcW w:w="111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626659B" w14:textId="77777777" w:rsidR="008C322C" w:rsidRPr="00D66514" w:rsidRDefault="008C322C" w:rsidP="008C322C">
            <w:pPr>
              <w:pStyle w:val="NoSpacing"/>
              <w:jc w:val="center"/>
            </w:pPr>
            <w:r w:rsidRPr="00D66514">
              <w:t>0.7175</w:t>
            </w:r>
          </w:p>
          <w:p w14:paraId="1A14E00D" w14:textId="77777777" w:rsidR="008C322C" w:rsidRPr="00D66514" w:rsidRDefault="008C322C" w:rsidP="008C322C">
            <w:pPr>
              <w:pStyle w:val="NoSpacing"/>
              <w:jc w:val="center"/>
            </w:pPr>
            <w:r w:rsidRPr="00D66514">
              <w:t>(&lt;.0001)</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90087B6" w14:textId="77777777" w:rsidR="008C322C" w:rsidRPr="00D66514" w:rsidRDefault="008C322C" w:rsidP="008C322C">
            <w:pPr>
              <w:pStyle w:val="NoSpacing"/>
              <w:jc w:val="center"/>
            </w:pPr>
            <w:r w:rsidRPr="00D66514">
              <w:t>0.9801</w:t>
            </w:r>
          </w:p>
          <w:p w14:paraId="1FC8E476" w14:textId="6D73A561" w:rsidR="008C322C" w:rsidRPr="00D66514" w:rsidRDefault="008C322C" w:rsidP="008C322C">
            <w:pPr>
              <w:pStyle w:val="NoSpacing"/>
              <w:jc w:val="center"/>
            </w:pPr>
            <w:r w:rsidRPr="00D66514">
              <w:t>(&lt;.0001)</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8F13E22" w14:textId="77777777" w:rsidR="008C322C" w:rsidRPr="00D66514" w:rsidRDefault="008C322C" w:rsidP="008C322C">
            <w:pPr>
              <w:pStyle w:val="NoSpacing"/>
              <w:jc w:val="center"/>
            </w:pPr>
            <w:r w:rsidRPr="00D66514">
              <w:t>0.8474</w:t>
            </w:r>
          </w:p>
          <w:p w14:paraId="59E99231" w14:textId="77777777" w:rsidR="008C322C" w:rsidRPr="00D66514" w:rsidRDefault="008C322C" w:rsidP="008C322C">
            <w:pPr>
              <w:pStyle w:val="NoSpacing"/>
              <w:jc w:val="center"/>
            </w:pPr>
            <w:r w:rsidRPr="00D66514">
              <w:t>(0.0148)</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09A34BE" w14:textId="77777777" w:rsidR="008C322C" w:rsidRPr="00D66514" w:rsidRDefault="008C322C" w:rsidP="008C322C">
            <w:pPr>
              <w:pStyle w:val="NoSpacing"/>
              <w:jc w:val="center"/>
            </w:pPr>
            <w:r w:rsidRPr="00D66514">
              <w:t>0.4376</w:t>
            </w:r>
          </w:p>
          <w:p w14:paraId="66E66025" w14:textId="77777777" w:rsidR="008C322C" w:rsidRPr="00D66514" w:rsidRDefault="008C322C" w:rsidP="008C322C">
            <w:pPr>
              <w:pStyle w:val="NoSpacing"/>
              <w:jc w:val="center"/>
            </w:pPr>
            <w:r w:rsidRPr="00D66514">
              <w:t>(0.0002)</w:t>
            </w:r>
          </w:p>
        </w:tc>
        <w:tc>
          <w:tcPr>
            <w:tcW w:w="153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D7A6205" w14:textId="77777777" w:rsidR="008C322C" w:rsidRPr="00D66514" w:rsidRDefault="008C322C" w:rsidP="008C322C">
            <w:pPr>
              <w:pStyle w:val="NoSpacing"/>
              <w:jc w:val="center"/>
            </w:pPr>
            <w:r w:rsidRPr="00D66514">
              <w:t>-0.3547</w:t>
            </w:r>
          </w:p>
          <w:p w14:paraId="308D72E4" w14:textId="548DB9E1" w:rsidR="008C322C" w:rsidRPr="00D66514" w:rsidRDefault="008C322C" w:rsidP="008C322C">
            <w:pPr>
              <w:pStyle w:val="NoSpacing"/>
              <w:jc w:val="center"/>
            </w:pPr>
            <w:r w:rsidRPr="00D66514">
              <w:t>(0.0072)</w:t>
            </w:r>
          </w:p>
        </w:tc>
      </w:tr>
      <w:tr w:rsidR="008C322C" w:rsidRPr="00D66514" w14:paraId="55C929DA" w14:textId="77777777" w:rsidTr="00E70528">
        <w:trPr>
          <w:trHeight w:val="581"/>
          <w:jc w:val="center"/>
        </w:trPr>
        <w:tc>
          <w:tcPr>
            <w:tcW w:w="205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F4230D9" w14:textId="1FA6459A" w:rsidR="008C322C" w:rsidRPr="00D66514" w:rsidRDefault="008C322C" w:rsidP="008C322C">
            <w:pPr>
              <w:pStyle w:val="NoSpacing"/>
              <w:jc w:val="center"/>
              <w:rPr>
                <w:b/>
                <w:bCs/>
              </w:rPr>
            </w:pPr>
            <w:r w:rsidRPr="00D66514">
              <w:rPr>
                <w:rFonts w:cs="Times New Roman"/>
                <w:b/>
                <w:bCs/>
              </w:rPr>
              <w:t>G</w:t>
            </w:r>
          </w:p>
        </w:tc>
        <w:tc>
          <w:tcPr>
            <w:tcW w:w="13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160C2F1" w14:textId="77777777" w:rsidR="008C322C" w:rsidRPr="00D66514" w:rsidRDefault="008C322C" w:rsidP="008C322C">
            <w:pPr>
              <w:pStyle w:val="NoSpacing"/>
              <w:jc w:val="center"/>
            </w:pPr>
            <w:r w:rsidRPr="00D66514">
              <w:t>-0.3758</w:t>
            </w:r>
          </w:p>
          <w:p w14:paraId="7958BBC9" w14:textId="48C8E768" w:rsidR="008C322C" w:rsidRPr="00D66514" w:rsidRDefault="008C322C" w:rsidP="008C322C">
            <w:pPr>
              <w:pStyle w:val="NoSpacing"/>
              <w:jc w:val="center"/>
            </w:pPr>
            <w:r w:rsidRPr="00D66514">
              <w:t>(0.0021)</w:t>
            </w:r>
          </w:p>
        </w:tc>
        <w:tc>
          <w:tcPr>
            <w:tcW w:w="111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0A46047" w14:textId="77777777" w:rsidR="008C322C" w:rsidRPr="00D66514" w:rsidRDefault="008C322C" w:rsidP="008C322C">
            <w:pPr>
              <w:pStyle w:val="NoSpacing"/>
              <w:jc w:val="center"/>
            </w:pPr>
            <w:r w:rsidRPr="00D66514">
              <w:t>-0.5032</w:t>
            </w:r>
          </w:p>
          <w:p w14:paraId="5C290EBF" w14:textId="5E625F0A" w:rsidR="008C322C" w:rsidRPr="00D66514" w:rsidRDefault="008C322C" w:rsidP="008C322C">
            <w:pPr>
              <w:pStyle w:val="NoSpacing"/>
              <w:jc w:val="center"/>
            </w:pPr>
            <w:r w:rsidRPr="00D66514">
              <w:t>(0.0438)</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C84DE63" w14:textId="77777777" w:rsidR="008C322C" w:rsidRPr="00D66514" w:rsidRDefault="008C322C" w:rsidP="008C322C">
            <w:pPr>
              <w:pStyle w:val="NoSpacing"/>
              <w:jc w:val="center"/>
            </w:pPr>
            <w:r w:rsidRPr="00D66514">
              <w:t>-0.9179</w:t>
            </w:r>
          </w:p>
          <w:p w14:paraId="3F0A719B" w14:textId="54B30585" w:rsidR="008C322C" w:rsidRPr="00D66514" w:rsidRDefault="008C322C" w:rsidP="008C322C">
            <w:pPr>
              <w:pStyle w:val="NoSpacing"/>
              <w:jc w:val="center"/>
            </w:pPr>
            <w:r w:rsidRPr="00D66514">
              <w:t>(0.0042)</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2937809" w14:textId="77777777" w:rsidR="008C322C" w:rsidRPr="00D66514" w:rsidRDefault="008C322C" w:rsidP="008C322C">
            <w:pPr>
              <w:pStyle w:val="NoSpacing"/>
              <w:jc w:val="center"/>
            </w:pPr>
            <w:r w:rsidRPr="00D66514">
              <w:t>-0.9091</w:t>
            </w:r>
          </w:p>
          <w:p w14:paraId="0EB50FEB" w14:textId="7EE4EFCD" w:rsidR="008C322C" w:rsidRPr="00D66514" w:rsidRDefault="008C322C" w:rsidP="008C322C">
            <w:pPr>
              <w:pStyle w:val="NoSpacing"/>
              <w:jc w:val="center"/>
            </w:pPr>
            <w:r w:rsidRPr="00D66514">
              <w:t>(0.3615)</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C36276" w14:textId="77777777" w:rsidR="008C322C" w:rsidRPr="00D66514" w:rsidRDefault="008C322C" w:rsidP="008C322C">
            <w:pPr>
              <w:pStyle w:val="NoSpacing"/>
              <w:jc w:val="center"/>
            </w:pPr>
            <w:r w:rsidRPr="00D66514">
              <w:t>-0.1285</w:t>
            </w:r>
          </w:p>
          <w:p w14:paraId="53305E38" w14:textId="2FD07E44" w:rsidR="008C322C" w:rsidRPr="00D66514" w:rsidRDefault="008C322C" w:rsidP="008C322C">
            <w:pPr>
              <w:pStyle w:val="NoSpacing"/>
              <w:jc w:val="center"/>
            </w:pPr>
            <w:r w:rsidRPr="00D66514">
              <w:t>(0.519)</w:t>
            </w:r>
          </w:p>
        </w:tc>
        <w:tc>
          <w:tcPr>
            <w:tcW w:w="153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97B1FD3" w14:textId="77777777" w:rsidR="008C322C" w:rsidRPr="00D66514" w:rsidRDefault="008C322C" w:rsidP="008C322C">
            <w:pPr>
              <w:pStyle w:val="NoSpacing"/>
              <w:jc w:val="center"/>
            </w:pPr>
            <w:r w:rsidRPr="00D66514">
              <w:t>0.7194</w:t>
            </w:r>
          </w:p>
          <w:p w14:paraId="455E82B5" w14:textId="45EF4E4F" w:rsidR="008C322C" w:rsidRPr="00D66514" w:rsidRDefault="008C322C" w:rsidP="008C322C">
            <w:pPr>
              <w:pStyle w:val="NoSpacing"/>
              <w:jc w:val="center"/>
            </w:pPr>
            <w:r w:rsidRPr="00D66514">
              <w:t>(&lt;.0001)</w:t>
            </w:r>
          </w:p>
        </w:tc>
      </w:tr>
      <w:tr w:rsidR="008C322C" w:rsidRPr="00D66514" w14:paraId="69B0BE00" w14:textId="77777777" w:rsidTr="00E70528">
        <w:trPr>
          <w:trHeight w:val="581"/>
          <w:jc w:val="center"/>
        </w:trPr>
        <w:tc>
          <w:tcPr>
            <w:tcW w:w="205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933CD1F" w14:textId="5387E647" w:rsidR="008C322C" w:rsidRPr="00D66514" w:rsidRDefault="008C322C" w:rsidP="008C322C">
            <w:pPr>
              <w:pStyle w:val="NoSpacing"/>
              <w:jc w:val="center"/>
              <w:rPr>
                <w:b/>
                <w:bCs/>
              </w:rPr>
            </w:pPr>
            <w:r w:rsidRPr="00D66514">
              <w:rPr>
                <w:rFonts w:cs="Times New Roman"/>
                <w:b/>
                <w:bCs/>
              </w:rPr>
              <w:t>K</w:t>
            </w:r>
          </w:p>
        </w:tc>
        <w:tc>
          <w:tcPr>
            <w:tcW w:w="13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350F63A" w14:textId="77777777" w:rsidR="008C322C" w:rsidRPr="00D66514" w:rsidRDefault="008C322C" w:rsidP="008C322C">
            <w:pPr>
              <w:pStyle w:val="NoSpacing"/>
              <w:jc w:val="center"/>
            </w:pPr>
            <w:r w:rsidRPr="00D66514">
              <w:t>-0.4231</w:t>
            </w:r>
          </w:p>
          <w:p w14:paraId="1402F25A" w14:textId="77777777" w:rsidR="008C322C" w:rsidRPr="00D66514" w:rsidRDefault="008C322C" w:rsidP="008C322C">
            <w:pPr>
              <w:pStyle w:val="NoSpacing"/>
              <w:jc w:val="center"/>
            </w:pPr>
            <w:r w:rsidRPr="00D66514">
              <w:t>(&lt;.0001)</w:t>
            </w:r>
          </w:p>
        </w:tc>
        <w:tc>
          <w:tcPr>
            <w:tcW w:w="111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183405" w14:textId="77777777" w:rsidR="008C322C" w:rsidRPr="00D66514" w:rsidRDefault="008C322C" w:rsidP="008C322C">
            <w:pPr>
              <w:pStyle w:val="NoSpacing"/>
              <w:jc w:val="center"/>
            </w:pPr>
            <w:r w:rsidRPr="00D66514">
              <w:t>-0.504</w:t>
            </w:r>
          </w:p>
          <w:p w14:paraId="4B908F0A" w14:textId="77777777" w:rsidR="008C322C" w:rsidRPr="00D66514" w:rsidRDefault="008C322C" w:rsidP="008C322C">
            <w:pPr>
              <w:pStyle w:val="NoSpacing"/>
              <w:jc w:val="center"/>
            </w:pPr>
            <w:r w:rsidRPr="00D66514">
              <w:t>(&lt;.0001)</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2ED3DA7" w14:textId="77777777" w:rsidR="008C322C" w:rsidRPr="00D66514" w:rsidRDefault="008C322C" w:rsidP="008C322C">
            <w:pPr>
              <w:pStyle w:val="NoSpacing"/>
              <w:jc w:val="center"/>
            </w:pPr>
            <w:r w:rsidRPr="00D66514">
              <w:t>-0.6706</w:t>
            </w:r>
          </w:p>
          <w:p w14:paraId="4F34346A" w14:textId="110E1958" w:rsidR="008C322C" w:rsidRPr="00D66514" w:rsidRDefault="008C322C" w:rsidP="008C322C">
            <w:pPr>
              <w:pStyle w:val="NoSpacing"/>
              <w:jc w:val="center"/>
            </w:pPr>
            <w:r w:rsidRPr="00D66514">
              <w:t>(0.0012)</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CB9EED" w14:textId="77777777" w:rsidR="008C322C" w:rsidRPr="00D66514" w:rsidRDefault="008C322C" w:rsidP="008C322C">
            <w:pPr>
              <w:pStyle w:val="NoSpacing"/>
              <w:jc w:val="center"/>
            </w:pPr>
            <w:r w:rsidRPr="00D66514">
              <w:t>-0.6019</w:t>
            </w:r>
          </w:p>
          <w:p w14:paraId="3E9CAA76" w14:textId="77777777" w:rsidR="008C322C" w:rsidRPr="00D66514" w:rsidRDefault="008C322C" w:rsidP="008C322C">
            <w:pPr>
              <w:pStyle w:val="NoSpacing"/>
              <w:jc w:val="center"/>
            </w:pPr>
            <w:r w:rsidRPr="00D66514">
              <w:t>(0.2315)</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B444BD5" w14:textId="77777777" w:rsidR="008C322C" w:rsidRPr="00D66514" w:rsidRDefault="008C322C" w:rsidP="008C322C">
            <w:pPr>
              <w:pStyle w:val="NoSpacing"/>
              <w:jc w:val="center"/>
            </w:pPr>
            <w:r w:rsidRPr="00D66514">
              <w:t>-0.04098</w:t>
            </w:r>
          </w:p>
          <w:p w14:paraId="261DF17D" w14:textId="77777777" w:rsidR="008C322C" w:rsidRPr="00D66514" w:rsidRDefault="008C322C" w:rsidP="008C322C">
            <w:pPr>
              <w:pStyle w:val="NoSpacing"/>
              <w:jc w:val="center"/>
            </w:pPr>
            <w:r w:rsidRPr="00D66514">
              <w:t>(0.7776)</w:t>
            </w:r>
          </w:p>
        </w:tc>
        <w:tc>
          <w:tcPr>
            <w:tcW w:w="153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33B089F" w14:textId="77777777" w:rsidR="008C322C" w:rsidRPr="00D66514" w:rsidRDefault="008C322C" w:rsidP="008C322C">
            <w:pPr>
              <w:pStyle w:val="NoSpacing"/>
              <w:jc w:val="center"/>
            </w:pPr>
            <w:r w:rsidRPr="00D66514">
              <w:t>-0.07328</w:t>
            </w:r>
          </w:p>
          <w:p w14:paraId="7987CC2C" w14:textId="51228BE1" w:rsidR="008C322C" w:rsidRPr="00D66514" w:rsidRDefault="008C322C" w:rsidP="008C322C">
            <w:pPr>
              <w:pStyle w:val="NoSpacing"/>
              <w:jc w:val="center"/>
            </w:pPr>
            <w:r w:rsidRPr="00D66514">
              <w:t>(0.6216)</w:t>
            </w:r>
          </w:p>
        </w:tc>
      </w:tr>
      <w:tr w:rsidR="008C322C" w:rsidRPr="00D66514" w14:paraId="618094FC" w14:textId="77777777" w:rsidTr="00E70528">
        <w:trPr>
          <w:trHeight w:val="581"/>
          <w:jc w:val="center"/>
        </w:trPr>
        <w:tc>
          <w:tcPr>
            <w:tcW w:w="205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C75F651" w14:textId="6A5F4663" w:rsidR="008C322C" w:rsidRPr="00D66514" w:rsidRDefault="008C322C" w:rsidP="008C322C">
            <w:pPr>
              <w:pStyle w:val="NoSpacing"/>
              <w:jc w:val="center"/>
              <w:rPr>
                <w:b/>
                <w:bCs/>
              </w:rPr>
            </w:pPr>
            <w:r w:rsidRPr="00D66514">
              <w:rPr>
                <w:b/>
                <w:bCs/>
              </w:rPr>
              <w:t>D</w:t>
            </w:r>
          </w:p>
        </w:tc>
        <w:tc>
          <w:tcPr>
            <w:tcW w:w="13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47765FC" w14:textId="77777777" w:rsidR="008C322C" w:rsidRPr="00D66514" w:rsidRDefault="008C322C" w:rsidP="008C322C">
            <w:pPr>
              <w:pStyle w:val="NoSpacing"/>
              <w:jc w:val="center"/>
            </w:pPr>
            <w:r w:rsidRPr="00D66514">
              <w:t>-0.1727</w:t>
            </w:r>
          </w:p>
          <w:p w14:paraId="43901EE2" w14:textId="77777777" w:rsidR="008C322C" w:rsidRPr="00D66514" w:rsidRDefault="008C322C" w:rsidP="008C322C">
            <w:pPr>
              <w:pStyle w:val="NoSpacing"/>
              <w:jc w:val="center"/>
            </w:pPr>
            <w:r w:rsidRPr="00D66514">
              <w:t>(0.0011)</w:t>
            </w:r>
          </w:p>
        </w:tc>
        <w:tc>
          <w:tcPr>
            <w:tcW w:w="111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AFD8FA2" w14:textId="77777777" w:rsidR="008C322C" w:rsidRPr="00D66514" w:rsidRDefault="008C322C" w:rsidP="008C322C">
            <w:pPr>
              <w:pStyle w:val="NoSpacing"/>
              <w:jc w:val="center"/>
            </w:pPr>
            <w:r w:rsidRPr="00D66514">
              <w:t>-0.04751</w:t>
            </w:r>
          </w:p>
          <w:p w14:paraId="3C7BF0ED" w14:textId="77777777" w:rsidR="008C322C" w:rsidRPr="00D66514" w:rsidRDefault="008C322C" w:rsidP="008C322C">
            <w:pPr>
              <w:pStyle w:val="NoSpacing"/>
              <w:jc w:val="center"/>
            </w:pPr>
            <w:r w:rsidRPr="00D66514">
              <w:t>(0.4953)</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62F79F0" w14:textId="77777777" w:rsidR="008C322C" w:rsidRPr="00D66514" w:rsidRDefault="008C322C" w:rsidP="008C322C">
            <w:pPr>
              <w:pStyle w:val="NoSpacing"/>
              <w:jc w:val="center"/>
            </w:pPr>
            <w:r w:rsidRPr="00D66514">
              <w:t>-0.03473</w:t>
            </w:r>
          </w:p>
          <w:p w14:paraId="3438C294" w14:textId="0FBF518A" w:rsidR="008C322C" w:rsidRPr="00D66514" w:rsidRDefault="008C322C" w:rsidP="008C322C">
            <w:pPr>
              <w:pStyle w:val="NoSpacing"/>
              <w:jc w:val="center"/>
            </w:pPr>
            <w:r w:rsidRPr="00D66514">
              <w:t>(0.7522)</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08D880D" w14:textId="77777777" w:rsidR="008C322C" w:rsidRPr="00D66514" w:rsidRDefault="008C322C" w:rsidP="008C322C">
            <w:pPr>
              <w:pStyle w:val="NoSpacing"/>
              <w:jc w:val="center"/>
            </w:pPr>
            <w:r w:rsidRPr="00D66514">
              <w:t>0.1996</w:t>
            </w:r>
          </w:p>
          <w:p w14:paraId="50A91DDC" w14:textId="77777777" w:rsidR="008C322C" w:rsidRPr="00D66514" w:rsidRDefault="008C322C" w:rsidP="008C322C">
            <w:pPr>
              <w:pStyle w:val="NoSpacing"/>
              <w:jc w:val="center"/>
            </w:pPr>
            <w:r w:rsidRPr="00D66514">
              <w:t>(0.361)</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2EB512D" w14:textId="77777777" w:rsidR="008C322C" w:rsidRPr="00D66514" w:rsidRDefault="008C322C" w:rsidP="008C322C">
            <w:pPr>
              <w:pStyle w:val="NoSpacing"/>
              <w:jc w:val="center"/>
            </w:pPr>
            <w:r w:rsidRPr="00D66514">
              <w:t>0.4729</w:t>
            </w:r>
          </w:p>
          <w:p w14:paraId="1895D888" w14:textId="77777777" w:rsidR="008C322C" w:rsidRPr="00D66514" w:rsidRDefault="008C322C" w:rsidP="008C322C">
            <w:pPr>
              <w:pStyle w:val="NoSpacing"/>
              <w:jc w:val="center"/>
            </w:pPr>
            <w:r w:rsidRPr="00D66514">
              <w:t>(&lt;.0001)</w:t>
            </w:r>
          </w:p>
        </w:tc>
        <w:tc>
          <w:tcPr>
            <w:tcW w:w="153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172D84F" w14:textId="77777777" w:rsidR="008C322C" w:rsidRPr="00D66514" w:rsidRDefault="008C322C" w:rsidP="008C322C">
            <w:pPr>
              <w:pStyle w:val="NoSpacing"/>
              <w:jc w:val="center"/>
            </w:pPr>
            <w:r w:rsidRPr="00D66514">
              <w:t>0.533</w:t>
            </w:r>
          </w:p>
          <w:p w14:paraId="78549FBA" w14:textId="2BFA7A97" w:rsidR="008C322C" w:rsidRPr="00D66514" w:rsidRDefault="008C322C" w:rsidP="008C322C">
            <w:pPr>
              <w:pStyle w:val="NoSpacing"/>
              <w:jc w:val="center"/>
            </w:pPr>
            <w:r w:rsidRPr="00D66514">
              <w:t>(0.0002)</w:t>
            </w:r>
          </w:p>
        </w:tc>
      </w:tr>
      <w:tr w:rsidR="008C322C" w:rsidRPr="00D66514" w14:paraId="220473CD" w14:textId="77777777" w:rsidTr="00E70528">
        <w:trPr>
          <w:trHeight w:val="581"/>
          <w:jc w:val="center"/>
        </w:trPr>
        <w:tc>
          <w:tcPr>
            <w:tcW w:w="205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CE06F7A" w14:textId="73781AA0" w:rsidR="008C322C" w:rsidRPr="00D66514" w:rsidRDefault="008C322C" w:rsidP="008C322C">
            <w:pPr>
              <w:pStyle w:val="NoSpacing"/>
              <w:jc w:val="center"/>
              <w:rPr>
                <w:b/>
                <w:bCs/>
              </w:rPr>
            </w:pPr>
            <w:r w:rsidRPr="00D66514">
              <w:rPr>
                <w:b/>
                <w:bCs/>
              </w:rPr>
              <w:t>H</w:t>
            </w:r>
          </w:p>
        </w:tc>
        <w:tc>
          <w:tcPr>
            <w:tcW w:w="13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FF408C3" w14:textId="77777777" w:rsidR="008C322C" w:rsidRPr="00D66514" w:rsidRDefault="008C322C" w:rsidP="008C322C">
            <w:pPr>
              <w:pStyle w:val="NoSpacing"/>
              <w:jc w:val="center"/>
            </w:pPr>
            <w:r w:rsidRPr="00D66514">
              <w:t>0.7527</w:t>
            </w:r>
          </w:p>
          <w:p w14:paraId="69214C52" w14:textId="61A25BB1" w:rsidR="008C322C" w:rsidRPr="00D66514" w:rsidRDefault="008C322C" w:rsidP="008C322C">
            <w:pPr>
              <w:pStyle w:val="NoSpacing"/>
              <w:jc w:val="center"/>
            </w:pPr>
            <w:r w:rsidRPr="00D66514">
              <w:t>(&lt;.0001)</w:t>
            </w:r>
          </w:p>
        </w:tc>
        <w:tc>
          <w:tcPr>
            <w:tcW w:w="111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26E94BD" w14:textId="77777777" w:rsidR="008C322C" w:rsidRPr="00D66514" w:rsidRDefault="008C322C" w:rsidP="008C322C">
            <w:pPr>
              <w:pStyle w:val="NoSpacing"/>
              <w:jc w:val="center"/>
            </w:pPr>
            <w:r w:rsidRPr="00D66514">
              <w:t>0.3001</w:t>
            </w:r>
          </w:p>
          <w:p w14:paraId="3D79DE0D" w14:textId="2CA480F9" w:rsidR="008C322C" w:rsidRPr="00D66514" w:rsidRDefault="008C322C" w:rsidP="008C322C">
            <w:pPr>
              <w:pStyle w:val="NoSpacing"/>
              <w:jc w:val="center"/>
            </w:pPr>
            <w:r w:rsidRPr="00D66514">
              <w:t>(0.1342)</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617F27E" w14:textId="77777777" w:rsidR="008C322C" w:rsidRPr="00D66514" w:rsidRDefault="008C322C" w:rsidP="008C322C">
            <w:pPr>
              <w:pStyle w:val="NoSpacing"/>
              <w:jc w:val="center"/>
            </w:pPr>
            <w:r w:rsidRPr="00D66514">
              <w:t>0.3936</w:t>
            </w:r>
          </w:p>
          <w:p w14:paraId="7EB0CEE4" w14:textId="60C65190" w:rsidR="008C322C" w:rsidRPr="00D66514" w:rsidRDefault="008C322C" w:rsidP="008C322C">
            <w:pPr>
              <w:pStyle w:val="NoSpacing"/>
              <w:jc w:val="center"/>
            </w:pPr>
            <w:r w:rsidRPr="00D66514">
              <w:t>(0.1279)</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440CB99" w14:textId="77777777" w:rsidR="008C322C" w:rsidRPr="00D66514" w:rsidRDefault="008C322C" w:rsidP="008C322C">
            <w:pPr>
              <w:pStyle w:val="NoSpacing"/>
              <w:jc w:val="center"/>
            </w:pPr>
            <w:r w:rsidRPr="00D66514">
              <w:t>1.6858</w:t>
            </w:r>
          </w:p>
          <w:p w14:paraId="5FFDF411" w14:textId="3DF4AAF9" w:rsidR="008C322C" w:rsidRPr="00D66514" w:rsidRDefault="008C322C" w:rsidP="008C322C">
            <w:pPr>
              <w:pStyle w:val="NoSpacing"/>
              <w:jc w:val="center"/>
            </w:pPr>
            <w:r w:rsidRPr="00D66514">
              <w:t>(0.0962)</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695C7A6" w14:textId="77777777" w:rsidR="008C322C" w:rsidRPr="00D66514" w:rsidRDefault="008C322C" w:rsidP="008C322C">
            <w:pPr>
              <w:pStyle w:val="NoSpacing"/>
              <w:jc w:val="center"/>
            </w:pPr>
            <w:r w:rsidRPr="00D66514">
              <w:t>0.2936</w:t>
            </w:r>
          </w:p>
          <w:p w14:paraId="2C89181A" w14:textId="6E4FD61D" w:rsidR="008C322C" w:rsidRPr="00D66514" w:rsidRDefault="008C322C" w:rsidP="008C322C">
            <w:pPr>
              <w:pStyle w:val="NoSpacing"/>
              <w:jc w:val="center"/>
            </w:pPr>
            <w:r w:rsidRPr="00D66514">
              <w:t>(0.1487)</w:t>
            </w:r>
          </w:p>
        </w:tc>
        <w:tc>
          <w:tcPr>
            <w:tcW w:w="153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5AD3165" w14:textId="77777777" w:rsidR="008C322C" w:rsidRPr="00D66514" w:rsidRDefault="008C322C" w:rsidP="008C322C">
            <w:pPr>
              <w:pStyle w:val="NoSpacing"/>
              <w:jc w:val="center"/>
            </w:pPr>
            <w:r w:rsidRPr="00D66514">
              <w:t>-0.7666</w:t>
            </w:r>
          </w:p>
          <w:p w14:paraId="02842177" w14:textId="0AEF0B27" w:rsidR="008C322C" w:rsidRPr="00D66514" w:rsidRDefault="008C322C" w:rsidP="008C322C">
            <w:pPr>
              <w:pStyle w:val="NoSpacing"/>
              <w:jc w:val="center"/>
            </w:pPr>
            <w:r w:rsidRPr="00D66514">
              <w:t>(&lt;.0001)</w:t>
            </w:r>
          </w:p>
        </w:tc>
      </w:tr>
      <w:tr w:rsidR="008C322C" w:rsidRPr="00D66514" w14:paraId="3038689E" w14:textId="77777777" w:rsidTr="00E70528">
        <w:trPr>
          <w:trHeight w:val="581"/>
          <w:jc w:val="center"/>
        </w:trPr>
        <w:tc>
          <w:tcPr>
            <w:tcW w:w="205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AE8364A" w14:textId="3B52C10F" w:rsidR="008C322C" w:rsidRPr="00D66514" w:rsidRDefault="008C322C" w:rsidP="008C322C">
            <w:pPr>
              <w:pStyle w:val="NoSpacing"/>
              <w:jc w:val="center"/>
              <w:rPr>
                <w:b/>
                <w:bCs/>
              </w:rPr>
            </w:pPr>
            <w:r w:rsidRPr="00D66514">
              <w:rPr>
                <w:b/>
                <w:bCs/>
              </w:rPr>
              <w:t>M</w:t>
            </w:r>
          </w:p>
        </w:tc>
        <w:tc>
          <w:tcPr>
            <w:tcW w:w="13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97770E6" w14:textId="77777777" w:rsidR="008C322C" w:rsidRPr="00D66514" w:rsidRDefault="008C322C" w:rsidP="008C322C">
            <w:pPr>
              <w:pStyle w:val="NoSpacing"/>
              <w:jc w:val="center"/>
            </w:pPr>
            <w:r w:rsidRPr="00D66514">
              <w:t>0.6434</w:t>
            </w:r>
          </w:p>
          <w:p w14:paraId="56331459" w14:textId="77777777" w:rsidR="008C322C" w:rsidRPr="00D66514" w:rsidRDefault="008C322C" w:rsidP="008C322C">
            <w:pPr>
              <w:pStyle w:val="NoSpacing"/>
              <w:jc w:val="center"/>
            </w:pPr>
            <w:r w:rsidRPr="00D66514">
              <w:t>(&lt;.0001)</w:t>
            </w:r>
          </w:p>
        </w:tc>
        <w:tc>
          <w:tcPr>
            <w:tcW w:w="111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0A090A6" w14:textId="77777777" w:rsidR="008C322C" w:rsidRPr="00D66514" w:rsidRDefault="008C322C" w:rsidP="008C322C">
            <w:pPr>
              <w:pStyle w:val="NoSpacing"/>
              <w:jc w:val="center"/>
            </w:pPr>
            <w:r w:rsidRPr="00D66514">
              <w:t>0.7543</w:t>
            </w:r>
          </w:p>
          <w:p w14:paraId="2AD9DC84" w14:textId="77777777" w:rsidR="008C322C" w:rsidRPr="00D66514" w:rsidRDefault="008C322C" w:rsidP="008C322C">
            <w:pPr>
              <w:pStyle w:val="NoSpacing"/>
              <w:jc w:val="center"/>
            </w:pPr>
            <w:r w:rsidRPr="00D66514">
              <w:t>(&lt;.0001)</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467D5B9" w14:textId="77777777" w:rsidR="008C322C" w:rsidRPr="00D66514" w:rsidRDefault="008C322C" w:rsidP="008C322C">
            <w:pPr>
              <w:pStyle w:val="NoSpacing"/>
              <w:jc w:val="center"/>
            </w:pPr>
            <w:r w:rsidRPr="00D66514">
              <w:t>0.9614</w:t>
            </w:r>
          </w:p>
          <w:p w14:paraId="699CF903" w14:textId="6CC3C05E" w:rsidR="008C322C" w:rsidRPr="00D66514" w:rsidRDefault="008C322C" w:rsidP="008C322C">
            <w:pPr>
              <w:pStyle w:val="NoSpacing"/>
              <w:jc w:val="center"/>
            </w:pPr>
            <w:r w:rsidRPr="00D66514">
              <w:t>(&lt;.0001)</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609C6FD" w14:textId="77777777" w:rsidR="008C322C" w:rsidRPr="00D66514" w:rsidRDefault="008C322C" w:rsidP="008C322C">
            <w:pPr>
              <w:pStyle w:val="NoSpacing"/>
              <w:jc w:val="center"/>
            </w:pPr>
            <w:r w:rsidRPr="00D66514">
              <w:t>0.2822</w:t>
            </w:r>
          </w:p>
          <w:p w14:paraId="0023B75F" w14:textId="77777777" w:rsidR="008C322C" w:rsidRPr="00D66514" w:rsidRDefault="008C322C" w:rsidP="008C322C">
            <w:pPr>
              <w:pStyle w:val="NoSpacing"/>
              <w:jc w:val="center"/>
            </w:pPr>
            <w:r w:rsidRPr="00D66514">
              <w:t>(0.6168)</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53E7AB8" w14:textId="77777777" w:rsidR="008C322C" w:rsidRPr="00D66514" w:rsidRDefault="008C322C" w:rsidP="008C322C">
            <w:pPr>
              <w:pStyle w:val="NoSpacing"/>
              <w:jc w:val="center"/>
            </w:pPr>
            <w:r w:rsidRPr="00D66514">
              <w:t>-0.04686</w:t>
            </w:r>
          </w:p>
          <w:p w14:paraId="78F6E26C" w14:textId="77777777" w:rsidR="008C322C" w:rsidRPr="00D66514" w:rsidRDefault="008C322C" w:rsidP="008C322C">
            <w:pPr>
              <w:pStyle w:val="NoSpacing"/>
              <w:jc w:val="center"/>
            </w:pPr>
            <w:r w:rsidRPr="00D66514">
              <w:t>(0.7585)</w:t>
            </w:r>
          </w:p>
        </w:tc>
        <w:tc>
          <w:tcPr>
            <w:tcW w:w="153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7CD5078" w14:textId="77777777" w:rsidR="008C322C" w:rsidRPr="00D66514" w:rsidRDefault="008C322C" w:rsidP="008C322C">
            <w:pPr>
              <w:pStyle w:val="NoSpacing"/>
              <w:jc w:val="center"/>
            </w:pPr>
            <w:r w:rsidRPr="00D66514">
              <w:t>-0.04186</w:t>
            </w:r>
          </w:p>
          <w:p w14:paraId="2543AC5E" w14:textId="691C8AEC" w:rsidR="008C322C" w:rsidRPr="00D66514" w:rsidRDefault="008C322C" w:rsidP="008C322C">
            <w:pPr>
              <w:pStyle w:val="NoSpacing"/>
              <w:jc w:val="center"/>
            </w:pPr>
            <w:r w:rsidRPr="00D66514">
              <w:t>(0.7988)</w:t>
            </w:r>
          </w:p>
        </w:tc>
      </w:tr>
      <w:tr w:rsidR="000B64BD" w:rsidRPr="00D66514" w14:paraId="7A3D826F" w14:textId="77777777" w:rsidTr="00E70528">
        <w:trPr>
          <w:trHeight w:val="290"/>
          <w:jc w:val="center"/>
        </w:trPr>
        <w:tc>
          <w:tcPr>
            <w:tcW w:w="9877" w:type="dxa"/>
            <w:gridSpan w:val="7"/>
            <w:tcBorders>
              <w:top w:val="single" w:sz="2" w:space="0" w:color="000000"/>
              <w:left w:val="single" w:sz="2" w:space="0" w:color="000000"/>
              <w:bottom w:val="single" w:sz="2" w:space="0" w:color="000000"/>
              <w:right w:val="single" w:sz="2" w:space="0" w:color="000000"/>
            </w:tcBorders>
            <w:shd w:val="clear" w:color="auto" w:fill="auto"/>
            <w:vAlign w:val="center"/>
          </w:tcPr>
          <w:p w14:paraId="7F124066" w14:textId="77777777" w:rsidR="000B64BD" w:rsidRPr="00D66514" w:rsidRDefault="000B64BD" w:rsidP="000B64BD">
            <w:pPr>
              <w:pStyle w:val="NoSpacing"/>
              <w:jc w:val="center"/>
            </w:pPr>
            <w:r w:rsidRPr="00D66514">
              <w:rPr>
                <w:b/>
                <w:bCs/>
              </w:rPr>
              <w:t>Goodness of Fit Measures</w:t>
            </w:r>
          </w:p>
        </w:tc>
      </w:tr>
      <w:tr w:rsidR="000B561C" w:rsidRPr="00D66514" w14:paraId="428ED77C" w14:textId="77777777" w:rsidTr="00E70528">
        <w:trPr>
          <w:trHeight w:val="290"/>
          <w:jc w:val="center"/>
        </w:trPr>
        <w:tc>
          <w:tcPr>
            <w:tcW w:w="205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4C1E66B" w14:textId="77777777" w:rsidR="000B64BD" w:rsidRPr="00D66514" w:rsidRDefault="000B64BD" w:rsidP="000B64BD">
            <w:pPr>
              <w:pStyle w:val="NoSpacing"/>
              <w:jc w:val="center"/>
              <w:rPr>
                <w:b/>
                <w:bCs/>
              </w:rPr>
            </w:pPr>
            <w:r w:rsidRPr="00D66514">
              <w:rPr>
                <w:b/>
                <w:bCs/>
              </w:rPr>
              <w:t>-2LL</w:t>
            </w:r>
          </w:p>
        </w:tc>
        <w:tc>
          <w:tcPr>
            <w:tcW w:w="13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DB167B8" w14:textId="77777777" w:rsidR="000B64BD" w:rsidRPr="00D66514" w:rsidRDefault="000B64BD" w:rsidP="000B64BD">
            <w:pPr>
              <w:pStyle w:val="NoSpacing"/>
              <w:jc w:val="center"/>
            </w:pPr>
            <w:r w:rsidRPr="00D66514">
              <w:t>17,069.0</w:t>
            </w:r>
          </w:p>
        </w:tc>
        <w:tc>
          <w:tcPr>
            <w:tcW w:w="111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9E4D74F" w14:textId="77777777" w:rsidR="000B64BD" w:rsidRPr="00D66514" w:rsidRDefault="000B64BD" w:rsidP="000B64BD">
            <w:pPr>
              <w:pStyle w:val="NoSpacing"/>
              <w:jc w:val="center"/>
            </w:pPr>
            <w:r w:rsidRPr="00D66514">
              <w:t>11,786.0</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B24C6E5" w14:textId="77777777" w:rsidR="000B64BD" w:rsidRPr="00D66514" w:rsidRDefault="000B64BD" w:rsidP="000B64BD">
            <w:pPr>
              <w:pStyle w:val="NoSpacing"/>
              <w:jc w:val="center"/>
            </w:pPr>
            <w:r w:rsidRPr="00D66514">
              <w:t>8,899.4</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CEF06D4" w14:textId="77777777" w:rsidR="000B64BD" w:rsidRPr="00D66514" w:rsidRDefault="000B64BD" w:rsidP="000B64BD">
            <w:pPr>
              <w:pStyle w:val="NoSpacing"/>
              <w:jc w:val="center"/>
            </w:pPr>
            <w:r w:rsidRPr="00D66514">
              <w:t>4,482.3</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8E59901" w14:textId="77777777" w:rsidR="000B64BD" w:rsidRPr="00D66514" w:rsidRDefault="000B64BD" w:rsidP="000B64BD">
            <w:pPr>
              <w:pStyle w:val="NoSpacing"/>
              <w:jc w:val="center"/>
            </w:pPr>
            <w:r w:rsidRPr="00D66514">
              <w:t>10,839.0</w:t>
            </w:r>
          </w:p>
        </w:tc>
        <w:tc>
          <w:tcPr>
            <w:tcW w:w="153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B2B98BA" w14:textId="77777777" w:rsidR="000B64BD" w:rsidRPr="00D66514" w:rsidRDefault="000B64BD" w:rsidP="000B64BD">
            <w:pPr>
              <w:pStyle w:val="NoSpacing"/>
              <w:jc w:val="center"/>
            </w:pPr>
            <w:r w:rsidRPr="00D66514">
              <w:t>14,148.0</w:t>
            </w:r>
          </w:p>
        </w:tc>
      </w:tr>
      <w:tr w:rsidR="000B561C" w:rsidRPr="00D66514" w14:paraId="38D334D6" w14:textId="77777777" w:rsidTr="00E70528">
        <w:trPr>
          <w:trHeight w:val="290"/>
          <w:jc w:val="center"/>
        </w:trPr>
        <w:tc>
          <w:tcPr>
            <w:tcW w:w="205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ABA48AC" w14:textId="77777777" w:rsidR="000B64BD" w:rsidRPr="00D66514" w:rsidRDefault="000B64BD" w:rsidP="000B64BD">
            <w:pPr>
              <w:pStyle w:val="NoSpacing"/>
              <w:jc w:val="center"/>
              <w:rPr>
                <w:b/>
                <w:bCs/>
              </w:rPr>
            </w:pPr>
            <w:r w:rsidRPr="00D66514">
              <w:rPr>
                <w:b/>
                <w:bCs/>
              </w:rPr>
              <w:t>MAD</w:t>
            </w:r>
          </w:p>
        </w:tc>
        <w:tc>
          <w:tcPr>
            <w:tcW w:w="13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782DDE7" w14:textId="77777777" w:rsidR="000B64BD" w:rsidRPr="00D66514" w:rsidRDefault="000B64BD" w:rsidP="000B64BD">
            <w:pPr>
              <w:pStyle w:val="NoSpacing"/>
              <w:jc w:val="center"/>
            </w:pPr>
            <w:r w:rsidRPr="00D66514">
              <w:t>3.492</w:t>
            </w:r>
          </w:p>
        </w:tc>
        <w:tc>
          <w:tcPr>
            <w:tcW w:w="111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287C495" w14:textId="77777777" w:rsidR="000B64BD" w:rsidRPr="00D66514" w:rsidRDefault="000B64BD" w:rsidP="000B64BD">
            <w:pPr>
              <w:pStyle w:val="NoSpacing"/>
              <w:jc w:val="center"/>
            </w:pPr>
            <w:r w:rsidRPr="00D66514">
              <w:t>1.536</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D8D3D8D" w14:textId="77777777" w:rsidR="000B64BD" w:rsidRPr="00D66514" w:rsidRDefault="000B64BD" w:rsidP="000B64BD">
            <w:pPr>
              <w:pStyle w:val="NoSpacing"/>
              <w:jc w:val="center"/>
            </w:pPr>
            <w:r w:rsidRPr="00D66514">
              <w:t>0.87</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E7F379E" w14:textId="77777777" w:rsidR="000B64BD" w:rsidRPr="00D66514" w:rsidRDefault="000B64BD" w:rsidP="000B64BD">
            <w:pPr>
              <w:pStyle w:val="NoSpacing"/>
              <w:jc w:val="center"/>
            </w:pPr>
            <w:r w:rsidRPr="00D66514">
              <w:t>0.355</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18589BB" w14:textId="77777777" w:rsidR="000B64BD" w:rsidRPr="00D66514" w:rsidRDefault="000B64BD" w:rsidP="000B64BD">
            <w:pPr>
              <w:pStyle w:val="NoSpacing"/>
              <w:jc w:val="center"/>
            </w:pPr>
            <w:r w:rsidRPr="00D66514">
              <w:t>1.082</w:t>
            </w:r>
          </w:p>
        </w:tc>
        <w:tc>
          <w:tcPr>
            <w:tcW w:w="153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B01A2E6" w14:textId="77777777" w:rsidR="000B64BD" w:rsidRPr="00D66514" w:rsidRDefault="000B64BD" w:rsidP="000B64BD">
            <w:pPr>
              <w:pStyle w:val="NoSpacing"/>
              <w:jc w:val="center"/>
            </w:pPr>
            <w:r w:rsidRPr="00D66514">
              <w:t>2.966</w:t>
            </w:r>
          </w:p>
        </w:tc>
      </w:tr>
      <w:tr w:rsidR="000B561C" w:rsidRPr="00D66514" w14:paraId="77C79ECB" w14:textId="77777777" w:rsidTr="00E70528">
        <w:trPr>
          <w:trHeight w:val="290"/>
          <w:jc w:val="center"/>
        </w:trPr>
        <w:tc>
          <w:tcPr>
            <w:tcW w:w="205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BBE06F1" w14:textId="74448A28" w:rsidR="00BE4C31" w:rsidRPr="00D66514" w:rsidRDefault="00BE4C31" w:rsidP="000B64BD">
            <w:pPr>
              <w:pStyle w:val="NoSpacing"/>
              <w:jc w:val="center"/>
              <w:rPr>
                <w:b/>
                <w:bCs/>
              </w:rPr>
            </w:pPr>
            <w:r w:rsidRPr="00D66514">
              <w:rPr>
                <w:b/>
                <w:bCs/>
              </w:rPr>
              <w:t>MSPE</w:t>
            </w:r>
          </w:p>
        </w:tc>
        <w:tc>
          <w:tcPr>
            <w:tcW w:w="13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41D1968" w14:textId="74605AD0" w:rsidR="00BE4C31" w:rsidRPr="00D66514" w:rsidRDefault="002413DA" w:rsidP="000B64BD">
            <w:pPr>
              <w:pStyle w:val="NoSpacing"/>
              <w:jc w:val="center"/>
            </w:pPr>
            <w:r w:rsidRPr="00D66514">
              <w:t>76.401</w:t>
            </w:r>
          </w:p>
        </w:tc>
        <w:tc>
          <w:tcPr>
            <w:tcW w:w="1113"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B6453B1" w14:textId="74325D79" w:rsidR="00BE4C31" w:rsidRPr="00D66514" w:rsidRDefault="002413DA" w:rsidP="000B64BD">
            <w:pPr>
              <w:pStyle w:val="NoSpacing"/>
              <w:jc w:val="center"/>
            </w:pPr>
            <w:r w:rsidRPr="00D66514">
              <w:t>11.735</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2EB8DE3" w14:textId="04EA24DE" w:rsidR="00BE4C31" w:rsidRPr="00D66514" w:rsidRDefault="002413DA" w:rsidP="000B64BD">
            <w:pPr>
              <w:pStyle w:val="NoSpacing"/>
              <w:jc w:val="center"/>
            </w:pPr>
            <w:r w:rsidRPr="00D66514">
              <w:t>2.544</w:t>
            </w:r>
          </w:p>
        </w:tc>
        <w:tc>
          <w:tcPr>
            <w:tcW w:w="113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1AEF630" w14:textId="4809DAE0" w:rsidR="00BE4C31" w:rsidRPr="00D66514" w:rsidRDefault="00BA59EA" w:rsidP="000B64BD">
            <w:pPr>
              <w:pStyle w:val="NoSpacing"/>
              <w:jc w:val="center"/>
            </w:pPr>
            <w:r w:rsidRPr="00D66514">
              <w:t>3.846</w:t>
            </w:r>
          </w:p>
        </w:tc>
        <w:tc>
          <w:tcPr>
            <w:tcW w:w="141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27562C" w14:textId="38B652AB" w:rsidR="00BE4C31" w:rsidRPr="00D66514" w:rsidRDefault="00BA59EA" w:rsidP="000B64BD">
            <w:pPr>
              <w:pStyle w:val="NoSpacing"/>
              <w:jc w:val="center"/>
            </w:pPr>
            <w:r w:rsidRPr="00D66514">
              <w:t>3.969</w:t>
            </w:r>
          </w:p>
        </w:tc>
        <w:tc>
          <w:tcPr>
            <w:tcW w:w="153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021B273" w14:textId="061C90E9" w:rsidR="00BE4C31" w:rsidRPr="00D66514" w:rsidRDefault="00BA59EA" w:rsidP="000B64BD">
            <w:pPr>
              <w:pStyle w:val="NoSpacing"/>
              <w:jc w:val="center"/>
            </w:pPr>
            <w:r w:rsidRPr="00D66514">
              <w:t>57.264</w:t>
            </w:r>
          </w:p>
        </w:tc>
      </w:tr>
      <w:tr w:rsidR="002446E6" w:rsidRPr="00D66514" w14:paraId="6A8E6403" w14:textId="77777777" w:rsidTr="00E70528">
        <w:trPr>
          <w:trHeight w:val="290"/>
          <w:jc w:val="center"/>
        </w:trPr>
        <w:tc>
          <w:tcPr>
            <w:tcW w:w="205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074CB0A" w14:textId="16E70957" w:rsidR="009E1ED9" w:rsidRPr="00D66514" w:rsidRDefault="009E1ED9" w:rsidP="000B64BD">
            <w:pPr>
              <w:pStyle w:val="NoSpacing"/>
              <w:jc w:val="center"/>
              <w:rPr>
                <w:b/>
                <w:bCs/>
              </w:rPr>
            </w:pPr>
          </w:p>
          <w:p w14:paraId="0D4B604B" w14:textId="385E0262" w:rsidR="009E1ED9" w:rsidRPr="00D66514" w:rsidRDefault="009E1ED9" w:rsidP="000B64BD">
            <w:pPr>
              <w:pStyle w:val="NoSpacing"/>
              <w:jc w:val="center"/>
              <w:rPr>
                <w:b/>
                <w:bCs/>
              </w:rPr>
            </w:pPr>
          </w:p>
        </w:tc>
        <w:tc>
          <w:tcPr>
            <w:tcW w:w="7819" w:type="dxa"/>
            <w:gridSpan w:val="6"/>
            <w:tcBorders>
              <w:top w:val="single" w:sz="2" w:space="0" w:color="000000"/>
              <w:left w:val="single" w:sz="2" w:space="0" w:color="000000"/>
              <w:bottom w:val="single" w:sz="2" w:space="0" w:color="000000"/>
              <w:right w:val="single" w:sz="2" w:space="0" w:color="000000"/>
            </w:tcBorders>
            <w:shd w:val="clear" w:color="auto" w:fill="auto"/>
            <w:vAlign w:val="center"/>
          </w:tcPr>
          <w:p w14:paraId="64429D03" w14:textId="2EF257ED" w:rsidR="009E1ED9" w:rsidRPr="00D66514" w:rsidRDefault="009E1ED9">
            <w:pPr>
              <w:pStyle w:val="NoSpacing"/>
              <w:ind w:left="310" w:hanging="286"/>
            </w:pPr>
            <w:r w:rsidRPr="00D66514">
              <w:t xml:space="preserve">- </w:t>
            </w:r>
            <w:r w:rsidR="00FD07D0" w:rsidRPr="00D66514">
              <w:t xml:space="preserve"> </w:t>
            </w:r>
            <w:r w:rsidRPr="00D66514">
              <w:t xml:space="preserve">: </w:t>
            </w:r>
            <w:r w:rsidR="00FD07D0" w:rsidRPr="00D66514">
              <w:t xml:space="preserve">statistically insignificant variables at alpha = 0.05 removed from </w:t>
            </w:r>
            <w:r w:rsidR="00BE4C31" w:rsidRPr="00D66514">
              <w:t xml:space="preserve">the </w:t>
            </w:r>
            <w:r w:rsidR="00FD07D0" w:rsidRPr="00D66514">
              <w:t>SPF</w:t>
            </w:r>
          </w:p>
        </w:tc>
      </w:tr>
    </w:tbl>
    <w:p w14:paraId="7AC6CE68" w14:textId="77777777" w:rsidR="00F25156" w:rsidRPr="00D66514" w:rsidRDefault="00F25156" w:rsidP="00E70528">
      <w:bookmarkStart w:id="7" w:name="_Ref425269104"/>
    </w:p>
    <w:p w14:paraId="76FD83FD" w14:textId="18E3AB3E" w:rsidR="00A62ECD" w:rsidRPr="00D66514" w:rsidRDefault="0004240D" w:rsidP="00464934">
      <w:pPr>
        <w:pStyle w:val="Heading3"/>
      </w:pPr>
      <w:r w:rsidRPr="00D66514">
        <w:t xml:space="preserve">Modified Base Conditions </w:t>
      </w:r>
      <w:r w:rsidR="00A62ECD" w:rsidRPr="00D66514">
        <w:t>Ohio and California Joint Safety Performance Functions</w:t>
      </w:r>
    </w:p>
    <w:p w14:paraId="3BBE326F" w14:textId="7596DE83" w:rsidR="00A62ECD" w:rsidRPr="00D66514" w:rsidRDefault="00473D48" w:rsidP="00464934">
      <w:pPr>
        <w:spacing w:after="0"/>
      </w:pPr>
      <w:r w:rsidRPr="00D66514">
        <w:t xml:space="preserve">The Ohio and California joint SPF results are shown in </w:t>
      </w:r>
      <w:r w:rsidRPr="00D66514">
        <w:fldChar w:fldCharType="begin"/>
      </w:r>
      <w:r w:rsidRPr="00D66514">
        <w:instrText xml:space="preserve"> REF _Ref434076817 \h </w:instrText>
      </w:r>
      <w:r w:rsidR="00071DE2" w:rsidRPr="00D66514">
        <w:instrText xml:space="preserve"> \* MERGEFORMAT </w:instrText>
      </w:r>
      <w:r w:rsidRPr="00D66514">
        <w:fldChar w:fldCharType="separate"/>
      </w:r>
      <w:r w:rsidR="004F0410" w:rsidRPr="00D66514">
        <w:t xml:space="preserve">Table </w:t>
      </w:r>
      <w:r w:rsidR="004F0410">
        <w:rPr>
          <w:noProof/>
        </w:rPr>
        <w:t>6</w:t>
      </w:r>
      <w:r w:rsidRPr="00D66514">
        <w:fldChar w:fldCharType="end"/>
      </w:r>
      <w:r w:rsidRPr="00D66514">
        <w:t xml:space="preserve">. The interaction term between the state dummy indicator and the transformed AADT variable is statistically insignificant in </w:t>
      </w:r>
      <w:r w:rsidR="00477D06" w:rsidRPr="00D66514">
        <w:t xml:space="preserve">the </w:t>
      </w:r>
      <w:r w:rsidRPr="00D66514">
        <w:t xml:space="preserve">SPFs of all crash classifications. Therefore, the impact of the AADT on crash frequencies is the same in both states’ rural divided segments, a result consistent with the Ohio and California average conditions SPFs. Also, the state dummy variable representing California is significant and positive </w:t>
      </w:r>
      <w:r w:rsidRPr="00D66514">
        <w:lastRenderedPageBreak/>
        <w:t>for all crash types and severity levels. That is, California experiences more crashes than Ohio for the same AADT. That is also a consistent result with the</w:t>
      </w:r>
      <w:r w:rsidR="0008643D" w:rsidRPr="00D66514">
        <w:t xml:space="preserve"> average conditions SPFs estimated from the pooled Ohio and California data.</w:t>
      </w:r>
      <w:r w:rsidRPr="00D66514">
        <w:t xml:space="preserve"> </w:t>
      </w:r>
    </w:p>
    <w:p w14:paraId="22BDD46F" w14:textId="77777777" w:rsidR="0004240D" w:rsidRPr="00D66514" w:rsidRDefault="0004240D" w:rsidP="00464934">
      <w:pPr>
        <w:spacing w:after="0"/>
      </w:pPr>
    </w:p>
    <w:p w14:paraId="1EE85EA0" w14:textId="460D9F49" w:rsidR="00473D48" w:rsidRPr="00D66514" w:rsidRDefault="00473D48" w:rsidP="00464934">
      <w:pPr>
        <w:pStyle w:val="Caption"/>
        <w:keepNext/>
      </w:pPr>
      <w:bookmarkStart w:id="8" w:name="_Ref434076817"/>
      <w:r w:rsidRPr="00D66514">
        <w:t xml:space="preserve">Table </w:t>
      </w:r>
      <w:r w:rsidR="00A226E1">
        <w:fldChar w:fldCharType="begin"/>
      </w:r>
      <w:r w:rsidR="00A226E1">
        <w:instrText xml:space="preserve"> SEQ Table \* ARABIC </w:instrText>
      </w:r>
      <w:r w:rsidR="00A226E1">
        <w:fldChar w:fldCharType="separate"/>
      </w:r>
      <w:r w:rsidR="004F0410">
        <w:rPr>
          <w:noProof/>
        </w:rPr>
        <w:t>6</w:t>
      </w:r>
      <w:r w:rsidR="00A226E1">
        <w:rPr>
          <w:noProof/>
        </w:rPr>
        <w:fldChar w:fldCharType="end"/>
      </w:r>
      <w:bookmarkEnd w:id="8"/>
      <w:r w:rsidRPr="00D66514">
        <w:t xml:space="preserve">: </w:t>
      </w:r>
      <w:r w:rsidR="0004240D" w:rsidRPr="00D66514">
        <w:t xml:space="preserve">Modified Base Conditions </w:t>
      </w:r>
      <w:r w:rsidRPr="00D66514">
        <w:t>Ohio and Californi</w:t>
      </w:r>
      <w:r w:rsidR="0004240D" w:rsidRPr="00D66514">
        <w:t>a Joint Safety Performance Functions</w:t>
      </w:r>
    </w:p>
    <w:tbl>
      <w:tblPr>
        <w:tblStyle w:val="TableGrid"/>
        <w:tblW w:w="0" w:type="auto"/>
        <w:tblInd w:w="137" w:type="dxa"/>
        <w:tblLook w:val="04A0" w:firstRow="1" w:lastRow="0" w:firstColumn="1" w:lastColumn="0" w:noHBand="0" w:noVBand="1"/>
      </w:tblPr>
      <w:tblGrid>
        <w:gridCol w:w="2283"/>
        <w:gridCol w:w="1189"/>
        <w:gridCol w:w="1153"/>
        <w:gridCol w:w="1153"/>
        <w:gridCol w:w="1141"/>
        <w:gridCol w:w="1141"/>
        <w:gridCol w:w="1153"/>
      </w:tblGrid>
      <w:tr w:rsidR="00A62ECD" w:rsidRPr="00D66514" w14:paraId="6699E6F2" w14:textId="77777777" w:rsidTr="00464934">
        <w:trPr>
          <w:trHeight w:val="300"/>
        </w:trPr>
        <w:tc>
          <w:tcPr>
            <w:tcW w:w="2395" w:type="dxa"/>
            <w:shd w:val="clear" w:color="auto" w:fill="auto"/>
            <w:noWrap/>
            <w:vAlign w:val="center"/>
            <w:hideMark/>
          </w:tcPr>
          <w:p w14:paraId="661D2153" w14:textId="77777777" w:rsidR="00A62ECD" w:rsidRPr="00D66514" w:rsidRDefault="00A62ECD" w:rsidP="0004240D">
            <w:pPr>
              <w:pStyle w:val="NoSpacing"/>
              <w:jc w:val="center"/>
              <w:rPr>
                <w:b/>
                <w:bCs/>
              </w:rPr>
            </w:pPr>
            <w:r w:rsidRPr="00D66514">
              <w:rPr>
                <w:b/>
                <w:bCs/>
              </w:rPr>
              <w:t>Crash Type or Severity</w:t>
            </w:r>
          </w:p>
        </w:tc>
        <w:tc>
          <w:tcPr>
            <w:tcW w:w="0" w:type="auto"/>
            <w:shd w:val="clear" w:color="auto" w:fill="auto"/>
            <w:noWrap/>
            <w:vAlign w:val="center"/>
            <w:hideMark/>
          </w:tcPr>
          <w:p w14:paraId="06945070" w14:textId="77777777" w:rsidR="00A62ECD" w:rsidRPr="00D66514" w:rsidRDefault="00A62ECD" w:rsidP="0004240D">
            <w:pPr>
              <w:pStyle w:val="NoSpacing"/>
              <w:jc w:val="center"/>
              <w:rPr>
                <w:b/>
                <w:bCs/>
              </w:rPr>
            </w:pPr>
            <w:r w:rsidRPr="00D66514">
              <w:rPr>
                <w:b/>
                <w:bCs/>
              </w:rPr>
              <w:t>KABCO</w:t>
            </w:r>
          </w:p>
        </w:tc>
        <w:tc>
          <w:tcPr>
            <w:tcW w:w="0" w:type="auto"/>
            <w:shd w:val="clear" w:color="auto" w:fill="auto"/>
            <w:noWrap/>
            <w:vAlign w:val="center"/>
            <w:hideMark/>
          </w:tcPr>
          <w:p w14:paraId="02DE7FA7" w14:textId="77777777" w:rsidR="00A62ECD" w:rsidRPr="00D66514" w:rsidRDefault="00A62ECD" w:rsidP="0004240D">
            <w:pPr>
              <w:pStyle w:val="NoSpacing"/>
              <w:jc w:val="center"/>
              <w:rPr>
                <w:b/>
                <w:bCs/>
              </w:rPr>
            </w:pPr>
            <w:r w:rsidRPr="00D66514">
              <w:rPr>
                <w:b/>
                <w:bCs/>
              </w:rPr>
              <w:t>KABC</w:t>
            </w:r>
          </w:p>
        </w:tc>
        <w:tc>
          <w:tcPr>
            <w:tcW w:w="0" w:type="auto"/>
            <w:shd w:val="clear" w:color="auto" w:fill="auto"/>
            <w:noWrap/>
            <w:vAlign w:val="center"/>
            <w:hideMark/>
          </w:tcPr>
          <w:p w14:paraId="2CD3EE87" w14:textId="77777777" w:rsidR="00A62ECD" w:rsidRPr="00D66514" w:rsidRDefault="00A62ECD" w:rsidP="0004240D">
            <w:pPr>
              <w:pStyle w:val="NoSpacing"/>
              <w:jc w:val="center"/>
              <w:rPr>
                <w:b/>
                <w:bCs/>
              </w:rPr>
            </w:pPr>
            <w:r w:rsidRPr="00D66514">
              <w:rPr>
                <w:b/>
                <w:bCs/>
              </w:rPr>
              <w:t>KAB</w:t>
            </w:r>
          </w:p>
        </w:tc>
        <w:tc>
          <w:tcPr>
            <w:tcW w:w="0" w:type="auto"/>
            <w:shd w:val="clear" w:color="auto" w:fill="auto"/>
            <w:noWrap/>
            <w:vAlign w:val="center"/>
            <w:hideMark/>
          </w:tcPr>
          <w:p w14:paraId="5972881C" w14:textId="77777777" w:rsidR="00A62ECD" w:rsidRPr="00D66514" w:rsidRDefault="00A62ECD" w:rsidP="0004240D">
            <w:pPr>
              <w:pStyle w:val="NoSpacing"/>
              <w:jc w:val="center"/>
              <w:rPr>
                <w:b/>
                <w:bCs/>
              </w:rPr>
            </w:pPr>
            <w:r w:rsidRPr="00D66514">
              <w:rPr>
                <w:b/>
                <w:bCs/>
              </w:rPr>
              <w:t>KA</w:t>
            </w:r>
          </w:p>
        </w:tc>
        <w:tc>
          <w:tcPr>
            <w:tcW w:w="0" w:type="auto"/>
            <w:shd w:val="clear" w:color="auto" w:fill="auto"/>
            <w:noWrap/>
            <w:vAlign w:val="center"/>
            <w:hideMark/>
          </w:tcPr>
          <w:p w14:paraId="19DC8D90" w14:textId="77777777" w:rsidR="00A62ECD" w:rsidRPr="00D66514" w:rsidRDefault="00A62ECD" w:rsidP="0004240D">
            <w:pPr>
              <w:pStyle w:val="NoSpacing"/>
              <w:jc w:val="center"/>
              <w:rPr>
                <w:b/>
                <w:bCs/>
              </w:rPr>
            </w:pPr>
            <w:r w:rsidRPr="00D66514">
              <w:rPr>
                <w:b/>
                <w:bCs/>
              </w:rPr>
              <w:t>SV</w:t>
            </w:r>
          </w:p>
        </w:tc>
        <w:tc>
          <w:tcPr>
            <w:tcW w:w="0" w:type="auto"/>
            <w:shd w:val="clear" w:color="auto" w:fill="auto"/>
            <w:noWrap/>
            <w:vAlign w:val="center"/>
            <w:hideMark/>
          </w:tcPr>
          <w:p w14:paraId="3D2F9CA9" w14:textId="77777777" w:rsidR="00A62ECD" w:rsidRPr="00D66514" w:rsidRDefault="00A62ECD" w:rsidP="0004240D">
            <w:pPr>
              <w:pStyle w:val="NoSpacing"/>
              <w:jc w:val="center"/>
              <w:rPr>
                <w:b/>
                <w:bCs/>
              </w:rPr>
            </w:pPr>
            <w:r w:rsidRPr="00D66514">
              <w:rPr>
                <w:b/>
                <w:bCs/>
              </w:rPr>
              <w:t>MV</w:t>
            </w:r>
          </w:p>
        </w:tc>
      </w:tr>
      <w:tr w:rsidR="00A62ECD" w:rsidRPr="00D66514" w14:paraId="40E6AEE1" w14:textId="77777777" w:rsidTr="00464934">
        <w:trPr>
          <w:trHeight w:val="300"/>
        </w:trPr>
        <w:tc>
          <w:tcPr>
            <w:tcW w:w="2395" w:type="dxa"/>
            <w:shd w:val="clear" w:color="auto" w:fill="auto"/>
            <w:noWrap/>
            <w:vAlign w:val="center"/>
            <w:hideMark/>
          </w:tcPr>
          <w:p w14:paraId="393DACCE" w14:textId="77777777" w:rsidR="00A62ECD" w:rsidRPr="00D66514" w:rsidRDefault="00A62ECD" w:rsidP="0004240D">
            <w:pPr>
              <w:pStyle w:val="NoSpacing"/>
              <w:jc w:val="center"/>
              <w:rPr>
                <w:b/>
                <w:bCs/>
              </w:rPr>
            </w:pPr>
            <w:r w:rsidRPr="00D66514">
              <w:rPr>
                <w:b/>
                <w:bCs/>
              </w:rPr>
              <w:t>Parameters</w:t>
            </w:r>
          </w:p>
        </w:tc>
        <w:tc>
          <w:tcPr>
            <w:tcW w:w="0" w:type="auto"/>
            <w:gridSpan w:val="6"/>
            <w:shd w:val="clear" w:color="auto" w:fill="auto"/>
            <w:noWrap/>
            <w:vAlign w:val="center"/>
            <w:hideMark/>
          </w:tcPr>
          <w:p w14:paraId="0E1B1AFA" w14:textId="77777777" w:rsidR="00A62ECD" w:rsidRPr="00D66514" w:rsidRDefault="00A62ECD" w:rsidP="0004240D">
            <w:pPr>
              <w:pStyle w:val="NoSpacing"/>
              <w:jc w:val="center"/>
              <w:rPr>
                <w:b/>
                <w:bCs/>
              </w:rPr>
            </w:pPr>
            <w:r w:rsidRPr="00D66514">
              <w:rPr>
                <w:b/>
                <w:bCs/>
              </w:rPr>
              <w:t>Parameter Estimates and P-Values</w:t>
            </w:r>
          </w:p>
        </w:tc>
      </w:tr>
      <w:tr w:rsidR="00A62ECD" w:rsidRPr="00D66514" w14:paraId="291950A8" w14:textId="77777777" w:rsidTr="00464934">
        <w:trPr>
          <w:trHeight w:val="600"/>
        </w:trPr>
        <w:tc>
          <w:tcPr>
            <w:tcW w:w="2395" w:type="dxa"/>
            <w:shd w:val="clear" w:color="auto" w:fill="auto"/>
            <w:noWrap/>
            <w:vAlign w:val="center"/>
            <w:hideMark/>
          </w:tcPr>
          <w:p w14:paraId="6CCFC135" w14:textId="77777777" w:rsidR="00A62ECD" w:rsidRPr="00D66514" w:rsidRDefault="00A62ECD" w:rsidP="0004240D">
            <w:pPr>
              <w:pStyle w:val="NoSpacing"/>
              <w:jc w:val="center"/>
              <w:rPr>
                <w:b/>
                <w:bCs/>
              </w:rPr>
            </w:pPr>
            <w:r w:rsidRPr="00D66514">
              <w:rPr>
                <w:b/>
                <w:bCs/>
              </w:rPr>
              <w:t>Constant</w:t>
            </w:r>
          </w:p>
        </w:tc>
        <w:tc>
          <w:tcPr>
            <w:tcW w:w="0" w:type="auto"/>
            <w:shd w:val="clear" w:color="auto" w:fill="auto"/>
            <w:vAlign w:val="center"/>
          </w:tcPr>
          <w:p w14:paraId="7933F56D" w14:textId="77777777" w:rsidR="00A62ECD" w:rsidRPr="00D66514" w:rsidRDefault="00A62ECD" w:rsidP="0004240D">
            <w:pPr>
              <w:pStyle w:val="NoSpacing"/>
              <w:jc w:val="center"/>
            </w:pPr>
            <w:r w:rsidRPr="00D66514">
              <w:t>-10.4375</w:t>
            </w:r>
          </w:p>
          <w:p w14:paraId="595B5B72" w14:textId="77777777" w:rsidR="00A62ECD" w:rsidRPr="00D66514" w:rsidRDefault="00A62ECD" w:rsidP="0004240D">
            <w:pPr>
              <w:pStyle w:val="NoSpacing"/>
              <w:jc w:val="center"/>
            </w:pPr>
            <w:r w:rsidRPr="00D66514">
              <w:t>(&lt;.0001)</w:t>
            </w:r>
          </w:p>
        </w:tc>
        <w:tc>
          <w:tcPr>
            <w:tcW w:w="0" w:type="auto"/>
            <w:shd w:val="clear" w:color="auto" w:fill="auto"/>
            <w:vAlign w:val="center"/>
          </w:tcPr>
          <w:p w14:paraId="20D00034" w14:textId="77777777" w:rsidR="00A62ECD" w:rsidRPr="00D66514" w:rsidRDefault="00A62ECD" w:rsidP="0004240D">
            <w:pPr>
              <w:pStyle w:val="NoSpacing"/>
              <w:jc w:val="center"/>
            </w:pPr>
            <w:r w:rsidRPr="00D66514">
              <w:t>-11.0919</w:t>
            </w:r>
          </w:p>
          <w:p w14:paraId="66A491EC" w14:textId="77777777" w:rsidR="00A62ECD" w:rsidRPr="00D66514" w:rsidRDefault="00A62ECD" w:rsidP="0004240D">
            <w:pPr>
              <w:pStyle w:val="NoSpacing"/>
              <w:jc w:val="center"/>
            </w:pPr>
            <w:r w:rsidRPr="00D66514">
              <w:t>(&lt;.0001)</w:t>
            </w:r>
          </w:p>
        </w:tc>
        <w:tc>
          <w:tcPr>
            <w:tcW w:w="0" w:type="auto"/>
            <w:shd w:val="clear" w:color="auto" w:fill="auto"/>
            <w:vAlign w:val="center"/>
          </w:tcPr>
          <w:p w14:paraId="527EEC11" w14:textId="77777777" w:rsidR="00A62ECD" w:rsidRPr="00D66514" w:rsidRDefault="00A62ECD" w:rsidP="0004240D">
            <w:pPr>
              <w:pStyle w:val="NoSpacing"/>
              <w:jc w:val="center"/>
            </w:pPr>
            <w:r w:rsidRPr="00D66514">
              <w:t>-10.6220</w:t>
            </w:r>
          </w:p>
          <w:p w14:paraId="6A332024" w14:textId="77777777" w:rsidR="00A62ECD" w:rsidRPr="00D66514" w:rsidRDefault="00A62ECD" w:rsidP="0004240D">
            <w:pPr>
              <w:pStyle w:val="NoSpacing"/>
              <w:jc w:val="center"/>
            </w:pPr>
            <w:r w:rsidRPr="00D66514">
              <w:t>(&lt;.0001)</w:t>
            </w:r>
          </w:p>
        </w:tc>
        <w:tc>
          <w:tcPr>
            <w:tcW w:w="0" w:type="auto"/>
            <w:shd w:val="clear" w:color="auto" w:fill="auto"/>
            <w:vAlign w:val="center"/>
          </w:tcPr>
          <w:p w14:paraId="4664E85C" w14:textId="77777777" w:rsidR="00A62ECD" w:rsidRPr="00D66514" w:rsidRDefault="00A62ECD" w:rsidP="0004240D">
            <w:pPr>
              <w:pStyle w:val="NoSpacing"/>
              <w:jc w:val="center"/>
            </w:pPr>
            <w:r w:rsidRPr="00D66514">
              <w:t>-9.8039</w:t>
            </w:r>
          </w:p>
          <w:p w14:paraId="2832DEC0" w14:textId="77777777" w:rsidR="00A62ECD" w:rsidRPr="00D66514" w:rsidRDefault="00A62ECD" w:rsidP="0004240D">
            <w:pPr>
              <w:pStyle w:val="NoSpacing"/>
              <w:jc w:val="center"/>
            </w:pPr>
            <w:r w:rsidRPr="00D66514">
              <w:t>(&lt;.0001)</w:t>
            </w:r>
          </w:p>
        </w:tc>
        <w:tc>
          <w:tcPr>
            <w:tcW w:w="0" w:type="auto"/>
            <w:shd w:val="clear" w:color="auto" w:fill="auto"/>
            <w:vAlign w:val="center"/>
          </w:tcPr>
          <w:p w14:paraId="4298309C" w14:textId="77777777" w:rsidR="00A62ECD" w:rsidRPr="00D66514" w:rsidRDefault="00A62ECD" w:rsidP="0004240D">
            <w:pPr>
              <w:pStyle w:val="NoSpacing"/>
              <w:jc w:val="center"/>
            </w:pPr>
            <w:r w:rsidRPr="00D66514">
              <w:t>-8.3530</w:t>
            </w:r>
          </w:p>
          <w:p w14:paraId="638DA7BD" w14:textId="77777777" w:rsidR="00A62ECD" w:rsidRPr="00D66514" w:rsidRDefault="00A62ECD" w:rsidP="0004240D">
            <w:pPr>
              <w:pStyle w:val="NoSpacing"/>
              <w:jc w:val="center"/>
            </w:pPr>
            <w:r w:rsidRPr="00D66514">
              <w:t>(&lt;.0001)</w:t>
            </w:r>
          </w:p>
        </w:tc>
        <w:tc>
          <w:tcPr>
            <w:tcW w:w="0" w:type="auto"/>
            <w:shd w:val="clear" w:color="auto" w:fill="auto"/>
            <w:vAlign w:val="center"/>
          </w:tcPr>
          <w:p w14:paraId="4C68DA0C" w14:textId="77777777" w:rsidR="00A62ECD" w:rsidRPr="00D66514" w:rsidRDefault="00A62ECD" w:rsidP="0004240D">
            <w:pPr>
              <w:pStyle w:val="NoSpacing"/>
              <w:jc w:val="center"/>
            </w:pPr>
            <w:r w:rsidRPr="00D66514">
              <w:t>-14.5149</w:t>
            </w:r>
          </w:p>
          <w:p w14:paraId="6D81D6C6" w14:textId="77777777" w:rsidR="00A62ECD" w:rsidRPr="00D66514" w:rsidRDefault="00A62ECD" w:rsidP="0004240D">
            <w:pPr>
              <w:pStyle w:val="NoSpacing"/>
              <w:jc w:val="center"/>
            </w:pPr>
            <w:r w:rsidRPr="00D66514">
              <w:t>(&lt;.0001)</w:t>
            </w:r>
          </w:p>
        </w:tc>
      </w:tr>
      <w:tr w:rsidR="00A62ECD" w:rsidRPr="00D66514" w14:paraId="39988182" w14:textId="77777777" w:rsidTr="00464934">
        <w:trPr>
          <w:trHeight w:val="600"/>
        </w:trPr>
        <w:tc>
          <w:tcPr>
            <w:tcW w:w="2395" w:type="dxa"/>
            <w:shd w:val="clear" w:color="auto" w:fill="auto"/>
            <w:noWrap/>
            <w:vAlign w:val="center"/>
            <w:hideMark/>
          </w:tcPr>
          <w:p w14:paraId="4B381812" w14:textId="77777777" w:rsidR="00A62ECD" w:rsidRPr="00D66514" w:rsidRDefault="00A62ECD" w:rsidP="0004240D">
            <w:pPr>
              <w:pStyle w:val="NoSpacing"/>
              <w:jc w:val="center"/>
              <w:rPr>
                <w:b/>
                <w:bCs/>
              </w:rPr>
            </w:pPr>
            <w:r w:rsidRPr="00D66514">
              <w:rPr>
                <w:b/>
                <w:bCs/>
              </w:rPr>
              <w:t>Ln(AADT)</w:t>
            </w:r>
          </w:p>
        </w:tc>
        <w:tc>
          <w:tcPr>
            <w:tcW w:w="0" w:type="auto"/>
            <w:shd w:val="clear" w:color="auto" w:fill="auto"/>
            <w:vAlign w:val="center"/>
          </w:tcPr>
          <w:p w14:paraId="4200389D" w14:textId="77777777" w:rsidR="00A62ECD" w:rsidRPr="00D66514" w:rsidRDefault="00A62ECD" w:rsidP="0004240D">
            <w:pPr>
              <w:pStyle w:val="NoSpacing"/>
              <w:jc w:val="center"/>
            </w:pPr>
            <w:r w:rsidRPr="00D66514">
              <w:t>1.1371</w:t>
            </w:r>
          </w:p>
          <w:p w14:paraId="1D88C337" w14:textId="77777777" w:rsidR="00A62ECD" w:rsidRPr="00D66514" w:rsidRDefault="00A62ECD" w:rsidP="0004240D">
            <w:pPr>
              <w:pStyle w:val="NoSpacing"/>
              <w:jc w:val="center"/>
            </w:pPr>
            <w:r w:rsidRPr="00D66514">
              <w:t>(&lt;.0001)</w:t>
            </w:r>
          </w:p>
        </w:tc>
        <w:tc>
          <w:tcPr>
            <w:tcW w:w="0" w:type="auto"/>
            <w:shd w:val="clear" w:color="auto" w:fill="auto"/>
            <w:vAlign w:val="center"/>
          </w:tcPr>
          <w:p w14:paraId="22B5E934" w14:textId="77777777" w:rsidR="00A62ECD" w:rsidRPr="00D66514" w:rsidRDefault="00A62ECD" w:rsidP="0004240D">
            <w:pPr>
              <w:pStyle w:val="NoSpacing"/>
              <w:jc w:val="center"/>
            </w:pPr>
            <w:r w:rsidRPr="00D66514">
              <w:t>1.0723</w:t>
            </w:r>
          </w:p>
          <w:p w14:paraId="37C029A9" w14:textId="77777777" w:rsidR="00A62ECD" w:rsidRPr="00D66514" w:rsidRDefault="00A62ECD" w:rsidP="0004240D">
            <w:pPr>
              <w:pStyle w:val="NoSpacing"/>
              <w:jc w:val="center"/>
            </w:pPr>
            <w:r w:rsidRPr="00D66514">
              <w:t>(&lt;.0001)</w:t>
            </w:r>
          </w:p>
        </w:tc>
        <w:tc>
          <w:tcPr>
            <w:tcW w:w="0" w:type="auto"/>
            <w:shd w:val="clear" w:color="auto" w:fill="auto"/>
            <w:vAlign w:val="center"/>
          </w:tcPr>
          <w:p w14:paraId="620B13F5" w14:textId="77777777" w:rsidR="00A62ECD" w:rsidRPr="00D66514" w:rsidRDefault="00A62ECD" w:rsidP="0004240D">
            <w:pPr>
              <w:pStyle w:val="NoSpacing"/>
              <w:jc w:val="center"/>
            </w:pPr>
            <w:r w:rsidRPr="00D66514">
              <w:t>0.9904</w:t>
            </w:r>
          </w:p>
          <w:p w14:paraId="5E09767E" w14:textId="77777777" w:rsidR="00A62ECD" w:rsidRPr="00D66514" w:rsidRDefault="00A62ECD" w:rsidP="0004240D">
            <w:pPr>
              <w:pStyle w:val="NoSpacing"/>
              <w:jc w:val="center"/>
            </w:pPr>
            <w:r w:rsidRPr="00D66514">
              <w:t>(&lt;.0001)</w:t>
            </w:r>
          </w:p>
        </w:tc>
        <w:tc>
          <w:tcPr>
            <w:tcW w:w="0" w:type="auto"/>
            <w:shd w:val="clear" w:color="auto" w:fill="auto"/>
            <w:vAlign w:val="center"/>
          </w:tcPr>
          <w:p w14:paraId="2C13AD78" w14:textId="77777777" w:rsidR="00A62ECD" w:rsidRPr="00D66514" w:rsidRDefault="00A62ECD" w:rsidP="0004240D">
            <w:pPr>
              <w:pStyle w:val="NoSpacing"/>
              <w:jc w:val="center"/>
            </w:pPr>
            <w:r w:rsidRPr="00D66514">
              <w:t>0.7557</w:t>
            </w:r>
          </w:p>
          <w:p w14:paraId="09F2AB70" w14:textId="77777777" w:rsidR="00A62ECD" w:rsidRPr="00D66514" w:rsidRDefault="00A62ECD" w:rsidP="0004240D">
            <w:pPr>
              <w:pStyle w:val="NoSpacing"/>
              <w:jc w:val="center"/>
            </w:pPr>
            <w:r w:rsidRPr="00D66514">
              <w:t>(&lt;.0001)</w:t>
            </w:r>
          </w:p>
        </w:tc>
        <w:tc>
          <w:tcPr>
            <w:tcW w:w="0" w:type="auto"/>
            <w:shd w:val="clear" w:color="auto" w:fill="auto"/>
            <w:vAlign w:val="center"/>
          </w:tcPr>
          <w:p w14:paraId="3DA7AF2B" w14:textId="77777777" w:rsidR="00A62ECD" w:rsidRPr="00D66514" w:rsidRDefault="00A62ECD" w:rsidP="0004240D">
            <w:pPr>
              <w:pStyle w:val="NoSpacing"/>
              <w:jc w:val="center"/>
            </w:pPr>
            <w:r w:rsidRPr="00D66514">
              <w:t>0.8613</w:t>
            </w:r>
          </w:p>
          <w:p w14:paraId="64F7E966" w14:textId="77777777" w:rsidR="00A62ECD" w:rsidRPr="00D66514" w:rsidRDefault="00A62ECD" w:rsidP="0004240D">
            <w:pPr>
              <w:pStyle w:val="NoSpacing"/>
              <w:jc w:val="center"/>
            </w:pPr>
            <w:r w:rsidRPr="00D66514">
              <w:t>(&lt;.0001)</w:t>
            </w:r>
          </w:p>
        </w:tc>
        <w:tc>
          <w:tcPr>
            <w:tcW w:w="0" w:type="auto"/>
            <w:shd w:val="clear" w:color="auto" w:fill="auto"/>
            <w:vAlign w:val="center"/>
          </w:tcPr>
          <w:p w14:paraId="15C1D3A9" w14:textId="77777777" w:rsidR="00A62ECD" w:rsidRPr="00D66514" w:rsidRDefault="00A62ECD" w:rsidP="0004240D">
            <w:pPr>
              <w:pStyle w:val="NoSpacing"/>
              <w:jc w:val="center"/>
            </w:pPr>
            <w:r w:rsidRPr="00D66514">
              <w:t>1.4704</w:t>
            </w:r>
          </w:p>
          <w:p w14:paraId="47E1B98F" w14:textId="77777777" w:rsidR="00A62ECD" w:rsidRPr="00D66514" w:rsidRDefault="00A62ECD" w:rsidP="0004240D">
            <w:pPr>
              <w:pStyle w:val="NoSpacing"/>
              <w:jc w:val="center"/>
            </w:pPr>
            <w:r w:rsidRPr="00D66514">
              <w:t>(&lt;.0001)</w:t>
            </w:r>
          </w:p>
        </w:tc>
      </w:tr>
      <w:tr w:rsidR="00A62ECD" w:rsidRPr="00D66514" w14:paraId="5B920D66" w14:textId="77777777" w:rsidTr="00464934">
        <w:trPr>
          <w:trHeight w:val="600"/>
        </w:trPr>
        <w:tc>
          <w:tcPr>
            <w:tcW w:w="2395" w:type="dxa"/>
            <w:shd w:val="clear" w:color="auto" w:fill="auto"/>
            <w:noWrap/>
            <w:vAlign w:val="center"/>
            <w:hideMark/>
          </w:tcPr>
          <w:p w14:paraId="2AAD3AE9" w14:textId="77777777" w:rsidR="00A62ECD" w:rsidRPr="00D66514" w:rsidRDefault="00A62ECD" w:rsidP="0004240D">
            <w:pPr>
              <w:pStyle w:val="NoSpacing"/>
              <w:jc w:val="center"/>
              <w:rPr>
                <w:b/>
                <w:bCs/>
              </w:rPr>
            </w:pPr>
            <w:r w:rsidRPr="00D66514">
              <w:rPr>
                <w:b/>
                <w:bCs/>
              </w:rPr>
              <w:t>CA</w:t>
            </w:r>
          </w:p>
        </w:tc>
        <w:tc>
          <w:tcPr>
            <w:tcW w:w="0" w:type="auto"/>
            <w:shd w:val="clear" w:color="auto" w:fill="auto"/>
            <w:vAlign w:val="center"/>
          </w:tcPr>
          <w:p w14:paraId="52B9B896" w14:textId="77777777" w:rsidR="00A62ECD" w:rsidRPr="00D66514" w:rsidRDefault="00A62ECD" w:rsidP="0004240D">
            <w:pPr>
              <w:pStyle w:val="NoSpacing"/>
              <w:jc w:val="center"/>
            </w:pPr>
            <w:r w:rsidRPr="00D66514">
              <w:t>0.3096</w:t>
            </w:r>
          </w:p>
          <w:p w14:paraId="39EB3852" w14:textId="77777777" w:rsidR="00A62ECD" w:rsidRPr="00D66514" w:rsidRDefault="00A62ECD" w:rsidP="0004240D">
            <w:pPr>
              <w:pStyle w:val="NoSpacing"/>
              <w:jc w:val="center"/>
            </w:pPr>
            <w:r w:rsidRPr="00D66514">
              <w:t>(&lt;.0001)</w:t>
            </w:r>
          </w:p>
        </w:tc>
        <w:tc>
          <w:tcPr>
            <w:tcW w:w="0" w:type="auto"/>
            <w:shd w:val="clear" w:color="auto" w:fill="auto"/>
            <w:vAlign w:val="center"/>
          </w:tcPr>
          <w:p w14:paraId="0FDC75DD" w14:textId="77777777" w:rsidR="00A62ECD" w:rsidRPr="00D66514" w:rsidRDefault="00A62ECD" w:rsidP="0004240D">
            <w:pPr>
              <w:pStyle w:val="NoSpacing"/>
              <w:jc w:val="center"/>
            </w:pPr>
            <w:r w:rsidRPr="00D66514">
              <w:t>0.6451</w:t>
            </w:r>
          </w:p>
          <w:p w14:paraId="17A24B1F" w14:textId="77777777" w:rsidR="00A62ECD" w:rsidRPr="00D66514" w:rsidRDefault="00A62ECD" w:rsidP="0004240D">
            <w:pPr>
              <w:pStyle w:val="NoSpacing"/>
              <w:jc w:val="center"/>
            </w:pPr>
            <w:r w:rsidRPr="00D66514">
              <w:t>(&lt;.0001)</w:t>
            </w:r>
          </w:p>
        </w:tc>
        <w:tc>
          <w:tcPr>
            <w:tcW w:w="0" w:type="auto"/>
            <w:shd w:val="clear" w:color="auto" w:fill="auto"/>
            <w:vAlign w:val="center"/>
          </w:tcPr>
          <w:p w14:paraId="4828A1B4" w14:textId="77777777" w:rsidR="00A62ECD" w:rsidRPr="00D66514" w:rsidRDefault="00A62ECD" w:rsidP="0004240D">
            <w:pPr>
              <w:pStyle w:val="NoSpacing"/>
              <w:jc w:val="center"/>
            </w:pPr>
            <w:r w:rsidRPr="00D66514">
              <w:t>0.3416</w:t>
            </w:r>
          </w:p>
          <w:p w14:paraId="59D04E21" w14:textId="77777777" w:rsidR="00A62ECD" w:rsidRPr="00D66514" w:rsidRDefault="00A62ECD" w:rsidP="0004240D">
            <w:pPr>
              <w:pStyle w:val="NoSpacing"/>
              <w:jc w:val="center"/>
            </w:pPr>
            <w:r w:rsidRPr="00D66514">
              <w:t>(0.0046)</w:t>
            </w:r>
          </w:p>
        </w:tc>
        <w:tc>
          <w:tcPr>
            <w:tcW w:w="0" w:type="auto"/>
            <w:shd w:val="clear" w:color="auto" w:fill="auto"/>
            <w:vAlign w:val="center"/>
          </w:tcPr>
          <w:p w14:paraId="27523CBA" w14:textId="77777777" w:rsidR="00A62ECD" w:rsidRPr="00D66514" w:rsidRDefault="00A62ECD" w:rsidP="0004240D">
            <w:pPr>
              <w:pStyle w:val="NoSpacing"/>
              <w:jc w:val="center"/>
            </w:pPr>
            <w:r w:rsidRPr="00D66514">
              <w:t>0.6377</w:t>
            </w:r>
          </w:p>
          <w:p w14:paraId="18F08543" w14:textId="77777777" w:rsidR="00A62ECD" w:rsidRPr="00D66514" w:rsidRDefault="00A62ECD" w:rsidP="0004240D">
            <w:pPr>
              <w:pStyle w:val="NoSpacing"/>
              <w:jc w:val="center"/>
            </w:pPr>
            <w:r w:rsidRPr="00D66514">
              <w:t>(0.0011)</w:t>
            </w:r>
          </w:p>
        </w:tc>
        <w:tc>
          <w:tcPr>
            <w:tcW w:w="0" w:type="auto"/>
            <w:shd w:val="clear" w:color="auto" w:fill="auto"/>
            <w:vAlign w:val="center"/>
          </w:tcPr>
          <w:p w14:paraId="5E351F13" w14:textId="77777777" w:rsidR="00A62ECD" w:rsidRPr="00D66514" w:rsidRDefault="00A62ECD" w:rsidP="0004240D">
            <w:pPr>
              <w:pStyle w:val="NoSpacing"/>
              <w:jc w:val="center"/>
            </w:pPr>
            <w:r w:rsidRPr="00D66514">
              <w:t>0.1922</w:t>
            </w:r>
          </w:p>
          <w:p w14:paraId="36F5FD89" w14:textId="77777777" w:rsidR="00A62ECD" w:rsidRPr="00D66514" w:rsidRDefault="00A62ECD" w:rsidP="0004240D">
            <w:pPr>
              <w:pStyle w:val="NoSpacing"/>
              <w:jc w:val="center"/>
            </w:pPr>
            <w:r w:rsidRPr="00D66514">
              <w:t>(0.0151)</w:t>
            </w:r>
          </w:p>
        </w:tc>
        <w:tc>
          <w:tcPr>
            <w:tcW w:w="0" w:type="auto"/>
            <w:shd w:val="clear" w:color="auto" w:fill="auto"/>
            <w:vAlign w:val="center"/>
          </w:tcPr>
          <w:p w14:paraId="160C3E40" w14:textId="77777777" w:rsidR="00A62ECD" w:rsidRPr="00D66514" w:rsidRDefault="00A62ECD" w:rsidP="0004240D">
            <w:pPr>
              <w:pStyle w:val="NoSpacing"/>
              <w:jc w:val="center"/>
            </w:pPr>
            <w:r w:rsidRPr="00D66514">
              <w:t>0.4072</w:t>
            </w:r>
          </w:p>
          <w:p w14:paraId="6EBCC9AE" w14:textId="77777777" w:rsidR="00A62ECD" w:rsidRPr="00D66514" w:rsidRDefault="00A62ECD" w:rsidP="0004240D">
            <w:pPr>
              <w:pStyle w:val="NoSpacing"/>
              <w:jc w:val="center"/>
            </w:pPr>
            <w:r w:rsidRPr="00D66514">
              <w:t>(0.0002)</w:t>
            </w:r>
          </w:p>
        </w:tc>
      </w:tr>
      <w:tr w:rsidR="00A62ECD" w:rsidRPr="00D66514" w14:paraId="1F079ACF" w14:textId="77777777" w:rsidTr="00464934">
        <w:trPr>
          <w:trHeight w:val="600"/>
        </w:trPr>
        <w:tc>
          <w:tcPr>
            <w:tcW w:w="2395" w:type="dxa"/>
            <w:shd w:val="clear" w:color="auto" w:fill="auto"/>
            <w:noWrap/>
            <w:vAlign w:val="center"/>
            <w:hideMark/>
          </w:tcPr>
          <w:p w14:paraId="0D18DF32" w14:textId="77777777" w:rsidR="00A62ECD" w:rsidRPr="00D66514" w:rsidRDefault="00A62ECD" w:rsidP="0004240D">
            <w:pPr>
              <w:pStyle w:val="NoSpacing"/>
              <w:jc w:val="center"/>
              <w:rPr>
                <w:b/>
                <w:bCs/>
              </w:rPr>
            </w:pPr>
            <w:r w:rsidRPr="00D66514">
              <w:rPr>
                <w:b/>
                <w:bCs/>
              </w:rPr>
              <w:t>CA</w:t>
            </w:r>
            <w:r w:rsidRPr="00D66514">
              <w:rPr>
                <w:rFonts w:cs="Times New Roman"/>
                <w:b/>
                <w:bCs/>
              </w:rPr>
              <w:t>×</w:t>
            </w:r>
            <w:r w:rsidRPr="00D66514">
              <w:rPr>
                <w:b/>
                <w:bCs/>
              </w:rPr>
              <w:t>Ln(AADT)</w:t>
            </w:r>
          </w:p>
        </w:tc>
        <w:tc>
          <w:tcPr>
            <w:tcW w:w="0" w:type="auto"/>
            <w:shd w:val="clear" w:color="auto" w:fill="auto"/>
            <w:vAlign w:val="center"/>
          </w:tcPr>
          <w:p w14:paraId="0E372C2D" w14:textId="77777777" w:rsidR="00A62ECD" w:rsidRPr="00D66514" w:rsidRDefault="00A62ECD" w:rsidP="0004240D">
            <w:pPr>
              <w:pStyle w:val="NoSpacing"/>
              <w:jc w:val="center"/>
            </w:pPr>
            <w:r w:rsidRPr="00D66514">
              <w:t>-</w:t>
            </w:r>
          </w:p>
        </w:tc>
        <w:tc>
          <w:tcPr>
            <w:tcW w:w="0" w:type="auto"/>
            <w:shd w:val="clear" w:color="auto" w:fill="auto"/>
            <w:vAlign w:val="center"/>
          </w:tcPr>
          <w:p w14:paraId="75A677DC" w14:textId="77777777" w:rsidR="00A62ECD" w:rsidRPr="00D66514" w:rsidRDefault="00A62ECD" w:rsidP="0004240D">
            <w:pPr>
              <w:pStyle w:val="NoSpacing"/>
              <w:jc w:val="center"/>
            </w:pPr>
            <w:r w:rsidRPr="00D66514">
              <w:t>-</w:t>
            </w:r>
          </w:p>
        </w:tc>
        <w:tc>
          <w:tcPr>
            <w:tcW w:w="0" w:type="auto"/>
            <w:shd w:val="clear" w:color="auto" w:fill="auto"/>
            <w:vAlign w:val="center"/>
          </w:tcPr>
          <w:p w14:paraId="0E5137FF" w14:textId="77777777" w:rsidR="00A62ECD" w:rsidRPr="00D66514" w:rsidRDefault="00A62ECD" w:rsidP="0004240D">
            <w:pPr>
              <w:pStyle w:val="NoSpacing"/>
              <w:jc w:val="center"/>
            </w:pPr>
            <w:r w:rsidRPr="00D66514">
              <w:t>-</w:t>
            </w:r>
          </w:p>
        </w:tc>
        <w:tc>
          <w:tcPr>
            <w:tcW w:w="0" w:type="auto"/>
            <w:shd w:val="clear" w:color="auto" w:fill="auto"/>
            <w:vAlign w:val="center"/>
          </w:tcPr>
          <w:p w14:paraId="5CDDFBE4" w14:textId="77777777" w:rsidR="00A62ECD" w:rsidRPr="00D66514" w:rsidRDefault="00A62ECD" w:rsidP="0004240D">
            <w:pPr>
              <w:pStyle w:val="NoSpacing"/>
              <w:jc w:val="center"/>
            </w:pPr>
            <w:r w:rsidRPr="00D66514">
              <w:t>-</w:t>
            </w:r>
          </w:p>
        </w:tc>
        <w:tc>
          <w:tcPr>
            <w:tcW w:w="0" w:type="auto"/>
            <w:shd w:val="clear" w:color="auto" w:fill="auto"/>
            <w:vAlign w:val="center"/>
          </w:tcPr>
          <w:p w14:paraId="4B1533E4" w14:textId="77777777" w:rsidR="00A62ECD" w:rsidRPr="00D66514" w:rsidRDefault="00A62ECD" w:rsidP="0004240D">
            <w:pPr>
              <w:pStyle w:val="NoSpacing"/>
              <w:jc w:val="center"/>
            </w:pPr>
            <w:r w:rsidRPr="00D66514">
              <w:t>-</w:t>
            </w:r>
          </w:p>
        </w:tc>
        <w:tc>
          <w:tcPr>
            <w:tcW w:w="0" w:type="auto"/>
            <w:shd w:val="clear" w:color="auto" w:fill="auto"/>
            <w:vAlign w:val="center"/>
          </w:tcPr>
          <w:p w14:paraId="07749869" w14:textId="77777777" w:rsidR="00A62ECD" w:rsidRPr="00D66514" w:rsidRDefault="00A62ECD" w:rsidP="0004240D">
            <w:pPr>
              <w:pStyle w:val="NoSpacing"/>
              <w:jc w:val="center"/>
            </w:pPr>
            <w:r w:rsidRPr="00D66514">
              <w:t>-</w:t>
            </w:r>
          </w:p>
        </w:tc>
      </w:tr>
      <w:tr w:rsidR="00A62ECD" w:rsidRPr="00D66514" w14:paraId="2A05D3F9" w14:textId="77777777" w:rsidTr="00464934">
        <w:trPr>
          <w:trHeight w:val="600"/>
        </w:trPr>
        <w:tc>
          <w:tcPr>
            <w:tcW w:w="2395" w:type="dxa"/>
            <w:shd w:val="clear" w:color="auto" w:fill="auto"/>
            <w:noWrap/>
            <w:vAlign w:val="center"/>
            <w:hideMark/>
          </w:tcPr>
          <w:p w14:paraId="01CAC68D" w14:textId="77777777" w:rsidR="00A62ECD" w:rsidRPr="00D66514" w:rsidRDefault="00A62ECD" w:rsidP="0004240D">
            <w:pPr>
              <w:pStyle w:val="NoSpacing"/>
              <w:jc w:val="center"/>
              <w:rPr>
                <w:b/>
                <w:bCs/>
              </w:rPr>
            </w:pPr>
            <w:r w:rsidRPr="00D66514">
              <w:rPr>
                <w:rFonts w:cs="Times New Roman"/>
                <w:b/>
                <w:bCs/>
              </w:rPr>
              <w:t>C</w:t>
            </w:r>
          </w:p>
        </w:tc>
        <w:tc>
          <w:tcPr>
            <w:tcW w:w="0" w:type="auto"/>
            <w:shd w:val="clear" w:color="auto" w:fill="auto"/>
            <w:vAlign w:val="center"/>
          </w:tcPr>
          <w:p w14:paraId="5B2FD069" w14:textId="77777777" w:rsidR="00A62ECD" w:rsidRPr="00D66514" w:rsidRDefault="00A62ECD" w:rsidP="0004240D">
            <w:pPr>
              <w:pStyle w:val="NoSpacing"/>
              <w:jc w:val="center"/>
            </w:pPr>
            <w:r w:rsidRPr="00D66514">
              <w:t>0.5442</w:t>
            </w:r>
          </w:p>
          <w:p w14:paraId="545B2709" w14:textId="77777777" w:rsidR="00A62ECD" w:rsidRPr="00D66514" w:rsidRDefault="00A62ECD" w:rsidP="0004240D">
            <w:pPr>
              <w:pStyle w:val="NoSpacing"/>
              <w:jc w:val="center"/>
            </w:pPr>
            <w:r w:rsidRPr="00D66514">
              <w:t>(0.0073)</w:t>
            </w:r>
          </w:p>
        </w:tc>
        <w:tc>
          <w:tcPr>
            <w:tcW w:w="0" w:type="auto"/>
            <w:shd w:val="clear" w:color="auto" w:fill="auto"/>
            <w:vAlign w:val="center"/>
          </w:tcPr>
          <w:p w14:paraId="47F55B69" w14:textId="77777777" w:rsidR="00A62ECD" w:rsidRPr="00D66514" w:rsidRDefault="00A62ECD" w:rsidP="0004240D">
            <w:pPr>
              <w:pStyle w:val="NoSpacing"/>
              <w:jc w:val="center"/>
            </w:pPr>
            <w:r w:rsidRPr="00D66514">
              <w:t>0.1215</w:t>
            </w:r>
          </w:p>
          <w:p w14:paraId="2AC0AE80" w14:textId="77777777" w:rsidR="00A62ECD" w:rsidRPr="00D66514" w:rsidRDefault="00A62ECD" w:rsidP="0004240D">
            <w:pPr>
              <w:pStyle w:val="NoSpacing"/>
              <w:jc w:val="center"/>
            </w:pPr>
            <w:r w:rsidRPr="00D66514">
              <w:t>(0.7788)</w:t>
            </w:r>
          </w:p>
        </w:tc>
        <w:tc>
          <w:tcPr>
            <w:tcW w:w="0" w:type="auto"/>
            <w:shd w:val="clear" w:color="auto" w:fill="auto"/>
            <w:vAlign w:val="center"/>
          </w:tcPr>
          <w:p w14:paraId="3CF338CB" w14:textId="77777777" w:rsidR="00A62ECD" w:rsidRPr="00D66514" w:rsidRDefault="00A62ECD" w:rsidP="0004240D">
            <w:pPr>
              <w:pStyle w:val="NoSpacing"/>
              <w:jc w:val="center"/>
            </w:pPr>
            <w:r w:rsidRPr="00D66514">
              <w:t>0.05130</w:t>
            </w:r>
          </w:p>
          <w:p w14:paraId="59D6AAD9" w14:textId="77777777" w:rsidR="00A62ECD" w:rsidRPr="00D66514" w:rsidRDefault="00A62ECD" w:rsidP="0004240D">
            <w:pPr>
              <w:pStyle w:val="NoSpacing"/>
              <w:jc w:val="center"/>
            </w:pPr>
            <w:r w:rsidRPr="00D66514">
              <w:t>(0.9225)</w:t>
            </w:r>
          </w:p>
        </w:tc>
        <w:tc>
          <w:tcPr>
            <w:tcW w:w="0" w:type="auto"/>
            <w:shd w:val="clear" w:color="auto" w:fill="auto"/>
            <w:vAlign w:val="center"/>
          </w:tcPr>
          <w:p w14:paraId="1B651E47" w14:textId="77777777" w:rsidR="00A62ECD" w:rsidRPr="00D66514" w:rsidRDefault="00A62ECD" w:rsidP="0004240D">
            <w:pPr>
              <w:pStyle w:val="NoSpacing"/>
              <w:jc w:val="center"/>
            </w:pPr>
            <w:r w:rsidRPr="00D66514">
              <w:t>9.7495</w:t>
            </w:r>
          </w:p>
          <w:p w14:paraId="11473C4C" w14:textId="77777777" w:rsidR="00A62ECD" w:rsidRPr="00D66514" w:rsidRDefault="00A62ECD" w:rsidP="0004240D">
            <w:pPr>
              <w:pStyle w:val="NoSpacing"/>
              <w:jc w:val="center"/>
            </w:pPr>
            <w:r w:rsidRPr="00D66514">
              <w:t>(0.9715)</w:t>
            </w:r>
          </w:p>
        </w:tc>
        <w:tc>
          <w:tcPr>
            <w:tcW w:w="0" w:type="auto"/>
            <w:shd w:val="clear" w:color="auto" w:fill="auto"/>
            <w:vAlign w:val="center"/>
          </w:tcPr>
          <w:p w14:paraId="74E0F36B" w14:textId="77777777" w:rsidR="00A62ECD" w:rsidRPr="00D66514" w:rsidRDefault="00A62ECD" w:rsidP="0004240D">
            <w:pPr>
              <w:pStyle w:val="NoSpacing"/>
              <w:jc w:val="center"/>
            </w:pPr>
            <w:r w:rsidRPr="00D66514">
              <w:t>0.2823</w:t>
            </w:r>
          </w:p>
          <w:p w14:paraId="74E73878" w14:textId="77777777" w:rsidR="00A62ECD" w:rsidRPr="00D66514" w:rsidRDefault="00A62ECD" w:rsidP="0004240D">
            <w:pPr>
              <w:pStyle w:val="NoSpacing"/>
              <w:jc w:val="center"/>
            </w:pPr>
            <w:r w:rsidRPr="00D66514">
              <w:t>(0.2693)</w:t>
            </w:r>
          </w:p>
        </w:tc>
        <w:tc>
          <w:tcPr>
            <w:tcW w:w="0" w:type="auto"/>
            <w:shd w:val="clear" w:color="auto" w:fill="auto"/>
            <w:vAlign w:val="center"/>
          </w:tcPr>
          <w:p w14:paraId="656E434F" w14:textId="77777777" w:rsidR="00A62ECD" w:rsidRPr="00D66514" w:rsidRDefault="00A62ECD" w:rsidP="0004240D">
            <w:pPr>
              <w:pStyle w:val="NoSpacing"/>
              <w:jc w:val="center"/>
            </w:pPr>
            <w:r w:rsidRPr="00D66514">
              <w:t>-0.1336</w:t>
            </w:r>
          </w:p>
          <w:p w14:paraId="5219274F" w14:textId="77777777" w:rsidR="00A62ECD" w:rsidRPr="00D66514" w:rsidRDefault="00A62ECD" w:rsidP="0004240D">
            <w:pPr>
              <w:pStyle w:val="NoSpacing"/>
              <w:jc w:val="center"/>
            </w:pPr>
            <w:r w:rsidRPr="00D66514">
              <w:t>(0.5964)</w:t>
            </w:r>
          </w:p>
        </w:tc>
      </w:tr>
      <w:tr w:rsidR="00A62ECD" w:rsidRPr="00D66514" w14:paraId="72E3DEF6" w14:textId="77777777" w:rsidTr="00464934">
        <w:trPr>
          <w:trHeight w:val="600"/>
        </w:trPr>
        <w:tc>
          <w:tcPr>
            <w:tcW w:w="2395" w:type="dxa"/>
            <w:shd w:val="clear" w:color="auto" w:fill="auto"/>
            <w:noWrap/>
            <w:vAlign w:val="center"/>
            <w:hideMark/>
          </w:tcPr>
          <w:p w14:paraId="3CA1BBDE" w14:textId="77777777" w:rsidR="00A62ECD" w:rsidRPr="00D66514" w:rsidRDefault="00A62ECD" w:rsidP="0004240D">
            <w:pPr>
              <w:pStyle w:val="NoSpacing"/>
              <w:jc w:val="center"/>
              <w:rPr>
                <w:b/>
                <w:bCs/>
              </w:rPr>
            </w:pPr>
            <w:r w:rsidRPr="00D66514">
              <w:rPr>
                <w:rFonts w:cs="Times New Roman"/>
                <w:b/>
                <w:bCs/>
              </w:rPr>
              <w:t>G</w:t>
            </w:r>
          </w:p>
        </w:tc>
        <w:tc>
          <w:tcPr>
            <w:tcW w:w="0" w:type="auto"/>
            <w:shd w:val="clear" w:color="auto" w:fill="auto"/>
            <w:vAlign w:val="center"/>
          </w:tcPr>
          <w:p w14:paraId="23B10745" w14:textId="77777777" w:rsidR="00A62ECD" w:rsidRPr="00D66514" w:rsidRDefault="00A62ECD" w:rsidP="0004240D">
            <w:pPr>
              <w:pStyle w:val="NoSpacing"/>
              <w:jc w:val="center"/>
            </w:pPr>
            <w:r w:rsidRPr="00D66514">
              <w:t>-0.05102</w:t>
            </w:r>
          </w:p>
          <w:p w14:paraId="5970B0D1" w14:textId="77777777" w:rsidR="00A62ECD" w:rsidRPr="00D66514" w:rsidRDefault="00A62ECD" w:rsidP="0004240D">
            <w:pPr>
              <w:pStyle w:val="NoSpacing"/>
              <w:jc w:val="center"/>
            </w:pPr>
            <w:r w:rsidRPr="00D66514">
              <w:t>(0.8236)</w:t>
            </w:r>
          </w:p>
        </w:tc>
        <w:tc>
          <w:tcPr>
            <w:tcW w:w="0" w:type="auto"/>
            <w:shd w:val="clear" w:color="auto" w:fill="auto"/>
            <w:vAlign w:val="center"/>
          </w:tcPr>
          <w:p w14:paraId="533C1818" w14:textId="77777777" w:rsidR="00A62ECD" w:rsidRPr="00D66514" w:rsidRDefault="00A62ECD" w:rsidP="0004240D">
            <w:pPr>
              <w:pStyle w:val="NoSpacing"/>
              <w:jc w:val="center"/>
            </w:pPr>
            <w:r w:rsidRPr="00D66514">
              <w:t>0.2822</w:t>
            </w:r>
          </w:p>
          <w:p w14:paraId="43752636" w14:textId="77777777" w:rsidR="00A62ECD" w:rsidRPr="00D66514" w:rsidRDefault="00A62ECD" w:rsidP="0004240D">
            <w:pPr>
              <w:pStyle w:val="NoSpacing"/>
              <w:jc w:val="center"/>
            </w:pPr>
            <w:r w:rsidRPr="00D66514">
              <w:t>(0.5422)</w:t>
            </w:r>
          </w:p>
        </w:tc>
        <w:tc>
          <w:tcPr>
            <w:tcW w:w="0" w:type="auto"/>
            <w:shd w:val="clear" w:color="auto" w:fill="auto"/>
            <w:vAlign w:val="center"/>
          </w:tcPr>
          <w:p w14:paraId="0047C920" w14:textId="77777777" w:rsidR="00A62ECD" w:rsidRPr="00D66514" w:rsidRDefault="00A62ECD" w:rsidP="0004240D">
            <w:pPr>
              <w:pStyle w:val="NoSpacing"/>
              <w:jc w:val="center"/>
            </w:pPr>
            <w:r w:rsidRPr="00D66514">
              <w:t>0.4394</w:t>
            </w:r>
          </w:p>
          <w:p w14:paraId="5CFB8C7E" w14:textId="77777777" w:rsidR="00A62ECD" w:rsidRPr="00D66514" w:rsidRDefault="00A62ECD" w:rsidP="0004240D">
            <w:pPr>
              <w:pStyle w:val="NoSpacing"/>
              <w:jc w:val="center"/>
            </w:pPr>
            <w:r w:rsidRPr="00D66514">
              <w:t>(0.4653)</w:t>
            </w:r>
          </w:p>
        </w:tc>
        <w:tc>
          <w:tcPr>
            <w:tcW w:w="0" w:type="auto"/>
            <w:shd w:val="clear" w:color="auto" w:fill="auto"/>
            <w:vAlign w:val="center"/>
          </w:tcPr>
          <w:p w14:paraId="39499CA3" w14:textId="77777777" w:rsidR="00A62ECD" w:rsidRPr="00D66514" w:rsidRDefault="00A62ECD" w:rsidP="0004240D">
            <w:pPr>
              <w:pStyle w:val="NoSpacing"/>
              <w:jc w:val="center"/>
            </w:pPr>
            <w:r w:rsidRPr="00D66514">
              <w:t>-9.7658</w:t>
            </w:r>
          </w:p>
          <w:p w14:paraId="580AD96D" w14:textId="77777777" w:rsidR="00A62ECD" w:rsidRPr="00D66514" w:rsidRDefault="00A62ECD" w:rsidP="0004240D">
            <w:pPr>
              <w:pStyle w:val="NoSpacing"/>
              <w:jc w:val="center"/>
            </w:pPr>
            <w:r w:rsidRPr="00D66514">
              <w:t>(0.9715)</w:t>
            </w:r>
          </w:p>
        </w:tc>
        <w:tc>
          <w:tcPr>
            <w:tcW w:w="0" w:type="auto"/>
            <w:shd w:val="clear" w:color="auto" w:fill="auto"/>
            <w:vAlign w:val="center"/>
          </w:tcPr>
          <w:p w14:paraId="33441DFD" w14:textId="77777777" w:rsidR="00A62ECD" w:rsidRPr="00D66514" w:rsidRDefault="00A62ECD" w:rsidP="0004240D">
            <w:pPr>
              <w:pStyle w:val="NoSpacing"/>
              <w:jc w:val="center"/>
            </w:pPr>
            <w:r w:rsidRPr="00D66514">
              <w:t>0.8175</w:t>
            </w:r>
          </w:p>
          <w:p w14:paraId="573F4242" w14:textId="77777777" w:rsidR="00A62ECD" w:rsidRPr="00D66514" w:rsidRDefault="00A62ECD" w:rsidP="0004240D">
            <w:pPr>
              <w:pStyle w:val="NoSpacing"/>
              <w:jc w:val="center"/>
            </w:pPr>
            <w:r w:rsidRPr="00D66514">
              <w:t>(0.0135)</w:t>
            </w:r>
          </w:p>
        </w:tc>
        <w:tc>
          <w:tcPr>
            <w:tcW w:w="0" w:type="auto"/>
            <w:shd w:val="clear" w:color="auto" w:fill="auto"/>
            <w:vAlign w:val="center"/>
          </w:tcPr>
          <w:p w14:paraId="30DDC587" w14:textId="77777777" w:rsidR="00A62ECD" w:rsidRPr="00D66514" w:rsidRDefault="00A62ECD" w:rsidP="0004240D">
            <w:pPr>
              <w:pStyle w:val="NoSpacing"/>
              <w:jc w:val="center"/>
            </w:pPr>
            <w:r w:rsidRPr="00D66514">
              <w:t>-0.2578</w:t>
            </w:r>
          </w:p>
          <w:p w14:paraId="46EFA6EE" w14:textId="77777777" w:rsidR="00A62ECD" w:rsidRPr="00D66514" w:rsidRDefault="00A62ECD" w:rsidP="0004240D">
            <w:pPr>
              <w:pStyle w:val="NoSpacing"/>
              <w:jc w:val="center"/>
            </w:pPr>
            <w:r w:rsidRPr="00D66514">
              <w:t>(0.3501)</w:t>
            </w:r>
          </w:p>
        </w:tc>
      </w:tr>
      <w:tr w:rsidR="00A62ECD" w:rsidRPr="00D66514" w14:paraId="2B246383" w14:textId="77777777" w:rsidTr="00464934">
        <w:trPr>
          <w:trHeight w:val="600"/>
        </w:trPr>
        <w:tc>
          <w:tcPr>
            <w:tcW w:w="2395" w:type="dxa"/>
            <w:shd w:val="clear" w:color="auto" w:fill="auto"/>
            <w:noWrap/>
            <w:vAlign w:val="center"/>
            <w:hideMark/>
          </w:tcPr>
          <w:p w14:paraId="2AED6FCA" w14:textId="77777777" w:rsidR="00A62ECD" w:rsidRPr="00D66514" w:rsidRDefault="00A62ECD" w:rsidP="0004240D">
            <w:pPr>
              <w:pStyle w:val="NoSpacing"/>
              <w:jc w:val="center"/>
              <w:rPr>
                <w:b/>
                <w:bCs/>
              </w:rPr>
            </w:pPr>
            <w:r w:rsidRPr="00D66514">
              <w:rPr>
                <w:rFonts w:cs="Times New Roman"/>
                <w:b/>
                <w:bCs/>
              </w:rPr>
              <w:t>D</w:t>
            </w:r>
          </w:p>
        </w:tc>
        <w:tc>
          <w:tcPr>
            <w:tcW w:w="0" w:type="auto"/>
            <w:shd w:val="clear" w:color="auto" w:fill="auto"/>
            <w:vAlign w:val="center"/>
          </w:tcPr>
          <w:p w14:paraId="71E66BED" w14:textId="77777777" w:rsidR="00A62ECD" w:rsidRPr="00D66514" w:rsidRDefault="00A62ECD" w:rsidP="0004240D">
            <w:pPr>
              <w:pStyle w:val="NoSpacing"/>
              <w:jc w:val="center"/>
            </w:pPr>
            <w:r w:rsidRPr="00D66514">
              <w:t>0.6473</w:t>
            </w:r>
          </w:p>
          <w:p w14:paraId="2FC7513E" w14:textId="77777777" w:rsidR="00A62ECD" w:rsidRPr="00D66514" w:rsidRDefault="00A62ECD" w:rsidP="0004240D">
            <w:pPr>
              <w:pStyle w:val="NoSpacing"/>
              <w:jc w:val="center"/>
            </w:pPr>
            <w:r w:rsidRPr="00D66514">
              <w:t>(0.0027)</w:t>
            </w:r>
          </w:p>
        </w:tc>
        <w:tc>
          <w:tcPr>
            <w:tcW w:w="0" w:type="auto"/>
            <w:shd w:val="clear" w:color="auto" w:fill="auto"/>
            <w:vAlign w:val="center"/>
          </w:tcPr>
          <w:p w14:paraId="0C8491F7" w14:textId="77777777" w:rsidR="00A62ECD" w:rsidRPr="00D66514" w:rsidRDefault="00A62ECD" w:rsidP="0004240D">
            <w:pPr>
              <w:pStyle w:val="NoSpacing"/>
              <w:jc w:val="center"/>
            </w:pPr>
            <w:r w:rsidRPr="00D66514">
              <w:t>0.5680</w:t>
            </w:r>
          </w:p>
          <w:p w14:paraId="54E06D6C" w14:textId="77777777" w:rsidR="00A62ECD" w:rsidRPr="00D66514" w:rsidRDefault="00A62ECD" w:rsidP="0004240D">
            <w:pPr>
              <w:pStyle w:val="NoSpacing"/>
              <w:jc w:val="center"/>
            </w:pPr>
            <w:r w:rsidRPr="00D66514">
              <w:t>(0.1079)</w:t>
            </w:r>
          </w:p>
        </w:tc>
        <w:tc>
          <w:tcPr>
            <w:tcW w:w="0" w:type="auto"/>
            <w:shd w:val="clear" w:color="auto" w:fill="auto"/>
            <w:vAlign w:val="center"/>
          </w:tcPr>
          <w:p w14:paraId="40D2A705" w14:textId="77777777" w:rsidR="00A62ECD" w:rsidRPr="00D66514" w:rsidRDefault="00A62ECD" w:rsidP="0004240D">
            <w:pPr>
              <w:pStyle w:val="NoSpacing"/>
              <w:jc w:val="center"/>
            </w:pPr>
            <w:r w:rsidRPr="00D66514">
              <w:t>0.4024</w:t>
            </w:r>
          </w:p>
          <w:p w14:paraId="6C5E3C09" w14:textId="77777777" w:rsidR="00A62ECD" w:rsidRPr="00D66514" w:rsidRDefault="00A62ECD" w:rsidP="0004240D">
            <w:pPr>
              <w:pStyle w:val="NoSpacing"/>
              <w:jc w:val="center"/>
            </w:pPr>
            <w:r w:rsidRPr="00D66514">
              <w:t>(0.3237)</w:t>
            </w:r>
          </w:p>
        </w:tc>
        <w:tc>
          <w:tcPr>
            <w:tcW w:w="0" w:type="auto"/>
            <w:shd w:val="clear" w:color="auto" w:fill="auto"/>
            <w:vAlign w:val="center"/>
          </w:tcPr>
          <w:p w14:paraId="76322193" w14:textId="77777777" w:rsidR="00A62ECD" w:rsidRPr="00D66514" w:rsidRDefault="00A62ECD" w:rsidP="0004240D">
            <w:pPr>
              <w:pStyle w:val="NoSpacing"/>
              <w:jc w:val="center"/>
            </w:pPr>
            <w:r w:rsidRPr="00D66514">
              <w:t>1.0930</w:t>
            </w:r>
          </w:p>
          <w:p w14:paraId="7C3EEB6D" w14:textId="77777777" w:rsidR="00A62ECD" w:rsidRPr="00D66514" w:rsidRDefault="00A62ECD" w:rsidP="0004240D">
            <w:pPr>
              <w:pStyle w:val="NoSpacing"/>
              <w:jc w:val="center"/>
            </w:pPr>
            <w:r w:rsidRPr="00D66514">
              <w:t>(0.9937)</w:t>
            </w:r>
          </w:p>
        </w:tc>
        <w:tc>
          <w:tcPr>
            <w:tcW w:w="0" w:type="auto"/>
            <w:shd w:val="clear" w:color="auto" w:fill="auto"/>
            <w:vAlign w:val="center"/>
          </w:tcPr>
          <w:p w14:paraId="14DAAB83" w14:textId="77777777" w:rsidR="00A62ECD" w:rsidRPr="00D66514" w:rsidRDefault="00A62ECD" w:rsidP="0004240D">
            <w:pPr>
              <w:pStyle w:val="NoSpacing"/>
              <w:jc w:val="center"/>
            </w:pPr>
            <w:r w:rsidRPr="00D66514">
              <w:t>0.8964</w:t>
            </w:r>
          </w:p>
          <w:p w14:paraId="23F27E42" w14:textId="77777777" w:rsidR="00A62ECD" w:rsidRPr="00D66514" w:rsidRDefault="00A62ECD" w:rsidP="0004240D">
            <w:pPr>
              <w:pStyle w:val="NoSpacing"/>
              <w:jc w:val="center"/>
            </w:pPr>
            <w:r w:rsidRPr="00D66514">
              <w:t>(0.0008)</w:t>
            </w:r>
          </w:p>
        </w:tc>
        <w:tc>
          <w:tcPr>
            <w:tcW w:w="0" w:type="auto"/>
            <w:shd w:val="clear" w:color="auto" w:fill="auto"/>
            <w:vAlign w:val="center"/>
          </w:tcPr>
          <w:p w14:paraId="28E27043" w14:textId="77777777" w:rsidR="00A62ECD" w:rsidRPr="00D66514" w:rsidRDefault="00A62ECD" w:rsidP="0004240D">
            <w:pPr>
              <w:pStyle w:val="NoSpacing"/>
              <w:jc w:val="center"/>
            </w:pPr>
            <w:r w:rsidRPr="00D66514">
              <w:t>0.7255</w:t>
            </w:r>
          </w:p>
          <w:p w14:paraId="11F97C5B" w14:textId="77777777" w:rsidR="00A62ECD" w:rsidRPr="00D66514" w:rsidRDefault="00A62ECD" w:rsidP="0004240D">
            <w:pPr>
              <w:pStyle w:val="NoSpacing"/>
              <w:jc w:val="center"/>
            </w:pPr>
            <w:r w:rsidRPr="00D66514">
              <w:t>(0.0094)</w:t>
            </w:r>
          </w:p>
        </w:tc>
      </w:tr>
      <w:tr w:rsidR="00A62ECD" w:rsidRPr="00D66514" w14:paraId="32D9B3ED" w14:textId="77777777" w:rsidTr="00464934">
        <w:trPr>
          <w:trHeight w:val="600"/>
        </w:trPr>
        <w:tc>
          <w:tcPr>
            <w:tcW w:w="2395" w:type="dxa"/>
            <w:shd w:val="clear" w:color="auto" w:fill="auto"/>
            <w:noWrap/>
            <w:vAlign w:val="center"/>
            <w:hideMark/>
          </w:tcPr>
          <w:p w14:paraId="2E0A51C3" w14:textId="77777777" w:rsidR="00A62ECD" w:rsidRPr="00D66514" w:rsidRDefault="00A62ECD" w:rsidP="0004240D">
            <w:pPr>
              <w:pStyle w:val="NoSpacing"/>
              <w:jc w:val="center"/>
              <w:rPr>
                <w:b/>
                <w:bCs/>
              </w:rPr>
            </w:pPr>
            <w:r w:rsidRPr="00D66514">
              <w:rPr>
                <w:rFonts w:cs="Times New Roman"/>
                <w:b/>
                <w:bCs/>
              </w:rPr>
              <w:t>H</w:t>
            </w:r>
          </w:p>
        </w:tc>
        <w:tc>
          <w:tcPr>
            <w:tcW w:w="0" w:type="auto"/>
            <w:shd w:val="clear" w:color="auto" w:fill="auto"/>
            <w:vAlign w:val="center"/>
          </w:tcPr>
          <w:p w14:paraId="5CEF7004" w14:textId="77777777" w:rsidR="00A62ECD" w:rsidRPr="00D66514" w:rsidRDefault="00A62ECD" w:rsidP="0004240D">
            <w:pPr>
              <w:pStyle w:val="NoSpacing"/>
              <w:jc w:val="center"/>
            </w:pPr>
            <w:r w:rsidRPr="00D66514">
              <w:t>-0.06195</w:t>
            </w:r>
          </w:p>
          <w:p w14:paraId="68A942E9" w14:textId="77777777" w:rsidR="00A62ECD" w:rsidRPr="00D66514" w:rsidRDefault="00A62ECD" w:rsidP="0004240D">
            <w:pPr>
              <w:pStyle w:val="NoSpacing"/>
              <w:jc w:val="center"/>
            </w:pPr>
            <w:r w:rsidRPr="00D66514">
              <w:t>(0.8018)</w:t>
            </w:r>
          </w:p>
        </w:tc>
        <w:tc>
          <w:tcPr>
            <w:tcW w:w="0" w:type="auto"/>
            <w:shd w:val="clear" w:color="auto" w:fill="auto"/>
            <w:vAlign w:val="center"/>
          </w:tcPr>
          <w:p w14:paraId="4078CF58" w14:textId="77777777" w:rsidR="00A62ECD" w:rsidRPr="00D66514" w:rsidRDefault="00A62ECD" w:rsidP="0004240D">
            <w:pPr>
              <w:pStyle w:val="NoSpacing"/>
              <w:jc w:val="center"/>
            </w:pPr>
            <w:r w:rsidRPr="00D66514">
              <w:t>0.09297</w:t>
            </w:r>
          </w:p>
          <w:p w14:paraId="75B72F9E" w14:textId="77777777" w:rsidR="00A62ECD" w:rsidRPr="00D66514" w:rsidRDefault="00A62ECD" w:rsidP="0004240D">
            <w:pPr>
              <w:pStyle w:val="NoSpacing"/>
              <w:jc w:val="center"/>
            </w:pPr>
            <w:r w:rsidRPr="00D66514">
              <w:t>(0.8177)</w:t>
            </w:r>
          </w:p>
        </w:tc>
        <w:tc>
          <w:tcPr>
            <w:tcW w:w="0" w:type="auto"/>
            <w:shd w:val="clear" w:color="auto" w:fill="auto"/>
            <w:vAlign w:val="center"/>
          </w:tcPr>
          <w:p w14:paraId="0FAAB9A3" w14:textId="77777777" w:rsidR="00A62ECD" w:rsidRPr="00D66514" w:rsidRDefault="00A62ECD" w:rsidP="0004240D">
            <w:pPr>
              <w:pStyle w:val="NoSpacing"/>
              <w:jc w:val="center"/>
            </w:pPr>
            <w:r w:rsidRPr="00D66514">
              <w:t>0.6697</w:t>
            </w:r>
          </w:p>
          <w:p w14:paraId="23A051CC" w14:textId="77777777" w:rsidR="00A62ECD" w:rsidRPr="00D66514" w:rsidRDefault="00A62ECD" w:rsidP="0004240D">
            <w:pPr>
              <w:pStyle w:val="NoSpacing"/>
              <w:jc w:val="center"/>
            </w:pPr>
            <w:r w:rsidRPr="00D66514">
              <w:t>(0.1977)</w:t>
            </w:r>
          </w:p>
        </w:tc>
        <w:tc>
          <w:tcPr>
            <w:tcW w:w="0" w:type="auto"/>
            <w:shd w:val="clear" w:color="auto" w:fill="auto"/>
            <w:vAlign w:val="center"/>
          </w:tcPr>
          <w:p w14:paraId="586EBFB2" w14:textId="77777777" w:rsidR="00A62ECD" w:rsidRPr="00D66514" w:rsidRDefault="00A62ECD" w:rsidP="0004240D">
            <w:pPr>
              <w:pStyle w:val="NoSpacing"/>
              <w:jc w:val="center"/>
            </w:pPr>
            <w:r w:rsidRPr="00D66514">
              <w:t>0.5744</w:t>
            </w:r>
          </w:p>
          <w:p w14:paraId="2BBCFF89" w14:textId="77777777" w:rsidR="00A62ECD" w:rsidRPr="00D66514" w:rsidRDefault="00A62ECD" w:rsidP="0004240D">
            <w:pPr>
              <w:pStyle w:val="NoSpacing"/>
              <w:jc w:val="center"/>
            </w:pPr>
            <w:r w:rsidRPr="00D66514">
              <w:t>(0.9967)</w:t>
            </w:r>
          </w:p>
        </w:tc>
        <w:tc>
          <w:tcPr>
            <w:tcW w:w="0" w:type="auto"/>
            <w:shd w:val="clear" w:color="auto" w:fill="auto"/>
            <w:vAlign w:val="center"/>
          </w:tcPr>
          <w:p w14:paraId="0CA3E584" w14:textId="77777777" w:rsidR="00A62ECD" w:rsidRPr="00D66514" w:rsidRDefault="00A62ECD" w:rsidP="0004240D">
            <w:pPr>
              <w:pStyle w:val="NoSpacing"/>
              <w:jc w:val="center"/>
            </w:pPr>
            <w:r w:rsidRPr="00D66514">
              <w:t>-0.4491</w:t>
            </w:r>
          </w:p>
          <w:p w14:paraId="06A8BC05" w14:textId="77777777" w:rsidR="00A62ECD" w:rsidRPr="00D66514" w:rsidRDefault="00A62ECD" w:rsidP="0004240D">
            <w:pPr>
              <w:pStyle w:val="NoSpacing"/>
              <w:jc w:val="center"/>
            </w:pPr>
            <w:r w:rsidRPr="00D66514">
              <w:t>(0.2051)</w:t>
            </w:r>
          </w:p>
        </w:tc>
        <w:tc>
          <w:tcPr>
            <w:tcW w:w="0" w:type="auto"/>
            <w:shd w:val="clear" w:color="auto" w:fill="auto"/>
            <w:vAlign w:val="center"/>
          </w:tcPr>
          <w:p w14:paraId="1241AEBC" w14:textId="77777777" w:rsidR="00A62ECD" w:rsidRPr="00D66514" w:rsidRDefault="00A62ECD" w:rsidP="0004240D">
            <w:pPr>
              <w:pStyle w:val="NoSpacing"/>
              <w:jc w:val="center"/>
            </w:pPr>
            <w:r w:rsidRPr="00D66514">
              <w:t>-0.07034</w:t>
            </w:r>
          </w:p>
          <w:p w14:paraId="7CD92E7F" w14:textId="77777777" w:rsidR="00A62ECD" w:rsidRPr="00D66514" w:rsidRDefault="00A62ECD" w:rsidP="0004240D">
            <w:pPr>
              <w:pStyle w:val="NoSpacing"/>
              <w:jc w:val="center"/>
            </w:pPr>
            <w:r w:rsidRPr="00D66514">
              <w:t>(0.8177)</w:t>
            </w:r>
          </w:p>
        </w:tc>
      </w:tr>
      <w:tr w:rsidR="00A62ECD" w:rsidRPr="00D66514" w14:paraId="59FEBB61" w14:textId="77777777" w:rsidTr="00464934">
        <w:trPr>
          <w:trHeight w:val="300"/>
        </w:trPr>
        <w:tc>
          <w:tcPr>
            <w:tcW w:w="9213" w:type="dxa"/>
            <w:gridSpan w:val="7"/>
            <w:shd w:val="clear" w:color="auto" w:fill="auto"/>
            <w:noWrap/>
            <w:vAlign w:val="center"/>
            <w:hideMark/>
          </w:tcPr>
          <w:p w14:paraId="64D85340" w14:textId="77777777" w:rsidR="00A62ECD" w:rsidRPr="00D66514" w:rsidRDefault="00A62ECD" w:rsidP="0004240D">
            <w:pPr>
              <w:pStyle w:val="NoSpacing"/>
              <w:jc w:val="center"/>
              <w:rPr>
                <w:b/>
                <w:bCs/>
              </w:rPr>
            </w:pPr>
            <w:r w:rsidRPr="00D66514">
              <w:rPr>
                <w:b/>
                <w:bCs/>
              </w:rPr>
              <w:t>Goodness of Fit Measures</w:t>
            </w:r>
          </w:p>
        </w:tc>
      </w:tr>
      <w:tr w:rsidR="00A62ECD" w:rsidRPr="00D66514" w14:paraId="4844A7F6" w14:textId="77777777" w:rsidTr="00464934">
        <w:trPr>
          <w:trHeight w:val="300"/>
        </w:trPr>
        <w:tc>
          <w:tcPr>
            <w:tcW w:w="2395" w:type="dxa"/>
            <w:shd w:val="clear" w:color="auto" w:fill="auto"/>
            <w:noWrap/>
            <w:vAlign w:val="center"/>
            <w:hideMark/>
          </w:tcPr>
          <w:p w14:paraId="1C675F1E" w14:textId="77777777" w:rsidR="00A62ECD" w:rsidRPr="00D66514" w:rsidRDefault="00A62ECD" w:rsidP="0004240D">
            <w:pPr>
              <w:pStyle w:val="NoSpacing"/>
              <w:jc w:val="center"/>
              <w:rPr>
                <w:b/>
                <w:bCs/>
              </w:rPr>
            </w:pPr>
            <w:r w:rsidRPr="00D66514">
              <w:rPr>
                <w:b/>
                <w:bCs/>
              </w:rPr>
              <w:t>-2LL</w:t>
            </w:r>
          </w:p>
        </w:tc>
        <w:tc>
          <w:tcPr>
            <w:tcW w:w="0" w:type="auto"/>
            <w:shd w:val="clear" w:color="auto" w:fill="auto"/>
            <w:noWrap/>
            <w:vAlign w:val="center"/>
          </w:tcPr>
          <w:p w14:paraId="44B8C46F" w14:textId="77777777" w:rsidR="00A62ECD" w:rsidRPr="00D66514" w:rsidRDefault="00A62ECD" w:rsidP="0004240D">
            <w:pPr>
              <w:pStyle w:val="NoSpacing"/>
              <w:jc w:val="center"/>
            </w:pPr>
            <w:r w:rsidRPr="00D66514">
              <w:t>3672.7</w:t>
            </w:r>
          </w:p>
        </w:tc>
        <w:tc>
          <w:tcPr>
            <w:tcW w:w="0" w:type="auto"/>
            <w:shd w:val="clear" w:color="auto" w:fill="auto"/>
            <w:noWrap/>
            <w:vAlign w:val="center"/>
          </w:tcPr>
          <w:p w14:paraId="7F54BB8C" w14:textId="77777777" w:rsidR="00A62ECD" w:rsidRPr="00D66514" w:rsidRDefault="00A62ECD" w:rsidP="0004240D">
            <w:pPr>
              <w:pStyle w:val="NoSpacing"/>
              <w:jc w:val="center"/>
            </w:pPr>
            <w:r w:rsidRPr="00D66514">
              <w:t>2248.8</w:t>
            </w:r>
          </w:p>
        </w:tc>
        <w:tc>
          <w:tcPr>
            <w:tcW w:w="0" w:type="auto"/>
            <w:shd w:val="clear" w:color="auto" w:fill="auto"/>
            <w:noWrap/>
            <w:vAlign w:val="center"/>
          </w:tcPr>
          <w:p w14:paraId="70ABF945" w14:textId="77777777" w:rsidR="00A62ECD" w:rsidRPr="00D66514" w:rsidRDefault="00A62ECD" w:rsidP="0004240D">
            <w:pPr>
              <w:pStyle w:val="NoSpacing"/>
              <w:jc w:val="center"/>
            </w:pPr>
            <w:r w:rsidRPr="00D66514">
              <w:t>1732.3</w:t>
            </w:r>
          </w:p>
        </w:tc>
        <w:tc>
          <w:tcPr>
            <w:tcW w:w="0" w:type="auto"/>
            <w:shd w:val="clear" w:color="auto" w:fill="auto"/>
            <w:noWrap/>
            <w:vAlign w:val="center"/>
          </w:tcPr>
          <w:p w14:paraId="1086BF62" w14:textId="77777777" w:rsidR="00A62ECD" w:rsidRPr="00D66514" w:rsidRDefault="00A62ECD" w:rsidP="0004240D">
            <w:pPr>
              <w:pStyle w:val="NoSpacing"/>
              <w:jc w:val="center"/>
            </w:pPr>
            <w:r w:rsidRPr="00D66514">
              <w:t>815.7</w:t>
            </w:r>
          </w:p>
        </w:tc>
        <w:tc>
          <w:tcPr>
            <w:tcW w:w="0" w:type="auto"/>
            <w:shd w:val="clear" w:color="auto" w:fill="auto"/>
            <w:noWrap/>
            <w:vAlign w:val="center"/>
          </w:tcPr>
          <w:p w14:paraId="1C68DB0F" w14:textId="77777777" w:rsidR="00A62ECD" w:rsidRPr="00D66514" w:rsidRDefault="00A62ECD" w:rsidP="0004240D">
            <w:pPr>
              <w:pStyle w:val="NoSpacing"/>
              <w:jc w:val="center"/>
            </w:pPr>
            <w:r w:rsidRPr="00D66514">
              <w:t>2743.1</w:t>
            </w:r>
          </w:p>
        </w:tc>
        <w:tc>
          <w:tcPr>
            <w:tcW w:w="0" w:type="auto"/>
            <w:shd w:val="clear" w:color="auto" w:fill="auto"/>
            <w:noWrap/>
            <w:vAlign w:val="center"/>
          </w:tcPr>
          <w:p w14:paraId="7DA89AB9" w14:textId="77777777" w:rsidR="00A62ECD" w:rsidRPr="00D66514" w:rsidRDefault="00A62ECD" w:rsidP="0004240D">
            <w:pPr>
              <w:pStyle w:val="NoSpacing"/>
              <w:jc w:val="center"/>
            </w:pPr>
            <w:r w:rsidRPr="00D66514">
              <w:t>2619.9</w:t>
            </w:r>
          </w:p>
        </w:tc>
      </w:tr>
      <w:tr w:rsidR="00A62ECD" w:rsidRPr="00D66514" w14:paraId="11532C17" w14:textId="77777777" w:rsidTr="00464934">
        <w:trPr>
          <w:trHeight w:val="300"/>
        </w:trPr>
        <w:tc>
          <w:tcPr>
            <w:tcW w:w="2395" w:type="dxa"/>
            <w:shd w:val="clear" w:color="auto" w:fill="auto"/>
            <w:noWrap/>
            <w:vAlign w:val="center"/>
            <w:hideMark/>
          </w:tcPr>
          <w:p w14:paraId="0CEC72D8" w14:textId="77777777" w:rsidR="00A62ECD" w:rsidRPr="00D66514" w:rsidRDefault="00A62ECD" w:rsidP="0004240D">
            <w:pPr>
              <w:pStyle w:val="NoSpacing"/>
              <w:jc w:val="center"/>
              <w:rPr>
                <w:b/>
                <w:bCs/>
              </w:rPr>
            </w:pPr>
            <w:r w:rsidRPr="00D66514">
              <w:rPr>
                <w:b/>
                <w:bCs/>
              </w:rPr>
              <w:t>MAD</w:t>
            </w:r>
          </w:p>
        </w:tc>
        <w:tc>
          <w:tcPr>
            <w:tcW w:w="0" w:type="auto"/>
            <w:shd w:val="clear" w:color="auto" w:fill="auto"/>
            <w:noWrap/>
            <w:vAlign w:val="center"/>
          </w:tcPr>
          <w:p w14:paraId="65FE8037" w14:textId="77777777" w:rsidR="00A62ECD" w:rsidRPr="00D66514" w:rsidRDefault="00A62ECD" w:rsidP="0004240D">
            <w:pPr>
              <w:pStyle w:val="NoSpacing"/>
              <w:jc w:val="center"/>
            </w:pPr>
            <w:r w:rsidRPr="00D66514">
              <w:t>1.901</w:t>
            </w:r>
          </w:p>
        </w:tc>
        <w:tc>
          <w:tcPr>
            <w:tcW w:w="0" w:type="auto"/>
            <w:shd w:val="clear" w:color="auto" w:fill="auto"/>
            <w:noWrap/>
            <w:vAlign w:val="center"/>
          </w:tcPr>
          <w:p w14:paraId="6F899D36" w14:textId="77777777" w:rsidR="00A62ECD" w:rsidRPr="00D66514" w:rsidRDefault="00A62ECD" w:rsidP="0004240D">
            <w:pPr>
              <w:pStyle w:val="NoSpacing"/>
              <w:jc w:val="center"/>
            </w:pPr>
            <w:r w:rsidRPr="00D66514">
              <w:t>0.868</w:t>
            </w:r>
          </w:p>
        </w:tc>
        <w:tc>
          <w:tcPr>
            <w:tcW w:w="0" w:type="auto"/>
            <w:shd w:val="clear" w:color="auto" w:fill="auto"/>
            <w:noWrap/>
            <w:vAlign w:val="center"/>
          </w:tcPr>
          <w:p w14:paraId="0D611BA7" w14:textId="77777777" w:rsidR="00A62ECD" w:rsidRPr="00D66514" w:rsidRDefault="00A62ECD" w:rsidP="0004240D">
            <w:pPr>
              <w:pStyle w:val="NoSpacing"/>
              <w:jc w:val="center"/>
            </w:pPr>
            <w:r w:rsidRPr="00D66514">
              <w:t>0.588</w:t>
            </w:r>
          </w:p>
        </w:tc>
        <w:tc>
          <w:tcPr>
            <w:tcW w:w="0" w:type="auto"/>
            <w:shd w:val="clear" w:color="auto" w:fill="auto"/>
            <w:noWrap/>
            <w:vAlign w:val="center"/>
          </w:tcPr>
          <w:p w14:paraId="616E9308" w14:textId="77777777" w:rsidR="00A62ECD" w:rsidRPr="00D66514" w:rsidRDefault="00A62ECD" w:rsidP="0004240D">
            <w:pPr>
              <w:pStyle w:val="NoSpacing"/>
              <w:jc w:val="center"/>
            </w:pPr>
            <w:r w:rsidRPr="00D66514">
              <w:t>0.235</w:t>
            </w:r>
          </w:p>
        </w:tc>
        <w:tc>
          <w:tcPr>
            <w:tcW w:w="0" w:type="auto"/>
            <w:shd w:val="clear" w:color="auto" w:fill="auto"/>
            <w:noWrap/>
            <w:vAlign w:val="center"/>
          </w:tcPr>
          <w:p w14:paraId="6A0B910A" w14:textId="77777777" w:rsidR="00A62ECD" w:rsidRPr="00D66514" w:rsidRDefault="00A62ECD" w:rsidP="0004240D">
            <w:pPr>
              <w:pStyle w:val="NoSpacing"/>
              <w:jc w:val="center"/>
            </w:pPr>
            <w:r w:rsidRPr="00D66514">
              <w:t>1.031</w:t>
            </w:r>
          </w:p>
        </w:tc>
        <w:tc>
          <w:tcPr>
            <w:tcW w:w="0" w:type="auto"/>
            <w:shd w:val="clear" w:color="auto" w:fill="auto"/>
            <w:noWrap/>
            <w:vAlign w:val="center"/>
          </w:tcPr>
          <w:p w14:paraId="58C8257E" w14:textId="77777777" w:rsidR="00A62ECD" w:rsidRPr="00D66514" w:rsidRDefault="00A62ECD" w:rsidP="0004240D">
            <w:pPr>
              <w:pStyle w:val="NoSpacing"/>
              <w:jc w:val="center"/>
            </w:pPr>
            <w:r w:rsidRPr="00D66514">
              <w:t>1.347</w:t>
            </w:r>
          </w:p>
        </w:tc>
      </w:tr>
      <w:tr w:rsidR="00A62ECD" w:rsidRPr="00D66514" w14:paraId="5C090294" w14:textId="77777777" w:rsidTr="00464934">
        <w:trPr>
          <w:trHeight w:val="300"/>
        </w:trPr>
        <w:tc>
          <w:tcPr>
            <w:tcW w:w="2395" w:type="dxa"/>
            <w:shd w:val="clear" w:color="auto" w:fill="auto"/>
            <w:noWrap/>
            <w:vAlign w:val="center"/>
          </w:tcPr>
          <w:p w14:paraId="3ECF359D" w14:textId="77777777" w:rsidR="00A62ECD" w:rsidRPr="00D66514" w:rsidRDefault="00A62ECD" w:rsidP="0004240D">
            <w:pPr>
              <w:pStyle w:val="NoSpacing"/>
              <w:jc w:val="center"/>
              <w:rPr>
                <w:b/>
                <w:bCs/>
              </w:rPr>
            </w:pPr>
            <w:r w:rsidRPr="00D66514">
              <w:rPr>
                <w:b/>
                <w:bCs/>
              </w:rPr>
              <w:t>MSPE</w:t>
            </w:r>
          </w:p>
        </w:tc>
        <w:tc>
          <w:tcPr>
            <w:tcW w:w="0" w:type="auto"/>
            <w:shd w:val="clear" w:color="auto" w:fill="auto"/>
            <w:noWrap/>
            <w:vAlign w:val="center"/>
          </w:tcPr>
          <w:p w14:paraId="2E4897E9" w14:textId="77777777" w:rsidR="00A62ECD" w:rsidRPr="00D66514" w:rsidRDefault="00A62ECD" w:rsidP="0004240D">
            <w:pPr>
              <w:pStyle w:val="NoSpacing"/>
              <w:jc w:val="center"/>
            </w:pPr>
            <w:r w:rsidRPr="00D66514">
              <w:t>13.149</w:t>
            </w:r>
          </w:p>
        </w:tc>
        <w:tc>
          <w:tcPr>
            <w:tcW w:w="0" w:type="auto"/>
            <w:shd w:val="clear" w:color="auto" w:fill="auto"/>
            <w:noWrap/>
            <w:vAlign w:val="center"/>
          </w:tcPr>
          <w:p w14:paraId="31F89140" w14:textId="77777777" w:rsidR="00A62ECD" w:rsidRPr="00D66514" w:rsidRDefault="00A62ECD" w:rsidP="0004240D">
            <w:pPr>
              <w:pStyle w:val="NoSpacing"/>
              <w:jc w:val="center"/>
            </w:pPr>
            <w:r w:rsidRPr="00D66514">
              <w:t>2.161</w:t>
            </w:r>
          </w:p>
        </w:tc>
        <w:tc>
          <w:tcPr>
            <w:tcW w:w="0" w:type="auto"/>
            <w:shd w:val="clear" w:color="auto" w:fill="auto"/>
            <w:noWrap/>
            <w:vAlign w:val="center"/>
          </w:tcPr>
          <w:p w14:paraId="27E9024B" w14:textId="77777777" w:rsidR="00A62ECD" w:rsidRPr="00D66514" w:rsidRDefault="00A62ECD" w:rsidP="0004240D">
            <w:pPr>
              <w:pStyle w:val="NoSpacing"/>
              <w:jc w:val="center"/>
            </w:pPr>
            <w:r w:rsidRPr="00D66514">
              <w:t>0.816</w:t>
            </w:r>
          </w:p>
        </w:tc>
        <w:tc>
          <w:tcPr>
            <w:tcW w:w="0" w:type="auto"/>
            <w:shd w:val="clear" w:color="auto" w:fill="auto"/>
            <w:noWrap/>
            <w:vAlign w:val="center"/>
          </w:tcPr>
          <w:p w14:paraId="3109BA02" w14:textId="77777777" w:rsidR="00A62ECD" w:rsidRPr="00D66514" w:rsidRDefault="00A62ECD" w:rsidP="0004240D">
            <w:pPr>
              <w:pStyle w:val="NoSpacing"/>
              <w:jc w:val="center"/>
            </w:pPr>
            <w:r w:rsidRPr="00D66514">
              <w:t>0.177</w:t>
            </w:r>
          </w:p>
        </w:tc>
        <w:tc>
          <w:tcPr>
            <w:tcW w:w="0" w:type="auto"/>
            <w:shd w:val="clear" w:color="auto" w:fill="auto"/>
            <w:noWrap/>
            <w:vAlign w:val="center"/>
          </w:tcPr>
          <w:p w14:paraId="5D31B27F" w14:textId="77777777" w:rsidR="00A62ECD" w:rsidRPr="00D66514" w:rsidRDefault="00A62ECD" w:rsidP="0004240D">
            <w:pPr>
              <w:pStyle w:val="NoSpacing"/>
              <w:jc w:val="center"/>
            </w:pPr>
            <w:r w:rsidRPr="00D66514">
              <w:t>2.581</w:t>
            </w:r>
          </w:p>
        </w:tc>
        <w:tc>
          <w:tcPr>
            <w:tcW w:w="0" w:type="auto"/>
            <w:shd w:val="clear" w:color="auto" w:fill="auto"/>
            <w:noWrap/>
            <w:vAlign w:val="center"/>
          </w:tcPr>
          <w:p w14:paraId="56998ED2" w14:textId="77777777" w:rsidR="00A62ECD" w:rsidRPr="00D66514" w:rsidRDefault="00A62ECD" w:rsidP="0004240D">
            <w:pPr>
              <w:pStyle w:val="NoSpacing"/>
              <w:jc w:val="center"/>
            </w:pPr>
            <w:r w:rsidRPr="00D66514">
              <w:t>9.794</w:t>
            </w:r>
          </w:p>
        </w:tc>
      </w:tr>
      <w:tr w:rsidR="00A62ECD" w:rsidRPr="00D66514" w14:paraId="032123D3" w14:textId="77777777" w:rsidTr="00464934">
        <w:trPr>
          <w:trHeight w:val="300"/>
        </w:trPr>
        <w:tc>
          <w:tcPr>
            <w:tcW w:w="2395" w:type="dxa"/>
            <w:shd w:val="clear" w:color="auto" w:fill="auto"/>
            <w:noWrap/>
            <w:vAlign w:val="center"/>
          </w:tcPr>
          <w:p w14:paraId="60B4BE02" w14:textId="77777777" w:rsidR="00A62ECD" w:rsidRPr="00D66514" w:rsidRDefault="00A62ECD" w:rsidP="0004240D">
            <w:pPr>
              <w:pStyle w:val="NoSpacing"/>
            </w:pPr>
          </w:p>
        </w:tc>
        <w:tc>
          <w:tcPr>
            <w:tcW w:w="0" w:type="auto"/>
            <w:gridSpan w:val="6"/>
            <w:shd w:val="clear" w:color="auto" w:fill="auto"/>
            <w:noWrap/>
            <w:vAlign w:val="center"/>
          </w:tcPr>
          <w:p w14:paraId="10EA2F31" w14:textId="77777777" w:rsidR="00A62ECD" w:rsidRPr="00D66514" w:rsidRDefault="00A62ECD" w:rsidP="0004240D">
            <w:pPr>
              <w:pStyle w:val="NoSpacing"/>
            </w:pPr>
            <w:r w:rsidRPr="00D66514">
              <w:t>-  : statistically insignificant variables at alpha = 0.05 removed from the SPF</w:t>
            </w:r>
          </w:p>
        </w:tc>
      </w:tr>
    </w:tbl>
    <w:p w14:paraId="1EAAEE84" w14:textId="77777777" w:rsidR="00A62ECD" w:rsidRPr="00D66514" w:rsidRDefault="00A62ECD" w:rsidP="00E70528"/>
    <w:p w14:paraId="3437DC80" w14:textId="64254EB5" w:rsidR="00403020" w:rsidRPr="00D66514" w:rsidRDefault="00FF0052" w:rsidP="00464934">
      <w:pPr>
        <w:pStyle w:val="Heading3"/>
      </w:pPr>
      <w:r w:rsidRPr="00D66514">
        <w:t xml:space="preserve">Remarks on </w:t>
      </w:r>
      <w:r w:rsidR="00A72C9B" w:rsidRPr="00D66514">
        <w:t>the J</w:t>
      </w:r>
      <w:r w:rsidRPr="00D66514">
        <w:t>oint S</w:t>
      </w:r>
      <w:r w:rsidR="0054396F" w:rsidRPr="00D66514">
        <w:t xml:space="preserve">afety </w:t>
      </w:r>
      <w:r w:rsidRPr="00D66514">
        <w:t>P</w:t>
      </w:r>
      <w:r w:rsidR="0054396F" w:rsidRPr="00D66514">
        <w:t xml:space="preserve">erformance </w:t>
      </w:r>
      <w:r w:rsidRPr="00D66514">
        <w:t>F</w:t>
      </w:r>
      <w:r w:rsidR="0054396F" w:rsidRPr="00D66514">
        <w:t>unction</w:t>
      </w:r>
      <w:r w:rsidR="00A72C9B" w:rsidRPr="00D66514">
        <w:t>s</w:t>
      </w:r>
    </w:p>
    <w:p w14:paraId="26AC11F4" w14:textId="3F01128A" w:rsidR="00FF0052" w:rsidRPr="00D66514" w:rsidRDefault="00FF0052">
      <w:pPr>
        <w:spacing w:after="0"/>
      </w:pPr>
      <w:r w:rsidRPr="00D66514">
        <w:t xml:space="preserve">The estimation of </w:t>
      </w:r>
      <w:r w:rsidR="00AD53CD" w:rsidRPr="00D66514">
        <w:t xml:space="preserve">the </w:t>
      </w:r>
      <w:r w:rsidRPr="00D66514">
        <w:t>joint SPFs (two state</w:t>
      </w:r>
      <w:r w:rsidR="00E70528" w:rsidRPr="00D66514">
        <w:t>s</w:t>
      </w:r>
      <w:r w:rsidRPr="00D66514">
        <w:t xml:space="preserve"> and three state</w:t>
      </w:r>
      <w:r w:rsidR="00E70528" w:rsidRPr="00D66514">
        <w:t>s</w:t>
      </w:r>
      <w:r w:rsidRPr="00D66514">
        <w:t>) clearly highlight</w:t>
      </w:r>
      <w:r w:rsidR="00E70528" w:rsidRPr="00D66514">
        <w:t>s</w:t>
      </w:r>
      <w:r w:rsidRPr="00D66514">
        <w:t xml:space="preserve"> the differences in observed and unobserved factors across the three states. It appears that once we account for differences in the over-dispersion component, the differences in crash </w:t>
      </w:r>
      <w:r w:rsidR="0008643D" w:rsidRPr="00D66514">
        <w:t xml:space="preserve">frequencies </w:t>
      </w:r>
      <w:r w:rsidRPr="00D66514">
        <w:t>across states can be accommodated through simple state indicator variables across all crashes except for SV crashes which also require a</w:t>
      </w:r>
      <w:r w:rsidR="0054396F" w:rsidRPr="00D66514">
        <w:t>n</w:t>
      </w:r>
      <w:r w:rsidRPr="00D66514">
        <w:t xml:space="preserve"> AADT and state interaction term. The results highlight how critical it is to consider the interaction variables in the over-dispersion, a commonly ignored aspect in SPF development. The over-dispersion </w:t>
      </w:r>
      <w:r w:rsidR="0054396F" w:rsidRPr="00D66514">
        <w:t xml:space="preserve">parameters </w:t>
      </w:r>
      <w:r w:rsidRPr="00D66514">
        <w:t>account for state specific characteristics such as shoulder width, lane width, driving behavior and other missing variables that are likely to affect the crash frequency in the state.</w:t>
      </w:r>
    </w:p>
    <w:p w14:paraId="303AEF97" w14:textId="10E8314F" w:rsidR="00C62E6A" w:rsidRPr="00D66514" w:rsidRDefault="00FF0052" w:rsidP="00B6740C">
      <w:pPr>
        <w:pStyle w:val="Heading2"/>
      </w:pPr>
      <w:r w:rsidRPr="00D66514">
        <w:lastRenderedPageBreak/>
        <w:t xml:space="preserve">Transferability </w:t>
      </w:r>
      <w:r w:rsidR="00A72C9B" w:rsidRPr="00D66514">
        <w:t>E</w:t>
      </w:r>
      <w:r w:rsidRPr="00D66514">
        <w:t>valuation</w:t>
      </w:r>
    </w:p>
    <w:p w14:paraId="26348ADC" w14:textId="6AD59C77" w:rsidR="00762244" w:rsidRPr="00D66514" w:rsidRDefault="00762244">
      <w:pPr>
        <w:spacing w:after="0"/>
      </w:pPr>
      <w:r w:rsidRPr="00D66514">
        <w:t>We can employ the developed SPF</w:t>
      </w:r>
      <w:r w:rsidR="00552119" w:rsidRPr="00D66514">
        <w:t>s</w:t>
      </w:r>
      <w:r w:rsidRPr="00D66514">
        <w:t xml:space="preserve"> to evaluate their transferabilit</w:t>
      </w:r>
      <w:r w:rsidR="00552119" w:rsidRPr="00D66514">
        <w:t>ies</w:t>
      </w:r>
      <w:r w:rsidRPr="00D66514">
        <w:t xml:space="preserve"> to different states. The approach employed to compute </w:t>
      </w:r>
      <w:r w:rsidR="00DC76D6" w:rsidRPr="00D66514">
        <w:t xml:space="preserve">the </w:t>
      </w:r>
      <w:r w:rsidRPr="00D66514">
        <w:t xml:space="preserve">transfer index in our study is as follows. We choose a state </w:t>
      </w:r>
      <w:r w:rsidR="00DC76D6" w:rsidRPr="00D66514">
        <w:t>to which we want to transfer the models</w:t>
      </w:r>
      <w:r w:rsidRPr="00D66514">
        <w:t xml:space="preserve">. For this state, we employ several SPFs from all the models (single state, two state and three state) estimated and compute the transfer </w:t>
      </w:r>
      <w:r w:rsidR="00DC76D6" w:rsidRPr="00D66514">
        <w:t>indices</w:t>
      </w:r>
      <w:r w:rsidRPr="00D66514">
        <w:t xml:space="preserve">. The process is repeated for all three states and for all crash </w:t>
      </w:r>
      <w:r w:rsidR="00552119" w:rsidRPr="00D66514">
        <w:t>classifications</w:t>
      </w:r>
      <w:r w:rsidRPr="00D66514">
        <w:t>.</w:t>
      </w:r>
    </w:p>
    <w:p w14:paraId="3C76B8DB" w14:textId="77777777" w:rsidR="003B2A1C" w:rsidRPr="00D66514" w:rsidRDefault="003B2A1C" w:rsidP="00464934"/>
    <w:p w14:paraId="4CAFB901" w14:textId="77777777" w:rsidR="003B2A1C" w:rsidRPr="00D66514" w:rsidRDefault="003B2A1C" w:rsidP="00464934">
      <w:pPr>
        <w:pStyle w:val="Heading3"/>
      </w:pPr>
      <w:r w:rsidRPr="00D66514">
        <w:t>Average Conditions Transfer Index Comparisons</w:t>
      </w:r>
    </w:p>
    <w:p w14:paraId="71697205" w14:textId="222B3AE6" w:rsidR="00EA530F" w:rsidRPr="00D66514" w:rsidRDefault="00762244">
      <w:r w:rsidRPr="00D66514">
        <w:t>The transfer indices computed for all states and crash type</w:t>
      </w:r>
      <w:r w:rsidR="00A6531E" w:rsidRPr="00D66514">
        <w:t>s</w:t>
      </w:r>
      <w:r w:rsidR="007A1935" w:rsidRPr="00D66514">
        <w:t>/severities</w:t>
      </w:r>
      <w:r w:rsidR="00552119" w:rsidRPr="00D66514">
        <w:t xml:space="preserve"> for average conditions</w:t>
      </w:r>
      <w:r w:rsidRPr="00D66514">
        <w:t xml:space="preserve"> are presented in</w:t>
      </w:r>
      <w:r w:rsidR="00DC76D6" w:rsidRPr="00D66514">
        <w:t xml:space="preserve"> </w:t>
      </w:r>
      <w:r w:rsidR="00DC76D6" w:rsidRPr="00D66514">
        <w:fldChar w:fldCharType="begin"/>
      </w:r>
      <w:r w:rsidR="00DC76D6" w:rsidRPr="00D66514">
        <w:instrText xml:space="preserve"> REF _Ref426155526 \h </w:instrText>
      </w:r>
      <w:r w:rsidR="00071DE2" w:rsidRPr="00D66514">
        <w:instrText xml:space="preserve"> \* MERGEFORMAT </w:instrText>
      </w:r>
      <w:r w:rsidR="00DC76D6" w:rsidRPr="00D66514">
        <w:fldChar w:fldCharType="separate"/>
      </w:r>
      <w:r w:rsidR="004F0410" w:rsidRPr="00D66514">
        <w:t xml:space="preserve">Table </w:t>
      </w:r>
      <w:r w:rsidR="004F0410">
        <w:rPr>
          <w:noProof/>
        </w:rPr>
        <w:t>7</w:t>
      </w:r>
      <w:r w:rsidR="00DC76D6" w:rsidRPr="00D66514">
        <w:fldChar w:fldCharType="end"/>
      </w:r>
      <w:r w:rsidRPr="00D66514">
        <w:t>. The reader would note that transferring the Florida model to Florida region will yield the best TI value of 1. The same holds for any state.</w:t>
      </w:r>
      <w:r w:rsidR="00A6531E" w:rsidRPr="00D66514">
        <w:t xml:space="preserve"> From the single state model transferability, we observe that in general the transferability is poor (except for Florida to California). The transfer indices improve substantially when at least two states are considered. In our empirical case, when two state models are considered only the Florida and California SPF for Ohio has a negative value. </w:t>
      </w:r>
      <w:r w:rsidR="00EA530F" w:rsidRPr="00D66514">
        <w:t>The result has significant implications. From our transfer index calculation</w:t>
      </w:r>
      <w:r w:rsidR="00DC76D6" w:rsidRPr="00D66514">
        <w:t>s</w:t>
      </w:r>
      <w:r w:rsidR="00EA530F" w:rsidRPr="00D66514">
        <w:t>, we can see that Florida and Ohio regions are substantially different and have very poor model transferability. However, when we augment Ohio data with California</w:t>
      </w:r>
      <w:r w:rsidR="00DC76D6" w:rsidRPr="00D66514">
        <w:t>’s</w:t>
      </w:r>
      <w:r w:rsidR="00EA530F" w:rsidRPr="00D66514">
        <w:t>, the joint SPF</w:t>
      </w:r>
      <w:r w:rsidR="00552119" w:rsidRPr="00D66514">
        <w:t>s</w:t>
      </w:r>
      <w:r w:rsidR="00EA530F" w:rsidRPr="00D66514">
        <w:t xml:space="preserve"> </w:t>
      </w:r>
      <w:r w:rsidR="00552119" w:rsidRPr="00D66514">
        <w:t xml:space="preserve">have </w:t>
      </w:r>
      <w:r w:rsidR="00EA530F" w:rsidRPr="00D66514">
        <w:t xml:space="preserve">an improved transferability. Hence, in cases where local jurisdiction data </w:t>
      </w:r>
      <w:r w:rsidR="00DC76D6" w:rsidRPr="00D66514">
        <w:t xml:space="preserve">are </w:t>
      </w:r>
      <w:r w:rsidR="00EA530F" w:rsidRPr="00D66514">
        <w:t>unavailable, we recommend using data from at least two jurisdictions for model analysis to avoid considering completely unrepresentative SPF</w:t>
      </w:r>
      <w:r w:rsidR="00DC76D6" w:rsidRPr="00D66514">
        <w:t>s</w:t>
      </w:r>
      <w:r w:rsidR="00EA530F" w:rsidRPr="00D66514">
        <w:t xml:space="preserve"> for model prediction. </w:t>
      </w:r>
    </w:p>
    <w:p w14:paraId="577F7F59" w14:textId="257FB3A3" w:rsidR="00EA530F" w:rsidRPr="00D66514" w:rsidRDefault="00A6531E" w:rsidP="008448FC">
      <w:r w:rsidRPr="00D66514">
        <w:t xml:space="preserve">When a </w:t>
      </w:r>
      <w:r w:rsidR="00DC76D6" w:rsidRPr="00D66514">
        <w:t>three-</w:t>
      </w:r>
      <w:r w:rsidRPr="00D66514">
        <w:t xml:space="preserve">state SPF is considered, the transferability, as can be expected, is very close to 1. </w:t>
      </w:r>
      <w:r w:rsidR="00EA530F" w:rsidRPr="00D66514">
        <w:t>With increase in the number of states, the variability available in the data increases and hence, the models are likely to be more transferable. Across crash type and severity types, we observe similar trends</w:t>
      </w:r>
      <w:r w:rsidR="00DC76D6" w:rsidRPr="00D66514">
        <w:t>. That is,</w:t>
      </w:r>
      <w:r w:rsidR="00EA530F" w:rsidRPr="00D66514">
        <w:t xml:space="preserve"> as the number of states increase</w:t>
      </w:r>
      <w:r w:rsidR="00DC76D6" w:rsidRPr="00D66514">
        <w:t>,</w:t>
      </w:r>
      <w:r w:rsidR="00EA530F" w:rsidRPr="00D66514">
        <w:t xml:space="preserve"> transferability improves. </w:t>
      </w:r>
      <w:r w:rsidR="008448FC" w:rsidRPr="00D66514">
        <w:rPr>
          <w:rStyle w:val="Emphasis"/>
          <w:i w:val="0"/>
          <w:iCs w:val="0"/>
        </w:rPr>
        <w:t>Of course, it would have been beneficial to conduct an extensive assessment of the performance of the three-state model when applied to data of a fourth unused state. An in-depth assessment is not performed for brevity. However, the joint Florida, Ohio and California total crash SPF for average conditions is applied to crash data from Washington State. The resulting transfer index for the application is 0.344 indicating that the joint SPF is to a certain degree transferable to Washington. This emphasizes the improvement in transferability of SPFs when pooling data from more than one or even two states.</w:t>
      </w:r>
      <w:r w:rsidR="00725411" w:rsidRPr="00D66514">
        <w:rPr>
          <w:rStyle w:val="Emphasis"/>
          <w:i w:val="0"/>
          <w:iCs w:val="0"/>
        </w:rPr>
        <w:t xml:space="preserve"> </w:t>
      </w:r>
      <w:r w:rsidR="00DC3F7B" w:rsidRPr="00083F9C">
        <w:rPr>
          <w:shd w:val="clear" w:color="auto" w:fill="FFFFFF"/>
        </w:rPr>
        <w:t>In addition, log-likelihood ratio tests are conducted to check the validity of the transfer indices</w:t>
      </w:r>
      <w:r w:rsidR="00DC3F7B">
        <w:rPr>
          <w:shd w:val="clear" w:color="auto" w:fill="FFFFFF"/>
        </w:rPr>
        <w:t>. The test statistic is computed as</w:t>
      </w:r>
      <w:r w:rsidR="00DC3F7B" w:rsidRPr="00083F9C">
        <w:rPr>
          <w:shd w:val="clear" w:color="auto" w:fill="FFFFFF"/>
        </w:rPr>
        <w:t xml:space="preserve"> twice the difference between the transferred SPF’s</w:t>
      </w:r>
      <w:r w:rsidR="00DC3F7B">
        <w:rPr>
          <w:shd w:val="clear" w:color="auto" w:fill="FFFFFF"/>
        </w:rPr>
        <w:t xml:space="preserve"> prediction</w:t>
      </w:r>
      <w:r w:rsidR="00DC3F7B" w:rsidRPr="00083F9C">
        <w:rPr>
          <w:shd w:val="clear" w:color="auto" w:fill="FFFFFF"/>
        </w:rPr>
        <w:t xml:space="preserve"> log-likelihood and that of the jurisdiction specific constants only SPF.</w:t>
      </w:r>
      <w:r w:rsidR="00DC3F7B">
        <w:rPr>
          <w:shd w:val="clear" w:color="auto" w:fill="FFFFFF"/>
        </w:rPr>
        <w:t xml:space="preserve"> </w:t>
      </w:r>
      <w:r w:rsidR="00725411" w:rsidRPr="00D66514">
        <w:rPr>
          <w:shd w:val="clear" w:color="auto" w:fill="FFFFFF"/>
        </w:rPr>
        <w:t>The level of significance is that of the 95</w:t>
      </w:r>
      <w:r w:rsidR="00725411" w:rsidRPr="00D66514">
        <w:rPr>
          <w:shd w:val="clear" w:color="auto" w:fill="FFFFFF"/>
          <w:vertAlign w:val="superscript"/>
        </w:rPr>
        <w:t>th</w:t>
      </w:r>
      <w:r w:rsidR="00725411" w:rsidRPr="00D66514">
        <w:rPr>
          <w:shd w:val="clear" w:color="auto" w:fill="FFFFFF"/>
        </w:rPr>
        <w:t xml:space="preserve"> percentile while the degrees of freedom are the number of additional parameters in the transferred SPF. In all average conditions SPFs, the transfer indices are statistically significant indicating that they are valid.</w:t>
      </w:r>
      <w:r w:rsidR="00EA530F" w:rsidRPr="00D66514">
        <w:t xml:space="preserve"> </w:t>
      </w:r>
    </w:p>
    <w:p w14:paraId="35E66998" w14:textId="77777777" w:rsidR="00EA530F" w:rsidRPr="00D66514" w:rsidRDefault="00EA530F" w:rsidP="00E70528"/>
    <w:p w14:paraId="27048040" w14:textId="77777777" w:rsidR="00A72C9B" w:rsidRPr="00D66514" w:rsidRDefault="00A72C9B" w:rsidP="00E70528"/>
    <w:p w14:paraId="373D18B4" w14:textId="77777777" w:rsidR="00A72C9B" w:rsidRPr="00D66514" w:rsidRDefault="00A72C9B" w:rsidP="00E70528"/>
    <w:p w14:paraId="28CA3982" w14:textId="77777777" w:rsidR="0008643D" w:rsidRPr="00D66514" w:rsidRDefault="0008643D" w:rsidP="00E70528"/>
    <w:p w14:paraId="23162424" w14:textId="43C251CD" w:rsidR="000C3E6E" w:rsidRPr="00D66514" w:rsidRDefault="000C3E6E">
      <w:pPr>
        <w:pStyle w:val="Caption"/>
        <w:keepNext/>
      </w:pPr>
      <w:bookmarkStart w:id="9" w:name="_Ref426155526"/>
      <w:r w:rsidRPr="00D66514">
        <w:lastRenderedPageBreak/>
        <w:t>T</w:t>
      </w:r>
      <w:r w:rsidR="0040634D" w:rsidRPr="00D66514">
        <w:t>able</w:t>
      </w:r>
      <w:r w:rsidRPr="00D66514">
        <w:t xml:space="preserve"> </w:t>
      </w:r>
      <w:r w:rsidR="00A226E1">
        <w:fldChar w:fldCharType="begin"/>
      </w:r>
      <w:r w:rsidR="00A226E1">
        <w:instrText xml:space="preserve"> SEQ Table \</w:instrText>
      </w:r>
      <w:r w:rsidR="00A226E1">
        <w:instrText xml:space="preserve">* ARABIC </w:instrText>
      </w:r>
      <w:r w:rsidR="00A226E1">
        <w:fldChar w:fldCharType="separate"/>
      </w:r>
      <w:r w:rsidR="004F0410">
        <w:rPr>
          <w:noProof/>
        </w:rPr>
        <w:t>7</w:t>
      </w:r>
      <w:r w:rsidR="00A226E1">
        <w:rPr>
          <w:noProof/>
        </w:rPr>
        <w:fldChar w:fldCharType="end"/>
      </w:r>
      <w:bookmarkEnd w:id="7"/>
      <w:bookmarkEnd w:id="9"/>
      <w:r w:rsidRPr="00D66514">
        <w:t xml:space="preserve"> </w:t>
      </w:r>
      <w:r w:rsidR="00D67911" w:rsidRPr="00D66514">
        <w:t xml:space="preserve">Average Conditions </w:t>
      </w:r>
      <w:r w:rsidRPr="00D66514">
        <w:t>Transfer Indices</w:t>
      </w:r>
      <w:r w:rsidR="0004240D" w:rsidRPr="00D66514">
        <w:t xml:space="preserve"> </w:t>
      </w:r>
    </w:p>
    <w:tbl>
      <w:tblPr>
        <w:tblW w:w="0" w:type="auto"/>
        <w:jc w:val="center"/>
        <w:tblLayout w:type="fixed"/>
        <w:tblCellMar>
          <w:left w:w="30" w:type="dxa"/>
          <w:right w:w="30" w:type="dxa"/>
        </w:tblCellMar>
        <w:tblLook w:val="0000" w:firstRow="0" w:lastRow="0" w:firstColumn="0" w:lastColumn="0" w:noHBand="0" w:noVBand="0"/>
      </w:tblPr>
      <w:tblGrid>
        <w:gridCol w:w="1797"/>
        <w:gridCol w:w="3019"/>
        <w:gridCol w:w="1279"/>
        <w:gridCol w:w="1418"/>
        <w:gridCol w:w="1841"/>
      </w:tblGrid>
      <w:tr w:rsidR="000C3E6E" w:rsidRPr="00D66514" w14:paraId="7730022C" w14:textId="77777777" w:rsidTr="00E70528">
        <w:trPr>
          <w:trHeight w:val="153"/>
          <w:jc w:val="center"/>
        </w:trPr>
        <w:tc>
          <w:tcPr>
            <w:tcW w:w="1797" w:type="dxa"/>
            <w:vMerge w:val="restart"/>
            <w:tcBorders>
              <w:top w:val="single" w:sz="2" w:space="0" w:color="000000"/>
              <w:left w:val="single" w:sz="2" w:space="0" w:color="000000"/>
              <w:right w:val="single" w:sz="2" w:space="0" w:color="000000"/>
            </w:tcBorders>
            <w:shd w:val="clear" w:color="auto" w:fill="auto"/>
            <w:vAlign w:val="center"/>
          </w:tcPr>
          <w:p w14:paraId="0526F32A" w14:textId="77777777" w:rsidR="000C3E6E" w:rsidRPr="00D66514" w:rsidRDefault="000C3E6E" w:rsidP="00E70528">
            <w:pPr>
              <w:pStyle w:val="NoSpacing"/>
              <w:jc w:val="center"/>
              <w:rPr>
                <w:b/>
                <w:bCs/>
                <w:sz w:val="22"/>
              </w:rPr>
            </w:pPr>
            <w:r w:rsidRPr="00D66514">
              <w:rPr>
                <w:b/>
                <w:bCs/>
                <w:sz w:val="22"/>
              </w:rPr>
              <w:t>Crash Type or Severity</w:t>
            </w:r>
          </w:p>
        </w:tc>
        <w:tc>
          <w:tcPr>
            <w:tcW w:w="3019" w:type="dxa"/>
            <w:vMerge w:val="restart"/>
            <w:tcBorders>
              <w:top w:val="single" w:sz="2" w:space="0" w:color="000000"/>
              <w:left w:val="single" w:sz="2" w:space="0" w:color="000000"/>
              <w:right w:val="single" w:sz="2" w:space="0" w:color="000000"/>
            </w:tcBorders>
            <w:shd w:val="clear" w:color="auto" w:fill="auto"/>
            <w:vAlign w:val="center"/>
          </w:tcPr>
          <w:p w14:paraId="424B5039" w14:textId="5BE166CF" w:rsidR="000C3E6E" w:rsidRPr="00D66514" w:rsidRDefault="000C3E6E" w:rsidP="00E70528">
            <w:pPr>
              <w:pStyle w:val="NoSpacing"/>
              <w:jc w:val="center"/>
              <w:rPr>
                <w:b/>
                <w:bCs/>
                <w:sz w:val="22"/>
              </w:rPr>
            </w:pPr>
            <w:r w:rsidRPr="00D66514">
              <w:rPr>
                <w:b/>
                <w:bCs/>
                <w:sz w:val="22"/>
              </w:rPr>
              <w:t>SPF</w:t>
            </w:r>
          </w:p>
        </w:tc>
        <w:tc>
          <w:tcPr>
            <w:tcW w:w="4538"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5E517CDD" w14:textId="6163D395" w:rsidR="000C3E6E" w:rsidRPr="00D66514" w:rsidRDefault="000C3E6E" w:rsidP="00E70528">
            <w:pPr>
              <w:pStyle w:val="NoSpacing"/>
              <w:jc w:val="center"/>
              <w:rPr>
                <w:b/>
                <w:bCs/>
                <w:sz w:val="22"/>
              </w:rPr>
            </w:pPr>
            <w:r w:rsidRPr="00D66514">
              <w:rPr>
                <w:b/>
                <w:bCs/>
                <w:sz w:val="22"/>
              </w:rPr>
              <w:t>Application Data</w:t>
            </w:r>
          </w:p>
        </w:tc>
      </w:tr>
      <w:tr w:rsidR="00C01AF3" w:rsidRPr="00D66514" w14:paraId="7761EB5A" w14:textId="77777777" w:rsidTr="00E70528">
        <w:trPr>
          <w:trHeight w:val="153"/>
          <w:jc w:val="center"/>
        </w:trPr>
        <w:tc>
          <w:tcPr>
            <w:tcW w:w="1797" w:type="dxa"/>
            <w:vMerge/>
            <w:tcBorders>
              <w:left w:val="single" w:sz="2" w:space="0" w:color="000000"/>
              <w:bottom w:val="single" w:sz="2" w:space="0" w:color="000000"/>
              <w:right w:val="single" w:sz="2" w:space="0" w:color="000000"/>
            </w:tcBorders>
            <w:shd w:val="clear" w:color="auto" w:fill="auto"/>
            <w:vAlign w:val="center"/>
          </w:tcPr>
          <w:p w14:paraId="07D054AA" w14:textId="77777777" w:rsidR="000C3E6E" w:rsidRPr="00D66514" w:rsidRDefault="000C3E6E" w:rsidP="00E70528">
            <w:pPr>
              <w:pStyle w:val="NoSpacing"/>
              <w:jc w:val="center"/>
              <w:rPr>
                <w:b/>
                <w:bCs/>
                <w:sz w:val="22"/>
              </w:rPr>
            </w:pPr>
          </w:p>
        </w:tc>
        <w:tc>
          <w:tcPr>
            <w:tcW w:w="3019" w:type="dxa"/>
            <w:vMerge/>
            <w:tcBorders>
              <w:left w:val="single" w:sz="2" w:space="0" w:color="000000"/>
              <w:bottom w:val="single" w:sz="2" w:space="0" w:color="000000"/>
              <w:right w:val="single" w:sz="2" w:space="0" w:color="000000"/>
            </w:tcBorders>
            <w:shd w:val="clear" w:color="auto" w:fill="auto"/>
            <w:vAlign w:val="center"/>
          </w:tcPr>
          <w:p w14:paraId="5E4CA8D7" w14:textId="77777777" w:rsidR="000C3E6E" w:rsidRPr="00D66514" w:rsidRDefault="000C3E6E" w:rsidP="00E70528">
            <w:pPr>
              <w:pStyle w:val="NoSpacing"/>
              <w:jc w:val="center"/>
              <w:rPr>
                <w:b/>
                <w:bCs/>
                <w:sz w:val="22"/>
              </w:rPr>
            </w:pPr>
          </w:p>
        </w:tc>
        <w:tc>
          <w:tcPr>
            <w:tcW w:w="127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DF62AF4" w14:textId="6D929C2A" w:rsidR="000C3E6E" w:rsidRPr="00D66514" w:rsidRDefault="000C3E6E" w:rsidP="00996583">
            <w:pPr>
              <w:pStyle w:val="NoSpacing"/>
              <w:jc w:val="center"/>
              <w:rPr>
                <w:b/>
                <w:bCs/>
                <w:sz w:val="22"/>
              </w:rPr>
            </w:pPr>
            <w:r w:rsidRPr="00D66514">
              <w:rPr>
                <w:b/>
                <w:bCs/>
                <w:sz w:val="22"/>
              </w:rPr>
              <w:t>Florida</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7DAAD3B" w14:textId="2C7DF4EA" w:rsidR="000C3E6E" w:rsidRPr="00D66514" w:rsidRDefault="000C3E6E" w:rsidP="00996583">
            <w:pPr>
              <w:pStyle w:val="NoSpacing"/>
              <w:jc w:val="center"/>
              <w:rPr>
                <w:b/>
                <w:bCs/>
                <w:sz w:val="22"/>
              </w:rPr>
            </w:pPr>
            <w:r w:rsidRPr="00D66514">
              <w:rPr>
                <w:b/>
                <w:bCs/>
                <w:sz w:val="22"/>
              </w:rPr>
              <w:t>Ohio</w:t>
            </w:r>
          </w:p>
        </w:tc>
        <w:tc>
          <w:tcPr>
            <w:tcW w:w="18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B347B11" w14:textId="77298002" w:rsidR="000C3E6E" w:rsidRPr="00D66514" w:rsidRDefault="000C3E6E" w:rsidP="00996583">
            <w:pPr>
              <w:pStyle w:val="NoSpacing"/>
              <w:jc w:val="center"/>
              <w:rPr>
                <w:b/>
                <w:bCs/>
                <w:sz w:val="22"/>
              </w:rPr>
            </w:pPr>
            <w:r w:rsidRPr="00D66514">
              <w:rPr>
                <w:b/>
                <w:bCs/>
                <w:sz w:val="22"/>
              </w:rPr>
              <w:t>California</w:t>
            </w:r>
          </w:p>
        </w:tc>
      </w:tr>
      <w:tr w:rsidR="00C01AF3" w:rsidRPr="00D66514" w14:paraId="1B2FAAEF" w14:textId="77777777" w:rsidTr="00E70528">
        <w:trPr>
          <w:trHeight w:val="153"/>
          <w:jc w:val="center"/>
        </w:trPr>
        <w:tc>
          <w:tcPr>
            <w:tcW w:w="1797" w:type="dxa"/>
            <w:vMerge w:val="restart"/>
            <w:tcBorders>
              <w:top w:val="single" w:sz="2" w:space="0" w:color="000000"/>
              <w:left w:val="single" w:sz="2" w:space="0" w:color="000000"/>
              <w:right w:val="single" w:sz="2" w:space="0" w:color="000000"/>
            </w:tcBorders>
            <w:shd w:val="clear" w:color="auto" w:fill="auto"/>
            <w:vAlign w:val="center"/>
          </w:tcPr>
          <w:p w14:paraId="028ED409" w14:textId="77777777" w:rsidR="000C3E6E" w:rsidRPr="00D66514" w:rsidRDefault="000C3E6E" w:rsidP="00E70528">
            <w:pPr>
              <w:pStyle w:val="NoSpacing"/>
              <w:jc w:val="center"/>
              <w:rPr>
                <w:b/>
                <w:bCs/>
                <w:sz w:val="22"/>
              </w:rPr>
            </w:pPr>
            <w:r w:rsidRPr="00D66514">
              <w:rPr>
                <w:b/>
                <w:bCs/>
                <w:sz w:val="22"/>
              </w:rPr>
              <w:t>KABCO</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C6905F5" w14:textId="77777777" w:rsidR="000C3E6E" w:rsidRPr="00D66514" w:rsidRDefault="000C3E6E" w:rsidP="00E70528">
            <w:pPr>
              <w:pStyle w:val="NoSpacing"/>
              <w:rPr>
                <w:b/>
                <w:bCs/>
                <w:sz w:val="22"/>
              </w:rPr>
            </w:pPr>
            <w:r w:rsidRPr="00D66514">
              <w:rPr>
                <w:b/>
                <w:bCs/>
                <w:sz w:val="22"/>
              </w:rPr>
              <w:t>Florida</w:t>
            </w:r>
          </w:p>
        </w:tc>
        <w:tc>
          <w:tcPr>
            <w:tcW w:w="127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41653B0" w14:textId="77777777" w:rsidR="000C3E6E" w:rsidRPr="00D66514" w:rsidRDefault="000C3E6E" w:rsidP="00E70528">
            <w:pPr>
              <w:pStyle w:val="NoSpacing"/>
              <w:jc w:val="center"/>
              <w:rPr>
                <w:sz w:val="22"/>
              </w:rPr>
            </w:pPr>
            <w:r w:rsidRPr="00D66514">
              <w:rPr>
                <w:sz w:val="22"/>
              </w:rPr>
              <w:t>1</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7953C97" w14:textId="77777777" w:rsidR="000C3E6E" w:rsidRPr="00D66514" w:rsidRDefault="000C3E6E" w:rsidP="00E70528">
            <w:pPr>
              <w:pStyle w:val="NoSpacing"/>
              <w:jc w:val="center"/>
              <w:rPr>
                <w:sz w:val="22"/>
              </w:rPr>
            </w:pPr>
            <w:r w:rsidRPr="00D66514">
              <w:rPr>
                <w:sz w:val="22"/>
              </w:rPr>
              <w:t>-0.273</w:t>
            </w:r>
          </w:p>
        </w:tc>
        <w:tc>
          <w:tcPr>
            <w:tcW w:w="18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342226F" w14:textId="77777777" w:rsidR="000C3E6E" w:rsidRPr="00D66514" w:rsidRDefault="000C3E6E" w:rsidP="00E70528">
            <w:pPr>
              <w:pStyle w:val="NoSpacing"/>
              <w:jc w:val="center"/>
              <w:rPr>
                <w:sz w:val="22"/>
              </w:rPr>
            </w:pPr>
            <w:r w:rsidRPr="00D66514">
              <w:rPr>
                <w:sz w:val="22"/>
              </w:rPr>
              <w:t>0.716</w:t>
            </w:r>
          </w:p>
        </w:tc>
      </w:tr>
      <w:tr w:rsidR="00C01AF3" w:rsidRPr="00D66514" w14:paraId="76703F81" w14:textId="77777777" w:rsidTr="00E70528">
        <w:trPr>
          <w:trHeight w:val="153"/>
          <w:jc w:val="center"/>
        </w:trPr>
        <w:tc>
          <w:tcPr>
            <w:tcW w:w="1797" w:type="dxa"/>
            <w:vMerge/>
            <w:tcBorders>
              <w:left w:val="single" w:sz="2" w:space="0" w:color="000000"/>
              <w:right w:val="single" w:sz="2" w:space="0" w:color="000000"/>
            </w:tcBorders>
            <w:shd w:val="clear" w:color="auto" w:fill="auto"/>
            <w:vAlign w:val="center"/>
          </w:tcPr>
          <w:p w14:paraId="0EBD458E" w14:textId="77777777" w:rsidR="000C3E6E" w:rsidRPr="00D66514" w:rsidRDefault="000C3E6E" w:rsidP="00E70528">
            <w:pPr>
              <w:pStyle w:val="NoSpacing"/>
              <w:jc w:val="center"/>
              <w:rPr>
                <w:b/>
                <w:bCs/>
                <w:sz w:val="22"/>
              </w:rPr>
            </w:pP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E2221F2" w14:textId="77777777" w:rsidR="000C3E6E" w:rsidRPr="00D66514" w:rsidRDefault="000C3E6E" w:rsidP="00E70528">
            <w:pPr>
              <w:pStyle w:val="NoSpacing"/>
              <w:rPr>
                <w:b/>
                <w:bCs/>
                <w:sz w:val="22"/>
              </w:rPr>
            </w:pPr>
            <w:r w:rsidRPr="00D66514">
              <w:rPr>
                <w:b/>
                <w:bCs/>
                <w:sz w:val="22"/>
              </w:rPr>
              <w:t>Ohio</w:t>
            </w:r>
          </w:p>
        </w:tc>
        <w:tc>
          <w:tcPr>
            <w:tcW w:w="127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E7CEDB8" w14:textId="77777777" w:rsidR="000C3E6E" w:rsidRPr="00D66514" w:rsidRDefault="000C3E6E" w:rsidP="00E70528">
            <w:pPr>
              <w:pStyle w:val="NoSpacing"/>
              <w:jc w:val="center"/>
              <w:rPr>
                <w:sz w:val="22"/>
              </w:rPr>
            </w:pPr>
            <w:r w:rsidRPr="00D66514">
              <w:rPr>
                <w:sz w:val="22"/>
              </w:rPr>
              <w:t>-0.367</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9B89D83" w14:textId="77777777" w:rsidR="000C3E6E" w:rsidRPr="00D66514" w:rsidRDefault="000C3E6E" w:rsidP="00E70528">
            <w:pPr>
              <w:pStyle w:val="NoSpacing"/>
              <w:jc w:val="center"/>
              <w:rPr>
                <w:sz w:val="22"/>
              </w:rPr>
            </w:pPr>
            <w:r w:rsidRPr="00D66514">
              <w:rPr>
                <w:sz w:val="22"/>
              </w:rPr>
              <w:t>1</w:t>
            </w:r>
          </w:p>
        </w:tc>
        <w:tc>
          <w:tcPr>
            <w:tcW w:w="18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A7F731F" w14:textId="77777777" w:rsidR="000C3E6E" w:rsidRPr="00D66514" w:rsidRDefault="000C3E6E" w:rsidP="00E70528">
            <w:pPr>
              <w:pStyle w:val="NoSpacing"/>
              <w:jc w:val="center"/>
              <w:rPr>
                <w:sz w:val="22"/>
              </w:rPr>
            </w:pPr>
            <w:r w:rsidRPr="00D66514">
              <w:rPr>
                <w:sz w:val="22"/>
              </w:rPr>
              <w:t>0.429</w:t>
            </w:r>
          </w:p>
        </w:tc>
      </w:tr>
      <w:tr w:rsidR="00C01AF3" w:rsidRPr="00D66514" w14:paraId="5760A1EE" w14:textId="77777777" w:rsidTr="00E70528">
        <w:trPr>
          <w:trHeight w:val="153"/>
          <w:jc w:val="center"/>
        </w:trPr>
        <w:tc>
          <w:tcPr>
            <w:tcW w:w="1797" w:type="dxa"/>
            <w:vMerge/>
            <w:tcBorders>
              <w:left w:val="single" w:sz="2" w:space="0" w:color="000000"/>
              <w:right w:val="single" w:sz="2" w:space="0" w:color="000000"/>
            </w:tcBorders>
            <w:shd w:val="clear" w:color="auto" w:fill="auto"/>
            <w:vAlign w:val="center"/>
          </w:tcPr>
          <w:p w14:paraId="4B41307F" w14:textId="77777777" w:rsidR="000C3E6E" w:rsidRPr="00D66514" w:rsidRDefault="000C3E6E" w:rsidP="00E70528">
            <w:pPr>
              <w:pStyle w:val="NoSpacing"/>
              <w:jc w:val="center"/>
              <w:rPr>
                <w:b/>
                <w:bCs/>
                <w:sz w:val="22"/>
              </w:rPr>
            </w:pP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EEE6310" w14:textId="77777777" w:rsidR="000C3E6E" w:rsidRPr="00D66514" w:rsidRDefault="000C3E6E" w:rsidP="00E70528">
            <w:pPr>
              <w:pStyle w:val="NoSpacing"/>
              <w:rPr>
                <w:b/>
                <w:bCs/>
                <w:sz w:val="22"/>
              </w:rPr>
            </w:pPr>
            <w:r w:rsidRPr="00D66514">
              <w:rPr>
                <w:b/>
                <w:bCs/>
                <w:sz w:val="22"/>
              </w:rPr>
              <w:t>California</w:t>
            </w:r>
          </w:p>
        </w:tc>
        <w:tc>
          <w:tcPr>
            <w:tcW w:w="127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A5B1802" w14:textId="77777777" w:rsidR="000C3E6E" w:rsidRPr="00D66514" w:rsidRDefault="000C3E6E" w:rsidP="00E70528">
            <w:pPr>
              <w:pStyle w:val="NoSpacing"/>
              <w:jc w:val="center"/>
              <w:rPr>
                <w:sz w:val="22"/>
              </w:rPr>
            </w:pPr>
            <w:r w:rsidRPr="00D66514">
              <w:rPr>
                <w:sz w:val="22"/>
              </w:rPr>
              <w:t>0.453</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3B4CB3C" w14:textId="77777777" w:rsidR="000C3E6E" w:rsidRPr="00D66514" w:rsidRDefault="000C3E6E" w:rsidP="00E70528">
            <w:pPr>
              <w:pStyle w:val="NoSpacing"/>
              <w:jc w:val="center"/>
              <w:rPr>
                <w:sz w:val="22"/>
              </w:rPr>
            </w:pPr>
            <w:r w:rsidRPr="00D66514">
              <w:rPr>
                <w:sz w:val="22"/>
              </w:rPr>
              <w:t>0.172</w:t>
            </w:r>
          </w:p>
        </w:tc>
        <w:tc>
          <w:tcPr>
            <w:tcW w:w="18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9E593B6" w14:textId="77777777" w:rsidR="000C3E6E" w:rsidRPr="00D66514" w:rsidRDefault="000C3E6E" w:rsidP="00E70528">
            <w:pPr>
              <w:pStyle w:val="NoSpacing"/>
              <w:jc w:val="center"/>
              <w:rPr>
                <w:sz w:val="22"/>
              </w:rPr>
            </w:pPr>
            <w:r w:rsidRPr="00D66514">
              <w:rPr>
                <w:sz w:val="22"/>
              </w:rPr>
              <w:t>1</w:t>
            </w:r>
          </w:p>
        </w:tc>
      </w:tr>
      <w:tr w:rsidR="00C01AF3" w:rsidRPr="00D66514" w14:paraId="105E7DEE" w14:textId="77777777" w:rsidTr="00E70528">
        <w:trPr>
          <w:trHeight w:val="153"/>
          <w:jc w:val="center"/>
        </w:trPr>
        <w:tc>
          <w:tcPr>
            <w:tcW w:w="1797" w:type="dxa"/>
            <w:vMerge/>
            <w:tcBorders>
              <w:left w:val="single" w:sz="2" w:space="0" w:color="000000"/>
              <w:right w:val="single" w:sz="2" w:space="0" w:color="000000"/>
            </w:tcBorders>
            <w:shd w:val="clear" w:color="auto" w:fill="auto"/>
            <w:vAlign w:val="center"/>
          </w:tcPr>
          <w:p w14:paraId="3131081F" w14:textId="77777777" w:rsidR="000C3E6E" w:rsidRPr="00D66514" w:rsidRDefault="000C3E6E" w:rsidP="00E70528">
            <w:pPr>
              <w:pStyle w:val="NoSpacing"/>
              <w:jc w:val="center"/>
              <w:rPr>
                <w:b/>
                <w:bCs/>
                <w:sz w:val="22"/>
              </w:rPr>
            </w:pP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1114CE0" w14:textId="77777777" w:rsidR="000C3E6E" w:rsidRPr="00D66514" w:rsidRDefault="000C3E6E" w:rsidP="00E70528">
            <w:pPr>
              <w:pStyle w:val="NoSpacing"/>
              <w:rPr>
                <w:b/>
                <w:bCs/>
                <w:sz w:val="22"/>
              </w:rPr>
            </w:pPr>
            <w:r w:rsidRPr="00D66514">
              <w:rPr>
                <w:b/>
                <w:bCs/>
                <w:sz w:val="22"/>
              </w:rPr>
              <w:t>Florida and Ohio</w:t>
            </w:r>
          </w:p>
        </w:tc>
        <w:tc>
          <w:tcPr>
            <w:tcW w:w="127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FBF0F61" w14:textId="77777777" w:rsidR="000C3E6E" w:rsidRPr="00D66514" w:rsidRDefault="000C3E6E" w:rsidP="00E70528">
            <w:pPr>
              <w:pStyle w:val="NoSpacing"/>
              <w:jc w:val="center"/>
              <w:rPr>
                <w:sz w:val="22"/>
              </w:rPr>
            </w:pPr>
            <w:r w:rsidRPr="00D66514">
              <w:rPr>
                <w:sz w:val="22"/>
              </w:rPr>
              <w:t>1</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FBDEC8E" w14:textId="77777777" w:rsidR="000C3E6E" w:rsidRPr="00D66514" w:rsidRDefault="000C3E6E" w:rsidP="00E70528">
            <w:pPr>
              <w:pStyle w:val="NoSpacing"/>
              <w:jc w:val="center"/>
              <w:rPr>
                <w:sz w:val="22"/>
              </w:rPr>
            </w:pPr>
            <w:r w:rsidRPr="00D66514">
              <w:rPr>
                <w:sz w:val="22"/>
              </w:rPr>
              <w:t>0.999</w:t>
            </w:r>
          </w:p>
        </w:tc>
        <w:tc>
          <w:tcPr>
            <w:tcW w:w="18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428E823" w14:textId="77777777" w:rsidR="000C3E6E" w:rsidRPr="00D66514" w:rsidRDefault="000C3E6E" w:rsidP="00E70528">
            <w:pPr>
              <w:pStyle w:val="NoSpacing"/>
              <w:jc w:val="center"/>
              <w:rPr>
                <w:sz w:val="22"/>
              </w:rPr>
            </w:pPr>
            <w:r w:rsidRPr="00D66514">
              <w:rPr>
                <w:sz w:val="22"/>
              </w:rPr>
              <w:t>0.72</w:t>
            </w:r>
          </w:p>
        </w:tc>
      </w:tr>
      <w:tr w:rsidR="00C01AF3" w:rsidRPr="00D66514" w14:paraId="3D0A12A9" w14:textId="77777777" w:rsidTr="00E70528">
        <w:trPr>
          <w:trHeight w:val="153"/>
          <w:jc w:val="center"/>
        </w:trPr>
        <w:tc>
          <w:tcPr>
            <w:tcW w:w="1797" w:type="dxa"/>
            <w:vMerge/>
            <w:tcBorders>
              <w:left w:val="single" w:sz="2" w:space="0" w:color="000000"/>
              <w:right w:val="single" w:sz="2" w:space="0" w:color="000000"/>
            </w:tcBorders>
            <w:shd w:val="clear" w:color="auto" w:fill="auto"/>
            <w:vAlign w:val="center"/>
          </w:tcPr>
          <w:p w14:paraId="1411C691" w14:textId="77777777" w:rsidR="000C3E6E" w:rsidRPr="00D66514" w:rsidRDefault="000C3E6E" w:rsidP="00E70528">
            <w:pPr>
              <w:pStyle w:val="NoSpacing"/>
              <w:jc w:val="center"/>
              <w:rPr>
                <w:b/>
                <w:bCs/>
                <w:sz w:val="22"/>
              </w:rPr>
            </w:pP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8FB5782" w14:textId="77777777" w:rsidR="000C3E6E" w:rsidRPr="00D66514" w:rsidRDefault="000C3E6E" w:rsidP="00E70528">
            <w:pPr>
              <w:pStyle w:val="NoSpacing"/>
              <w:rPr>
                <w:b/>
                <w:bCs/>
                <w:sz w:val="22"/>
              </w:rPr>
            </w:pPr>
            <w:r w:rsidRPr="00D66514">
              <w:rPr>
                <w:b/>
                <w:bCs/>
                <w:sz w:val="22"/>
              </w:rPr>
              <w:t>Florida and California</w:t>
            </w:r>
          </w:p>
        </w:tc>
        <w:tc>
          <w:tcPr>
            <w:tcW w:w="127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D58DDDC" w14:textId="77777777" w:rsidR="000C3E6E" w:rsidRPr="00D66514" w:rsidRDefault="000C3E6E" w:rsidP="00E70528">
            <w:pPr>
              <w:pStyle w:val="NoSpacing"/>
              <w:jc w:val="center"/>
              <w:rPr>
                <w:sz w:val="22"/>
              </w:rPr>
            </w:pPr>
            <w:r w:rsidRPr="00D66514">
              <w:rPr>
                <w:sz w:val="22"/>
              </w:rPr>
              <w:t>0.996</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5440D46" w14:textId="77777777" w:rsidR="000C3E6E" w:rsidRPr="00D66514" w:rsidRDefault="000C3E6E" w:rsidP="00E70528">
            <w:pPr>
              <w:pStyle w:val="NoSpacing"/>
              <w:jc w:val="center"/>
              <w:rPr>
                <w:sz w:val="22"/>
              </w:rPr>
            </w:pPr>
            <w:r w:rsidRPr="00D66514">
              <w:rPr>
                <w:sz w:val="22"/>
              </w:rPr>
              <w:t>-0.033</w:t>
            </w:r>
          </w:p>
        </w:tc>
        <w:tc>
          <w:tcPr>
            <w:tcW w:w="18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EBE13CA" w14:textId="77777777" w:rsidR="000C3E6E" w:rsidRPr="00D66514" w:rsidRDefault="000C3E6E" w:rsidP="00E70528">
            <w:pPr>
              <w:pStyle w:val="NoSpacing"/>
              <w:jc w:val="center"/>
              <w:rPr>
                <w:sz w:val="22"/>
              </w:rPr>
            </w:pPr>
            <w:r w:rsidRPr="00D66514">
              <w:rPr>
                <w:sz w:val="22"/>
              </w:rPr>
              <w:t>0.998</w:t>
            </w:r>
          </w:p>
        </w:tc>
      </w:tr>
      <w:tr w:rsidR="00C01AF3" w:rsidRPr="00D66514" w14:paraId="1A7A613C" w14:textId="77777777" w:rsidTr="00E70528">
        <w:trPr>
          <w:trHeight w:val="153"/>
          <w:jc w:val="center"/>
        </w:trPr>
        <w:tc>
          <w:tcPr>
            <w:tcW w:w="1797" w:type="dxa"/>
            <w:vMerge/>
            <w:tcBorders>
              <w:left w:val="single" w:sz="2" w:space="0" w:color="000000"/>
              <w:right w:val="single" w:sz="2" w:space="0" w:color="000000"/>
            </w:tcBorders>
            <w:shd w:val="clear" w:color="auto" w:fill="auto"/>
            <w:vAlign w:val="center"/>
          </w:tcPr>
          <w:p w14:paraId="467AB4E9" w14:textId="77777777" w:rsidR="000C3E6E" w:rsidRPr="00D66514" w:rsidRDefault="000C3E6E" w:rsidP="00E70528">
            <w:pPr>
              <w:pStyle w:val="NoSpacing"/>
              <w:jc w:val="center"/>
              <w:rPr>
                <w:b/>
                <w:bCs/>
                <w:sz w:val="22"/>
              </w:rPr>
            </w:pP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C7B2E7A" w14:textId="77777777" w:rsidR="000C3E6E" w:rsidRPr="00D66514" w:rsidRDefault="000C3E6E" w:rsidP="00E70528">
            <w:pPr>
              <w:pStyle w:val="NoSpacing"/>
              <w:rPr>
                <w:b/>
                <w:bCs/>
                <w:sz w:val="22"/>
              </w:rPr>
            </w:pPr>
            <w:r w:rsidRPr="00D66514">
              <w:rPr>
                <w:b/>
                <w:bCs/>
                <w:sz w:val="22"/>
              </w:rPr>
              <w:t>Ohio and California</w:t>
            </w:r>
          </w:p>
        </w:tc>
        <w:tc>
          <w:tcPr>
            <w:tcW w:w="127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CB2E45F" w14:textId="77777777" w:rsidR="000C3E6E" w:rsidRPr="00D66514" w:rsidRDefault="000C3E6E" w:rsidP="00E70528">
            <w:pPr>
              <w:pStyle w:val="NoSpacing"/>
              <w:jc w:val="center"/>
              <w:rPr>
                <w:sz w:val="22"/>
              </w:rPr>
            </w:pPr>
            <w:r w:rsidRPr="00D66514">
              <w:rPr>
                <w:sz w:val="22"/>
              </w:rPr>
              <w:t>0.454</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5EFF9A4" w14:textId="77777777" w:rsidR="000C3E6E" w:rsidRPr="00D66514" w:rsidRDefault="000C3E6E" w:rsidP="00E70528">
            <w:pPr>
              <w:pStyle w:val="NoSpacing"/>
              <w:jc w:val="center"/>
              <w:rPr>
                <w:sz w:val="22"/>
              </w:rPr>
            </w:pPr>
            <w:r w:rsidRPr="00D66514">
              <w:rPr>
                <w:sz w:val="22"/>
              </w:rPr>
              <w:t>1</w:t>
            </w:r>
          </w:p>
        </w:tc>
        <w:tc>
          <w:tcPr>
            <w:tcW w:w="18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248B5FC" w14:textId="77777777" w:rsidR="000C3E6E" w:rsidRPr="00D66514" w:rsidRDefault="000C3E6E" w:rsidP="00E70528">
            <w:pPr>
              <w:pStyle w:val="NoSpacing"/>
              <w:jc w:val="center"/>
              <w:rPr>
                <w:sz w:val="22"/>
              </w:rPr>
            </w:pPr>
            <w:r w:rsidRPr="00D66514">
              <w:rPr>
                <w:sz w:val="22"/>
              </w:rPr>
              <w:t>1</w:t>
            </w:r>
          </w:p>
        </w:tc>
      </w:tr>
      <w:tr w:rsidR="00C01AF3" w:rsidRPr="00D66514" w14:paraId="60FA35C8" w14:textId="77777777" w:rsidTr="00E70528">
        <w:trPr>
          <w:trHeight w:val="153"/>
          <w:jc w:val="center"/>
        </w:trPr>
        <w:tc>
          <w:tcPr>
            <w:tcW w:w="1797" w:type="dxa"/>
            <w:vMerge/>
            <w:tcBorders>
              <w:left w:val="single" w:sz="2" w:space="0" w:color="000000"/>
              <w:bottom w:val="single" w:sz="2" w:space="0" w:color="000000"/>
              <w:right w:val="single" w:sz="2" w:space="0" w:color="000000"/>
            </w:tcBorders>
            <w:shd w:val="clear" w:color="auto" w:fill="auto"/>
            <w:vAlign w:val="center"/>
          </w:tcPr>
          <w:p w14:paraId="63F108B8" w14:textId="77777777" w:rsidR="000C3E6E" w:rsidRPr="00D66514" w:rsidRDefault="000C3E6E" w:rsidP="00E70528">
            <w:pPr>
              <w:pStyle w:val="NoSpacing"/>
              <w:jc w:val="center"/>
              <w:rPr>
                <w:b/>
                <w:bCs/>
                <w:sz w:val="22"/>
              </w:rPr>
            </w:pP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0E87773" w14:textId="77777777" w:rsidR="000C3E6E" w:rsidRPr="00D66514" w:rsidRDefault="000C3E6E" w:rsidP="00E70528">
            <w:pPr>
              <w:pStyle w:val="NoSpacing"/>
              <w:rPr>
                <w:b/>
                <w:bCs/>
                <w:sz w:val="22"/>
              </w:rPr>
            </w:pPr>
            <w:r w:rsidRPr="00D66514">
              <w:rPr>
                <w:b/>
                <w:bCs/>
                <w:sz w:val="22"/>
              </w:rPr>
              <w:t>Florida, Ohio and California</w:t>
            </w:r>
          </w:p>
        </w:tc>
        <w:tc>
          <w:tcPr>
            <w:tcW w:w="127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13B533D" w14:textId="77777777" w:rsidR="000C3E6E" w:rsidRPr="00D66514" w:rsidRDefault="000C3E6E" w:rsidP="00E70528">
            <w:pPr>
              <w:pStyle w:val="NoSpacing"/>
              <w:jc w:val="center"/>
              <w:rPr>
                <w:sz w:val="22"/>
              </w:rPr>
            </w:pPr>
            <w:r w:rsidRPr="00D66514">
              <w:rPr>
                <w:sz w:val="22"/>
              </w:rPr>
              <w:t>0.995</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BF52A8B" w14:textId="77777777" w:rsidR="000C3E6E" w:rsidRPr="00D66514" w:rsidRDefault="000C3E6E" w:rsidP="00E70528">
            <w:pPr>
              <w:pStyle w:val="NoSpacing"/>
              <w:jc w:val="center"/>
              <w:rPr>
                <w:sz w:val="22"/>
              </w:rPr>
            </w:pPr>
            <w:r w:rsidRPr="00D66514">
              <w:rPr>
                <w:sz w:val="22"/>
              </w:rPr>
              <w:t>1</w:t>
            </w:r>
          </w:p>
        </w:tc>
        <w:tc>
          <w:tcPr>
            <w:tcW w:w="18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76DF91A" w14:textId="77777777" w:rsidR="000C3E6E" w:rsidRPr="00D66514" w:rsidRDefault="000C3E6E" w:rsidP="00E70528">
            <w:pPr>
              <w:pStyle w:val="NoSpacing"/>
              <w:jc w:val="center"/>
              <w:rPr>
                <w:sz w:val="22"/>
              </w:rPr>
            </w:pPr>
            <w:r w:rsidRPr="00D66514">
              <w:rPr>
                <w:sz w:val="22"/>
              </w:rPr>
              <w:t>0.998</w:t>
            </w:r>
          </w:p>
        </w:tc>
      </w:tr>
      <w:tr w:rsidR="00C01AF3" w:rsidRPr="00D66514" w14:paraId="6595C6AB" w14:textId="77777777" w:rsidTr="00E70528">
        <w:trPr>
          <w:trHeight w:val="153"/>
          <w:jc w:val="center"/>
        </w:trPr>
        <w:tc>
          <w:tcPr>
            <w:tcW w:w="1797" w:type="dxa"/>
            <w:vMerge w:val="restart"/>
            <w:tcBorders>
              <w:top w:val="single" w:sz="2" w:space="0" w:color="000000"/>
              <w:left w:val="single" w:sz="2" w:space="0" w:color="000000"/>
              <w:right w:val="single" w:sz="2" w:space="0" w:color="000000"/>
            </w:tcBorders>
            <w:shd w:val="clear" w:color="auto" w:fill="auto"/>
            <w:vAlign w:val="center"/>
          </w:tcPr>
          <w:p w14:paraId="79EE239A" w14:textId="77777777" w:rsidR="000C3E6E" w:rsidRPr="00D66514" w:rsidRDefault="000C3E6E" w:rsidP="00E70528">
            <w:pPr>
              <w:pStyle w:val="NoSpacing"/>
              <w:jc w:val="center"/>
              <w:rPr>
                <w:b/>
                <w:bCs/>
                <w:sz w:val="22"/>
              </w:rPr>
            </w:pPr>
            <w:r w:rsidRPr="00D66514">
              <w:rPr>
                <w:b/>
                <w:bCs/>
                <w:sz w:val="22"/>
              </w:rPr>
              <w:t>KABC</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FD8C501" w14:textId="77777777" w:rsidR="000C3E6E" w:rsidRPr="00D66514" w:rsidRDefault="000C3E6E" w:rsidP="00E70528">
            <w:pPr>
              <w:pStyle w:val="NoSpacing"/>
              <w:rPr>
                <w:b/>
                <w:bCs/>
                <w:sz w:val="22"/>
              </w:rPr>
            </w:pPr>
            <w:r w:rsidRPr="00D66514">
              <w:rPr>
                <w:b/>
                <w:bCs/>
                <w:sz w:val="22"/>
              </w:rPr>
              <w:t>Florida</w:t>
            </w:r>
          </w:p>
        </w:tc>
        <w:tc>
          <w:tcPr>
            <w:tcW w:w="127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A0A8D27" w14:textId="77777777" w:rsidR="000C3E6E" w:rsidRPr="00D66514" w:rsidRDefault="000C3E6E" w:rsidP="00E70528">
            <w:pPr>
              <w:pStyle w:val="NoSpacing"/>
              <w:jc w:val="center"/>
              <w:rPr>
                <w:sz w:val="22"/>
              </w:rPr>
            </w:pPr>
            <w:r w:rsidRPr="00D66514">
              <w:rPr>
                <w:sz w:val="22"/>
              </w:rPr>
              <w:t>1</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1D6108D" w14:textId="77777777" w:rsidR="000C3E6E" w:rsidRPr="00D66514" w:rsidRDefault="000C3E6E" w:rsidP="00E70528">
            <w:pPr>
              <w:pStyle w:val="NoSpacing"/>
              <w:jc w:val="center"/>
              <w:rPr>
                <w:sz w:val="22"/>
              </w:rPr>
            </w:pPr>
            <w:r w:rsidRPr="00D66514">
              <w:rPr>
                <w:sz w:val="22"/>
              </w:rPr>
              <w:t>-3.2</w:t>
            </w:r>
          </w:p>
        </w:tc>
        <w:tc>
          <w:tcPr>
            <w:tcW w:w="18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C459C9C" w14:textId="77777777" w:rsidR="000C3E6E" w:rsidRPr="00D66514" w:rsidRDefault="000C3E6E" w:rsidP="00E70528">
            <w:pPr>
              <w:pStyle w:val="NoSpacing"/>
              <w:jc w:val="center"/>
              <w:rPr>
                <w:sz w:val="22"/>
              </w:rPr>
            </w:pPr>
            <w:r w:rsidRPr="00D66514">
              <w:rPr>
                <w:sz w:val="22"/>
              </w:rPr>
              <w:t>0.738</w:t>
            </w:r>
          </w:p>
        </w:tc>
      </w:tr>
      <w:tr w:rsidR="00C01AF3" w:rsidRPr="00D66514" w14:paraId="3A761C8C" w14:textId="77777777" w:rsidTr="00E70528">
        <w:trPr>
          <w:trHeight w:val="153"/>
          <w:jc w:val="center"/>
        </w:trPr>
        <w:tc>
          <w:tcPr>
            <w:tcW w:w="1797" w:type="dxa"/>
            <w:vMerge/>
            <w:tcBorders>
              <w:left w:val="single" w:sz="2" w:space="0" w:color="000000"/>
              <w:right w:val="single" w:sz="2" w:space="0" w:color="000000"/>
            </w:tcBorders>
            <w:shd w:val="clear" w:color="auto" w:fill="auto"/>
            <w:vAlign w:val="center"/>
          </w:tcPr>
          <w:p w14:paraId="3DF36F38" w14:textId="77777777" w:rsidR="000C3E6E" w:rsidRPr="00D66514" w:rsidRDefault="000C3E6E" w:rsidP="00E70528">
            <w:pPr>
              <w:pStyle w:val="NoSpacing"/>
              <w:jc w:val="center"/>
              <w:rPr>
                <w:b/>
                <w:bCs/>
                <w:sz w:val="22"/>
              </w:rPr>
            </w:pP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EFE917C" w14:textId="77777777" w:rsidR="000C3E6E" w:rsidRPr="00D66514" w:rsidRDefault="000C3E6E" w:rsidP="00E70528">
            <w:pPr>
              <w:pStyle w:val="NoSpacing"/>
              <w:rPr>
                <w:b/>
                <w:bCs/>
                <w:sz w:val="22"/>
              </w:rPr>
            </w:pPr>
            <w:r w:rsidRPr="00D66514">
              <w:rPr>
                <w:b/>
                <w:bCs/>
                <w:sz w:val="22"/>
              </w:rPr>
              <w:t>Ohio</w:t>
            </w:r>
          </w:p>
        </w:tc>
        <w:tc>
          <w:tcPr>
            <w:tcW w:w="127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720093B" w14:textId="77777777" w:rsidR="000C3E6E" w:rsidRPr="00D66514" w:rsidRDefault="000C3E6E" w:rsidP="00E70528">
            <w:pPr>
              <w:pStyle w:val="NoSpacing"/>
              <w:jc w:val="center"/>
              <w:rPr>
                <w:sz w:val="22"/>
              </w:rPr>
            </w:pPr>
            <w:r w:rsidRPr="00D66514">
              <w:rPr>
                <w:sz w:val="22"/>
              </w:rPr>
              <w:t>-2.718</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30EE557" w14:textId="77777777" w:rsidR="000C3E6E" w:rsidRPr="00D66514" w:rsidRDefault="000C3E6E" w:rsidP="00E70528">
            <w:pPr>
              <w:pStyle w:val="NoSpacing"/>
              <w:jc w:val="center"/>
              <w:rPr>
                <w:sz w:val="22"/>
              </w:rPr>
            </w:pPr>
            <w:r w:rsidRPr="00D66514">
              <w:rPr>
                <w:sz w:val="22"/>
              </w:rPr>
              <w:t>1</w:t>
            </w:r>
          </w:p>
        </w:tc>
        <w:tc>
          <w:tcPr>
            <w:tcW w:w="18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D810A54" w14:textId="77777777" w:rsidR="000C3E6E" w:rsidRPr="00D66514" w:rsidRDefault="000C3E6E" w:rsidP="00E70528">
            <w:pPr>
              <w:pStyle w:val="NoSpacing"/>
              <w:jc w:val="center"/>
              <w:rPr>
                <w:sz w:val="22"/>
              </w:rPr>
            </w:pPr>
            <w:r w:rsidRPr="00D66514">
              <w:rPr>
                <w:sz w:val="22"/>
              </w:rPr>
              <w:t>-0.47</w:t>
            </w:r>
          </w:p>
        </w:tc>
      </w:tr>
      <w:tr w:rsidR="00C01AF3" w:rsidRPr="00D66514" w14:paraId="4091D824" w14:textId="77777777" w:rsidTr="00E70528">
        <w:trPr>
          <w:trHeight w:val="153"/>
          <w:jc w:val="center"/>
        </w:trPr>
        <w:tc>
          <w:tcPr>
            <w:tcW w:w="1797" w:type="dxa"/>
            <w:vMerge/>
            <w:tcBorders>
              <w:left w:val="single" w:sz="2" w:space="0" w:color="000000"/>
              <w:right w:val="single" w:sz="2" w:space="0" w:color="000000"/>
            </w:tcBorders>
            <w:shd w:val="clear" w:color="auto" w:fill="auto"/>
            <w:vAlign w:val="center"/>
          </w:tcPr>
          <w:p w14:paraId="6031ED24" w14:textId="77777777" w:rsidR="000C3E6E" w:rsidRPr="00D66514" w:rsidRDefault="000C3E6E" w:rsidP="00E70528">
            <w:pPr>
              <w:pStyle w:val="NoSpacing"/>
              <w:jc w:val="center"/>
              <w:rPr>
                <w:b/>
                <w:bCs/>
                <w:sz w:val="22"/>
              </w:rPr>
            </w:pP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6636673" w14:textId="77777777" w:rsidR="000C3E6E" w:rsidRPr="00D66514" w:rsidRDefault="000C3E6E" w:rsidP="00E70528">
            <w:pPr>
              <w:pStyle w:val="NoSpacing"/>
              <w:rPr>
                <w:b/>
                <w:bCs/>
                <w:sz w:val="22"/>
              </w:rPr>
            </w:pPr>
            <w:r w:rsidRPr="00D66514">
              <w:rPr>
                <w:b/>
                <w:bCs/>
                <w:sz w:val="22"/>
              </w:rPr>
              <w:t>California</w:t>
            </w:r>
          </w:p>
        </w:tc>
        <w:tc>
          <w:tcPr>
            <w:tcW w:w="127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E5E4AF4" w14:textId="77777777" w:rsidR="000C3E6E" w:rsidRPr="00D66514" w:rsidRDefault="000C3E6E" w:rsidP="00E70528">
            <w:pPr>
              <w:pStyle w:val="NoSpacing"/>
              <w:jc w:val="center"/>
              <w:rPr>
                <w:sz w:val="22"/>
              </w:rPr>
            </w:pPr>
            <w:r w:rsidRPr="00D66514">
              <w:rPr>
                <w:sz w:val="22"/>
              </w:rPr>
              <w:t>0.518</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26E522C" w14:textId="77777777" w:rsidR="000C3E6E" w:rsidRPr="00D66514" w:rsidRDefault="000C3E6E" w:rsidP="00E70528">
            <w:pPr>
              <w:pStyle w:val="NoSpacing"/>
              <w:jc w:val="center"/>
              <w:rPr>
                <w:sz w:val="22"/>
              </w:rPr>
            </w:pPr>
            <w:r w:rsidRPr="00D66514">
              <w:rPr>
                <w:sz w:val="22"/>
              </w:rPr>
              <w:t>-1.85</w:t>
            </w:r>
          </w:p>
        </w:tc>
        <w:tc>
          <w:tcPr>
            <w:tcW w:w="18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D535287" w14:textId="77777777" w:rsidR="000C3E6E" w:rsidRPr="00D66514" w:rsidRDefault="000C3E6E" w:rsidP="00E70528">
            <w:pPr>
              <w:pStyle w:val="NoSpacing"/>
              <w:jc w:val="center"/>
              <w:rPr>
                <w:sz w:val="22"/>
              </w:rPr>
            </w:pPr>
            <w:r w:rsidRPr="00D66514">
              <w:rPr>
                <w:sz w:val="22"/>
              </w:rPr>
              <w:t>1</w:t>
            </w:r>
          </w:p>
        </w:tc>
      </w:tr>
      <w:tr w:rsidR="00C01AF3" w:rsidRPr="00D66514" w14:paraId="1D47DE6B" w14:textId="77777777" w:rsidTr="00E70528">
        <w:trPr>
          <w:trHeight w:val="153"/>
          <w:jc w:val="center"/>
        </w:trPr>
        <w:tc>
          <w:tcPr>
            <w:tcW w:w="1797" w:type="dxa"/>
            <w:vMerge/>
            <w:tcBorders>
              <w:left w:val="single" w:sz="2" w:space="0" w:color="000000"/>
              <w:right w:val="single" w:sz="2" w:space="0" w:color="000000"/>
            </w:tcBorders>
            <w:shd w:val="clear" w:color="auto" w:fill="auto"/>
            <w:vAlign w:val="center"/>
          </w:tcPr>
          <w:p w14:paraId="361DA16A" w14:textId="77777777" w:rsidR="000C3E6E" w:rsidRPr="00D66514" w:rsidRDefault="000C3E6E" w:rsidP="00E70528">
            <w:pPr>
              <w:pStyle w:val="NoSpacing"/>
              <w:jc w:val="center"/>
              <w:rPr>
                <w:b/>
                <w:bCs/>
                <w:sz w:val="22"/>
              </w:rPr>
            </w:pP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9C62C29" w14:textId="77777777" w:rsidR="000C3E6E" w:rsidRPr="00D66514" w:rsidRDefault="000C3E6E" w:rsidP="00E70528">
            <w:pPr>
              <w:pStyle w:val="NoSpacing"/>
              <w:rPr>
                <w:b/>
                <w:bCs/>
                <w:sz w:val="22"/>
              </w:rPr>
            </w:pPr>
            <w:r w:rsidRPr="00D66514">
              <w:rPr>
                <w:b/>
                <w:bCs/>
                <w:sz w:val="22"/>
              </w:rPr>
              <w:t>Florida and Ohio</w:t>
            </w:r>
          </w:p>
        </w:tc>
        <w:tc>
          <w:tcPr>
            <w:tcW w:w="127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298F3C4" w14:textId="77777777" w:rsidR="000C3E6E" w:rsidRPr="00D66514" w:rsidRDefault="000C3E6E" w:rsidP="00E70528">
            <w:pPr>
              <w:pStyle w:val="NoSpacing"/>
              <w:jc w:val="center"/>
              <w:rPr>
                <w:sz w:val="22"/>
              </w:rPr>
            </w:pPr>
            <w:r w:rsidRPr="00D66514">
              <w:rPr>
                <w:sz w:val="22"/>
              </w:rPr>
              <w:t>0.999</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0CC7BFF" w14:textId="77777777" w:rsidR="000C3E6E" w:rsidRPr="00D66514" w:rsidRDefault="000C3E6E" w:rsidP="00E70528">
            <w:pPr>
              <w:pStyle w:val="NoSpacing"/>
              <w:jc w:val="center"/>
              <w:rPr>
                <w:sz w:val="22"/>
              </w:rPr>
            </w:pPr>
            <w:r w:rsidRPr="00D66514">
              <w:rPr>
                <w:sz w:val="22"/>
              </w:rPr>
              <w:t>0.996</w:t>
            </w:r>
          </w:p>
        </w:tc>
        <w:tc>
          <w:tcPr>
            <w:tcW w:w="18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FBDBEA7" w14:textId="77777777" w:rsidR="000C3E6E" w:rsidRPr="00D66514" w:rsidRDefault="000C3E6E" w:rsidP="00E70528">
            <w:pPr>
              <w:pStyle w:val="NoSpacing"/>
              <w:jc w:val="center"/>
              <w:rPr>
                <w:sz w:val="22"/>
              </w:rPr>
            </w:pPr>
            <w:r w:rsidRPr="00D66514">
              <w:rPr>
                <w:sz w:val="22"/>
              </w:rPr>
              <w:t>0.732</w:t>
            </w:r>
          </w:p>
        </w:tc>
      </w:tr>
      <w:tr w:rsidR="00C01AF3" w:rsidRPr="00D66514" w14:paraId="5FEB1A68" w14:textId="77777777" w:rsidTr="00E70528">
        <w:trPr>
          <w:trHeight w:val="153"/>
          <w:jc w:val="center"/>
        </w:trPr>
        <w:tc>
          <w:tcPr>
            <w:tcW w:w="1797" w:type="dxa"/>
            <w:vMerge/>
            <w:tcBorders>
              <w:left w:val="single" w:sz="2" w:space="0" w:color="000000"/>
              <w:right w:val="single" w:sz="2" w:space="0" w:color="000000"/>
            </w:tcBorders>
            <w:shd w:val="clear" w:color="auto" w:fill="auto"/>
            <w:vAlign w:val="center"/>
          </w:tcPr>
          <w:p w14:paraId="692C68DD" w14:textId="77777777" w:rsidR="000C3E6E" w:rsidRPr="00D66514" w:rsidRDefault="000C3E6E" w:rsidP="00E70528">
            <w:pPr>
              <w:pStyle w:val="NoSpacing"/>
              <w:jc w:val="center"/>
              <w:rPr>
                <w:b/>
                <w:bCs/>
                <w:sz w:val="22"/>
              </w:rPr>
            </w:pP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7BFD6C0" w14:textId="77777777" w:rsidR="000C3E6E" w:rsidRPr="00D66514" w:rsidRDefault="000C3E6E" w:rsidP="00E70528">
            <w:pPr>
              <w:pStyle w:val="NoSpacing"/>
              <w:rPr>
                <w:b/>
                <w:bCs/>
                <w:sz w:val="22"/>
              </w:rPr>
            </w:pPr>
            <w:r w:rsidRPr="00D66514">
              <w:rPr>
                <w:b/>
                <w:bCs/>
                <w:sz w:val="22"/>
              </w:rPr>
              <w:t>Florida and California</w:t>
            </w:r>
          </w:p>
        </w:tc>
        <w:tc>
          <w:tcPr>
            <w:tcW w:w="127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59E763E" w14:textId="77777777" w:rsidR="000C3E6E" w:rsidRPr="00D66514" w:rsidRDefault="000C3E6E" w:rsidP="00E70528">
            <w:pPr>
              <w:pStyle w:val="NoSpacing"/>
              <w:jc w:val="center"/>
              <w:rPr>
                <w:sz w:val="22"/>
              </w:rPr>
            </w:pPr>
            <w:r w:rsidRPr="00D66514">
              <w:rPr>
                <w:sz w:val="22"/>
              </w:rPr>
              <w:t>1</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B2AF0FA" w14:textId="77777777" w:rsidR="000C3E6E" w:rsidRPr="00D66514" w:rsidRDefault="000C3E6E" w:rsidP="00E70528">
            <w:pPr>
              <w:pStyle w:val="NoSpacing"/>
              <w:jc w:val="center"/>
              <w:rPr>
                <w:sz w:val="22"/>
              </w:rPr>
            </w:pPr>
            <w:r w:rsidRPr="00D66514">
              <w:rPr>
                <w:sz w:val="22"/>
              </w:rPr>
              <w:t>-3.24</w:t>
            </w:r>
          </w:p>
        </w:tc>
        <w:tc>
          <w:tcPr>
            <w:tcW w:w="18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96B9975" w14:textId="77777777" w:rsidR="000C3E6E" w:rsidRPr="00D66514" w:rsidRDefault="000C3E6E" w:rsidP="00E70528">
            <w:pPr>
              <w:pStyle w:val="NoSpacing"/>
              <w:jc w:val="center"/>
              <w:rPr>
                <w:sz w:val="22"/>
              </w:rPr>
            </w:pPr>
            <w:r w:rsidRPr="00D66514">
              <w:rPr>
                <w:sz w:val="22"/>
              </w:rPr>
              <w:t>1</w:t>
            </w:r>
          </w:p>
        </w:tc>
      </w:tr>
      <w:tr w:rsidR="00C01AF3" w:rsidRPr="00D66514" w14:paraId="1563F847" w14:textId="77777777" w:rsidTr="00E70528">
        <w:trPr>
          <w:trHeight w:val="153"/>
          <w:jc w:val="center"/>
        </w:trPr>
        <w:tc>
          <w:tcPr>
            <w:tcW w:w="1797" w:type="dxa"/>
            <w:vMerge/>
            <w:tcBorders>
              <w:left w:val="single" w:sz="2" w:space="0" w:color="000000"/>
              <w:right w:val="single" w:sz="2" w:space="0" w:color="000000"/>
            </w:tcBorders>
            <w:shd w:val="clear" w:color="auto" w:fill="auto"/>
            <w:vAlign w:val="center"/>
          </w:tcPr>
          <w:p w14:paraId="5961001D" w14:textId="77777777" w:rsidR="000C3E6E" w:rsidRPr="00D66514" w:rsidRDefault="000C3E6E" w:rsidP="00E70528">
            <w:pPr>
              <w:pStyle w:val="NoSpacing"/>
              <w:jc w:val="center"/>
              <w:rPr>
                <w:b/>
                <w:bCs/>
                <w:sz w:val="22"/>
              </w:rPr>
            </w:pP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94E4DCB" w14:textId="77777777" w:rsidR="000C3E6E" w:rsidRPr="00D66514" w:rsidRDefault="000C3E6E" w:rsidP="00E70528">
            <w:pPr>
              <w:pStyle w:val="NoSpacing"/>
              <w:rPr>
                <w:b/>
                <w:bCs/>
                <w:sz w:val="22"/>
              </w:rPr>
            </w:pPr>
            <w:r w:rsidRPr="00D66514">
              <w:rPr>
                <w:b/>
                <w:bCs/>
                <w:sz w:val="22"/>
              </w:rPr>
              <w:t>Ohio and California</w:t>
            </w:r>
          </w:p>
        </w:tc>
        <w:tc>
          <w:tcPr>
            <w:tcW w:w="127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C0B6F37" w14:textId="77777777" w:rsidR="000C3E6E" w:rsidRPr="00D66514" w:rsidRDefault="000C3E6E" w:rsidP="00E70528">
            <w:pPr>
              <w:pStyle w:val="NoSpacing"/>
              <w:jc w:val="center"/>
              <w:rPr>
                <w:sz w:val="22"/>
              </w:rPr>
            </w:pPr>
            <w:r w:rsidRPr="00D66514">
              <w:rPr>
                <w:sz w:val="22"/>
              </w:rPr>
              <w:t>0.508</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DB65E3B" w14:textId="77777777" w:rsidR="000C3E6E" w:rsidRPr="00D66514" w:rsidRDefault="000C3E6E" w:rsidP="00E70528">
            <w:pPr>
              <w:pStyle w:val="NoSpacing"/>
              <w:jc w:val="center"/>
              <w:rPr>
                <w:sz w:val="22"/>
              </w:rPr>
            </w:pPr>
            <w:r w:rsidRPr="00D66514">
              <w:rPr>
                <w:sz w:val="22"/>
              </w:rPr>
              <w:t>0.997</w:t>
            </w:r>
          </w:p>
        </w:tc>
        <w:tc>
          <w:tcPr>
            <w:tcW w:w="18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849E1B1" w14:textId="77777777" w:rsidR="000C3E6E" w:rsidRPr="00D66514" w:rsidRDefault="000C3E6E" w:rsidP="00E70528">
            <w:pPr>
              <w:pStyle w:val="NoSpacing"/>
              <w:jc w:val="center"/>
              <w:rPr>
                <w:sz w:val="22"/>
              </w:rPr>
            </w:pPr>
            <w:r w:rsidRPr="00D66514">
              <w:rPr>
                <w:sz w:val="22"/>
              </w:rPr>
              <w:t>1</w:t>
            </w:r>
          </w:p>
        </w:tc>
      </w:tr>
      <w:tr w:rsidR="00C01AF3" w:rsidRPr="00D66514" w14:paraId="6219D4C4" w14:textId="77777777" w:rsidTr="00E70528">
        <w:trPr>
          <w:trHeight w:val="153"/>
          <w:jc w:val="center"/>
        </w:trPr>
        <w:tc>
          <w:tcPr>
            <w:tcW w:w="1797" w:type="dxa"/>
            <w:vMerge/>
            <w:tcBorders>
              <w:left w:val="single" w:sz="2" w:space="0" w:color="000000"/>
              <w:bottom w:val="single" w:sz="2" w:space="0" w:color="000000"/>
              <w:right w:val="single" w:sz="2" w:space="0" w:color="000000"/>
            </w:tcBorders>
            <w:shd w:val="clear" w:color="auto" w:fill="auto"/>
            <w:vAlign w:val="center"/>
          </w:tcPr>
          <w:p w14:paraId="37387F61" w14:textId="77777777" w:rsidR="000C3E6E" w:rsidRPr="00D66514" w:rsidRDefault="000C3E6E" w:rsidP="00E70528">
            <w:pPr>
              <w:pStyle w:val="NoSpacing"/>
              <w:jc w:val="center"/>
              <w:rPr>
                <w:b/>
                <w:bCs/>
                <w:sz w:val="22"/>
              </w:rPr>
            </w:pP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D7B7FF0" w14:textId="77777777" w:rsidR="000C3E6E" w:rsidRPr="00D66514" w:rsidRDefault="000C3E6E" w:rsidP="00E70528">
            <w:pPr>
              <w:pStyle w:val="NoSpacing"/>
              <w:rPr>
                <w:b/>
                <w:bCs/>
                <w:sz w:val="22"/>
              </w:rPr>
            </w:pPr>
            <w:r w:rsidRPr="00D66514">
              <w:rPr>
                <w:b/>
                <w:bCs/>
                <w:sz w:val="22"/>
              </w:rPr>
              <w:t>Florida, Ohio and California</w:t>
            </w:r>
          </w:p>
        </w:tc>
        <w:tc>
          <w:tcPr>
            <w:tcW w:w="127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5E7C98B" w14:textId="77777777" w:rsidR="000C3E6E" w:rsidRPr="00D66514" w:rsidRDefault="000C3E6E" w:rsidP="00E70528">
            <w:pPr>
              <w:pStyle w:val="NoSpacing"/>
              <w:jc w:val="center"/>
              <w:rPr>
                <w:sz w:val="22"/>
              </w:rPr>
            </w:pPr>
            <w:r w:rsidRPr="00D66514">
              <w:rPr>
                <w:sz w:val="22"/>
              </w:rPr>
              <w:t>1</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82BAB8B" w14:textId="77777777" w:rsidR="000C3E6E" w:rsidRPr="00D66514" w:rsidRDefault="000C3E6E" w:rsidP="00E70528">
            <w:pPr>
              <w:pStyle w:val="NoSpacing"/>
              <w:jc w:val="center"/>
              <w:rPr>
                <w:sz w:val="22"/>
              </w:rPr>
            </w:pPr>
            <w:r w:rsidRPr="00D66514">
              <w:rPr>
                <w:sz w:val="22"/>
              </w:rPr>
              <w:t>0.995</w:t>
            </w:r>
          </w:p>
        </w:tc>
        <w:tc>
          <w:tcPr>
            <w:tcW w:w="18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E60C95C" w14:textId="77777777" w:rsidR="000C3E6E" w:rsidRPr="00D66514" w:rsidRDefault="000C3E6E" w:rsidP="00E70528">
            <w:pPr>
              <w:pStyle w:val="NoSpacing"/>
              <w:jc w:val="center"/>
              <w:rPr>
                <w:sz w:val="22"/>
              </w:rPr>
            </w:pPr>
            <w:r w:rsidRPr="00D66514">
              <w:rPr>
                <w:sz w:val="22"/>
              </w:rPr>
              <w:t>1</w:t>
            </w:r>
          </w:p>
        </w:tc>
      </w:tr>
      <w:tr w:rsidR="00C01AF3" w:rsidRPr="00D66514" w14:paraId="46660571" w14:textId="77777777" w:rsidTr="00E70528">
        <w:trPr>
          <w:trHeight w:val="153"/>
          <w:jc w:val="center"/>
        </w:trPr>
        <w:tc>
          <w:tcPr>
            <w:tcW w:w="1797" w:type="dxa"/>
            <w:vMerge w:val="restart"/>
            <w:tcBorders>
              <w:top w:val="single" w:sz="2" w:space="0" w:color="000000"/>
              <w:left w:val="single" w:sz="2" w:space="0" w:color="000000"/>
              <w:right w:val="single" w:sz="2" w:space="0" w:color="000000"/>
            </w:tcBorders>
            <w:shd w:val="clear" w:color="auto" w:fill="auto"/>
            <w:vAlign w:val="center"/>
          </w:tcPr>
          <w:p w14:paraId="14045745" w14:textId="77777777" w:rsidR="000C3E6E" w:rsidRPr="00D66514" w:rsidRDefault="000C3E6E" w:rsidP="00E70528">
            <w:pPr>
              <w:pStyle w:val="NoSpacing"/>
              <w:jc w:val="center"/>
              <w:rPr>
                <w:b/>
                <w:bCs/>
                <w:sz w:val="22"/>
              </w:rPr>
            </w:pPr>
            <w:r w:rsidRPr="00D66514">
              <w:rPr>
                <w:b/>
                <w:bCs/>
                <w:sz w:val="22"/>
              </w:rPr>
              <w:t>KAB</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594B368" w14:textId="77777777" w:rsidR="000C3E6E" w:rsidRPr="00D66514" w:rsidRDefault="000C3E6E" w:rsidP="00E70528">
            <w:pPr>
              <w:pStyle w:val="NoSpacing"/>
              <w:rPr>
                <w:b/>
                <w:bCs/>
                <w:sz w:val="22"/>
              </w:rPr>
            </w:pPr>
            <w:r w:rsidRPr="00D66514">
              <w:rPr>
                <w:b/>
                <w:bCs/>
                <w:sz w:val="22"/>
              </w:rPr>
              <w:t>Florida</w:t>
            </w:r>
          </w:p>
        </w:tc>
        <w:tc>
          <w:tcPr>
            <w:tcW w:w="127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4B35F3E" w14:textId="77777777" w:rsidR="000C3E6E" w:rsidRPr="00D66514" w:rsidRDefault="000C3E6E" w:rsidP="00E70528">
            <w:pPr>
              <w:pStyle w:val="NoSpacing"/>
              <w:jc w:val="center"/>
              <w:rPr>
                <w:sz w:val="22"/>
              </w:rPr>
            </w:pPr>
            <w:r w:rsidRPr="00D66514">
              <w:rPr>
                <w:sz w:val="22"/>
              </w:rPr>
              <w:t>1</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059ABC8" w14:textId="77777777" w:rsidR="000C3E6E" w:rsidRPr="00D66514" w:rsidRDefault="000C3E6E" w:rsidP="00E70528">
            <w:pPr>
              <w:pStyle w:val="NoSpacing"/>
              <w:jc w:val="center"/>
              <w:rPr>
                <w:sz w:val="22"/>
              </w:rPr>
            </w:pPr>
            <w:r w:rsidRPr="00D66514">
              <w:rPr>
                <w:sz w:val="22"/>
              </w:rPr>
              <w:t>-1.573</w:t>
            </w:r>
          </w:p>
        </w:tc>
        <w:tc>
          <w:tcPr>
            <w:tcW w:w="18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B2004D3" w14:textId="77777777" w:rsidR="000C3E6E" w:rsidRPr="00D66514" w:rsidRDefault="000C3E6E" w:rsidP="00E70528">
            <w:pPr>
              <w:pStyle w:val="NoSpacing"/>
              <w:jc w:val="center"/>
              <w:rPr>
                <w:sz w:val="22"/>
              </w:rPr>
            </w:pPr>
            <w:r w:rsidRPr="00D66514">
              <w:rPr>
                <w:sz w:val="22"/>
              </w:rPr>
              <w:t>0.728</w:t>
            </w:r>
          </w:p>
        </w:tc>
      </w:tr>
      <w:tr w:rsidR="00C01AF3" w:rsidRPr="00D66514" w14:paraId="3B6173FC" w14:textId="77777777" w:rsidTr="00E70528">
        <w:trPr>
          <w:trHeight w:val="153"/>
          <w:jc w:val="center"/>
        </w:trPr>
        <w:tc>
          <w:tcPr>
            <w:tcW w:w="1797" w:type="dxa"/>
            <w:vMerge/>
            <w:tcBorders>
              <w:left w:val="single" w:sz="2" w:space="0" w:color="000000"/>
              <w:right w:val="single" w:sz="2" w:space="0" w:color="000000"/>
            </w:tcBorders>
            <w:shd w:val="clear" w:color="auto" w:fill="auto"/>
            <w:vAlign w:val="center"/>
          </w:tcPr>
          <w:p w14:paraId="52EBA461" w14:textId="77777777" w:rsidR="000C3E6E" w:rsidRPr="00D66514" w:rsidRDefault="000C3E6E" w:rsidP="00E70528">
            <w:pPr>
              <w:pStyle w:val="NoSpacing"/>
              <w:jc w:val="center"/>
              <w:rPr>
                <w:b/>
                <w:bCs/>
                <w:sz w:val="22"/>
              </w:rPr>
            </w:pP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50DFF65" w14:textId="77777777" w:rsidR="000C3E6E" w:rsidRPr="00D66514" w:rsidRDefault="000C3E6E" w:rsidP="00E70528">
            <w:pPr>
              <w:pStyle w:val="NoSpacing"/>
              <w:rPr>
                <w:b/>
                <w:bCs/>
                <w:sz w:val="22"/>
              </w:rPr>
            </w:pPr>
            <w:r w:rsidRPr="00D66514">
              <w:rPr>
                <w:b/>
                <w:bCs/>
                <w:sz w:val="22"/>
              </w:rPr>
              <w:t>Ohio</w:t>
            </w:r>
          </w:p>
        </w:tc>
        <w:tc>
          <w:tcPr>
            <w:tcW w:w="127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50B9D94" w14:textId="77777777" w:rsidR="000C3E6E" w:rsidRPr="00D66514" w:rsidRDefault="000C3E6E" w:rsidP="00E70528">
            <w:pPr>
              <w:pStyle w:val="NoSpacing"/>
              <w:jc w:val="center"/>
              <w:rPr>
                <w:sz w:val="22"/>
              </w:rPr>
            </w:pPr>
            <w:r w:rsidRPr="00D66514">
              <w:rPr>
                <w:sz w:val="22"/>
              </w:rPr>
              <w:t>-0.982</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9A93970" w14:textId="77777777" w:rsidR="000C3E6E" w:rsidRPr="00D66514" w:rsidRDefault="000C3E6E" w:rsidP="00E70528">
            <w:pPr>
              <w:pStyle w:val="NoSpacing"/>
              <w:jc w:val="center"/>
              <w:rPr>
                <w:sz w:val="22"/>
              </w:rPr>
            </w:pPr>
            <w:r w:rsidRPr="00D66514">
              <w:rPr>
                <w:sz w:val="22"/>
              </w:rPr>
              <w:t>1</w:t>
            </w:r>
          </w:p>
        </w:tc>
        <w:tc>
          <w:tcPr>
            <w:tcW w:w="18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C0D757F" w14:textId="77777777" w:rsidR="000C3E6E" w:rsidRPr="00D66514" w:rsidRDefault="000C3E6E" w:rsidP="00E70528">
            <w:pPr>
              <w:pStyle w:val="NoSpacing"/>
              <w:jc w:val="center"/>
              <w:rPr>
                <w:sz w:val="22"/>
              </w:rPr>
            </w:pPr>
            <w:r w:rsidRPr="00D66514">
              <w:rPr>
                <w:sz w:val="22"/>
              </w:rPr>
              <w:t>0.328</w:t>
            </w:r>
          </w:p>
        </w:tc>
      </w:tr>
      <w:tr w:rsidR="00C01AF3" w:rsidRPr="00D66514" w14:paraId="600935CB" w14:textId="77777777" w:rsidTr="00E70528">
        <w:trPr>
          <w:trHeight w:val="153"/>
          <w:jc w:val="center"/>
        </w:trPr>
        <w:tc>
          <w:tcPr>
            <w:tcW w:w="1797" w:type="dxa"/>
            <w:vMerge/>
            <w:tcBorders>
              <w:left w:val="single" w:sz="2" w:space="0" w:color="000000"/>
              <w:right w:val="single" w:sz="2" w:space="0" w:color="000000"/>
            </w:tcBorders>
            <w:shd w:val="clear" w:color="auto" w:fill="auto"/>
            <w:vAlign w:val="center"/>
          </w:tcPr>
          <w:p w14:paraId="24AB6523" w14:textId="77777777" w:rsidR="000C3E6E" w:rsidRPr="00D66514" w:rsidRDefault="000C3E6E" w:rsidP="00E70528">
            <w:pPr>
              <w:pStyle w:val="NoSpacing"/>
              <w:jc w:val="center"/>
              <w:rPr>
                <w:b/>
                <w:bCs/>
                <w:sz w:val="22"/>
              </w:rPr>
            </w:pP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E53BA58" w14:textId="77777777" w:rsidR="000C3E6E" w:rsidRPr="00D66514" w:rsidRDefault="000C3E6E" w:rsidP="00E70528">
            <w:pPr>
              <w:pStyle w:val="NoSpacing"/>
              <w:rPr>
                <w:b/>
                <w:bCs/>
                <w:sz w:val="22"/>
              </w:rPr>
            </w:pPr>
            <w:r w:rsidRPr="00D66514">
              <w:rPr>
                <w:b/>
                <w:bCs/>
                <w:sz w:val="22"/>
              </w:rPr>
              <w:t>California</w:t>
            </w:r>
          </w:p>
        </w:tc>
        <w:tc>
          <w:tcPr>
            <w:tcW w:w="127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D209883" w14:textId="77777777" w:rsidR="000C3E6E" w:rsidRPr="00D66514" w:rsidRDefault="000C3E6E" w:rsidP="00E70528">
            <w:pPr>
              <w:pStyle w:val="NoSpacing"/>
              <w:jc w:val="center"/>
              <w:rPr>
                <w:sz w:val="22"/>
              </w:rPr>
            </w:pPr>
            <w:r w:rsidRPr="00D66514">
              <w:rPr>
                <w:sz w:val="22"/>
              </w:rPr>
              <w:t>0.453</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687AB8F" w14:textId="77777777" w:rsidR="000C3E6E" w:rsidRPr="00D66514" w:rsidRDefault="000C3E6E" w:rsidP="00E70528">
            <w:pPr>
              <w:pStyle w:val="NoSpacing"/>
              <w:jc w:val="center"/>
              <w:rPr>
                <w:sz w:val="22"/>
              </w:rPr>
            </w:pPr>
            <w:r w:rsidRPr="00D66514">
              <w:rPr>
                <w:sz w:val="22"/>
              </w:rPr>
              <w:t>-0.642</w:t>
            </w:r>
          </w:p>
        </w:tc>
        <w:tc>
          <w:tcPr>
            <w:tcW w:w="18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DCD8236" w14:textId="77777777" w:rsidR="000C3E6E" w:rsidRPr="00D66514" w:rsidRDefault="000C3E6E" w:rsidP="00E70528">
            <w:pPr>
              <w:pStyle w:val="NoSpacing"/>
              <w:jc w:val="center"/>
              <w:rPr>
                <w:sz w:val="22"/>
              </w:rPr>
            </w:pPr>
            <w:r w:rsidRPr="00D66514">
              <w:rPr>
                <w:sz w:val="22"/>
              </w:rPr>
              <w:t>1</w:t>
            </w:r>
          </w:p>
        </w:tc>
      </w:tr>
      <w:tr w:rsidR="00C01AF3" w:rsidRPr="00D66514" w14:paraId="2902CBEF" w14:textId="77777777" w:rsidTr="00E70528">
        <w:trPr>
          <w:trHeight w:val="153"/>
          <w:jc w:val="center"/>
        </w:trPr>
        <w:tc>
          <w:tcPr>
            <w:tcW w:w="1797" w:type="dxa"/>
            <w:vMerge/>
            <w:tcBorders>
              <w:left w:val="single" w:sz="2" w:space="0" w:color="000000"/>
              <w:right w:val="single" w:sz="2" w:space="0" w:color="000000"/>
            </w:tcBorders>
            <w:shd w:val="clear" w:color="auto" w:fill="auto"/>
            <w:vAlign w:val="center"/>
          </w:tcPr>
          <w:p w14:paraId="5C61A754" w14:textId="77777777" w:rsidR="000C3E6E" w:rsidRPr="00D66514" w:rsidRDefault="000C3E6E" w:rsidP="00E70528">
            <w:pPr>
              <w:pStyle w:val="NoSpacing"/>
              <w:jc w:val="center"/>
              <w:rPr>
                <w:b/>
                <w:bCs/>
                <w:sz w:val="22"/>
              </w:rPr>
            </w:pP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95D21A6" w14:textId="77777777" w:rsidR="000C3E6E" w:rsidRPr="00D66514" w:rsidRDefault="000C3E6E" w:rsidP="00E70528">
            <w:pPr>
              <w:pStyle w:val="NoSpacing"/>
              <w:rPr>
                <w:b/>
                <w:bCs/>
                <w:sz w:val="22"/>
              </w:rPr>
            </w:pPr>
            <w:r w:rsidRPr="00D66514">
              <w:rPr>
                <w:b/>
                <w:bCs/>
                <w:sz w:val="22"/>
              </w:rPr>
              <w:t>Florida and Ohio</w:t>
            </w:r>
          </w:p>
        </w:tc>
        <w:tc>
          <w:tcPr>
            <w:tcW w:w="127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4E0B8DD" w14:textId="77777777" w:rsidR="000C3E6E" w:rsidRPr="00D66514" w:rsidRDefault="000C3E6E" w:rsidP="00E70528">
            <w:pPr>
              <w:pStyle w:val="NoSpacing"/>
              <w:jc w:val="center"/>
              <w:rPr>
                <w:sz w:val="22"/>
              </w:rPr>
            </w:pPr>
            <w:r w:rsidRPr="00D66514">
              <w:rPr>
                <w:sz w:val="22"/>
              </w:rPr>
              <w:t>1</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C20F523" w14:textId="77777777" w:rsidR="000C3E6E" w:rsidRPr="00D66514" w:rsidRDefault="000C3E6E" w:rsidP="00E70528">
            <w:pPr>
              <w:pStyle w:val="NoSpacing"/>
              <w:jc w:val="center"/>
              <w:rPr>
                <w:sz w:val="22"/>
              </w:rPr>
            </w:pPr>
            <w:r w:rsidRPr="00D66514">
              <w:rPr>
                <w:sz w:val="22"/>
              </w:rPr>
              <w:t>1</w:t>
            </w:r>
          </w:p>
        </w:tc>
        <w:tc>
          <w:tcPr>
            <w:tcW w:w="18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7692D7C" w14:textId="77777777" w:rsidR="000C3E6E" w:rsidRPr="00D66514" w:rsidRDefault="000C3E6E" w:rsidP="00E70528">
            <w:pPr>
              <w:pStyle w:val="NoSpacing"/>
              <w:jc w:val="center"/>
              <w:rPr>
                <w:sz w:val="22"/>
              </w:rPr>
            </w:pPr>
            <w:r w:rsidRPr="00D66514">
              <w:rPr>
                <w:sz w:val="22"/>
              </w:rPr>
              <w:t>0.728</w:t>
            </w:r>
          </w:p>
        </w:tc>
      </w:tr>
      <w:tr w:rsidR="00C01AF3" w:rsidRPr="00D66514" w14:paraId="14633FDA" w14:textId="77777777" w:rsidTr="00E70528">
        <w:trPr>
          <w:trHeight w:val="153"/>
          <w:jc w:val="center"/>
        </w:trPr>
        <w:tc>
          <w:tcPr>
            <w:tcW w:w="1797" w:type="dxa"/>
            <w:vMerge/>
            <w:tcBorders>
              <w:left w:val="single" w:sz="2" w:space="0" w:color="000000"/>
              <w:right w:val="single" w:sz="2" w:space="0" w:color="000000"/>
            </w:tcBorders>
            <w:shd w:val="clear" w:color="auto" w:fill="auto"/>
            <w:vAlign w:val="center"/>
          </w:tcPr>
          <w:p w14:paraId="6B565A27" w14:textId="77777777" w:rsidR="000C3E6E" w:rsidRPr="00D66514" w:rsidRDefault="000C3E6E" w:rsidP="00E70528">
            <w:pPr>
              <w:pStyle w:val="NoSpacing"/>
              <w:jc w:val="center"/>
              <w:rPr>
                <w:b/>
                <w:bCs/>
                <w:sz w:val="22"/>
              </w:rPr>
            </w:pP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ACD6B33" w14:textId="77777777" w:rsidR="000C3E6E" w:rsidRPr="00D66514" w:rsidRDefault="000C3E6E" w:rsidP="00E70528">
            <w:pPr>
              <w:pStyle w:val="NoSpacing"/>
              <w:rPr>
                <w:b/>
                <w:bCs/>
                <w:sz w:val="22"/>
              </w:rPr>
            </w:pPr>
            <w:r w:rsidRPr="00D66514">
              <w:rPr>
                <w:b/>
                <w:bCs/>
                <w:sz w:val="22"/>
              </w:rPr>
              <w:t>Florida and California</w:t>
            </w:r>
          </w:p>
        </w:tc>
        <w:tc>
          <w:tcPr>
            <w:tcW w:w="127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596660E" w14:textId="77777777" w:rsidR="000C3E6E" w:rsidRPr="00D66514" w:rsidRDefault="000C3E6E" w:rsidP="00E70528">
            <w:pPr>
              <w:pStyle w:val="NoSpacing"/>
              <w:jc w:val="center"/>
              <w:rPr>
                <w:sz w:val="22"/>
              </w:rPr>
            </w:pPr>
            <w:r w:rsidRPr="00D66514">
              <w:rPr>
                <w:sz w:val="22"/>
              </w:rPr>
              <w:t>1</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5D621E4" w14:textId="77777777" w:rsidR="000C3E6E" w:rsidRPr="00D66514" w:rsidRDefault="000C3E6E" w:rsidP="00E70528">
            <w:pPr>
              <w:pStyle w:val="NoSpacing"/>
              <w:jc w:val="center"/>
              <w:rPr>
                <w:sz w:val="22"/>
              </w:rPr>
            </w:pPr>
            <w:r w:rsidRPr="00D66514">
              <w:rPr>
                <w:sz w:val="22"/>
              </w:rPr>
              <w:t>-1.62</w:t>
            </w:r>
          </w:p>
        </w:tc>
        <w:tc>
          <w:tcPr>
            <w:tcW w:w="18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2DF1CDF" w14:textId="77777777" w:rsidR="000C3E6E" w:rsidRPr="00D66514" w:rsidRDefault="000C3E6E" w:rsidP="00E70528">
            <w:pPr>
              <w:pStyle w:val="NoSpacing"/>
              <w:jc w:val="center"/>
              <w:rPr>
                <w:sz w:val="22"/>
              </w:rPr>
            </w:pPr>
            <w:r w:rsidRPr="00D66514">
              <w:rPr>
                <w:sz w:val="22"/>
              </w:rPr>
              <w:t>1</w:t>
            </w:r>
          </w:p>
        </w:tc>
      </w:tr>
      <w:tr w:rsidR="00C01AF3" w:rsidRPr="00D66514" w14:paraId="3C061C4D" w14:textId="77777777" w:rsidTr="00E70528">
        <w:trPr>
          <w:trHeight w:val="153"/>
          <w:jc w:val="center"/>
        </w:trPr>
        <w:tc>
          <w:tcPr>
            <w:tcW w:w="1797" w:type="dxa"/>
            <w:vMerge/>
            <w:tcBorders>
              <w:left w:val="single" w:sz="2" w:space="0" w:color="000000"/>
              <w:right w:val="single" w:sz="2" w:space="0" w:color="000000"/>
            </w:tcBorders>
            <w:shd w:val="clear" w:color="auto" w:fill="auto"/>
            <w:vAlign w:val="center"/>
          </w:tcPr>
          <w:p w14:paraId="3E954172" w14:textId="77777777" w:rsidR="000C3E6E" w:rsidRPr="00D66514" w:rsidRDefault="000C3E6E" w:rsidP="00E70528">
            <w:pPr>
              <w:pStyle w:val="NoSpacing"/>
              <w:jc w:val="center"/>
              <w:rPr>
                <w:b/>
                <w:bCs/>
                <w:sz w:val="22"/>
              </w:rPr>
            </w:pP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EFC958A" w14:textId="77777777" w:rsidR="000C3E6E" w:rsidRPr="00D66514" w:rsidRDefault="000C3E6E" w:rsidP="00E70528">
            <w:pPr>
              <w:pStyle w:val="NoSpacing"/>
              <w:rPr>
                <w:b/>
                <w:bCs/>
                <w:sz w:val="22"/>
              </w:rPr>
            </w:pPr>
            <w:r w:rsidRPr="00D66514">
              <w:rPr>
                <w:b/>
                <w:bCs/>
                <w:sz w:val="22"/>
              </w:rPr>
              <w:t>Ohio and California</w:t>
            </w:r>
          </w:p>
        </w:tc>
        <w:tc>
          <w:tcPr>
            <w:tcW w:w="127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B01DB40" w14:textId="77777777" w:rsidR="000C3E6E" w:rsidRPr="00D66514" w:rsidRDefault="000C3E6E" w:rsidP="00E70528">
            <w:pPr>
              <w:pStyle w:val="NoSpacing"/>
              <w:jc w:val="center"/>
              <w:rPr>
                <w:sz w:val="22"/>
              </w:rPr>
            </w:pPr>
            <w:r w:rsidRPr="00D66514">
              <w:rPr>
                <w:sz w:val="22"/>
              </w:rPr>
              <w:t>0.453</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144F380" w14:textId="77777777" w:rsidR="000C3E6E" w:rsidRPr="00D66514" w:rsidRDefault="000C3E6E" w:rsidP="00E70528">
            <w:pPr>
              <w:pStyle w:val="NoSpacing"/>
              <w:jc w:val="center"/>
              <w:rPr>
                <w:sz w:val="22"/>
              </w:rPr>
            </w:pPr>
            <w:r w:rsidRPr="00D66514">
              <w:rPr>
                <w:sz w:val="22"/>
              </w:rPr>
              <w:t>1</w:t>
            </w:r>
          </w:p>
        </w:tc>
        <w:tc>
          <w:tcPr>
            <w:tcW w:w="18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D3E59C1" w14:textId="77777777" w:rsidR="000C3E6E" w:rsidRPr="00D66514" w:rsidRDefault="000C3E6E" w:rsidP="00E70528">
            <w:pPr>
              <w:pStyle w:val="NoSpacing"/>
              <w:jc w:val="center"/>
              <w:rPr>
                <w:sz w:val="22"/>
              </w:rPr>
            </w:pPr>
            <w:r w:rsidRPr="00D66514">
              <w:rPr>
                <w:sz w:val="22"/>
              </w:rPr>
              <w:t>1</w:t>
            </w:r>
          </w:p>
        </w:tc>
      </w:tr>
      <w:tr w:rsidR="00C01AF3" w:rsidRPr="00D66514" w14:paraId="168B6CDB" w14:textId="77777777" w:rsidTr="00E70528">
        <w:trPr>
          <w:trHeight w:val="153"/>
          <w:jc w:val="center"/>
        </w:trPr>
        <w:tc>
          <w:tcPr>
            <w:tcW w:w="1797" w:type="dxa"/>
            <w:vMerge/>
            <w:tcBorders>
              <w:left w:val="single" w:sz="2" w:space="0" w:color="000000"/>
              <w:bottom w:val="single" w:sz="2" w:space="0" w:color="000000"/>
              <w:right w:val="single" w:sz="2" w:space="0" w:color="000000"/>
            </w:tcBorders>
            <w:shd w:val="clear" w:color="auto" w:fill="auto"/>
            <w:vAlign w:val="center"/>
          </w:tcPr>
          <w:p w14:paraId="517891FC" w14:textId="77777777" w:rsidR="000C3E6E" w:rsidRPr="00D66514" w:rsidRDefault="000C3E6E" w:rsidP="00E70528">
            <w:pPr>
              <w:pStyle w:val="NoSpacing"/>
              <w:jc w:val="center"/>
              <w:rPr>
                <w:b/>
                <w:bCs/>
                <w:sz w:val="22"/>
              </w:rPr>
            </w:pP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9854C7D" w14:textId="77777777" w:rsidR="000C3E6E" w:rsidRPr="00D66514" w:rsidRDefault="000C3E6E" w:rsidP="00E70528">
            <w:pPr>
              <w:pStyle w:val="NoSpacing"/>
              <w:rPr>
                <w:b/>
                <w:bCs/>
                <w:sz w:val="22"/>
              </w:rPr>
            </w:pPr>
            <w:r w:rsidRPr="00D66514">
              <w:rPr>
                <w:b/>
                <w:bCs/>
                <w:sz w:val="22"/>
              </w:rPr>
              <w:t>Florida, Ohio and California</w:t>
            </w:r>
          </w:p>
        </w:tc>
        <w:tc>
          <w:tcPr>
            <w:tcW w:w="127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9D40604" w14:textId="77777777" w:rsidR="000C3E6E" w:rsidRPr="00D66514" w:rsidRDefault="000C3E6E" w:rsidP="00E70528">
            <w:pPr>
              <w:pStyle w:val="NoSpacing"/>
              <w:jc w:val="center"/>
              <w:rPr>
                <w:sz w:val="22"/>
              </w:rPr>
            </w:pPr>
            <w:r w:rsidRPr="00D66514">
              <w:rPr>
                <w:sz w:val="22"/>
              </w:rPr>
              <w:t>1</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5F7A08B" w14:textId="77777777" w:rsidR="000C3E6E" w:rsidRPr="00D66514" w:rsidRDefault="000C3E6E" w:rsidP="00E70528">
            <w:pPr>
              <w:pStyle w:val="NoSpacing"/>
              <w:jc w:val="center"/>
              <w:rPr>
                <w:sz w:val="22"/>
              </w:rPr>
            </w:pPr>
            <w:r w:rsidRPr="00D66514">
              <w:rPr>
                <w:sz w:val="22"/>
              </w:rPr>
              <w:t>1</w:t>
            </w:r>
          </w:p>
        </w:tc>
        <w:tc>
          <w:tcPr>
            <w:tcW w:w="18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7D6CD36" w14:textId="77777777" w:rsidR="000C3E6E" w:rsidRPr="00D66514" w:rsidRDefault="000C3E6E" w:rsidP="00E70528">
            <w:pPr>
              <w:pStyle w:val="NoSpacing"/>
              <w:jc w:val="center"/>
              <w:rPr>
                <w:sz w:val="22"/>
              </w:rPr>
            </w:pPr>
            <w:r w:rsidRPr="00D66514">
              <w:rPr>
                <w:sz w:val="22"/>
              </w:rPr>
              <w:t>1</w:t>
            </w:r>
          </w:p>
        </w:tc>
      </w:tr>
      <w:tr w:rsidR="00C01AF3" w:rsidRPr="00D66514" w14:paraId="04E33CB6" w14:textId="77777777" w:rsidTr="00E70528">
        <w:trPr>
          <w:trHeight w:val="153"/>
          <w:jc w:val="center"/>
        </w:trPr>
        <w:tc>
          <w:tcPr>
            <w:tcW w:w="1797" w:type="dxa"/>
            <w:vMerge w:val="restart"/>
            <w:tcBorders>
              <w:top w:val="single" w:sz="2" w:space="0" w:color="000000"/>
              <w:left w:val="single" w:sz="2" w:space="0" w:color="000000"/>
              <w:right w:val="single" w:sz="2" w:space="0" w:color="000000"/>
            </w:tcBorders>
            <w:shd w:val="clear" w:color="auto" w:fill="auto"/>
            <w:vAlign w:val="center"/>
          </w:tcPr>
          <w:p w14:paraId="7DDBD809" w14:textId="77777777" w:rsidR="000C3E6E" w:rsidRPr="00D66514" w:rsidRDefault="000C3E6E" w:rsidP="00E70528">
            <w:pPr>
              <w:pStyle w:val="NoSpacing"/>
              <w:jc w:val="center"/>
              <w:rPr>
                <w:b/>
                <w:bCs/>
                <w:sz w:val="22"/>
              </w:rPr>
            </w:pPr>
            <w:r w:rsidRPr="00D66514">
              <w:rPr>
                <w:b/>
                <w:bCs/>
                <w:sz w:val="22"/>
              </w:rPr>
              <w:t>KA</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5FBC03C" w14:textId="77777777" w:rsidR="000C3E6E" w:rsidRPr="00D66514" w:rsidRDefault="000C3E6E" w:rsidP="00E70528">
            <w:pPr>
              <w:pStyle w:val="NoSpacing"/>
              <w:rPr>
                <w:b/>
                <w:bCs/>
                <w:sz w:val="22"/>
              </w:rPr>
            </w:pPr>
            <w:r w:rsidRPr="00D66514">
              <w:rPr>
                <w:b/>
                <w:bCs/>
                <w:sz w:val="22"/>
              </w:rPr>
              <w:t>Florida</w:t>
            </w:r>
          </w:p>
        </w:tc>
        <w:tc>
          <w:tcPr>
            <w:tcW w:w="127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60ABE73" w14:textId="77777777" w:rsidR="000C3E6E" w:rsidRPr="00D66514" w:rsidRDefault="000C3E6E" w:rsidP="00E70528">
            <w:pPr>
              <w:pStyle w:val="NoSpacing"/>
              <w:jc w:val="center"/>
              <w:rPr>
                <w:sz w:val="22"/>
              </w:rPr>
            </w:pPr>
            <w:r w:rsidRPr="00D66514">
              <w:rPr>
                <w:sz w:val="22"/>
              </w:rPr>
              <w:t>1</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53916F8" w14:textId="77777777" w:rsidR="000C3E6E" w:rsidRPr="00D66514" w:rsidRDefault="000C3E6E" w:rsidP="00E70528">
            <w:pPr>
              <w:pStyle w:val="NoSpacing"/>
              <w:jc w:val="center"/>
              <w:rPr>
                <w:sz w:val="22"/>
              </w:rPr>
            </w:pPr>
            <w:r w:rsidRPr="00D66514">
              <w:rPr>
                <w:sz w:val="22"/>
              </w:rPr>
              <w:t>-9.671</w:t>
            </w:r>
          </w:p>
        </w:tc>
        <w:tc>
          <w:tcPr>
            <w:tcW w:w="18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A331617" w14:textId="77777777" w:rsidR="000C3E6E" w:rsidRPr="00D66514" w:rsidRDefault="000C3E6E" w:rsidP="00E70528">
            <w:pPr>
              <w:pStyle w:val="NoSpacing"/>
              <w:jc w:val="center"/>
              <w:rPr>
                <w:sz w:val="22"/>
              </w:rPr>
            </w:pPr>
            <w:r w:rsidRPr="00D66514">
              <w:rPr>
                <w:sz w:val="22"/>
              </w:rPr>
              <w:t>0.581</w:t>
            </w:r>
          </w:p>
        </w:tc>
      </w:tr>
      <w:tr w:rsidR="00C01AF3" w:rsidRPr="00D66514" w14:paraId="2BB0CB7A" w14:textId="77777777" w:rsidTr="00E70528">
        <w:trPr>
          <w:trHeight w:val="153"/>
          <w:jc w:val="center"/>
        </w:trPr>
        <w:tc>
          <w:tcPr>
            <w:tcW w:w="1797" w:type="dxa"/>
            <w:vMerge/>
            <w:tcBorders>
              <w:left w:val="single" w:sz="2" w:space="0" w:color="000000"/>
              <w:right w:val="single" w:sz="2" w:space="0" w:color="000000"/>
            </w:tcBorders>
            <w:shd w:val="clear" w:color="auto" w:fill="auto"/>
            <w:vAlign w:val="center"/>
          </w:tcPr>
          <w:p w14:paraId="1C9CC91E" w14:textId="77777777" w:rsidR="000C3E6E" w:rsidRPr="00D66514" w:rsidRDefault="000C3E6E" w:rsidP="00E70528">
            <w:pPr>
              <w:pStyle w:val="NoSpacing"/>
              <w:jc w:val="center"/>
              <w:rPr>
                <w:b/>
                <w:bCs/>
                <w:sz w:val="22"/>
              </w:rPr>
            </w:pP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5DC43D0" w14:textId="77777777" w:rsidR="000C3E6E" w:rsidRPr="00D66514" w:rsidRDefault="000C3E6E" w:rsidP="00E70528">
            <w:pPr>
              <w:pStyle w:val="NoSpacing"/>
              <w:rPr>
                <w:b/>
                <w:bCs/>
                <w:sz w:val="22"/>
              </w:rPr>
            </w:pPr>
            <w:r w:rsidRPr="00D66514">
              <w:rPr>
                <w:b/>
                <w:bCs/>
                <w:sz w:val="22"/>
              </w:rPr>
              <w:t>Ohio</w:t>
            </w:r>
          </w:p>
        </w:tc>
        <w:tc>
          <w:tcPr>
            <w:tcW w:w="127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E225A15" w14:textId="77777777" w:rsidR="000C3E6E" w:rsidRPr="00D66514" w:rsidRDefault="000C3E6E" w:rsidP="00E70528">
            <w:pPr>
              <w:pStyle w:val="NoSpacing"/>
              <w:jc w:val="center"/>
              <w:rPr>
                <w:sz w:val="22"/>
              </w:rPr>
            </w:pPr>
            <w:r w:rsidRPr="00D66514">
              <w:rPr>
                <w:sz w:val="22"/>
              </w:rPr>
              <w:t>-7.464</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6E69119" w14:textId="77777777" w:rsidR="000C3E6E" w:rsidRPr="00D66514" w:rsidRDefault="000C3E6E" w:rsidP="00E70528">
            <w:pPr>
              <w:pStyle w:val="NoSpacing"/>
              <w:jc w:val="center"/>
              <w:rPr>
                <w:sz w:val="22"/>
              </w:rPr>
            </w:pPr>
            <w:r w:rsidRPr="00D66514">
              <w:rPr>
                <w:sz w:val="22"/>
              </w:rPr>
              <w:t>1</w:t>
            </w:r>
          </w:p>
        </w:tc>
        <w:tc>
          <w:tcPr>
            <w:tcW w:w="18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6595223" w14:textId="77777777" w:rsidR="000C3E6E" w:rsidRPr="00D66514" w:rsidRDefault="000C3E6E" w:rsidP="00E70528">
            <w:pPr>
              <w:pStyle w:val="NoSpacing"/>
              <w:jc w:val="center"/>
              <w:rPr>
                <w:sz w:val="22"/>
              </w:rPr>
            </w:pPr>
            <w:r w:rsidRPr="00D66514">
              <w:rPr>
                <w:sz w:val="22"/>
              </w:rPr>
              <w:t>-1</w:t>
            </w:r>
          </w:p>
        </w:tc>
      </w:tr>
      <w:tr w:rsidR="00C01AF3" w:rsidRPr="00D66514" w14:paraId="6EFB588A" w14:textId="77777777" w:rsidTr="00E70528">
        <w:trPr>
          <w:trHeight w:val="153"/>
          <w:jc w:val="center"/>
        </w:trPr>
        <w:tc>
          <w:tcPr>
            <w:tcW w:w="1797" w:type="dxa"/>
            <w:vMerge/>
            <w:tcBorders>
              <w:left w:val="single" w:sz="2" w:space="0" w:color="000000"/>
              <w:right w:val="single" w:sz="2" w:space="0" w:color="000000"/>
            </w:tcBorders>
            <w:shd w:val="clear" w:color="auto" w:fill="auto"/>
            <w:vAlign w:val="center"/>
          </w:tcPr>
          <w:p w14:paraId="387ADB17" w14:textId="77777777" w:rsidR="000C3E6E" w:rsidRPr="00D66514" w:rsidRDefault="000C3E6E" w:rsidP="00E70528">
            <w:pPr>
              <w:pStyle w:val="NoSpacing"/>
              <w:jc w:val="center"/>
              <w:rPr>
                <w:b/>
                <w:bCs/>
                <w:sz w:val="22"/>
              </w:rPr>
            </w:pP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C33DE0A" w14:textId="77777777" w:rsidR="000C3E6E" w:rsidRPr="00D66514" w:rsidRDefault="000C3E6E" w:rsidP="00E70528">
            <w:pPr>
              <w:pStyle w:val="NoSpacing"/>
              <w:rPr>
                <w:b/>
                <w:bCs/>
                <w:sz w:val="22"/>
              </w:rPr>
            </w:pPr>
            <w:r w:rsidRPr="00D66514">
              <w:rPr>
                <w:b/>
                <w:bCs/>
                <w:sz w:val="22"/>
              </w:rPr>
              <w:t>California</w:t>
            </w:r>
          </w:p>
        </w:tc>
        <w:tc>
          <w:tcPr>
            <w:tcW w:w="127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CDA19EC" w14:textId="77777777" w:rsidR="000C3E6E" w:rsidRPr="00D66514" w:rsidRDefault="000C3E6E" w:rsidP="00E70528">
            <w:pPr>
              <w:pStyle w:val="NoSpacing"/>
              <w:jc w:val="center"/>
              <w:rPr>
                <w:sz w:val="22"/>
              </w:rPr>
            </w:pPr>
            <w:r w:rsidRPr="00D66514">
              <w:rPr>
                <w:sz w:val="22"/>
              </w:rPr>
              <w:t>0.352</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62148FA" w14:textId="77777777" w:rsidR="000C3E6E" w:rsidRPr="00D66514" w:rsidRDefault="000C3E6E" w:rsidP="00E70528">
            <w:pPr>
              <w:pStyle w:val="NoSpacing"/>
              <w:jc w:val="center"/>
              <w:rPr>
                <w:sz w:val="22"/>
              </w:rPr>
            </w:pPr>
            <w:r w:rsidRPr="00D66514">
              <w:rPr>
                <w:sz w:val="22"/>
              </w:rPr>
              <w:t>-3.418</w:t>
            </w:r>
          </w:p>
        </w:tc>
        <w:tc>
          <w:tcPr>
            <w:tcW w:w="18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5F97B49" w14:textId="77777777" w:rsidR="000C3E6E" w:rsidRPr="00D66514" w:rsidRDefault="000C3E6E" w:rsidP="00E70528">
            <w:pPr>
              <w:pStyle w:val="NoSpacing"/>
              <w:jc w:val="center"/>
              <w:rPr>
                <w:sz w:val="22"/>
              </w:rPr>
            </w:pPr>
            <w:r w:rsidRPr="00D66514">
              <w:rPr>
                <w:sz w:val="22"/>
              </w:rPr>
              <w:t>1</w:t>
            </w:r>
          </w:p>
        </w:tc>
      </w:tr>
      <w:tr w:rsidR="00C01AF3" w:rsidRPr="00D66514" w14:paraId="1C47DE95" w14:textId="77777777" w:rsidTr="00E70528">
        <w:trPr>
          <w:trHeight w:val="153"/>
          <w:jc w:val="center"/>
        </w:trPr>
        <w:tc>
          <w:tcPr>
            <w:tcW w:w="1797" w:type="dxa"/>
            <w:vMerge/>
            <w:tcBorders>
              <w:left w:val="single" w:sz="2" w:space="0" w:color="000000"/>
              <w:right w:val="single" w:sz="2" w:space="0" w:color="000000"/>
            </w:tcBorders>
            <w:shd w:val="clear" w:color="auto" w:fill="auto"/>
            <w:vAlign w:val="center"/>
          </w:tcPr>
          <w:p w14:paraId="3B8088BD" w14:textId="77777777" w:rsidR="000C3E6E" w:rsidRPr="00D66514" w:rsidRDefault="000C3E6E" w:rsidP="00E70528">
            <w:pPr>
              <w:pStyle w:val="NoSpacing"/>
              <w:jc w:val="center"/>
              <w:rPr>
                <w:b/>
                <w:bCs/>
                <w:sz w:val="22"/>
              </w:rPr>
            </w:pP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D0A95FF" w14:textId="77777777" w:rsidR="000C3E6E" w:rsidRPr="00D66514" w:rsidRDefault="000C3E6E" w:rsidP="00E70528">
            <w:pPr>
              <w:pStyle w:val="NoSpacing"/>
              <w:rPr>
                <w:b/>
                <w:bCs/>
                <w:sz w:val="22"/>
              </w:rPr>
            </w:pPr>
            <w:r w:rsidRPr="00D66514">
              <w:rPr>
                <w:b/>
                <w:bCs/>
                <w:sz w:val="22"/>
              </w:rPr>
              <w:t>Florida and Ohio</w:t>
            </w:r>
          </w:p>
        </w:tc>
        <w:tc>
          <w:tcPr>
            <w:tcW w:w="127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A294196" w14:textId="77777777" w:rsidR="000C3E6E" w:rsidRPr="00D66514" w:rsidRDefault="000C3E6E" w:rsidP="00E70528">
            <w:pPr>
              <w:pStyle w:val="NoSpacing"/>
              <w:jc w:val="center"/>
              <w:rPr>
                <w:sz w:val="22"/>
              </w:rPr>
            </w:pPr>
            <w:r w:rsidRPr="00D66514">
              <w:rPr>
                <w:sz w:val="22"/>
              </w:rPr>
              <w:t>0.998</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BC5EB31" w14:textId="77777777" w:rsidR="000C3E6E" w:rsidRPr="00D66514" w:rsidRDefault="000C3E6E" w:rsidP="00E70528">
            <w:pPr>
              <w:pStyle w:val="NoSpacing"/>
              <w:jc w:val="center"/>
              <w:rPr>
                <w:sz w:val="22"/>
              </w:rPr>
            </w:pPr>
            <w:r w:rsidRPr="00D66514">
              <w:rPr>
                <w:sz w:val="22"/>
              </w:rPr>
              <w:t>0.978</w:t>
            </w:r>
          </w:p>
        </w:tc>
        <w:tc>
          <w:tcPr>
            <w:tcW w:w="18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2DC6628" w14:textId="77777777" w:rsidR="000C3E6E" w:rsidRPr="00D66514" w:rsidRDefault="000C3E6E" w:rsidP="00E70528">
            <w:pPr>
              <w:pStyle w:val="NoSpacing"/>
              <w:jc w:val="center"/>
              <w:rPr>
                <w:sz w:val="22"/>
              </w:rPr>
            </w:pPr>
            <w:r w:rsidRPr="00D66514">
              <w:rPr>
                <w:sz w:val="22"/>
              </w:rPr>
              <w:t>0.603</w:t>
            </w:r>
          </w:p>
        </w:tc>
      </w:tr>
      <w:tr w:rsidR="00C01AF3" w:rsidRPr="00D66514" w14:paraId="3CF2A776" w14:textId="77777777" w:rsidTr="00E70528">
        <w:trPr>
          <w:trHeight w:val="153"/>
          <w:jc w:val="center"/>
        </w:trPr>
        <w:tc>
          <w:tcPr>
            <w:tcW w:w="1797" w:type="dxa"/>
            <w:vMerge/>
            <w:tcBorders>
              <w:left w:val="single" w:sz="2" w:space="0" w:color="000000"/>
              <w:right w:val="single" w:sz="2" w:space="0" w:color="000000"/>
            </w:tcBorders>
            <w:shd w:val="clear" w:color="auto" w:fill="auto"/>
            <w:vAlign w:val="center"/>
          </w:tcPr>
          <w:p w14:paraId="0C32A9A3" w14:textId="77777777" w:rsidR="000C3E6E" w:rsidRPr="00D66514" w:rsidRDefault="000C3E6E" w:rsidP="00E70528">
            <w:pPr>
              <w:pStyle w:val="NoSpacing"/>
              <w:jc w:val="center"/>
              <w:rPr>
                <w:b/>
                <w:bCs/>
                <w:sz w:val="22"/>
              </w:rPr>
            </w:pP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EA28BD7" w14:textId="77777777" w:rsidR="000C3E6E" w:rsidRPr="00D66514" w:rsidRDefault="000C3E6E" w:rsidP="00E70528">
            <w:pPr>
              <w:pStyle w:val="NoSpacing"/>
              <w:rPr>
                <w:b/>
                <w:bCs/>
                <w:sz w:val="22"/>
              </w:rPr>
            </w:pPr>
            <w:r w:rsidRPr="00D66514">
              <w:rPr>
                <w:b/>
                <w:bCs/>
                <w:sz w:val="22"/>
              </w:rPr>
              <w:t>Florida and California</w:t>
            </w:r>
          </w:p>
        </w:tc>
        <w:tc>
          <w:tcPr>
            <w:tcW w:w="127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CDB5E5F" w14:textId="77777777" w:rsidR="000C3E6E" w:rsidRPr="00D66514" w:rsidRDefault="000C3E6E" w:rsidP="00E70528">
            <w:pPr>
              <w:pStyle w:val="NoSpacing"/>
              <w:jc w:val="center"/>
              <w:rPr>
                <w:sz w:val="22"/>
              </w:rPr>
            </w:pPr>
            <w:r w:rsidRPr="00D66514">
              <w:rPr>
                <w:sz w:val="22"/>
              </w:rPr>
              <w:t>0.994</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6C01CE1" w14:textId="77777777" w:rsidR="000C3E6E" w:rsidRPr="00D66514" w:rsidRDefault="000C3E6E" w:rsidP="00E70528">
            <w:pPr>
              <w:pStyle w:val="NoSpacing"/>
              <w:jc w:val="center"/>
              <w:rPr>
                <w:sz w:val="22"/>
              </w:rPr>
            </w:pPr>
            <w:r w:rsidRPr="00D66514">
              <w:rPr>
                <w:sz w:val="22"/>
              </w:rPr>
              <w:t>-8.913</w:t>
            </w:r>
          </w:p>
        </w:tc>
        <w:tc>
          <w:tcPr>
            <w:tcW w:w="18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320D0B0" w14:textId="77777777" w:rsidR="000C3E6E" w:rsidRPr="00D66514" w:rsidRDefault="000C3E6E" w:rsidP="00E70528">
            <w:pPr>
              <w:pStyle w:val="NoSpacing"/>
              <w:jc w:val="center"/>
              <w:rPr>
                <w:sz w:val="22"/>
              </w:rPr>
            </w:pPr>
            <w:r w:rsidRPr="00D66514">
              <w:rPr>
                <w:sz w:val="22"/>
              </w:rPr>
              <w:t>0.99</w:t>
            </w:r>
          </w:p>
        </w:tc>
      </w:tr>
      <w:tr w:rsidR="00C01AF3" w:rsidRPr="00D66514" w14:paraId="18C085E3" w14:textId="77777777" w:rsidTr="00E70528">
        <w:trPr>
          <w:trHeight w:val="153"/>
          <w:jc w:val="center"/>
        </w:trPr>
        <w:tc>
          <w:tcPr>
            <w:tcW w:w="1797" w:type="dxa"/>
            <w:vMerge/>
            <w:tcBorders>
              <w:left w:val="single" w:sz="2" w:space="0" w:color="000000"/>
              <w:right w:val="single" w:sz="2" w:space="0" w:color="000000"/>
            </w:tcBorders>
            <w:shd w:val="clear" w:color="auto" w:fill="auto"/>
            <w:vAlign w:val="center"/>
          </w:tcPr>
          <w:p w14:paraId="440F2432" w14:textId="77777777" w:rsidR="000C3E6E" w:rsidRPr="00D66514" w:rsidRDefault="000C3E6E" w:rsidP="00E70528">
            <w:pPr>
              <w:pStyle w:val="NoSpacing"/>
              <w:jc w:val="center"/>
              <w:rPr>
                <w:b/>
                <w:bCs/>
                <w:sz w:val="22"/>
              </w:rPr>
            </w:pP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3EC7333" w14:textId="77777777" w:rsidR="000C3E6E" w:rsidRPr="00D66514" w:rsidRDefault="000C3E6E" w:rsidP="00E70528">
            <w:pPr>
              <w:pStyle w:val="NoSpacing"/>
              <w:rPr>
                <w:b/>
                <w:bCs/>
                <w:sz w:val="22"/>
              </w:rPr>
            </w:pPr>
            <w:r w:rsidRPr="00D66514">
              <w:rPr>
                <w:b/>
                <w:bCs/>
                <w:sz w:val="22"/>
              </w:rPr>
              <w:t>Ohio and California</w:t>
            </w:r>
          </w:p>
        </w:tc>
        <w:tc>
          <w:tcPr>
            <w:tcW w:w="127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10C279E" w14:textId="77777777" w:rsidR="000C3E6E" w:rsidRPr="00D66514" w:rsidRDefault="000C3E6E" w:rsidP="00E70528">
            <w:pPr>
              <w:pStyle w:val="NoSpacing"/>
              <w:jc w:val="center"/>
              <w:rPr>
                <w:sz w:val="22"/>
              </w:rPr>
            </w:pPr>
            <w:r w:rsidRPr="00D66514">
              <w:rPr>
                <w:sz w:val="22"/>
              </w:rPr>
              <w:t>0.356</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A58CC29" w14:textId="77777777" w:rsidR="000C3E6E" w:rsidRPr="00D66514" w:rsidRDefault="000C3E6E" w:rsidP="00E70528">
            <w:pPr>
              <w:pStyle w:val="NoSpacing"/>
              <w:jc w:val="center"/>
              <w:rPr>
                <w:sz w:val="22"/>
              </w:rPr>
            </w:pPr>
            <w:r w:rsidRPr="00D66514">
              <w:rPr>
                <w:sz w:val="22"/>
              </w:rPr>
              <w:t>1.001</w:t>
            </w:r>
          </w:p>
        </w:tc>
        <w:tc>
          <w:tcPr>
            <w:tcW w:w="18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B9D3329" w14:textId="77777777" w:rsidR="000C3E6E" w:rsidRPr="00D66514" w:rsidRDefault="000C3E6E" w:rsidP="00E70528">
            <w:pPr>
              <w:pStyle w:val="NoSpacing"/>
              <w:jc w:val="center"/>
              <w:rPr>
                <w:sz w:val="22"/>
              </w:rPr>
            </w:pPr>
            <w:r w:rsidRPr="00D66514">
              <w:rPr>
                <w:sz w:val="22"/>
              </w:rPr>
              <w:t>1</w:t>
            </w:r>
          </w:p>
        </w:tc>
      </w:tr>
      <w:tr w:rsidR="00C01AF3" w:rsidRPr="00D66514" w14:paraId="441E57EA" w14:textId="77777777" w:rsidTr="00E70528">
        <w:trPr>
          <w:trHeight w:val="153"/>
          <w:jc w:val="center"/>
        </w:trPr>
        <w:tc>
          <w:tcPr>
            <w:tcW w:w="1797" w:type="dxa"/>
            <w:vMerge/>
            <w:tcBorders>
              <w:left w:val="single" w:sz="2" w:space="0" w:color="000000"/>
              <w:bottom w:val="single" w:sz="2" w:space="0" w:color="000000"/>
              <w:right w:val="single" w:sz="2" w:space="0" w:color="000000"/>
            </w:tcBorders>
            <w:shd w:val="clear" w:color="auto" w:fill="auto"/>
            <w:vAlign w:val="center"/>
          </w:tcPr>
          <w:p w14:paraId="2CDD0EB6" w14:textId="77777777" w:rsidR="000C3E6E" w:rsidRPr="00D66514" w:rsidRDefault="000C3E6E" w:rsidP="00E70528">
            <w:pPr>
              <w:pStyle w:val="NoSpacing"/>
              <w:jc w:val="center"/>
              <w:rPr>
                <w:b/>
                <w:bCs/>
                <w:sz w:val="22"/>
              </w:rPr>
            </w:pP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78A2D44" w14:textId="77777777" w:rsidR="000C3E6E" w:rsidRPr="00D66514" w:rsidRDefault="000C3E6E" w:rsidP="00E70528">
            <w:pPr>
              <w:pStyle w:val="NoSpacing"/>
              <w:rPr>
                <w:b/>
                <w:bCs/>
                <w:sz w:val="22"/>
              </w:rPr>
            </w:pPr>
            <w:r w:rsidRPr="00D66514">
              <w:rPr>
                <w:b/>
                <w:bCs/>
                <w:sz w:val="22"/>
              </w:rPr>
              <w:t>Florida, Ohio and California</w:t>
            </w:r>
          </w:p>
        </w:tc>
        <w:tc>
          <w:tcPr>
            <w:tcW w:w="127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AF758AD" w14:textId="77777777" w:rsidR="000C3E6E" w:rsidRPr="00D66514" w:rsidRDefault="000C3E6E" w:rsidP="00E70528">
            <w:pPr>
              <w:pStyle w:val="NoSpacing"/>
              <w:jc w:val="center"/>
              <w:rPr>
                <w:sz w:val="22"/>
              </w:rPr>
            </w:pPr>
            <w:r w:rsidRPr="00D66514">
              <w:rPr>
                <w:sz w:val="22"/>
              </w:rPr>
              <w:t>0.991</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E11CFEC" w14:textId="77777777" w:rsidR="000C3E6E" w:rsidRPr="00D66514" w:rsidRDefault="000C3E6E" w:rsidP="00E70528">
            <w:pPr>
              <w:pStyle w:val="NoSpacing"/>
              <w:jc w:val="center"/>
              <w:rPr>
                <w:sz w:val="22"/>
              </w:rPr>
            </w:pPr>
            <w:r w:rsidRPr="00D66514">
              <w:rPr>
                <w:sz w:val="22"/>
              </w:rPr>
              <w:t>0.989</w:t>
            </w:r>
          </w:p>
        </w:tc>
        <w:tc>
          <w:tcPr>
            <w:tcW w:w="18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C6259DD" w14:textId="77777777" w:rsidR="000C3E6E" w:rsidRPr="00D66514" w:rsidRDefault="000C3E6E" w:rsidP="00E70528">
            <w:pPr>
              <w:pStyle w:val="NoSpacing"/>
              <w:jc w:val="center"/>
              <w:rPr>
                <w:sz w:val="22"/>
              </w:rPr>
            </w:pPr>
            <w:r w:rsidRPr="00D66514">
              <w:rPr>
                <w:sz w:val="22"/>
              </w:rPr>
              <w:t>0.993</w:t>
            </w:r>
          </w:p>
        </w:tc>
      </w:tr>
      <w:tr w:rsidR="00C01AF3" w:rsidRPr="00D66514" w14:paraId="3EBEA69D" w14:textId="77777777" w:rsidTr="00E70528">
        <w:trPr>
          <w:trHeight w:val="153"/>
          <w:jc w:val="center"/>
        </w:trPr>
        <w:tc>
          <w:tcPr>
            <w:tcW w:w="1797" w:type="dxa"/>
            <w:vMerge w:val="restart"/>
            <w:tcBorders>
              <w:top w:val="single" w:sz="2" w:space="0" w:color="000000"/>
              <w:left w:val="single" w:sz="2" w:space="0" w:color="000000"/>
              <w:right w:val="single" w:sz="2" w:space="0" w:color="000000"/>
            </w:tcBorders>
            <w:shd w:val="clear" w:color="auto" w:fill="auto"/>
            <w:vAlign w:val="center"/>
          </w:tcPr>
          <w:p w14:paraId="5B1F83AC" w14:textId="77777777" w:rsidR="000C3E6E" w:rsidRPr="00D66514" w:rsidRDefault="000C3E6E" w:rsidP="00E70528">
            <w:pPr>
              <w:pStyle w:val="NoSpacing"/>
              <w:jc w:val="center"/>
              <w:rPr>
                <w:b/>
                <w:bCs/>
                <w:sz w:val="22"/>
              </w:rPr>
            </w:pPr>
            <w:r w:rsidRPr="00D66514">
              <w:rPr>
                <w:b/>
                <w:bCs/>
                <w:sz w:val="22"/>
              </w:rPr>
              <w:t>SV</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30B4B41" w14:textId="77777777" w:rsidR="000C3E6E" w:rsidRPr="00D66514" w:rsidRDefault="000C3E6E" w:rsidP="00E70528">
            <w:pPr>
              <w:pStyle w:val="NoSpacing"/>
              <w:rPr>
                <w:b/>
                <w:bCs/>
                <w:sz w:val="22"/>
              </w:rPr>
            </w:pPr>
            <w:r w:rsidRPr="00D66514">
              <w:rPr>
                <w:b/>
                <w:bCs/>
                <w:sz w:val="22"/>
              </w:rPr>
              <w:t>Florida</w:t>
            </w:r>
          </w:p>
        </w:tc>
        <w:tc>
          <w:tcPr>
            <w:tcW w:w="127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352DA6C" w14:textId="77777777" w:rsidR="000C3E6E" w:rsidRPr="00D66514" w:rsidRDefault="000C3E6E" w:rsidP="00E70528">
            <w:pPr>
              <w:pStyle w:val="NoSpacing"/>
              <w:jc w:val="center"/>
              <w:rPr>
                <w:sz w:val="22"/>
              </w:rPr>
            </w:pPr>
            <w:r w:rsidRPr="00D66514">
              <w:rPr>
                <w:sz w:val="22"/>
              </w:rPr>
              <w:t>1</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C924AF5" w14:textId="77777777" w:rsidR="000C3E6E" w:rsidRPr="00D66514" w:rsidRDefault="000C3E6E" w:rsidP="00E70528">
            <w:pPr>
              <w:pStyle w:val="NoSpacing"/>
              <w:jc w:val="center"/>
              <w:rPr>
                <w:sz w:val="22"/>
              </w:rPr>
            </w:pPr>
            <w:r w:rsidRPr="00D66514">
              <w:rPr>
                <w:sz w:val="22"/>
              </w:rPr>
              <w:t>0.634</w:t>
            </w:r>
          </w:p>
        </w:tc>
        <w:tc>
          <w:tcPr>
            <w:tcW w:w="18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3527E27" w14:textId="77777777" w:rsidR="000C3E6E" w:rsidRPr="00D66514" w:rsidRDefault="000C3E6E" w:rsidP="00E70528">
            <w:pPr>
              <w:pStyle w:val="NoSpacing"/>
              <w:jc w:val="center"/>
              <w:rPr>
                <w:sz w:val="22"/>
              </w:rPr>
            </w:pPr>
            <w:r w:rsidRPr="00D66514">
              <w:rPr>
                <w:sz w:val="22"/>
              </w:rPr>
              <w:t>-0.864</w:t>
            </w:r>
          </w:p>
        </w:tc>
      </w:tr>
      <w:tr w:rsidR="00C01AF3" w:rsidRPr="00D66514" w14:paraId="53C9836B" w14:textId="77777777" w:rsidTr="00E70528">
        <w:trPr>
          <w:trHeight w:val="153"/>
          <w:jc w:val="center"/>
        </w:trPr>
        <w:tc>
          <w:tcPr>
            <w:tcW w:w="1797" w:type="dxa"/>
            <w:vMerge/>
            <w:tcBorders>
              <w:left w:val="single" w:sz="2" w:space="0" w:color="000000"/>
              <w:right w:val="single" w:sz="2" w:space="0" w:color="000000"/>
            </w:tcBorders>
            <w:shd w:val="clear" w:color="auto" w:fill="auto"/>
            <w:vAlign w:val="center"/>
          </w:tcPr>
          <w:p w14:paraId="330AA609" w14:textId="77777777" w:rsidR="000C3E6E" w:rsidRPr="00D66514" w:rsidRDefault="000C3E6E" w:rsidP="00E70528">
            <w:pPr>
              <w:pStyle w:val="NoSpacing"/>
              <w:jc w:val="center"/>
              <w:rPr>
                <w:b/>
                <w:bCs/>
                <w:sz w:val="22"/>
              </w:rPr>
            </w:pP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A90684F" w14:textId="77777777" w:rsidR="000C3E6E" w:rsidRPr="00D66514" w:rsidRDefault="000C3E6E" w:rsidP="00E70528">
            <w:pPr>
              <w:pStyle w:val="NoSpacing"/>
              <w:rPr>
                <w:b/>
                <w:bCs/>
                <w:sz w:val="22"/>
              </w:rPr>
            </w:pPr>
            <w:r w:rsidRPr="00D66514">
              <w:rPr>
                <w:b/>
                <w:bCs/>
                <w:sz w:val="22"/>
              </w:rPr>
              <w:t>Ohio</w:t>
            </w:r>
          </w:p>
        </w:tc>
        <w:tc>
          <w:tcPr>
            <w:tcW w:w="127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FE6BA6" w14:textId="77777777" w:rsidR="000C3E6E" w:rsidRPr="00D66514" w:rsidRDefault="000C3E6E" w:rsidP="00E70528">
            <w:pPr>
              <w:pStyle w:val="NoSpacing"/>
              <w:jc w:val="center"/>
              <w:rPr>
                <w:sz w:val="22"/>
              </w:rPr>
            </w:pPr>
            <w:r w:rsidRPr="00D66514">
              <w:rPr>
                <w:sz w:val="22"/>
              </w:rPr>
              <w:t>-6.371</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B74AE0C" w14:textId="77777777" w:rsidR="000C3E6E" w:rsidRPr="00D66514" w:rsidRDefault="000C3E6E" w:rsidP="00E70528">
            <w:pPr>
              <w:pStyle w:val="NoSpacing"/>
              <w:jc w:val="center"/>
              <w:rPr>
                <w:sz w:val="22"/>
              </w:rPr>
            </w:pPr>
            <w:r w:rsidRPr="00D66514">
              <w:rPr>
                <w:sz w:val="22"/>
              </w:rPr>
              <w:t>1</w:t>
            </w:r>
          </w:p>
        </w:tc>
        <w:tc>
          <w:tcPr>
            <w:tcW w:w="18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645EE08" w14:textId="77777777" w:rsidR="000C3E6E" w:rsidRPr="00D66514" w:rsidRDefault="000C3E6E" w:rsidP="00E70528">
            <w:pPr>
              <w:pStyle w:val="NoSpacing"/>
              <w:jc w:val="center"/>
              <w:rPr>
                <w:sz w:val="22"/>
              </w:rPr>
            </w:pPr>
            <w:r w:rsidRPr="00D66514">
              <w:rPr>
                <w:sz w:val="22"/>
              </w:rPr>
              <w:t>0.512</w:t>
            </w:r>
          </w:p>
        </w:tc>
      </w:tr>
      <w:tr w:rsidR="00C01AF3" w:rsidRPr="00D66514" w14:paraId="104A5EC6" w14:textId="77777777" w:rsidTr="00E70528">
        <w:trPr>
          <w:trHeight w:val="153"/>
          <w:jc w:val="center"/>
        </w:trPr>
        <w:tc>
          <w:tcPr>
            <w:tcW w:w="1797" w:type="dxa"/>
            <w:vMerge/>
            <w:tcBorders>
              <w:left w:val="single" w:sz="2" w:space="0" w:color="000000"/>
              <w:right w:val="single" w:sz="2" w:space="0" w:color="000000"/>
            </w:tcBorders>
            <w:shd w:val="clear" w:color="auto" w:fill="auto"/>
            <w:vAlign w:val="center"/>
          </w:tcPr>
          <w:p w14:paraId="74C389E4" w14:textId="77777777" w:rsidR="000C3E6E" w:rsidRPr="00D66514" w:rsidRDefault="000C3E6E" w:rsidP="00E70528">
            <w:pPr>
              <w:pStyle w:val="NoSpacing"/>
              <w:jc w:val="center"/>
              <w:rPr>
                <w:b/>
                <w:bCs/>
                <w:sz w:val="22"/>
              </w:rPr>
            </w:pP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C8DF0DC" w14:textId="77777777" w:rsidR="000C3E6E" w:rsidRPr="00D66514" w:rsidRDefault="000C3E6E" w:rsidP="00E70528">
            <w:pPr>
              <w:pStyle w:val="NoSpacing"/>
              <w:rPr>
                <w:b/>
                <w:bCs/>
                <w:sz w:val="22"/>
              </w:rPr>
            </w:pPr>
            <w:r w:rsidRPr="00D66514">
              <w:rPr>
                <w:b/>
                <w:bCs/>
                <w:sz w:val="22"/>
              </w:rPr>
              <w:t>California</w:t>
            </w:r>
          </w:p>
        </w:tc>
        <w:tc>
          <w:tcPr>
            <w:tcW w:w="127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C5DD34E" w14:textId="77777777" w:rsidR="000C3E6E" w:rsidRPr="00D66514" w:rsidRDefault="000C3E6E" w:rsidP="00E70528">
            <w:pPr>
              <w:pStyle w:val="NoSpacing"/>
              <w:jc w:val="center"/>
              <w:rPr>
                <w:sz w:val="22"/>
              </w:rPr>
            </w:pPr>
            <w:r w:rsidRPr="00D66514">
              <w:rPr>
                <w:sz w:val="22"/>
              </w:rPr>
              <w:t>-20.822</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68037B1" w14:textId="77777777" w:rsidR="000C3E6E" w:rsidRPr="00D66514" w:rsidRDefault="000C3E6E" w:rsidP="00E70528">
            <w:pPr>
              <w:pStyle w:val="NoSpacing"/>
              <w:jc w:val="center"/>
              <w:rPr>
                <w:sz w:val="22"/>
              </w:rPr>
            </w:pPr>
            <w:r w:rsidRPr="00D66514">
              <w:rPr>
                <w:sz w:val="22"/>
              </w:rPr>
              <w:t>0.187</w:t>
            </w:r>
          </w:p>
        </w:tc>
        <w:tc>
          <w:tcPr>
            <w:tcW w:w="18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FE571C5" w14:textId="77777777" w:rsidR="000C3E6E" w:rsidRPr="00D66514" w:rsidRDefault="000C3E6E" w:rsidP="00E70528">
            <w:pPr>
              <w:pStyle w:val="NoSpacing"/>
              <w:jc w:val="center"/>
              <w:rPr>
                <w:sz w:val="22"/>
              </w:rPr>
            </w:pPr>
            <w:r w:rsidRPr="00D66514">
              <w:rPr>
                <w:sz w:val="22"/>
              </w:rPr>
              <w:t>1</w:t>
            </w:r>
          </w:p>
        </w:tc>
      </w:tr>
      <w:tr w:rsidR="00C01AF3" w:rsidRPr="00D66514" w14:paraId="6C73824A" w14:textId="77777777" w:rsidTr="00E70528">
        <w:trPr>
          <w:trHeight w:val="153"/>
          <w:jc w:val="center"/>
        </w:trPr>
        <w:tc>
          <w:tcPr>
            <w:tcW w:w="1797" w:type="dxa"/>
            <w:vMerge/>
            <w:tcBorders>
              <w:left w:val="single" w:sz="2" w:space="0" w:color="000000"/>
              <w:right w:val="single" w:sz="2" w:space="0" w:color="000000"/>
            </w:tcBorders>
            <w:shd w:val="clear" w:color="auto" w:fill="auto"/>
            <w:vAlign w:val="center"/>
          </w:tcPr>
          <w:p w14:paraId="10227AFE" w14:textId="77777777" w:rsidR="000C3E6E" w:rsidRPr="00D66514" w:rsidRDefault="000C3E6E" w:rsidP="00E70528">
            <w:pPr>
              <w:pStyle w:val="NoSpacing"/>
              <w:jc w:val="center"/>
              <w:rPr>
                <w:b/>
                <w:bCs/>
                <w:sz w:val="22"/>
              </w:rPr>
            </w:pP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5D52A6F" w14:textId="77777777" w:rsidR="000C3E6E" w:rsidRPr="00D66514" w:rsidRDefault="000C3E6E" w:rsidP="00E70528">
            <w:pPr>
              <w:pStyle w:val="NoSpacing"/>
              <w:rPr>
                <w:b/>
                <w:bCs/>
                <w:sz w:val="22"/>
              </w:rPr>
            </w:pPr>
            <w:r w:rsidRPr="00D66514">
              <w:rPr>
                <w:b/>
                <w:bCs/>
                <w:sz w:val="22"/>
              </w:rPr>
              <w:t>Florida and Ohio</w:t>
            </w:r>
          </w:p>
        </w:tc>
        <w:tc>
          <w:tcPr>
            <w:tcW w:w="127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DC994BB" w14:textId="77777777" w:rsidR="000C3E6E" w:rsidRPr="00D66514" w:rsidRDefault="000C3E6E" w:rsidP="00E70528">
            <w:pPr>
              <w:pStyle w:val="NoSpacing"/>
              <w:jc w:val="center"/>
              <w:rPr>
                <w:sz w:val="22"/>
              </w:rPr>
            </w:pPr>
            <w:r w:rsidRPr="00D66514">
              <w:rPr>
                <w:sz w:val="22"/>
              </w:rPr>
              <w:t>1</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95B8A73" w14:textId="77777777" w:rsidR="000C3E6E" w:rsidRPr="00D66514" w:rsidRDefault="000C3E6E" w:rsidP="00E70528">
            <w:pPr>
              <w:pStyle w:val="NoSpacing"/>
              <w:jc w:val="center"/>
              <w:rPr>
                <w:sz w:val="22"/>
              </w:rPr>
            </w:pPr>
            <w:r w:rsidRPr="00D66514">
              <w:rPr>
                <w:sz w:val="22"/>
              </w:rPr>
              <w:t>1</w:t>
            </w:r>
          </w:p>
        </w:tc>
        <w:tc>
          <w:tcPr>
            <w:tcW w:w="18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7DB2051" w14:textId="77777777" w:rsidR="000C3E6E" w:rsidRPr="00D66514" w:rsidRDefault="000C3E6E" w:rsidP="00E70528">
            <w:pPr>
              <w:pStyle w:val="NoSpacing"/>
              <w:jc w:val="center"/>
              <w:rPr>
                <w:sz w:val="22"/>
              </w:rPr>
            </w:pPr>
            <w:r w:rsidRPr="00D66514">
              <w:rPr>
                <w:sz w:val="22"/>
              </w:rPr>
              <w:t>-0.865</w:t>
            </w:r>
          </w:p>
        </w:tc>
      </w:tr>
      <w:tr w:rsidR="00C01AF3" w:rsidRPr="00D66514" w14:paraId="6BDBCEAB" w14:textId="77777777" w:rsidTr="00E70528">
        <w:trPr>
          <w:trHeight w:val="153"/>
          <w:jc w:val="center"/>
        </w:trPr>
        <w:tc>
          <w:tcPr>
            <w:tcW w:w="1797" w:type="dxa"/>
            <w:vMerge/>
            <w:tcBorders>
              <w:left w:val="single" w:sz="2" w:space="0" w:color="000000"/>
              <w:right w:val="single" w:sz="2" w:space="0" w:color="000000"/>
            </w:tcBorders>
            <w:shd w:val="clear" w:color="auto" w:fill="auto"/>
            <w:vAlign w:val="center"/>
          </w:tcPr>
          <w:p w14:paraId="265A39EF" w14:textId="77777777" w:rsidR="000C3E6E" w:rsidRPr="00D66514" w:rsidRDefault="000C3E6E" w:rsidP="00E70528">
            <w:pPr>
              <w:pStyle w:val="NoSpacing"/>
              <w:jc w:val="center"/>
              <w:rPr>
                <w:b/>
                <w:bCs/>
                <w:sz w:val="22"/>
              </w:rPr>
            </w:pP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E6D52C6" w14:textId="77777777" w:rsidR="000C3E6E" w:rsidRPr="00D66514" w:rsidRDefault="000C3E6E" w:rsidP="00E70528">
            <w:pPr>
              <w:pStyle w:val="NoSpacing"/>
              <w:rPr>
                <w:b/>
                <w:bCs/>
                <w:sz w:val="22"/>
              </w:rPr>
            </w:pPr>
            <w:r w:rsidRPr="00D66514">
              <w:rPr>
                <w:b/>
                <w:bCs/>
                <w:sz w:val="22"/>
              </w:rPr>
              <w:t>Florida and California</w:t>
            </w:r>
          </w:p>
        </w:tc>
        <w:tc>
          <w:tcPr>
            <w:tcW w:w="127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30D64AC" w14:textId="77777777" w:rsidR="000C3E6E" w:rsidRPr="00D66514" w:rsidRDefault="000C3E6E" w:rsidP="00E70528">
            <w:pPr>
              <w:pStyle w:val="NoSpacing"/>
              <w:jc w:val="center"/>
              <w:rPr>
                <w:sz w:val="22"/>
              </w:rPr>
            </w:pPr>
            <w:r w:rsidRPr="00D66514">
              <w:rPr>
                <w:sz w:val="22"/>
              </w:rPr>
              <w:t>1</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3DC064E" w14:textId="77777777" w:rsidR="000C3E6E" w:rsidRPr="00D66514" w:rsidRDefault="000C3E6E" w:rsidP="00E70528">
            <w:pPr>
              <w:pStyle w:val="NoSpacing"/>
              <w:jc w:val="center"/>
              <w:rPr>
                <w:sz w:val="22"/>
              </w:rPr>
            </w:pPr>
            <w:r w:rsidRPr="00D66514">
              <w:rPr>
                <w:sz w:val="22"/>
              </w:rPr>
              <w:t>0.634</w:t>
            </w:r>
          </w:p>
        </w:tc>
        <w:tc>
          <w:tcPr>
            <w:tcW w:w="18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AEAC6DD" w14:textId="77777777" w:rsidR="000C3E6E" w:rsidRPr="00D66514" w:rsidRDefault="000C3E6E" w:rsidP="00E70528">
            <w:pPr>
              <w:pStyle w:val="NoSpacing"/>
              <w:jc w:val="center"/>
              <w:rPr>
                <w:sz w:val="22"/>
              </w:rPr>
            </w:pPr>
            <w:r w:rsidRPr="00D66514">
              <w:rPr>
                <w:sz w:val="22"/>
              </w:rPr>
              <w:t>1</w:t>
            </w:r>
          </w:p>
        </w:tc>
      </w:tr>
      <w:tr w:rsidR="00C01AF3" w:rsidRPr="00D66514" w14:paraId="78286864" w14:textId="77777777" w:rsidTr="00E70528">
        <w:trPr>
          <w:trHeight w:val="153"/>
          <w:jc w:val="center"/>
        </w:trPr>
        <w:tc>
          <w:tcPr>
            <w:tcW w:w="1797" w:type="dxa"/>
            <w:vMerge/>
            <w:tcBorders>
              <w:left w:val="single" w:sz="2" w:space="0" w:color="000000"/>
              <w:right w:val="single" w:sz="2" w:space="0" w:color="000000"/>
            </w:tcBorders>
            <w:shd w:val="clear" w:color="auto" w:fill="auto"/>
            <w:vAlign w:val="center"/>
          </w:tcPr>
          <w:p w14:paraId="6A9473C6" w14:textId="77777777" w:rsidR="000C3E6E" w:rsidRPr="00D66514" w:rsidRDefault="000C3E6E" w:rsidP="00E70528">
            <w:pPr>
              <w:pStyle w:val="NoSpacing"/>
              <w:jc w:val="center"/>
              <w:rPr>
                <w:b/>
                <w:bCs/>
                <w:sz w:val="22"/>
              </w:rPr>
            </w:pP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C2A644B" w14:textId="77777777" w:rsidR="000C3E6E" w:rsidRPr="00D66514" w:rsidRDefault="000C3E6E" w:rsidP="00E70528">
            <w:pPr>
              <w:pStyle w:val="NoSpacing"/>
              <w:rPr>
                <w:b/>
                <w:bCs/>
                <w:sz w:val="22"/>
              </w:rPr>
            </w:pPr>
            <w:r w:rsidRPr="00D66514">
              <w:rPr>
                <w:b/>
                <w:bCs/>
                <w:sz w:val="22"/>
              </w:rPr>
              <w:t>Ohio and California</w:t>
            </w:r>
          </w:p>
        </w:tc>
        <w:tc>
          <w:tcPr>
            <w:tcW w:w="127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1568AA1" w14:textId="77777777" w:rsidR="000C3E6E" w:rsidRPr="00D66514" w:rsidRDefault="000C3E6E" w:rsidP="00E70528">
            <w:pPr>
              <w:pStyle w:val="NoSpacing"/>
              <w:jc w:val="center"/>
              <w:rPr>
                <w:sz w:val="22"/>
              </w:rPr>
            </w:pPr>
            <w:r w:rsidRPr="00D66514">
              <w:rPr>
                <w:sz w:val="22"/>
              </w:rPr>
              <w:t>-19.985</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0112638" w14:textId="77777777" w:rsidR="000C3E6E" w:rsidRPr="00D66514" w:rsidRDefault="000C3E6E" w:rsidP="00E70528">
            <w:pPr>
              <w:pStyle w:val="NoSpacing"/>
              <w:jc w:val="center"/>
              <w:rPr>
                <w:sz w:val="22"/>
              </w:rPr>
            </w:pPr>
            <w:r w:rsidRPr="00D66514">
              <w:rPr>
                <w:sz w:val="22"/>
              </w:rPr>
              <w:t>0.981</w:t>
            </w:r>
          </w:p>
        </w:tc>
        <w:tc>
          <w:tcPr>
            <w:tcW w:w="18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CF4031E" w14:textId="77777777" w:rsidR="000C3E6E" w:rsidRPr="00D66514" w:rsidRDefault="000C3E6E" w:rsidP="00E70528">
            <w:pPr>
              <w:pStyle w:val="NoSpacing"/>
              <w:jc w:val="center"/>
              <w:rPr>
                <w:sz w:val="22"/>
              </w:rPr>
            </w:pPr>
            <w:r w:rsidRPr="00D66514">
              <w:rPr>
                <w:sz w:val="22"/>
              </w:rPr>
              <w:t>0.997</w:t>
            </w:r>
          </w:p>
        </w:tc>
      </w:tr>
      <w:tr w:rsidR="00C01AF3" w:rsidRPr="00D66514" w14:paraId="4DD1D270" w14:textId="77777777" w:rsidTr="00E70528">
        <w:trPr>
          <w:trHeight w:val="153"/>
          <w:jc w:val="center"/>
        </w:trPr>
        <w:tc>
          <w:tcPr>
            <w:tcW w:w="1797" w:type="dxa"/>
            <w:vMerge/>
            <w:tcBorders>
              <w:left w:val="single" w:sz="2" w:space="0" w:color="000000"/>
              <w:bottom w:val="single" w:sz="2" w:space="0" w:color="000000"/>
              <w:right w:val="single" w:sz="2" w:space="0" w:color="000000"/>
            </w:tcBorders>
            <w:shd w:val="clear" w:color="auto" w:fill="auto"/>
            <w:vAlign w:val="center"/>
          </w:tcPr>
          <w:p w14:paraId="4139C402" w14:textId="77777777" w:rsidR="000C3E6E" w:rsidRPr="00D66514" w:rsidRDefault="000C3E6E" w:rsidP="00E70528">
            <w:pPr>
              <w:pStyle w:val="NoSpacing"/>
              <w:jc w:val="center"/>
              <w:rPr>
                <w:b/>
                <w:bCs/>
                <w:sz w:val="22"/>
              </w:rPr>
            </w:pP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02147FB" w14:textId="77777777" w:rsidR="000C3E6E" w:rsidRPr="00D66514" w:rsidRDefault="000C3E6E" w:rsidP="00E70528">
            <w:pPr>
              <w:pStyle w:val="NoSpacing"/>
              <w:rPr>
                <w:b/>
                <w:bCs/>
                <w:sz w:val="22"/>
              </w:rPr>
            </w:pPr>
            <w:r w:rsidRPr="00D66514">
              <w:rPr>
                <w:b/>
                <w:bCs/>
                <w:sz w:val="22"/>
              </w:rPr>
              <w:t>Florida, Ohio and California</w:t>
            </w:r>
          </w:p>
        </w:tc>
        <w:tc>
          <w:tcPr>
            <w:tcW w:w="127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7D35E6B" w14:textId="77777777" w:rsidR="000C3E6E" w:rsidRPr="00D66514" w:rsidRDefault="000C3E6E" w:rsidP="00E70528">
            <w:pPr>
              <w:pStyle w:val="NoSpacing"/>
              <w:jc w:val="center"/>
              <w:rPr>
                <w:sz w:val="22"/>
              </w:rPr>
            </w:pPr>
            <w:r w:rsidRPr="00D66514">
              <w:rPr>
                <w:sz w:val="22"/>
              </w:rPr>
              <w:t>1</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2DA20D7" w14:textId="77777777" w:rsidR="000C3E6E" w:rsidRPr="00D66514" w:rsidRDefault="000C3E6E" w:rsidP="00E70528">
            <w:pPr>
              <w:pStyle w:val="NoSpacing"/>
              <w:jc w:val="center"/>
              <w:rPr>
                <w:sz w:val="22"/>
              </w:rPr>
            </w:pPr>
            <w:r w:rsidRPr="00D66514">
              <w:rPr>
                <w:sz w:val="22"/>
              </w:rPr>
              <w:t>1</w:t>
            </w:r>
          </w:p>
        </w:tc>
        <w:tc>
          <w:tcPr>
            <w:tcW w:w="18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52A963A" w14:textId="77777777" w:rsidR="000C3E6E" w:rsidRPr="00D66514" w:rsidRDefault="000C3E6E" w:rsidP="00E70528">
            <w:pPr>
              <w:pStyle w:val="NoSpacing"/>
              <w:jc w:val="center"/>
              <w:rPr>
                <w:sz w:val="22"/>
              </w:rPr>
            </w:pPr>
            <w:r w:rsidRPr="00D66514">
              <w:rPr>
                <w:sz w:val="22"/>
              </w:rPr>
              <w:t>1</w:t>
            </w:r>
          </w:p>
        </w:tc>
      </w:tr>
      <w:tr w:rsidR="00C01AF3" w:rsidRPr="00D66514" w14:paraId="38CBA9DC" w14:textId="77777777" w:rsidTr="00E70528">
        <w:trPr>
          <w:trHeight w:val="153"/>
          <w:jc w:val="center"/>
        </w:trPr>
        <w:tc>
          <w:tcPr>
            <w:tcW w:w="1797" w:type="dxa"/>
            <w:vMerge w:val="restart"/>
            <w:tcBorders>
              <w:top w:val="single" w:sz="2" w:space="0" w:color="000000"/>
              <w:left w:val="single" w:sz="2" w:space="0" w:color="000000"/>
              <w:right w:val="single" w:sz="2" w:space="0" w:color="000000"/>
            </w:tcBorders>
            <w:shd w:val="clear" w:color="auto" w:fill="auto"/>
            <w:vAlign w:val="center"/>
          </w:tcPr>
          <w:p w14:paraId="0582F955" w14:textId="77777777" w:rsidR="000C3E6E" w:rsidRPr="00D66514" w:rsidRDefault="000C3E6E" w:rsidP="00E70528">
            <w:pPr>
              <w:pStyle w:val="NoSpacing"/>
              <w:jc w:val="center"/>
              <w:rPr>
                <w:b/>
                <w:bCs/>
                <w:sz w:val="22"/>
              </w:rPr>
            </w:pPr>
            <w:r w:rsidRPr="00D66514">
              <w:rPr>
                <w:b/>
                <w:bCs/>
                <w:sz w:val="22"/>
              </w:rPr>
              <w:t>MV</w:t>
            </w: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CA3F697" w14:textId="77777777" w:rsidR="000C3E6E" w:rsidRPr="00D66514" w:rsidRDefault="000C3E6E" w:rsidP="00E70528">
            <w:pPr>
              <w:pStyle w:val="NoSpacing"/>
              <w:rPr>
                <w:b/>
                <w:bCs/>
                <w:sz w:val="22"/>
              </w:rPr>
            </w:pPr>
            <w:r w:rsidRPr="00D66514">
              <w:rPr>
                <w:b/>
                <w:bCs/>
                <w:sz w:val="22"/>
              </w:rPr>
              <w:t>Florida</w:t>
            </w:r>
          </w:p>
        </w:tc>
        <w:tc>
          <w:tcPr>
            <w:tcW w:w="127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937C7FD" w14:textId="77777777" w:rsidR="000C3E6E" w:rsidRPr="00D66514" w:rsidRDefault="000C3E6E" w:rsidP="00E70528">
            <w:pPr>
              <w:pStyle w:val="NoSpacing"/>
              <w:jc w:val="center"/>
              <w:rPr>
                <w:sz w:val="22"/>
              </w:rPr>
            </w:pPr>
            <w:r w:rsidRPr="00D66514">
              <w:rPr>
                <w:sz w:val="22"/>
              </w:rPr>
              <w:t>1</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BFFF32D" w14:textId="77777777" w:rsidR="000C3E6E" w:rsidRPr="00D66514" w:rsidRDefault="000C3E6E" w:rsidP="00E70528">
            <w:pPr>
              <w:pStyle w:val="NoSpacing"/>
              <w:jc w:val="center"/>
              <w:rPr>
                <w:sz w:val="22"/>
              </w:rPr>
            </w:pPr>
            <w:r w:rsidRPr="00D66514">
              <w:rPr>
                <w:sz w:val="22"/>
              </w:rPr>
              <w:t>-0.83</w:t>
            </w:r>
          </w:p>
        </w:tc>
        <w:tc>
          <w:tcPr>
            <w:tcW w:w="18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520DD03" w14:textId="77777777" w:rsidR="000C3E6E" w:rsidRPr="00D66514" w:rsidRDefault="000C3E6E" w:rsidP="00E70528">
            <w:pPr>
              <w:pStyle w:val="NoSpacing"/>
              <w:jc w:val="center"/>
              <w:rPr>
                <w:sz w:val="22"/>
              </w:rPr>
            </w:pPr>
            <w:r w:rsidRPr="00D66514">
              <w:rPr>
                <w:sz w:val="22"/>
              </w:rPr>
              <w:t>0.208</w:t>
            </w:r>
          </w:p>
        </w:tc>
      </w:tr>
      <w:tr w:rsidR="00C01AF3" w:rsidRPr="00D66514" w14:paraId="150805C7" w14:textId="77777777" w:rsidTr="00E70528">
        <w:trPr>
          <w:trHeight w:val="153"/>
          <w:jc w:val="center"/>
        </w:trPr>
        <w:tc>
          <w:tcPr>
            <w:tcW w:w="1797" w:type="dxa"/>
            <w:vMerge/>
            <w:tcBorders>
              <w:left w:val="single" w:sz="2" w:space="0" w:color="000000"/>
              <w:right w:val="single" w:sz="2" w:space="0" w:color="000000"/>
            </w:tcBorders>
            <w:shd w:val="clear" w:color="auto" w:fill="auto"/>
            <w:vAlign w:val="center"/>
          </w:tcPr>
          <w:p w14:paraId="78403ABB" w14:textId="77777777" w:rsidR="000C3E6E" w:rsidRPr="00D66514" w:rsidRDefault="000C3E6E" w:rsidP="00E70528">
            <w:pPr>
              <w:pStyle w:val="NoSpacing"/>
              <w:jc w:val="center"/>
              <w:rPr>
                <w:b/>
                <w:bCs/>
                <w:sz w:val="22"/>
              </w:rPr>
            </w:pP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31A01A8" w14:textId="77777777" w:rsidR="000C3E6E" w:rsidRPr="00D66514" w:rsidRDefault="000C3E6E" w:rsidP="00E70528">
            <w:pPr>
              <w:pStyle w:val="NoSpacing"/>
              <w:rPr>
                <w:b/>
                <w:bCs/>
                <w:sz w:val="22"/>
              </w:rPr>
            </w:pPr>
            <w:r w:rsidRPr="00D66514">
              <w:rPr>
                <w:b/>
                <w:bCs/>
                <w:sz w:val="22"/>
              </w:rPr>
              <w:t>Ohio</w:t>
            </w:r>
          </w:p>
        </w:tc>
        <w:tc>
          <w:tcPr>
            <w:tcW w:w="127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7BE6F43" w14:textId="77777777" w:rsidR="000C3E6E" w:rsidRPr="00D66514" w:rsidRDefault="000C3E6E" w:rsidP="00E70528">
            <w:pPr>
              <w:pStyle w:val="NoSpacing"/>
              <w:jc w:val="center"/>
              <w:rPr>
                <w:sz w:val="22"/>
              </w:rPr>
            </w:pPr>
            <w:r w:rsidRPr="00D66514">
              <w:rPr>
                <w:sz w:val="22"/>
              </w:rPr>
              <w:t>-0.818</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FBF2007" w14:textId="77777777" w:rsidR="000C3E6E" w:rsidRPr="00D66514" w:rsidRDefault="000C3E6E" w:rsidP="00E70528">
            <w:pPr>
              <w:pStyle w:val="NoSpacing"/>
              <w:jc w:val="center"/>
              <w:rPr>
                <w:sz w:val="22"/>
              </w:rPr>
            </w:pPr>
            <w:r w:rsidRPr="00D66514">
              <w:rPr>
                <w:sz w:val="22"/>
              </w:rPr>
              <w:t>1</w:t>
            </w:r>
          </w:p>
        </w:tc>
        <w:tc>
          <w:tcPr>
            <w:tcW w:w="18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23C7957" w14:textId="77777777" w:rsidR="000C3E6E" w:rsidRPr="00D66514" w:rsidRDefault="000C3E6E" w:rsidP="00E70528">
            <w:pPr>
              <w:pStyle w:val="NoSpacing"/>
              <w:jc w:val="center"/>
              <w:rPr>
                <w:sz w:val="22"/>
              </w:rPr>
            </w:pPr>
            <w:r w:rsidRPr="00D66514">
              <w:rPr>
                <w:sz w:val="22"/>
              </w:rPr>
              <w:t>0.361</w:t>
            </w:r>
          </w:p>
        </w:tc>
      </w:tr>
      <w:tr w:rsidR="00C01AF3" w:rsidRPr="00D66514" w14:paraId="3996F31F" w14:textId="77777777" w:rsidTr="00E70528">
        <w:trPr>
          <w:trHeight w:val="153"/>
          <w:jc w:val="center"/>
        </w:trPr>
        <w:tc>
          <w:tcPr>
            <w:tcW w:w="1797" w:type="dxa"/>
            <w:vMerge/>
            <w:tcBorders>
              <w:left w:val="single" w:sz="2" w:space="0" w:color="000000"/>
              <w:right w:val="single" w:sz="2" w:space="0" w:color="000000"/>
            </w:tcBorders>
            <w:shd w:val="clear" w:color="auto" w:fill="auto"/>
            <w:vAlign w:val="center"/>
          </w:tcPr>
          <w:p w14:paraId="6FD270D7" w14:textId="77777777" w:rsidR="000C3E6E" w:rsidRPr="00D66514" w:rsidRDefault="000C3E6E" w:rsidP="00E70528">
            <w:pPr>
              <w:pStyle w:val="NoSpacing"/>
              <w:jc w:val="center"/>
              <w:rPr>
                <w:b/>
                <w:bCs/>
                <w:sz w:val="22"/>
              </w:rPr>
            </w:pP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73FE83B" w14:textId="77777777" w:rsidR="000C3E6E" w:rsidRPr="00D66514" w:rsidRDefault="000C3E6E" w:rsidP="00E70528">
            <w:pPr>
              <w:pStyle w:val="NoSpacing"/>
              <w:rPr>
                <w:b/>
                <w:bCs/>
                <w:sz w:val="22"/>
              </w:rPr>
            </w:pPr>
            <w:r w:rsidRPr="00D66514">
              <w:rPr>
                <w:b/>
                <w:bCs/>
                <w:sz w:val="22"/>
              </w:rPr>
              <w:t>California</w:t>
            </w:r>
          </w:p>
        </w:tc>
        <w:tc>
          <w:tcPr>
            <w:tcW w:w="127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9BD10A6" w14:textId="77777777" w:rsidR="000C3E6E" w:rsidRPr="00D66514" w:rsidRDefault="000C3E6E" w:rsidP="00E70528">
            <w:pPr>
              <w:pStyle w:val="NoSpacing"/>
              <w:jc w:val="center"/>
              <w:rPr>
                <w:sz w:val="22"/>
              </w:rPr>
            </w:pPr>
            <w:r w:rsidRPr="00D66514">
              <w:rPr>
                <w:sz w:val="22"/>
              </w:rPr>
              <w:t>0.25</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5349BD4" w14:textId="77777777" w:rsidR="000C3E6E" w:rsidRPr="00D66514" w:rsidRDefault="000C3E6E" w:rsidP="00E70528">
            <w:pPr>
              <w:pStyle w:val="NoSpacing"/>
              <w:jc w:val="center"/>
              <w:rPr>
                <w:sz w:val="22"/>
              </w:rPr>
            </w:pPr>
            <w:r w:rsidRPr="00D66514">
              <w:rPr>
                <w:sz w:val="22"/>
              </w:rPr>
              <w:t>0.186</w:t>
            </w:r>
          </w:p>
        </w:tc>
        <w:tc>
          <w:tcPr>
            <w:tcW w:w="18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E4AE098" w14:textId="77777777" w:rsidR="000C3E6E" w:rsidRPr="00D66514" w:rsidRDefault="000C3E6E" w:rsidP="00E70528">
            <w:pPr>
              <w:pStyle w:val="NoSpacing"/>
              <w:jc w:val="center"/>
              <w:rPr>
                <w:sz w:val="22"/>
              </w:rPr>
            </w:pPr>
            <w:r w:rsidRPr="00D66514">
              <w:rPr>
                <w:sz w:val="22"/>
              </w:rPr>
              <w:t>1</w:t>
            </w:r>
          </w:p>
        </w:tc>
      </w:tr>
      <w:tr w:rsidR="00C01AF3" w:rsidRPr="00D66514" w14:paraId="01B87014" w14:textId="77777777" w:rsidTr="00E70528">
        <w:trPr>
          <w:trHeight w:val="153"/>
          <w:jc w:val="center"/>
        </w:trPr>
        <w:tc>
          <w:tcPr>
            <w:tcW w:w="1797" w:type="dxa"/>
            <w:vMerge/>
            <w:tcBorders>
              <w:left w:val="single" w:sz="2" w:space="0" w:color="000000"/>
              <w:right w:val="single" w:sz="2" w:space="0" w:color="000000"/>
            </w:tcBorders>
            <w:shd w:val="clear" w:color="auto" w:fill="auto"/>
            <w:vAlign w:val="center"/>
          </w:tcPr>
          <w:p w14:paraId="6EF9C62C" w14:textId="77777777" w:rsidR="000C3E6E" w:rsidRPr="00D66514" w:rsidRDefault="000C3E6E" w:rsidP="00E70528">
            <w:pPr>
              <w:pStyle w:val="NoSpacing"/>
              <w:jc w:val="center"/>
              <w:rPr>
                <w:b/>
                <w:bCs/>
                <w:sz w:val="22"/>
              </w:rPr>
            </w:pP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F3484FC" w14:textId="77777777" w:rsidR="000C3E6E" w:rsidRPr="00D66514" w:rsidRDefault="000C3E6E" w:rsidP="00E70528">
            <w:pPr>
              <w:pStyle w:val="NoSpacing"/>
              <w:rPr>
                <w:b/>
                <w:bCs/>
                <w:sz w:val="22"/>
              </w:rPr>
            </w:pPr>
            <w:r w:rsidRPr="00D66514">
              <w:rPr>
                <w:b/>
                <w:bCs/>
                <w:sz w:val="22"/>
              </w:rPr>
              <w:t>Florida and Ohio</w:t>
            </w:r>
          </w:p>
        </w:tc>
        <w:tc>
          <w:tcPr>
            <w:tcW w:w="127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CDEB342" w14:textId="77777777" w:rsidR="000C3E6E" w:rsidRPr="00D66514" w:rsidRDefault="000C3E6E" w:rsidP="00E70528">
            <w:pPr>
              <w:pStyle w:val="NoSpacing"/>
              <w:jc w:val="center"/>
              <w:rPr>
                <w:sz w:val="22"/>
              </w:rPr>
            </w:pPr>
            <w:r w:rsidRPr="00D66514">
              <w:rPr>
                <w:sz w:val="22"/>
              </w:rPr>
              <w:t>0.999</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68F9A42" w14:textId="77777777" w:rsidR="000C3E6E" w:rsidRPr="00D66514" w:rsidRDefault="000C3E6E" w:rsidP="00E70528">
            <w:pPr>
              <w:pStyle w:val="NoSpacing"/>
              <w:jc w:val="center"/>
              <w:rPr>
                <w:sz w:val="22"/>
              </w:rPr>
            </w:pPr>
            <w:r w:rsidRPr="00D66514">
              <w:rPr>
                <w:sz w:val="22"/>
              </w:rPr>
              <w:t>0.998</w:t>
            </w:r>
          </w:p>
        </w:tc>
        <w:tc>
          <w:tcPr>
            <w:tcW w:w="18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E1DA10D" w14:textId="77777777" w:rsidR="000C3E6E" w:rsidRPr="00D66514" w:rsidRDefault="000C3E6E" w:rsidP="00E70528">
            <w:pPr>
              <w:pStyle w:val="NoSpacing"/>
              <w:jc w:val="center"/>
              <w:rPr>
                <w:sz w:val="22"/>
              </w:rPr>
            </w:pPr>
            <w:r w:rsidRPr="00D66514">
              <w:rPr>
                <w:sz w:val="22"/>
              </w:rPr>
              <w:t>0.212</w:t>
            </w:r>
          </w:p>
        </w:tc>
      </w:tr>
      <w:tr w:rsidR="00C01AF3" w:rsidRPr="00D66514" w14:paraId="66FB77DA" w14:textId="77777777" w:rsidTr="00E70528">
        <w:trPr>
          <w:trHeight w:val="153"/>
          <w:jc w:val="center"/>
        </w:trPr>
        <w:tc>
          <w:tcPr>
            <w:tcW w:w="1797" w:type="dxa"/>
            <w:vMerge/>
            <w:tcBorders>
              <w:left w:val="single" w:sz="2" w:space="0" w:color="000000"/>
              <w:right w:val="single" w:sz="2" w:space="0" w:color="000000"/>
            </w:tcBorders>
            <w:shd w:val="clear" w:color="auto" w:fill="auto"/>
            <w:vAlign w:val="center"/>
          </w:tcPr>
          <w:p w14:paraId="1BB06897" w14:textId="77777777" w:rsidR="000C3E6E" w:rsidRPr="00D66514" w:rsidRDefault="000C3E6E" w:rsidP="00E70528">
            <w:pPr>
              <w:pStyle w:val="NoSpacing"/>
              <w:jc w:val="center"/>
              <w:rPr>
                <w:b/>
                <w:bCs/>
                <w:sz w:val="22"/>
              </w:rPr>
            </w:pP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9A91A9C" w14:textId="77777777" w:rsidR="000C3E6E" w:rsidRPr="00D66514" w:rsidRDefault="000C3E6E" w:rsidP="00E70528">
            <w:pPr>
              <w:pStyle w:val="NoSpacing"/>
              <w:rPr>
                <w:b/>
                <w:bCs/>
                <w:sz w:val="22"/>
              </w:rPr>
            </w:pPr>
            <w:r w:rsidRPr="00D66514">
              <w:rPr>
                <w:b/>
                <w:bCs/>
                <w:sz w:val="22"/>
              </w:rPr>
              <w:t>Florida and California</w:t>
            </w:r>
          </w:p>
        </w:tc>
        <w:tc>
          <w:tcPr>
            <w:tcW w:w="127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76EB487" w14:textId="77777777" w:rsidR="000C3E6E" w:rsidRPr="00D66514" w:rsidRDefault="000C3E6E" w:rsidP="00E70528">
            <w:pPr>
              <w:pStyle w:val="NoSpacing"/>
              <w:jc w:val="center"/>
              <w:rPr>
                <w:sz w:val="22"/>
              </w:rPr>
            </w:pPr>
            <w:r w:rsidRPr="00D66514">
              <w:rPr>
                <w:sz w:val="22"/>
              </w:rPr>
              <w:t>0.999</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D10816C" w14:textId="77777777" w:rsidR="000C3E6E" w:rsidRPr="00D66514" w:rsidRDefault="000C3E6E" w:rsidP="00E70528">
            <w:pPr>
              <w:pStyle w:val="NoSpacing"/>
              <w:jc w:val="center"/>
              <w:rPr>
                <w:sz w:val="22"/>
              </w:rPr>
            </w:pPr>
            <w:r w:rsidRPr="00D66514">
              <w:rPr>
                <w:sz w:val="22"/>
              </w:rPr>
              <w:t>-0.937</w:t>
            </w:r>
          </w:p>
        </w:tc>
        <w:tc>
          <w:tcPr>
            <w:tcW w:w="18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D41F907" w14:textId="77777777" w:rsidR="000C3E6E" w:rsidRPr="00D66514" w:rsidRDefault="000C3E6E" w:rsidP="00E70528">
            <w:pPr>
              <w:pStyle w:val="NoSpacing"/>
              <w:jc w:val="center"/>
              <w:rPr>
                <w:sz w:val="22"/>
              </w:rPr>
            </w:pPr>
            <w:r w:rsidRPr="00D66514">
              <w:rPr>
                <w:sz w:val="22"/>
              </w:rPr>
              <w:t>0.999</w:t>
            </w:r>
          </w:p>
        </w:tc>
      </w:tr>
      <w:tr w:rsidR="00C01AF3" w:rsidRPr="00D66514" w14:paraId="01BC127F" w14:textId="77777777" w:rsidTr="00E70528">
        <w:trPr>
          <w:trHeight w:val="153"/>
          <w:jc w:val="center"/>
        </w:trPr>
        <w:tc>
          <w:tcPr>
            <w:tcW w:w="1797" w:type="dxa"/>
            <w:vMerge/>
            <w:tcBorders>
              <w:left w:val="single" w:sz="2" w:space="0" w:color="000000"/>
              <w:right w:val="single" w:sz="2" w:space="0" w:color="000000"/>
            </w:tcBorders>
            <w:shd w:val="clear" w:color="auto" w:fill="auto"/>
            <w:vAlign w:val="center"/>
          </w:tcPr>
          <w:p w14:paraId="5831DF34" w14:textId="77777777" w:rsidR="000C3E6E" w:rsidRPr="00D66514" w:rsidRDefault="000C3E6E" w:rsidP="00E70528">
            <w:pPr>
              <w:pStyle w:val="NoSpacing"/>
              <w:jc w:val="center"/>
              <w:rPr>
                <w:b/>
                <w:bCs/>
                <w:sz w:val="22"/>
              </w:rPr>
            </w:pP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C4CB525" w14:textId="77777777" w:rsidR="000C3E6E" w:rsidRPr="00D66514" w:rsidRDefault="000C3E6E" w:rsidP="00E70528">
            <w:pPr>
              <w:pStyle w:val="NoSpacing"/>
              <w:rPr>
                <w:b/>
                <w:bCs/>
                <w:sz w:val="22"/>
              </w:rPr>
            </w:pPr>
            <w:r w:rsidRPr="00D66514">
              <w:rPr>
                <w:b/>
                <w:bCs/>
                <w:sz w:val="22"/>
              </w:rPr>
              <w:t>Ohio and California</w:t>
            </w:r>
          </w:p>
        </w:tc>
        <w:tc>
          <w:tcPr>
            <w:tcW w:w="127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5CE0B74" w14:textId="77777777" w:rsidR="000C3E6E" w:rsidRPr="00D66514" w:rsidRDefault="000C3E6E" w:rsidP="00E70528">
            <w:pPr>
              <w:pStyle w:val="NoSpacing"/>
              <w:jc w:val="center"/>
              <w:rPr>
                <w:sz w:val="22"/>
              </w:rPr>
            </w:pPr>
            <w:r w:rsidRPr="00D66514">
              <w:rPr>
                <w:sz w:val="22"/>
              </w:rPr>
              <w:t>0.265</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C9A5820" w14:textId="77777777" w:rsidR="000C3E6E" w:rsidRPr="00D66514" w:rsidRDefault="000C3E6E" w:rsidP="00E70528">
            <w:pPr>
              <w:pStyle w:val="NoSpacing"/>
              <w:jc w:val="center"/>
              <w:rPr>
                <w:sz w:val="22"/>
              </w:rPr>
            </w:pPr>
            <w:r w:rsidRPr="00D66514">
              <w:rPr>
                <w:sz w:val="22"/>
              </w:rPr>
              <w:t>0.995</w:t>
            </w:r>
          </w:p>
        </w:tc>
        <w:tc>
          <w:tcPr>
            <w:tcW w:w="18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833AE8C" w14:textId="77777777" w:rsidR="000C3E6E" w:rsidRPr="00D66514" w:rsidRDefault="000C3E6E" w:rsidP="00E70528">
            <w:pPr>
              <w:pStyle w:val="NoSpacing"/>
              <w:jc w:val="center"/>
              <w:rPr>
                <w:sz w:val="22"/>
              </w:rPr>
            </w:pPr>
            <w:r w:rsidRPr="00D66514">
              <w:rPr>
                <w:sz w:val="22"/>
              </w:rPr>
              <w:t>0.998</w:t>
            </w:r>
          </w:p>
        </w:tc>
      </w:tr>
      <w:tr w:rsidR="00C01AF3" w:rsidRPr="00D66514" w14:paraId="47D2C20A" w14:textId="77777777" w:rsidTr="00E70528">
        <w:trPr>
          <w:trHeight w:val="153"/>
          <w:jc w:val="center"/>
        </w:trPr>
        <w:tc>
          <w:tcPr>
            <w:tcW w:w="1797" w:type="dxa"/>
            <w:vMerge/>
            <w:tcBorders>
              <w:left w:val="single" w:sz="2" w:space="0" w:color="000000"/>
              <w:bottom w:val="single" w:sz="2" w:space="0" w:color="000000"/>
              <w:right w:val="single" w:sz="2" w:space="0" w:color="000000"/>
            </w:tcBorders>
            <w:shd w:val="clear" w:color="auto" w:fill="auto"/>
            <w:vAlign w:val="center"/>
          </w:tcPr>
          <w:p w14:paraId="271E3940" w14:textId="77777777" w:rsidR="000C3E6E" w:rsidRPr="00D66514" w:rsidRDefault="000C3E6E" w:rsidP="00E70528">
            <w:pPr>
              <w:pStyle w:val="NoSpacing"/>
              <w:jc w:val="center"/>
              <w:rPr>
                <w:b/>
                <w:bCs/>
                <w:sz w:val="22"/>
              </w:rPr>
            </w:pPr>
          </w:p>
        </w:tc>
        <w:tc>
          <w:tcPr>
            <w:tcW w:w="301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D871F0C" w14:textId="77777777" w:rsidR="000C3E6E" w:rsidRPr="00D66514" w:rsidRDefault="000C3E6E" w:rsidP="00E70528">
            <w:pPr>
              <w:pStyle w:val="NoSpacing"/>
              <w:rPr>
                <w:b/>
                <w:bCs/>
                <w:sz w:val="22"/>
              </w:rPr>
            </w:pPr>
            <w:r w:rsidRPr="00D66514">
              <w:rPr>
                <w:b/>
                <w:bCs/>
                <w:sz w:val="22"/>
              </w:rPr>
              <w:t>Florida, Ohio and California</w:t>
            </w:r>
          </w:p>
        </w:tc>
        <w:tc>
          <w:tcPr>
            <w:tcW w:w="127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3BEF530" w14:textId="77777777" w:rsidR="000C3E6E" w:rsidRPr="00D66514" w:rsidRDefault="000C3E6E" w:rsidP="00E70528">
            <w:pPr>
              <w:pStyle w:val="NoSpacing"/>
              <w:jc w:val="center"/>
              <w:rPr>
                <w:sz w:val="22"/>
              </w:rPr>
            </w:pPr>
            <w:r w:rsidRPr="00D66514">
              <w:rPr>
                <w:sz w:val="22"/>
              </w:rPr>
              <w:t>1</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D10681" w14:textId="77777777" w:rsidR="000C3E6E" w:rsidRPr="00D66514" w:rsidRDefault="000C3E6E" w:rsidP="00E70528">
            <w:pPr>
              <w:pStyle w:val="NoSpacing"/>
              <w:jc w:val="center"/>
              <w:rPr>
                <w:sz w:val="22"/>
              </w:rPr>
            </w:pPr>
            <w:r w:rsidRPr="00D66514">
              <w:rPr>
                <w:sz w:val="22"/>
              </w:rPr>
              <w:t>0.996</w:t>
            </w:r>
          </w:p>
        </w:tc>
        <w:tc>
          <w:tcPr>
            <w:tcW w:w="1841"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0F37B6C" w14:textId="77777777" w:rsidR="000C3E6E" w:rsidRPr="00D66514" w:rsidRDefault="000C3E6E" w:rsidP="00E70528">
            <w:pPr>
              <w:pStyle w:val="NoSpacing"/>
              <w:jc w:val="center"/>
              <w:rPr>
                <w:sz w:val="22"/>
              </w:rPr>
            </w:pPr>
            <w:r w:rsidRPr="00D66514">
              <w:rPr>
                <w:sz w:val="22"/>
              </w:rPr>
              <w:t>0.998</w:t>
            </w:r>
          </w:p>
        </w:tc>
      </w:tr>
    </w:tbl>
    <w:p w14:paraId="6789C491" w14:textId="77777777" w:rsidR="00D67911" w:rsidRPr="00D66514" w:rsidRDefault="00D67911"/>
    <w:p w14:paraId="69F6EA56" w14:textId="2B7E07DD" w:rsidR="00C01AF3" w:rsidRPr="00D66514" w:rsidRDefault="00D67911" w:rsidP="00464934">
      <w:pPr>
        <w:pStyle w:val="Heading3"/>
      </w:pPr>
      <w:r w:rsidRPr="00D66514">
        <w:rPr>
          <w:iCs/>
        </w:rPr>
        <w:lastRenderedPageBreak/>
        <w:t>Modified Base Conditions</w:t>
      </w:r>
      <w:r w:rsidRPr="00D66514">
        <w:t xml:space="preserve"> </w:t>
      </w:r>
      <w:r w:rsidR="0004240D" w:rsidRPr="00D66514">
        <w:t>Transfer Index Comparison</w:t>
      </w:r>
      <w:r w:rsidRPr="00D66514">
        <w:t>s</w:t>
      </w:r>
    </w:p>
    <w:p w14:paraId="483818B1" w14:textId="47E4C7C9" w:rsidR="001E09DB" w:rsidRPr="00D66514" w:rsidRDefault="0004240D" w:rsidP="00B25A84">
      <w:r w:rsidRPr="00D66514">
        <w:t>The transfer indices are also calculated for modified base conditions.</w:t>
      </w:r>
      <w:r w:rsidR="00725411" w:rsidRPr="00D66514">
        <w:t xml:space="preserve"> </w:t>
      </w:r>
      <w:r w:rsidR="00725411" w:rsidRPr="00D66514">
        <w:rPr>
          <w:shd w:val="clear" w:color="auto" w:fill="FFFFFF"/>
        </w:rPr>
        <w:t>The log-likelihood ratio tests are conducted as well.</w:t>
      </w:r>
      <w:r w:rsidRPr="00D66514">
        <w:t xml:space="preserve"> Their results are presented in </w:t>
      </w:r>
      <w:r w:rsidR="00D67911" w:rsidRPr="00D66514">
        <w:fldChar w:fldCharType="begin"/>
      </w:r>
      <w:r w:rsidR="00D67911" w:rsidRPr="00D66514">
        <w:instrText xml:space="preserve"> REF _Ref434100572 \h </w:instrText>
      </w:r>
      <w:r w:rsidR="00E32657" w:rsidRPr="00D66514">
        <w:instrText xml:space="preserve"> \* MERGEFORMAT </w:instrText>
      </w:r>
      <w:r w:rsidR="00D67911" w:rsidRPr="00D66514">
        <w:fldChar w:fldCharType="separate"/>
      </w:r>
      <w:r w:rsidR="004F0410" w:rsidRPr="00D66514">
        <w:t xml:space="preserve">Table </w:t>
      </w:r>
      <w:r w:rsidR="004F0410">
        <w:rPr>
          <w:noProof/>
        </w:rPr>
        <w:t>8</w:t>
      </w:r>
      <w:r w:rsidR="00D67911" w:rsidRPr="00D66514">
        <w:fldChar w:fldCharType="end"/>
      </w:r>
      <w:r w:rsidR="00D67911" w:rsidRPr="00D66514">
        <w:t xml:space="preserve">. </w:t>
      </w:r>
      <w:r w:rsidR="00AB2BDD" w:rsidRPr="00D66514">
        <w:t>From what may be interpreted from the</w:t>
      </w:r>
      <w:r w:rsidR="00D67911" w:rsidRPr="00D66514">
        <w:t xml:space="preserve"> table,</w:t>
      </w:r>
      <w:r w:rsidR="00224AE6" w:rsidRPr="00D66514">
        <w:t xml:space="preserve"> the transfer indices of</w:t>
      </w:r>
      <w:r w:rsidR="00D67911" w:rsidRPr="00D66514">
        <w:t xml:space="preserve"> </w:t>
      </w:r>
      <w:r w:rsidR="00224AE6" w:rsidRPr="00D66514">
        <w:t>Florida and California’s</w:t>
      </w:r>
      <w:r w:rsidR="00D67911" w:rsidRPr="00D66514">
        <w:t xml:space="preserve"> KABC SPFs </w:t>
      </w:r>
      <w:r w:rsidR="00AB2BDD" w:rsidRPr="00D66514">
        <w:t>are mutually transferable</w:t>
      </w:r>
      <w:r w:rsidR="00D67911" w:rsidRPr="00D66514">
        <w:t>.</w:t>
      </w:r>
      <w:r w:rsidR="00AB2BDD" w:rsidRPr="00D66514">
        <w:t xml:space="preserve"> The transfer indices are greater than their counterparts in the average conditions case.</w:t>
      </w:r>
      <w:r w:rsidR="00D67911" w:rsidRPr="00D66514">
        <w:t xml:space="preserve"> </w:t>
      </w:r>
      <w:r w:rsidR="00224AE6" w:rsidRPr="00D66514">
        <w:t xml:space="preserve">That is because </w:t>
      </w:r>
      <w:r w:rsidR="00CD4A9A" w:rsidRPr="00D66514">
        <w:t>the segments in both states satisfy the modified base conditions</w:t>
      </w:r>
      <w:r w:rsidR="00D67911" w:rsidRPr="00D66514">
        <w:t>.</w:t>
      </w:r>
      <w:r w:rsidR="00725411" w:rsidRPr="00D66514">
        <w:t xml:space="preserve"> </w:t>
      </w:r>
      <w:r w:rsidR="00914FB3" w:rsidRPr="00D66514">
        <w:t>However, according to the results of the log-likelihood ratio test, the index resulting from California’s KAB SPF applied to Florida, 0.587, has a chi-squared value of 2.345, 1 degree of freedom and a p-value of 0.125. Therefore, California’s KAB SPF is not superior to the constants only KAB SPF of Florida with 95% confidence.</w:t>
      </w:r>
      <w:r w:rsidR="00D67911" w:rsidRPr="00D66514">
        <w:t xml:space="preserve"> </w:t>
      </w:r>
      <w:r w:rsidR="00CD4A9A" w:rsidRPr="00D66514">
        <w:t>Also</w:t>
      </w:r>
      <w:r w:rsidR="00D67911" w:rsidRPr="00D66514">
        <w:t>, Florida</w:t>
      </w:r>
      <w:r w:rsidR="00CD4A9A" w:rsidRPr="00D66514">
        <w:t xml:space="preserve"> and Ohio’s SPFs are not mutually transferable as is the case of the average conditions.</w:t>
      </w:r>
      <w:r w:rsidR="00D67911" w:rsidRPr="00D66514">
        <w:t xml:space="preserve"> </w:t>
      </w:r>
      <w:r w:rsidR="00CD4A9A" w:rsidRPr="00D66514">
        <w:t>In addition</w:t>
      </w:r>
      <w:r w:rsidR="00D67911" w:rsidRPr="00D66514">
        <w:t xml:space="preserve">, it </w:t>
      </w:r>
      <w:r w:rsidR="00CD4A9A" w:rsidRPr="00D66514">
        <w:t>should be noted</w:t>
      </w:r>
      <w:r w:rsidR="00D67911" w:rsidRPr="00D66514">
        <w:t xml:space="preserve"> that for</w:t>
      </w:r>
      <w:r w:rsidR="00CD4A9A" w:rsidRPr="00D66514">
        <w:t xml:space="preserve"> single-vehicle</w:t>
      </w:r>
      <w:r w:rsidR="00D67911" w:rsidRPr="00D66514">
        <w:t xml:space="preserve"> crashes, the </w:t>
      </w:r>
      <w:r w:rsidR="00CD4A9A" w:rsidRPr="00D66514">
        <w:t>intercept</w:t>
      </w:r>
      <w:r w:rsidR="00D67911" w:rsidRPr="00D66514">
        <w:t xml:space="preserve"> SPF of Florida </w:t>
      </w:r>
      <w:r w:rsidR="00CD4A9A" w:rsidRPr="00D66514">
        <w:t>did not converge</w:t>
      </w:r>
      <w:r w:rsidR="00D67911" w:rsidRPr="00D66514">
        <w:t xml:space="preserve"> </w:t>
      </w:r>
      <w:r w:rsidR="00CD4A9A" w:rsidRPr="00D66514">
        <w:t>thereby deterring transfer indices of the single vehicle crashes’ SPFs of the other states to be calculated</w:t>
      </w:r>
      <w:r w:rsidR="00D67911" w:rsidRPr="00D66514">
        <w:t xml:space="preserve">. </w:t>
      </w:r>
      <w:r w:rsidR="00AB2BDD" w:rsidRPr="00D66514">
        <w:t>Furthermore,</w:t>
      </w:r>
      <w:r w:rsidR="00D67911" w:rsidRPr="00D66514">
        <w:t xml:space="preserve"> the Ohio and California joint SPFs</w:t>
      </w:r>
      <w:r w:rsidR="00AB2BDD" w:rsidRPr="00D66514">
        <w:t xml:space="preserve"> may not apply</w:t>
      </w:r>
      <w:r w:rsidR="00D67911" w:rsidRPr="00D66514">
        <w:t xml:space="preserve"> to </w:t>
      </w:r>
      <w:r w:rsidR="00AB2BDD" w:rsidRPr="00D66514">
        <w:t xml:space="preserve">the state of </w:t>
      </w:r>
      <w:r w:rsidR="00D67911" w:rsidRPr="00D66514">
        <w:t>Florida</w:t>
      </w:r>
      <w:r w:rsidR="00AB2BDD" w:rsidRPr="00D66514">
        <w:t>.</w:t>
      </w:r>
      <w:r w:rsidR="00D67911" w:rsidRPr="00D66514">
        <w:t xml:space="preserve"> </w:t>
      </w:r>
      <w:r w:rsidR="00AB2BDD" w:rsidRPr="00D66514">
        <w:t>These results</w:t>
      </w:r>
      <w:r w:rsidR="00D67911" w:rsidRPr="00D66514">
        <w:t xml:space="preserve"> </w:t>
      </w:r>
      <w:r w:rsidR="00AB2BDD" w:rsidRPr="00D66514">
        <w:t>contradict those of the average conditions</w:t>
      </w:r>
      <w:r w:rsidR="00D67911" w:rsidRPr="00D66514">
        <w:t xml:space="preserve"> </w:t>
      </w:r>
      <w:r w:rsidR="00D420B6" w:rsidRPr="00D66514">
        <w:t>perhaps</w:t>
      </w:r>
      <w:r w:rsidR="00D67911" w:rsidRPr="00D66514">
        <w:t xml:space="preserve"> </w:t>
      </w:r>
      <w:r w:rsidR="00AB2BDD" w:rsidRPr="00D66514">
        <w:t>d</w:t>
      </w:r>
      <w:r w:rsidR="00D420B6" w:rsidRPr="00D66514">
        <w:t>ue to the</w:t>
      </w:r>
      <w:r w:rsidR="00AB2BDD" w:rsidRPr="00D66514">
        <w:t xml:space="preserve"> smaller sample </w:t>
      </w:r>
      <w:r w:rsidR="00D420B6" w:rsidRPr="00D66514">
        <w:t>of Florida’s modified base conditions segments</w:t>
      </w:r>
      <w:r w:rsidR="00D67911" w:rsidRPr="00D66514">
        <w:t>.</w:t>
      </w:r>
      <w:r w:rsidR="001E09DB" w:rsidRPr="00D66514">
        <w:br w:type="page"/>
      </w:r>
    </w:p>
    <w:p w14:paraId="1AC527B1" w14:textId="685375E0" w:rsidR="00D67911" w:rsidRPr="00D66514" w:rsidRDefault="00D67911" w:rsidP="00464934">
      <w:pPr>
        <w:pStyle w:val="Caption"/>
      </w:pPr>
      <w:bookmarkStart w:id="10" w:name="_Ref434100572"/>
      <w:r w:rsidRPr="00D66514">
        <w:lastRenderedPageBreak/>
        <w:t xml:space="preserve">Table </w:t>
      </w:r>
      <w:r w:rsidR="00A226E1">
        <w:fldChar w:fldCharType="begin"/>
      </w:r>
      <w:r w:rsidR="00A226E1">
        <w:instrText xml:space="preserve"> SEQ Table \* ARABIC </w:instrText>
      </w:r>
      <w:r w:rsidR="00A226E1">
        <w:fldChar w:fldCharType="separate"/>
      </w:r>
      <w:r w:rsidR="004F0410">
        <w:rPr>
          <w:noProof/>
        </w:rPr>
        <w:t>8</w:t>
      </w:r>
      <w:r w:rsidR="00A226E1">
        <w:rPr>
          <w:noProof/>
        </w:rPr>
        <w:fldChar w:fldCharType="end"/>
      </w:r>
      <w:bookmarkEnd w:id="10"/>
      <w:r w:rsidRPr="00D66514">
        <w:t>: Modified Base Conditions Transfer Indices</w:t>
      </w:r>
    </w:p>
    <w:tbl>
      <w:tblPr>
        <w:tblStyle w:val="TableGrid"/>
        <w:tblW w:w="9445" w:type="dxa"/>
        <w:jc w:val="center"/>
        <w:tblLook w:val="04A0" w:firstRow="1" w:lastRow="0" w:firstColumn="1" w:lastColumn="0" w:noHBand="0" w:noVBand="1"/>
      </w:tblPr>
      <w:tblGrid>
        <w:gridCol w:w="2472"/>
        <w:gridCol w:w="2361"/>
        <w:gridCol w:w="1205"/>
        <w:gridCol w:w="1173"/>
        <w:gridCol w:w="2234"/>
      </w:tblGrid>
      <w:tr w:rsidR="00D913F8" w:rsidRPr="00D66514" w14:paraId="1976DA96" w14:textId="77777777" w:rsidTr="00D913F8">
        <w:trPr>
          <w:tblHeader/>
          <w:jc w:val="center"/>
        </w:trPr>
        <w:tc>
          <w:tcPr>
            <w:tcW w:w="0" w:type="auto"/>
            <w:vMerge w:val="restart"/>
            <w:vAlign w:val="center"/>
          </w:tcPr>
          <w:p w14:paraId="41463358" w14:textId="77777777" w:rsidR="0004240D" w:rsidRPr="00D66514" w:rsidRDefault="0004240D" w:rsidP="0004240D">
            <w:pPr>
              <w:pStyle w:val="NoSpacing"/>
              <w:jc w:val="center"/>
              <w:rPr>
                <w:b/>
                <w:bCs/>
              </w:rPr>
            </w:pPr>
            <w:r w:rsidRPr="00D66514">
              <w:rPr>
                <w:b/>
                <w:bCs/>
              </w:rPr>
              <w:t>Crash Type or Severity</w:t>
            </w:r>
          </w:p>
        </w:tc>
        <w:tc>
          <w:tcPr>
            <w:tcW w:w="0" w:type="auto"/>
            <w:vMerge w:val="restart"/>
            <w:vAlign w:val="center"/>
          </w:tcPr>
          <w:p w14:paraId="3D2C85B8" w14:textId="77777777" w:rsidR="0004240D" w:rsidRPr="00D66514" w:rsidRDefault="0004240D" w:rsidP="0004240D">
            <w:pPr>
              <w:pStyle w:val="NoSpacing"/>
              <w:jc w:val="center"/>
              <w:rPr>
                <w:b/>
                <w:bCs/>
              </w:rPr>
            </w:pPr>
            <w:r w:rsidRPr="00D66514">
              <w:rPr>
                <w:b/>
                <w:bCs/>
              </w:rPr>
              <w:t>SPF</w:t>
            </w:r>
          </w:p>
        </w:tc>
        <w:tc>
          <w:tcPr>
            <w:tcW w:w="4315" w:type="dxa"/>
            <w:gridSpan w:val="3"/>
            <w:vAlign w:val="center"/>
          </w:tcPr>
          <w:p w14:paraId="7012BA02" w14:textId="77777777" w:rsidR="0004240D" w:rsidRPr="00D66514" w:rsidRDefault="0004240D" w:rsidP="0004240D">
            <w:pPr>
              <w:pStyle w:val="NoSpacing"/>
              <w:jc w:val="center"/>
              <w:rPr>
                <w:b/>
                <w:bCs/>
              </w:rPr>
            </w:pPr>
            <w:r w:rsidRPr="00D66514">
              <w:rPr>
                <w:b/>
                <w:bCs/>
              </w:rPr>
              <w:t>Application Data</w:t>
            </w:r>
          </w:p>
        </w:tc>
      </w:tr>
      <w:tr w:rsidR="00D913F8" w:rsidRPr="00D66514" w14:paraId="1CE8E770" w14:textId="77777777" w:rsidTr="00B25A84">
        <w:trPr>
          <w:tblHeader/>
          <w:jc w:val="center"/>
        </w:trPr>
        <w:tc>
          <w:tcPr>
            <w:tcW w:w="0" w:type="auto"/>
            <w:vMerge/>
            <w:vAlign w:val="center"/>
          </w:tcPr>
          <w:p w14:paraId="7FAC69B4" w14:textId="77777777" w:rsidR="0004240D" w:rsidRPr="00D66514" w:rsidRDefault="0004240D" w:rsidP="0004240D">
            <w:pPr>
              <w:pStyle w:val="NoSpacing"/>
              <w:jc w:val="center"/>
              <w:rPr>
                <w:b/>
                <w:bCs/>
              </w:rPr>
            </w:pPr>
          </w:p>
        </w:tc>
        <w:tc>
          <w:tcPr>
            <w:tcW w:w="0" w:type="auto"/>
            <w:vMerge/>
            <w:vAlign w:val="center"/>
          </w:tcPr>
          <w:p w14:paraId="14602DF5" w14:textId="77777777" w:rsidR="0004240D" w:rsidRPr="00D66514" w:rsidRDefault="0004240D" w:rsidP="0004240D">
            <w:pPr>
              <w:pStyle w:val="NoSpacing"/>
              <w:jc w:val="center"/>
              <w:rPr>
                <w:b/>
                <w:bCs/>
              </w:rPr>
            </w:pPr>
          </w:p>
        </w:tc>
        <w:tc>
          <w:tcPr>
            <w:tcW w:w="0" w:type="auto"/>
            <w:vAlign w:val="center"/>
          </w:tcPr>
          <w:p w14:paraId="48CFC461" w14:textId="77777777" w:rsidR="0004240D" w:rsidRPr="00D66514" w:rsidRDefault="0004240D" w:rsidP="0004240D">
            <w:pPr>
              <w:pStyle w:val="NoSpacing"/>
              <w:jc w:val="center"/>
              <w:rPr>
                <w:b/>
                <w:bCs/>
              </w:rPr>
            </w:pPr>
            <w:r w:rsidRPr="00D66514">
              <w:rPr>
                <w:b/>
                <w:bCs/>
              </w:rPr>
              <w:t>Florida</w:t>
            </w:r>
          </w:p>
        </w:tc>
        <w:tc>
          <w:tcPr>
            <w:tcW w:w="0" w:type="auto"/>
            <w:vAlign w:val="center"/>
          </w:tcPr>
          <w:p w14:paraId="65AD95CD" w14:textId="77777777" w:rsidR="0004240D" w:rsidRPr="00D66514" w:rsidRDefault="0004240D" w:rsidP="0004240D">
            <w:pPr>
              <w:pStyle w:val="NoSpacing"/>
              <w:jc w:val="center"/>
              <w:rPr>
                <w:b/>
                <w:bCs/>
              </w:rPr>
            </w:pPr>
            <w:r w:rsidRPr="00D66514">
              <w:rPr>
                <w:b/>
                <w:bCs/>
              </w:rPr>
              <w:t>Ohio</w:t>
            </w:r>
          </w:p>
        </w:tc>
        <w:tc>
          <w:tcPr>
            <w:tcW w:w="1775" w:type="dxa"/>
            <w:vAlign w:val="center"/>
          </w:tcPr>
          <w:p w14:paraId="4F58CE23" w14:textId="77777777" w:rsidR="0004240D" w:rsidRPr="00D66514" w:rsidRDefault="0004240D" w:rsidP="0004240D">
            <w:pPr>
              <w:pStyle w:val="NoSpacing"/>
              <w:jc w:val="center"/>
              <w:rPr>
                <w:b/>
                <w:bCs/>
              </w:rPr>
            </w:pPr>
            <w:r w:rsidRPr="00D66514">
              <w:rPr>
                <w:b/>
                <w:bCs/>
              </w:rPr>
              <w:t>California</w:t>
            </w:r>
          </w:p>
        </w:tc>
      </w:tr>
      <w:tr w:rsidR="00D913F8" w:rsidRPr="00D66514" w14:paraId="2B786571" w14:textId="77777777" w:rsidTr="00B25A84">
        <w:trPr>
          <w:jc w:val="center"/>
        </w:trPr>
        <w:tc>
          <w:tcPr>
            <w:tcW w:w="0" w:type="auto"/>
            <w:vMerge w:val="restart"/>
            <w:vAlign w:val="center"/>
          </w:tcPr>
          <w:p w14:paraId="2E037B8C" w14:textId="77777777" w:rsidR="0004240D" w:rsidRPr="00D66514" w:rsidRDefault="0004240D" w:rsidP="0004240D">
            <w:pPr>
              <w:pStyle w:val="NoSpacing"/>
              <w:jc w:val="center"/>
              <w:rPr>
                <w:b/>
                <w:bCs/>
              </w:rPr>
            </w:pPr>
            <w:r w:rsidRPr="00D66514">
              <w:rPr>
                <w:b/>
                <w:bCs/>
              </w:rPr>
              <w:t>KABCO</w:t>
            </w:r>
          </w:p>
        </w:tc>
        <w:tc>
          <w:tcPr>
            <w:tcW w:w="0" w:type="auto"/>
            <w:vAlign w:val="center"/>
          </w:tcPr>
          <w:p w14:paraId="56A764C1" w14:textId="77777777" w:rsidR="0004240D" w:rsidRPr="00D66514" w:rsidRDefault="0004240D" w:rsidP="00464934">
            <w:pPr>
              <w:pStyle w:val="NoSpacing"/>
              <w:rPr>
                <w:b/>
                <w:bCs/>
              </w:rPr>
            </w:pPr>
            <w:r w:rsidRPr="00D66514">
              <w:rPr>
                <w:b/>
                <w:bCs/>
              </w:rPr>
              <w:t>Florida</w:t>
            </w:r>
          </w:p>
        </w:tc>
        <w:tc>
          <w:tcPr>
            <w:tcW w:w="0" w:type="auto"/>
            <w:vAlign w:val="center"/>
          </w:tcPr>
          <w:p w14:paraId="6ED1111C" w14:textId="77777777" w:rsidR="0004240D" w:rsidRPr="00D66514" w:rsidRDefault="0004240D" w:rsidP="0004240D">
            <w:pPr>
              <w:pStyle w:val="NoSpacing"/>
              <w:jc w:val="center"/>
            </w:pPr>
            <w:r w:rsidRPr="00D66514">
              <w:t>1</w:t>
            </w:r>
          </w:p>
        </w:tc>
        <w:tc>
          <w:tcPr>
            <w:tcW w:w="0" w:type="auto"/>
            <w:vAlign w:val="center"/>
          </w:tcPr>
          <w:p w14:paraId="658A4692" w14:textId="77777777" w:rsidR="0004240D" w:rsidRPr="00D66514" w:rsidRDefault="0004240D" w:rsidP="0004240D">
            <w:pPr>
              <w:pStyle w:val="NoSpacing"/>
              <w:jc w:val="center"/>
            </w:pPr>
            <w:r w:rsidRPr="00D66514">
              <w:t>-1.478</w:t>
            </w:r>
          </w:p>
        </w:tc>
        <w:tc>
          <w:tcPr>
            <w:tcW w:w="1775" w:type="dxa"/>
            <w:vAlign w:val="center"/>
          </w:tcPr>
          <w:p w14:paraId="04C2425C" w14:textId="77777777" w:rsidR="0004240D" w:rsidRPr="00D66514" w:rsidRDefault="0004240D" w:rsidP="0004240D">
            <w:pPr>
              <w:pStyle w:val="NoSpacing"/>
              <w:jc w:val="center"/>
            </w:pPr>
            <w:r w:rsidRPr="00D66514">
              <w:t>-0.076</w:t>
            </w:r>
          </w:p>
        </w:tc>
      </w:tr>
      <w:tr w:rsidR="00D913F8" w:rsidRPr="00D66514" w14:paraId="52CCA0CB" w14:textId="77777777" w:rsidTr="00B25A84">
        <w:trPr>
          <w:jc w:val="center"/>
        </w:trPr>
        <w:tc>
          <w:tcPr>
            <w:tcW w:w="0" w:type="auto"/>
            <w:vMerge/>
            <w:vAlign w:val="center"/>
          </w:tcPr>
          <w:p w14:paraId="44D8655C" w14:textId="77777777" w:rsidR="0004240D" w:rsidRPr="00D66514" w:rsidRDefault="0004240D" w:rsidP="0004240D">
            <w:pPr>
              <w:pStyle w:val="NoSpacing"/>
              <w:jc w:val="center"/>
              <w:rPr>
                <w:b/>
                <w:bCs/>
              </w:rPr>
            </w:pPr>
          </w:p>
        </w:tc>
        <w:tc>
          <w:tcPr>
            <w:tcW w:w="0" w:type="auto"/>
            <w:vAlign w:val="center"/>
          </w:tcPr>
          <w:p w14:paraId="3CB554F0" w14:textId="77777777" w:rsidR="0004240D" w:rsidRPr="00D66514" w:rsidRDefault="0004240D" w:rsidP="00464934">
            <w:pPr>
              <w:pStyle w:val="NoSpacing"/>
              <w:rPr>
                <w:b/>
                <w:bCs/>
              </w:rPr>
            </w:pPr>
            <w:r w:rsidRPr="00D66514">
              <w:rPr>
                <w:b/>
                <w:bCs/>
              </w:rPr>
              <w:t>Ohio</w:t>
            </w:r>
          </w:p>
        </w:tc>
        <w:tc>
          <w:tcPr>
            <w:tcW w:w="0" w:type="auto"/>
            <w:vAlign w:val="center"/>
          </w:tcPr>
          <w:p w14:paraId="13883EDA" w14:textId="77777777" w:rsidR="0004240D" w:rsidRPr="00D66514" w:rsidRDefault="0004240D" w:rsidP="0004240D">
            <w:pPr>
              <w:pStyle w:val="NoSpacing"/>
              <w:jc w:val="center"/>
            </w:pPr>
            <w:r w:rsidRPr="00D66514">
              <w:t>-0.948</w:t>
            </w:r>
          </w:p>
        </w:tc>
        <w:tc>
          <w:tcPr>
            <w:tcW w:w="0" w:type="auto"/>
            <w:vAlign w:val="center"/>
          </w:tcPr>
          <w:p w14:paraId="6CDFE57E" w14:textId="77777777" w:rsidR="0004240D" w:rsidRPr="00D66514" w:rsidRDefault="0004240D" w:rsidP="0004240D">
            <w:pPr>
              <w:pStyle w:val="NoSpacing"/>
              <w:jc w:val="center"/>
            </w:pPr>
            <w:r w:rsidRPr="00D66514">
              <w:t>1</w:t>
            </w:r>
          </w:p>
        </w:tc>
        <w:tc>
          <w:tcPr>
            <w:tcW w:w="1775" w:type="dxa"/>
            <w:vAlign w:val="center"/>
          </w:tcPr>
          <w:p w14:paraId="64740ABB" w14:textId="77777777" w:rsidR="0004240D" w:rsidRPr="00D66514" w:rsidRDefault="0004240D" w:rsidP="0004240D">
            <w:pPr>
              <w:pStyle w:val="NoSpacing"/>
              <w:jc w:val="center"/>
            </w:pPr>
            <w:r w:rsidRPr="00D66514">
              <w:t>0.838</w:t>
            </w:r>
          </w:p>
        </w:tc>
      </w:tr>
      <w:tr w:rsidR="00D913F8" w:rsidRPr="00D66514" w14:paraId="2AA95487" w14:textId="77777777" w:rsidTr="00B25A84">
        <w:trPr>
          <w:jc w:val="center"/>
        </w:trPr>
        <w:tc>
          <w:tcPr>
            <w:tcW w:w="0" w:type="auto"/>
            <w:vMerge/>
            <w:vAlign w:val="center"/>
          </w:tcPr>
          <w:p w14:paraId="0F416510" w14:textId="77777777" w:rsidR="0004240D" w:rsidRPr="00D66514" w:rsidRDefault="0004240D" w:rsidP="0004240D">
            <w:pPr>
              <w:pStyle w:val="NoSpacing"/>
              <w:jc w:val="center"/>
              <w:rPr>
                <w:b/>
                <w:bCs/>
              </w:rPr>
            </w:pPr>
          </w:p>
        </w:tc>
        <w:tc>
          <w:tcPr>
            <w:tcW w:w="0" w:type="auto"/>
            <w:vAlign w:val="center"/>
          </w:tcPr>
          <w:p w14:paraId="5ACEDE11" w14:textId="77777777" w:rsidR="0004240D" w:rsidRPr="00D66514" w:rsidRDefault="0004240D" w:rsidP="00464934">
            <w:pPr>
              <w:pStyle w:val="NoSpacing"/>
              <w:rPr>
                <w:b/>
                <w:bCs/>
              </w:rPr>
            </w:pPr>
            <w:r w:rsidRPr="00D66514">
              <w:rPr>
                <w:b/>
                <w:bCs/>
              </w:rPr>
              <w:t>California</w:t>
            </w:r>
          </w:p>
        </w:tc>
        <w:tc>
          <w:tcPr>
            <w:tcW w:w="0" w:type="auto"/>
            <w:vAlign w:val="center"/>
          </w:tcPr>
          <w:p w14:paraId="4D2A286A" w14:textId="77777777" w:rsidR="0004240D" w:rsidRPr="00D66514" w:rsidRDefault="0004240D" w:rsidP="0004240D">
            <w:pPr>
              <w:pStyle w:val="NoSpacing"/>
              <w:jc w:val="center"/>
            </w:pPr>
            <w:r w:rsidRPr="00D66514">
              <w:t>-1.229</w:t>
            </w:r>
          </w:p>
        </w:tc>
        <w:tc>
          <w:tcPr>
            <w:tcW w:w="0" w:type="auto"/>
            <w:vAlign w:val="center"/>
          </w:tcPr>
          <w:p w14:paraId="655D361C" w14:textId="77777777" w:rsidR="0004240D" w:rsidRPr="00D66514" w:rsidRDefault="0004240D" w:rsidP="0004240D">
            <w:pPr>
              <w:pStyle w:val="NoSpacing"/>
              <w:jc w:val="center"/>
            </w:pPr>
            <w:r w:rsidRPr="00D66514">
              <w:t>0.505</w:t>
            </w:r>
          </w:p>
        </w:tc>
        <w:tc>
          <w:tcPr>
            <w:tcW w:w="1775" w:type="dxa"/>
            <w:vAlign w:val="center"/>
          </w:tcPr>
          <w:p w14:paraId="43F1B493" w14:textId="77777777" w:rsidR="0004240D" w:rsidRPr="00D66514" w:rsidRDefault="0004240D" w:rsidP="0004240D">
            <w:pPr>
              <w:pStyle w:val="NoSpacing"/>
              <w:jc w:val="center"/>
            </w:pPr>
            <w:r w:rsidRPr="00D66514">
              <w:t>1</w:t>
            </w:r>
          </w:p>
        </w:tc>
      </w:tr>
      <w:tr w:rsidR="00D913F8" w:rsidRPr="00D66514" w14:paraId="545C4AF5" w14:textId="77777777" w:rsidTr="00B25A84">
        <w:trPr>
          <w:jc w:val="center"/>
        </w:trPr>
        <w:tc>
          <w:tcPr>
            <w:tcW w:w="0" w:type="auto"/>
            <w:vMerge/>
            <w:vAlign w:val="center"/>
          </w:tcPr>
          <w:p w14:paraId="3D1C92D0" w14:textId="77777777" w:rsidR="0004240D" w:rsidRPr="00D66514" w:rsidRDefault="0004240D" w:rsidP="0004240D">
            <w:pPr>
              <w:pStyle w:val="NoSpacing"/>
              <w:jc w:val="center"/>
              <w:rPr>
                <w:b/>
                <w:bCs/>
              </w:rPr>
            </w:pPr>
          </w:p>
        </w:tc>
        <w:tc>
          <w:tcPr>
            <w:tcW w:w="0" w:type="auto"/>
            <w:vAlign w:val="center"/>
          </w:tcPr>
          <w:p w14:paraId="0C391241" w14:textId="77777777" w:rsidR="0004240D" w:rsidRPr="00D66514" w:rsidRDefault="0004240D" w:rsidP="00464934">
            <w:pPr>
              <w:pStyle w:val="NoSpacing"/>
              <w:rPr>
                <w:b/>
                <w:bCs/>
              </w:rPr>
            </w:pPr>
            <w:r w:rsidRPr="00D66514">
              <w:rPr>
                <w:b/>
                <w:bCs/>
              </w:rPr>
              <w:t>Ohio and California</w:t>
            </w:r>
          </w:p>
        </w:tc>
        <w:tc>
          <w:tcPr>
            <w:tcW w:w="0" w:type="auto"/>
            <w:vAlign w:val="center"/>
          </w:tcPr>
          <w:p w14:paraId="047DEF2E" w14:textId="77777777" w:rsidR="0004240D" w:rsidRPr="00D66514" w:rsidRDefault="0004240D" w:rsidP="0004240D">
            <w:pPr>
              <w:pStyle w:val="NoSpacing"/>
              <w:jc w:val="center"/>
            </w:pPr>
            <w:r w:rsidRPr="00D66514">
              <w:t>-0.485</w:t>
            </w:r>
          </w:p>
        </w:tc>
        <w:tc>
          <w:tcPr>
            <w:tcW w:w="0" w:type="auto"/>
            <w:vAlign w:val="center"/>
          </w:tcPr>
          <w:p w14:paraId="6E4D6796" w14:textId="77777777" w:rsidR="0004240D" w:rsidRPr="00D66514" w:rsidRDefault="0004240D" w:rsidP="0004240D">
            <w:pPr>
              <w:pStyle w:val="NoSpacing"/>
              <w:jc w:val="center"/>
            </w:pPr>
            <w:r w:rsidRPr="00D66514">
              <w:t>0.990</w:t>
            </w:r>
          </w:p>
        </w:tc>
        <w:tc>
          <w:tcPr>
            <w:tcW w:w="1775" w:type="dxa"/>
            <w:vAlign w:val="center"/>
          </w:tcPr>
          <w:p w14:paraId="2A8BE852" w14:textId="77777777" w:rsidR="0004240D" w:rsidRPr="00D66514" w:rsidRDefault="0004240D" w:rsidP="0004240D">
            <w:pPr>
              <w:pStyle w:val="NoSpacing"/>
              <w:jc w:val="center"/>
            </w:pPr>
            <w:r w:rsidRPr="00D66514">
              <w:t>0.999</w:t>
            </w:r>
          </w:p>
        </w:tc>
      </w:tr>
      <w:tr w:rsidR="00D913F8" w:rsidRPr="00D66514" w14:paraId="092CD1B9" w14:textId="77777777" w:rsidTr="00B25A84">
        <w:trPr>
          <w:jc w:val="center"/>
        </w:trPr>
        <w:tc>
          <w:tcPr>
            <w:tcW w:w="0" w:type="auto"/>
            <w:vMerge w:val="restart"/>
            <w:vAlign w:val="center"/>
          </w:tcPr>
          <w:p w14:paraId="73B4898B" w14:textId="77777777" w:rsidR="0004240D" w:rsidRPr="00D66514" w:rsidRDefault="0004240D" w:rsidP="0004240D">
            <w:pPr>
              <w:pStyle w:val="NoSpacing"/>
              <w:jc w:val="center"/>
              <w:rPr>
                <w:b/>
                <w:bCs/>
              </w:rPr>
            </w:pPr>
            <w:r w:rsidRPr="00D66514">
              <w:rPr>
                <w:b/>
                <w:bCs/>
              </w:rPr>
              <w:t>KABC</w:t>
            </w:r>
          </w:p>
        </w:tc>
        <w:tc>
          <w:tcPr>
            <w:tcW w:w="0" w:type="auto"/>
            <w:vAlign w:val="center"/>
          </w:tcPr>
          <w:p w14:paraId="700D92F4" w14:textId="77777777" w:rsidR="0004240D" w:rsidRPr="00D66514" w:rsidRDefault="0004240D" w:rsidP="00464934">
            <w:pPr>
              <w:pStyle w:val="NoSpacing"/>
              <w:rPr>
                <w:b/>
                <w:bCs/>
              </w:rPr>
            </w:pPr>
            <w:r w:rsidRPr="00D66514">
              <w:rPr>
                <w:b/>
                <w:bCs/>
              </w:rPr>
              <w:t>Florida</w:t>
            </w:r>
          </w:p>
        </w:tc>
        <w:tc>
          <w:tcPr>
            <w:tcW w:w="0" w:type="auto"/>
            <w:vAlign w:val="center"/>
          </w:tcPr>
          <w:p w14:paraId="53CB856A" w14:textId="77777777" w:rsidR="0004240D" w:rsidRPr="00D66514" w:rsidRDefault="0004240D" w:rsidP="0004240D">
            <w:pPr>
              <w:pStyle w:val="NoSpacing"/>
              <w:jc w:val="center"/>
            </w:pPr>
            <w:r w:rsidRPr="00D66514">
              <w:t>1</w:t>
            </w:r>
          </w:p>
        </w:tc>
        <w:tc>
          <w:tcPr>
            <w:tcW w:w="0" w:type="auto"/>
            <w:vAlign w:val="center"/>
          </w:tcPr>
          <w:p w14:paraId="41CA0734" w14:textId="77777777" w:rsidR="0004240D" w:rsidRPr="00D66514" w:rsidRDefault="0004240D" w:rsidP="0004240D">
            <w:pPr>
              <w:pStyle w:val="NoSpacing"/>
              <w:jc w:val="center"/>
            </w:pPr>
            <w:r w:rsidRPr="00D66514">
              <w:t>-5.705</w:t>
            </w:r>
          </w:p>
        </w:tc>
        <w:tc>
          <w:tcPr>
            <w:tcW w:w="1775" w:type="dxa"/>
            <w:vAlign w:val="center"/>
          </w:tcPr>
          <w:p w14:paraId="7E832B9B" w14:textId="77777777" w:rsidR="0004240D" w:rsidRPr="00D66514" w:rsidRDefault="0004240D" w:rsidP="0004240D">
            <w:pPr>
              <w:pStyle w:val="NoSpacing"/>
              <w:jc w:val="center"/>
            </w:pPr>
            <w:r w:rsidRPr="00D66514">
              <w:t>0.726</w:t>
            </w:r>
          </w:p>
        </w:tc>
      </w:tr>
      <w:tr w:rsidR="00D913F8" w:rsidRPr="00D66514" w14:paraId="2EF5E8E2" w14:textId="77777777" w:rsidTr="00B25A84">
        <w:trPr>
          <w:jc w:val="center"/>
        </w:trPr>
        <w:tc>
          <w:tcPr>
            <w:tcW w:w="0" w:type="auto"/>
            <w:vMerge/>
            <w:vAlign w:val="center"/>
          </w:tcPr>
          <w:p w14:paraId="177655CA" w14:textId="77777777" w:rsidR="0004240D" w:rsidRPr="00D66514" w:rsidRDefault="0004240D" w:rsidP="0004240D">
            <w:pPr>
              <w:pStyle w:val="NoSpacing"/>
              <w:jc w:val="center"/>
              <w:rPr>
                <w:b/>
                <w:bCs/>
              </w:rPr>
            </w:pPr>
          </w:p>
        </w:tc>
        <w:tc>
          <w:tcPr>
            <w:tcW w:w="0" w:type="auto"/>
            <w:vAlign w:val="center"/>
          </w:tcPr>
          <w:p w14:paraId="31C5E6F9" w14:textId="77777777" w:rsidR="0004240D" w:rsidRPr="00D66514" w:rsidRDefault="0004240D" w:rsidP="00464934">
            <w:pPr>
              <w:pStyle w:val="NoSpacing"/>
              <w:rPr>
                <w:b/>
                <w:bCs/>
              </w:rPr>
            </w:pPr>
            <w:r w:rsidRPr="00D66514">
              <w:rPr>
                <w:b/>
                <w:bCs/>
              </w:rPr>
              <w:t>Ohio</w:t>
            </w:r>
          </w:p>
        </w:tc>
        <w:tc>
          <w:tcPr>
            <w:tcW w:w="0" w:type="auto"/>
            <w:vAlign w:val="center"/>
          </w:tcPr>
          <w:p w14:paraId="103AA7F7" w14:textId="77777777" w:rsidR="0004240D" w:rsidRPr="00D66514" w:rsidRDefault="0004240D" w:rsidP="0004240D">
            <w:pPr>
              <w:pStyle w:val="NoSpacing"/>
              <w:jc w:val="center"/>
            </w:pPr>
            <w:r w:rsidRPr="00D66514">
              <w:t>-1.009</w:t>
            </w:r>
          </w:p>
        </w:tc>
        <w:tc>
          <w:tcPr>
            <w:tcW w:w="0" w:type="auto"/>
            <w:vAlign w:val="center"/>
          </w:tcPr>
          <w:p w14:paraId="354A697A" w14:textId="77777777" w:rsidR="0004240D" w:rsidRPr="00D66514" w:rsidRDefault="0004240D" w:rsidP="0004240D">
            <w:pPr>
              <w:pStyle w:val="NoSpacing"/>
              <w:jc w:val="center"/>
            </w:pPr>
            <w:r w:rsidRPr="00D66514">
              <w:t>1</w:t>
            </w:r>
          </w:p>
        </w:tc>
        <w:tc>
          <w:tcPr>
            <w:tcW w:w="1775" w:type="dxa"/>
            <w:vAlign w:val="center"/>
          </w:tcPr>
          <w:p w14:paraId="02BD3063" w14:textId="77777777" w:rsidR="0004240D" w:rsidRPr="00D66514" w:rsidRDefault="0004240D" w:rsidP="0004240D">
            <w:pPr>
              <w:pStyle w:val="NoSpacing"/>
              <w:jc w:val="center"/>
            </w:pPr>
            <w:r w:rsidRPr="00D66514">
              <w:t>0.339</w:t>
            </w:r>
          </w:p>
        </w:tc>
      </w:tr>
      <w:tr w:rsidR="00D913F8" w:rsidRPr="00D66514" w14:paraId="4EC14C27" w14:textId="77777777" w:rsidTr="00B25A84">
        <w:trPr>
          <w:jc w:val="center"/>
        </w:trPr>
        <w:tc>
          <w:tcPr>
            <w:tcW w:w="0" w:type="auto"/>
            <w:vMerge/>
            <w:vAlign w:val="center"/>
          </w:tcPr>
          <w:p w14:paraId="2AF3F24F" w14:textId="77777777" w:rsidR="0004240D" w:rsidRPr="00D66514" w:rsidRDefault="0004240D" w:rsidP="0004240D">
            <w:pPr>
              <w:pStyle w:val="NoSpacing"/>
              <w:jc w:val="center"/>
              <w:rPr>
                <w:b/>
                <w:bCs/>
              </w:rPr>
            </w:pPr>
          </w:p>
        </w:tc>
        <w:tc>
          <w:tcPr>
            <w:tcW w:w="0" w:type="auto"/>
            <w:vAlign w:val="center"/>
          </w:tcPr>
          <w:p w14:paraId="6BA380C3" w14:textId="77777777" w:rsidR="0004240D" w:rsidRPr="00D66514" w:rsidRDefault="0004240D" w:rsidP="00464934">
            <w:pPr>
              <w:pStyle w:val="NoSpacing"/>
              <w:rPr>
                <w:b/>
                <w:bCs/>
              </w:rPr>
            </w:pPr>
            <w:r w:rsidRPr="00D66514">
              <w:rPr>
                <w:b/>
                <w:bCs/>
              </w:rPr>
              <w:t>California</w:t>
            </w:r>
          </w:p>
        </w:tc>
        <w:tc>
          <w:tcPr>
            <w:tcW w:w="0" w:type="auto"/>
            <w:vAlign w:val="center"/>
          </w:tcPr>
          <w:p w14:paraId="7A8F9E4A" w14:textId="77777777" w:rsidR="0004240D" w:rsidRPr="00D66514" w:rsidRDefault="0004240D" w:rsidP="0004240D">
            <w:pPr>
              <w:pStyle w:val="NoSpacing"/>
              <w:jc w:val="center"/>
            </w:pPr>
            <w:r w:rsidRPr="00D66514">
              <w:t>0.649</w:t>
            </w:r>
          </w:p>
        </w:tc>
        <w:tc>
          <w:tcPr>
            <w:tcW w:w="0" w:type="auto"/>
            <w:vAlign w:val="center"/>
          </w:tcPr>
          <w:p w14:paraId="72B87AFC" w14:textId="77777777" w:rsidR="0004240D" w:rsidRPr="00D66514" w:rsidRDefault="0004240D" w:rsidP="0004240D">
            <w:pPr>
              <w:pStyle w:val="NoSpacing"/>
              <w:jc w:val="center"/>
            </w:pPr>
            <w:r w:rsidRPr="00D66514">
              <w:t>-1.418</w:t>
            </w:r>
          </w:p>
        </w:tc>
        <w:tc>
          <w:tcPr>
            <w:tcW w:w="1775" w:type="dxa"/>
            <w:vAlign w:val="center"/>
          </w:tcPr>
          <w:p w14:paraId="2A530A5D" w14:textId="77777777" w:rsidR="0004240D" w:rsidRPr="00D66514" w:rsidRDefault="0004240D" w:rsidP="0004240D">
            <w:pPr>
              <w:pStyle w:val="NoSpacing"/>
              <w:jc w:val="center"/>
            </w:pPr>
            <w:r w:rsidRPr="00D66514">
              <w:t>1</w:t>
            </w:r>
          </w:p>
        </w:tc>
      </w:tr>
      <w:tr w:rsidR="00D913F8" w:rsidRPr="00D66514" w14:paraId="003D4A01" w14:textId="77777777" w:rsidTr="00B25A84">
        <w:trPr>
          <w:jc w:val="center"/>
        </w:trPr>
        <w:tc>
          <w:tcPr>
            <w:tcW w:w="0" w:type="auto"/>
            <w:vMerge/>
            <w:vAlign w:val="center"/>
          </w:tcPr>
          <w:p w14:paraId="6893611D" w14:textId="77777777" w:rsidR="0004240D" w:rsidRPr="00D66514" w:rsidRDefault="0004240D" w:rsidP="0004240D">
            <w:pPr>
              <w:pStyle w:val="NoSpacing"/>
              <w:jc w:val="center"/>
              <w:rPr>
                <w:b/>
                <w:bCs/>
              </w:rPr>
            </w:pPr>
          </w:p>
        </w:tc>
        <w:tc>
          <w:tcPr>
            <w:tcW w:w="0" w:type="auto"/>
            <w:vAlign w:val="center"/>
          </w:tcPr>
          <w:p w14:paraId="7901736B" w14:textId="77777777" w:rsidR="0004240D" w:rsidRPr="00D66514" w:rsidRDefault="0004240D" w:rsidP="00464934">
            <w:pPr>
              <w:pStyle w:val="NoSpacing"/>
              <w:rPr>
                <w:b/>
                <w:bCs/>
              </w:rPr>
            </w:pPr>
            <w:r w:rsidRPr="00D66514">
              <w:rPr>
                <w:b/>
                <w:bCs/>
              </w:rPr>
              <w:t>Ohio and California</w:t>
            </w:r>
          </w:p>
        </w:tc>
        <w:tc>
          <w:tcPr>
            <w:tcW w:w="0" w:type="auto"/>
            <w:vAlign w:val="center"/>
          </w:tcPr>
          <w:p w14:paraId="47B5C090" w14:textId="77777777" w:rsidR="0004240D" w:rsidRPr="00D66514" w:rsidRDefault="0004240D" w:rsidP="0004240D">
            <w:pPr>
              <w:pStyle w:val="NoSpacing"/>
              <w:jc w:val="center"/>
            </w:pPr>
            <w:r w:rsidRPr="00D66514">
              <w:t>-2.405</w:t>
            </w:r>
          </w:p>
        </w:tc>
        <w:tc>
          <w:tcPr>
            <w:tcW w:w="0" w:type="auto"/>
            <w:vAlign w:val="center"/>
          </w:tcPr>
          <w:p w14:paraId="22A93559" w14:textId="77777777" w:rsidR="0004240D" w:rsidRPr="00D66514" w:rsidRDefault="0004240D" w:rsidP="0004240D">
            <w:pPr>
              <w:pStyle w:val="NoSpacing"/>
              <w:jc w:val="center"/>
            </w:pPr>
            <w:r w:rsidRPr="00D66514">
              <w:t>0.968</w:t>
            </w:r>
          </w:p>
        </w:tc>
        <w:tc>
          <w:tcPr>
            <w:tcW w:w="1775" w:type="dxa"/>
            <w:vAlign w:val="center"/>
          </w:tcPr>
          <w:p w14:paraId="5070536D" w14:textId="77777777" w:rsidR="0004240D" w:rsidRPr="00D66514" w:rsidRDefault="0004240D" w:rsidP="0004240D">
            <w:pPr>
              <w:pStyle w:val="NoSpacing"/>
              <w:jc w:val="center"/>
            </w:pPr>
            <w:r w:rsidRPr="00D66514">
              <w:t>0.999</w:t>
            </w:r>
          </w:p>
        </w:tc>
      </w:tr>
      <w:tr w:rsidR="00D913F8" w:rsidRPr="00D66514" w14:paraId="368FDA42" w14:textId="77777777" w:rsidTr="00B25A84">
        <w:trPr>
          <w:jc w:val="center"/>
        </w:trPr>
        <w:tc>
          <w:tcPr>
            <w:tcW w:w="0" w:type="auto"/>
            <w:vMerge w:val="restart"/>
            <w:vAlign w:val="center"/>
          </w:tcPr>
          <w:p w14:paraId="4A4CADD4" w14:textId="77777777" w:rsidR="0004240D" w:rsidRPr="00D66514" w:rsidRDefault="0004240D" w:rsidP="0004240D">
            <w:pPr>
              <w:pStyle w:val="NoSpacing"/>
              <w:jc w:val="center"/>
              <w:rPr>
                <w:b/>
                <w:bCs/>
              </w:rPr>
            </w:pPr>
            <w:r w:rsidRPr="00D66514">
              <w:rPr>
                <w:b/>
                <w:bCs/>
              </w:rPr>
              <w:t>KAB</w:t>
            </w:r>
          </w:p>
        </w:tc>
        <w:tc>
          <w:tcPr>
            <w:tcW w:w="0" w:type="auto"/>
            <w:vAlign w:val="center"/>
          </w:tcPr>
          <w:p w14:paraId="7AB570F6" w14:textId="77777777" w:rsidR="0004240D" w:rsidRPr="00D66514" w:rsidRDefault="0004240D" w:rsidP="00464934">
            <w:pPr>
              <w:pStyle w:val="NoSpacing"/>
              <w:rPr>
                <w:b/>
                <w:bCs/>
              </w:rPr>
            </w:pPr>
            <w:r w:rsidRPr="00D66514">
              <w:rPr>
                <w:b/>
                <w:bCs/>
              </w:rPr>
              <w:t>Florida</w:t>
            </w:r>
          </w:p>
        </w:tc>
        <w:tc>
          <w:tcPr>
            <w:tcW w:w="0" w:type="auto"/>
            <w:vAlign w:val="center"/>
          </w:tcPr>
          <w:p w14:paraId="1DBB7884" w14:textId="77777777" w:rsidR="0004240D" w:rsidRPr="00D66514" w:rsidRDefault="0004240D" w:rsidP="0004240D">
            <w:pPr>
              <w:pStyle w:val="NoSpacing"/>
              <w:jc w:val="center"/>
            </w:pPr>
            <w:r w:rsidRPr="00D66514">
              <w:t>1</w:t>
            </w:r>
          </w:p>
        </w:tc>
        <w:tc>
          <w:tcPr>
            <w:tcW w:w="0" w:type="auto"/>
            <w:vAlign w:val="center"/>
          </w:tcPr>
          <w:p w14:paraId="3C0B3034" w14:textId="77777777" w:rsidR="0004240D" w:rsidRPr="00D66514" w:rsidRDefault="0004240D" w:rsidP="0004240D">
            <w:pPr>
              <w:pStyle w:val="NoSpacing"/>
              <w:jc w:val="center"/>
            </w:pPr>
            <w:r w:rsidRPr="00D66514">
              <w:t>-3.803</w:t>
            </w:r>
          </w:p>
        </w:tc>
        <w:tc>
          <w:tcPr>
            <w:tcW w:w="1775" w:type="dxa"/>
            <w:vAlign w:val="center"/>
          </w:tcPr>
          <w:p w14:paraId="144502FA" w14:textId="77777777" w:rsidR="0004240D" w:rsidRPr="00D66514" w:rsidRDefault="0004240D" w:rsidP="0004240D">
            <w:pPr>
              <w:pStyle w:val="NoSpacing"/>
              <w:jc w:val="center"/>
            </w:pPr>
            <w:r w:rsidRPr="00D66514">
              <w:t>0.654</w:t>
            </w:r>
          </w:p>
        </w:tc>
      </w:tr>
      <w:tr w:rsidR="00D913F8" w:rsidRPr="00D66514" w14:paraId="2A256624" w14:textId="77777777" w:rsidTr="00B25A84">
        <w:trPr>
          <w:jc w:val="center"/>
        </w:trPr>
        <w:tc>
          <w:tcPr>
            <w:tcW w:w="0" w:type="auto"/>
            <w:vMerge/>
            <w:vAlign w:val="center"/>
          </w:tcPr>
          <w:p w14:paraId="47B4DA9C" w14:textId="77777777" w:rsidR="0004240D" w:rsidRPr="00D66514" w:rsidRDefault="0004240D" w:rsidP="0004240D">
            <w:pPr>
              <w:pStyle w:val="NoSpacing"/>
              <w:jc w:val="center"/>
              <w:rPr>
                <w:b/>
                <w:bCs/>
              </w:rPr>
            </w:pPr>
          </w:p>
        </w:tc>
        <w:tc>
          <w:tcPr>
            <w:tcW w:w="0" w:type="auto"/>
            <w:vAlign w:val="center"/>
          </w:tcPr>
          <w:p w14:paraId="00337B33" w14:textId="77777777" w:rsidR="0004240D" w:rsidRPr="00D66514" w:rsidRDefault="0004240D" w:rsidP="00464934">
            <w:pPr>
              <w:pStyle w:val="NoSpacing"/>
              <w:rPr>
                <w:b/>
                <w:bCs/>
              </w:rPr>
            </w:pPr>
            <w:r w:rsidRPr="00D66514">
              <w:rPr>
                <w:b/>
                <w:bCs/>
              </w:rPr>
              <w:t>Ohio</w:t>
            </w:r>
          </w:p>
        </w:tc>
        <w:tc>
          <w:tcPr>
            <w:tcW w:w="0" w:type="auto"/>
            <w:vAlign w:val="center"/>
          </w:tcPr>
          <w:p w14:paraId="520A15EA" w14:textId="77777777" w:rsidR="0004240D" w:rsidRPr="00D66514" w:rsidRDefault="0004240D" w:rsidP="0004240D">
            <w:pPr>
              <w:pStyle w:val="NoSpacing"/>
              <w:jc w:val="center"/>
            </w:pPr>
            <w:r w:rsidRPr="00D66514">
              <w:t>-0.359</w:t>
            </w:r>
          </w:p>
        </w:tc>
        <w:tc>
          <w:tcPr>
            <w:tcW w:w="0" w:type="auto"/>
            <w:vAlign w:val="center"/>
          </w:tcPr>
          <w:p w14:paraId="67F7894C" w14:textId="77777777" w:rsidR="0004240D" w:rsidRPr="00D66514" w:rsidRDefault="0004240D" w:rsidP="0004240D">
            <w:pPr>
              <w:pStyle w:val="NoSpacing"/>
              <w:jc w:val="center"/>
            </w:pPr>
            <w:r w:rsidRPr="00D66514">
              <w:t>1</w:t>
            </w:r>
          </w:p>
        </w:tc>
        <w:tc>
          <w:tcPr>
            <w:tcW w:w="1775" w:type="dxa"/>
            <w:vAlign w:val="center"/>
          </w:tcPr>
          <w:p w14:paraId="1E5B284A" w14:textId="77777777" w:rsidR="0004240D" w:rsidRPr="00D66514" w:rsidRDefault="0004240D" w:rsidP="0004240D">
            <w:pPr>
              <w:pStyle w:val="NoSpacing"/>
              <w:jc w:val="center"/>
            </w:pPr>
            <w:r w:rsidRPr="00D66514">
              <w:t>0.683</w:t>
            </w:r>
          </w:p>
        </w:tc>
      </w:tr>
      <w:tr w:rsidR="00D913F8" w:rsidRPr="00D66514" w14:paraId="1527B61A" w14:textId="77777777" w:rsidTr="00B25A84">
        <w:trPr>
          <w:jc w:val="center"/>
        </w:trPr>
        <w:tc>
          <w:tcPr>
            <w:tcW w:w="0" w:type="auto"/>
            <w:vMerge/>
            <w:vAlign w:val="center"/>
          </w:tcPr>
          <w:p w14:paraId="77CC42F3" w14:textId="77777777" w:rsidR="0004240D" w:rsidRPr="00D66514" w:rsidRDefault="0004240D" w:rsidP="0004240D">
            <w:pPr>
              <w:pStyle w:val="NoSpacing"/>
              <w:jc w:val="center"/>
              <w:rPr>
                <w:b/>
                <w:bCs/>
              </w:rPr>
            </w:pPr>
          </w:p>
        </w:tc>
        <w:tc>
          <w:tcPr>
            <w:tcW w:w="0" w:type="auto"/>
            <w:vAlign w:val="center"/>
          </w:tcPr>
          <w:p w14:paraId="7231563E" w14:textId="77777777" w:rsidR="0004240D" w:rsidRPr="00D66514" w:rsidRDefault="0004240D" w:rsidP="00464934">
            <w:pPr>
              <w:pStyle w:val="NoSpacing"/>
              <w:rPr>
                <w:b/>
                <w:bCs/>
              </w:rPr>
            </w:pPr>
            <w:r w:rsidRPr="00D66514">
              <w:rPr>
                <w:b/>
                <w:bCs/>
              </w:rPr>
              <w:t>California</w:t>
            </w:r>
          </w:p>
        </w:tc>
        <w:tc>
          <w:tcPr>
            <w:tcW w:w="0" w:type="auto"/>
            <w:vAlign w:val="center"/>
          </w:tcPr>
          <w:p w14:paraId="69C66D00" w14:textId="3716A08A" w:rsidR="0004240D" w:rsidRPr="00D66514" w:rsidRDefault="0004240D" w:rsidP="0004240D">
            <w:pPr>
              <w:pStyle w:val="NoSpacing"/>
              <w:jc w:val="center"/>
            </w:pPr>
            <w:r w:rsidRPr="00D66514">
              <w:t>0.587</w:t>
            </w:r>
          </w:p>
        </w:tc>
        <w:tc>
          <w:tcPr>
            <w:tcW w:w="0" w:type="auto"/>
            <w:vAlign w:val="center"/>
          </w:tcPr>
          <w:p w14:paraId="7C50892A" w14:textId="77777777" w:rsidR="0004240D" w:rsidRPr="00D66514" w:rsidRDefault="0004240D" w:rsidP="0004240D">
            <w:pPr>
              <w:pStyle w:val="NoSpacing"/>
              <w:jc w:val="center"/>
            </w:pPr>
            <w:r w:rsidRPr="00D66514">
              <w:t>-0.112</w:t>
            </w:r>
          </w:p>
        </w:tc>
        <w:tc>
          <w:tcPr>
            <w:tcW w:w="1775" w:type="dxa"/>
            <w:vAlign w:val="center"/>
          </w:tcPr>
          <w:p w14:paraId="38AB0D3D" w14:textId="77777777" w:rsidR="0004240D" w:rsidRPr="00D66514" w:rsidRDefault="0004240D" w:rsidP="0004240D">
            <w:pPr>
              <w:pStyle w:val="NoSpacing"/>
              <w:jc w:val="center"/>
            </w:pPr>
            <w:r w:rsidRPr="00D66514">
              <w:t>1</w:t>
            </w:r>
          </w:p>
        </w:tc>
      </w:tr>
      <w:tr w:rsidR="00D913F8" w:rsidRPr="00D66514" w14:paraId="4F6DC556" w14:textId="77777777" w:rsidTr="00B25A84">
        <w:trPr>
          <w:jc w:val="center"/>
        </w:trPr>
        <w:tc>
          <w:tcPr>
            <w:tcW w:w="0" w:type="auto"/>
            <w:vMerge/>
            <w:vAlign w:val="center"/>
          </w:tcPr>
          <w:p w14:paraId="2F81CE3A" w14:textId="77777777" w:rsidR="0004240D" w:rsidRPr="00D66514" w:rsidRDefault="0004240D" w:rsidP="0004240D">
            <w:pPr>
              <w:pStyle w:val="NoSpacing"/>
              <w:jc w:val="center"/>
              <w:rPr>
                <w:b/>
                <w:bCs/>
              </w:rPr>
            </w:pPr>
          </w:p>
        </w:tc>
        <w:tc>
          <w:tcPr>
            <w:tcW w:w="0" w:type="auto"/>
            <w:vAlign w:val="center"/>
          </w:tcPr>
          <w:p w14:paraId="21D14530" w14:textId="77777777" w:rsidR="0004240D" w:rsidRPr="00D66514" w:rsidRDefault="0004240D" w:rsidP="00464934">
            <w:pPr>
              <w:pStyle w:val="NoSpacing"/>
              <w:rPr>
                <w:b/>
                <w:bCs/>
              </w:rPr>
            </w:pPr>
            <w:r w:rsidRPr="00D66514">
              <w:rPr>
                <w:b/>
                <w:bCs/>
              </w:rPr>
              <w:t>Ohio and California</w:t>
            </w:r>
          </w:p>
        </w:tc>
        <w:tc>
          <w:tcPr>
            <w:tcW w:w="0" w:type="auto"/>
            <w:vAlign w:val="center"/>
          </w:tcPr>
          <w:p w14:paraId="74580C2A" w14:textId="77777777" w:rsidR="0004240D" w:rsidRPr="00D66514" w:rsidRDefault="0004240D" w:rsidP="0004240D">
            <w:pPr>
              <w:pStyle w:val="NoSpacing"/>
              <w:jc w:val="center"/>
            </w:pPr>
            <w:r w:rsidRPr="00D66514">
              <w:t>-1.825</w:t>
            </w:r>
          </w:p>
        </w:tc>
        <w:tc>
          <w:tcPr>
            <w:tcW w:w="0" w:type="auto"/>
            <w:vAlign w:val="center"/>
          </w:tcPr>
          <w:p w14:paraId="70D79D44" w14:textId="77777777" w:rsidR="0004240D" w:rsidRPr="00D66514" w:rsidRDefault="0004240D" w:rsidP="0004240D">
            <w:pPr>
              <w:pStyle w:val="NoSpacing"/>
              <w:jc w:val="center"/>
            </w:pPr>
            <w:r w:rsidRPr="00D66514">
              <w:t>0.928</w:t>
            </w:r>
          </w:p>
        </w:tc>
        <w:tc>
          <w:tcPr>
            <w:tcW w:w="1775" w:type="dxa"/>
            <w:vAlign w:val="center"/>
          </w:tcPr>
          <w:p w14:paraId="1AB93D34" w14:textId="77777777" w:rsidR="0004240D" w:rsidRPr="00D66514" w:rsidRDefault="0004240D" w:rsidP="0004240D">
            <w:pPr>
              <w:pStyle w:val="NoSpacing"/>
              <w:jc w:val="center"/>
            </w:pPr>
            <w:r w:rsidRPr="00D66514">
              <w:t>0.996</w:t>
            </w:r>
          </w:p>
        </w:tc>
      </w:tr>
      <w:tr w:rsidR="00D913F8" w:rsidRPr="00D66514" w14:paraId="31C6FE36" w14:textId="77777777" w:rsidTr="00B25A84">
        <w:trPr>
          <w:jc w:val="center"/>
        </w:trPr>
        <w:tc>
          <w:tcPr>
            <w:tcW w:w="0" w:type="auto"/>
            <w:vMerge w:val="restart"/>
            <w:vAlign w:val="center"/>
          </w:tcPr>
          <w:p w14:paraId="41385F17" w14:textId="77777777" w:rsidR="0004240D" w:rsidRPr="00D66514" w:rsidRDefault="0004240D" w:rsidP="0004240D">
            <w:pPr>
              <w:pStyle w:val="NoSpacing"/>
              <w:jc w:val="center"/>
              <w:rPr>
                <w:b/>
                <w:bCs/>
              </w:rPr>
            </w:pPr>
            <w:r w:rsidRPr="00D66514">
              <w:rPr>
                <w:b/>
                <w:bCs/>
              </w:rPr>
              <w:t>KA</w:t>
            </w:r>
          </w:p>
        </w:tc>
        <w:tc>
          <w:tcPr>
            <w:tcW w:w="0" w:type="auto"/>
            <w:vAlign w:val="center"/>
          </w:tcPr>
          <w:p w14:paraId="2AA4CFF2" w14:textId="77777777" w:rsidR="0004240D" w:rsidRPr="00D66514" w:rsidRDefault="0004240D" w:rsidP="00464934">
            <w:pPr>
              <w:pStyle w:val="NoSpacing"/>
              <w:rPr>
                <w:b/>
                <w:bCs/>
              </w:rPr>
            </w:pPr>
            <w:r w:rsidRPr="00D66514">
              <w:rPr>
                <w:b/>
                <w:bCs/>
              </w:rPr>
              <w:t>Florida</w:t>
            </w:r>
          </w:p>
        </w:tc>
        <w:tc>
          <w:tcPr>
            <w:tcW w:w="0" w:type="auto"/>
            <w:vAlign w:val="center"/>
          </w:tcPr>
          <w:p w14:paraId="0FCA418C" w14:textId="77777777" w:rsidR="0004240D" w:rsidRPr="00D66514" w:rsidRDefault="0004240D" w:rsidP="0004240D">
            <w:pPr>
              <w:pStyle w:val="NoSpacing"/>
              <w:jc w:val="center"/>
            </w:pPr>
            <w:r w:rsidRPr="00D66514">
              <w:t>1</w:t>
            </w:r>
          </w:p>
        </w:tc>
        <w:tc>
          <w:tcPr>
            <w:tcW w:w="0" w:type="auto"/>
            <w:vAlign w:val="center"/>
          </w:tcPr>
          <w:p w14:paraId="5D414809" w14:textId="77777777" w:rsidR="0004240D" w:rsidRPr="00D66514" w:rsidRDefault="0004240D" w:rsidP="0004240D">
            <w:pPr>
              <w:pStyle w:val="NoSpacing"/>
              <w:jc w:val="center"/>
            </w:pPr>
            <w:r w:rsidRPr="00D66514">
              <w:t>-20.978</w:t>
            </w:r>
          </w:p>
        </w:tc>
        <w:tc>
          <w:tcPr>
            <w:tcW w:w="1775" w:type="dxa"/>
            <w:vAlign w:val="center"/>
          </w:tcPr>
          <w:p w14:paraId="2C75799B" w14:textId="77777777" w:rsidR="0004240D" w:rsidRPr="00D66514" w:rsidRDefault="0004240D" w:rsidP="0004240D">
            <w:pPr>
              <w:pStyle w:val="NoSpacing"/>
              <w:jc w:val="center"/>
            </w:pPr>
            <w:r w:rsidRPr="00D66514">
              <w:t>-1.803</w:t>
            </w:r>
          </w:p>
        </w:tc>
      </w:tr>
      <w:tr w:rsidR="00D913F8" w:rsidRPr="00D66514" w14:paraId="169A3669" w14:textId="77777777" w:rsidTr="00B25A84">
        <w:trPr>
          <w:jc w:val="center"/>
        </w:trPr>
        <w:tc>
          <w:tcPr>
            <w:tcW w:w="0" w:type="auto"/>
            <w:vMerge/>
            <w:vAlign w:val="center"/>
          </w:tcPr>
          <w:p w14:paraId="3A131B5C" w14:textId="77777777" w:rsidR="0004240D" w:rsidRPr="00D66514" w:rsidRDefault="0004240D" w:rsidP="0004240D">
            <w:pPr>
              <w:pStyle w:val="NoSpacing"/>
              <w:jc w:val="center"/>
              <w:rPr>
                <w:b/>
                <w:bCs/>
              </w:rPr>
            </w:pPr>
          </w:p>
        </w:tc>
        <w:tc>
          <w:tcPr>
            <w:tcW w:w="0" w:type="auto"/>
            <w:vAlign w:val="center"/>
          </w:tcPr>
          <w:p w14:paraId="0A0D65AD" w14:textId="77777777" w:rsidR="0004240D" w:rsidRPr="00D66514" w:rsidRDefault="0004240D" w:rsidP="00464934">
            <w:pPr>
              <w:pStyle w:val="NoSpacing"/>
              <w:rPr>
                <w:b/>
                <w:bCs/>
              </w:rPr>
            </w:pPr>
            <w:r w:rsidRPr="00D66514">
              <w:rPr>
                <w:b/>
                <w:bCs/>
              </w:rPr>
              <w:t>Ohio</w:t>
            </w:r>
          </w:p>
        </w:tc>
        <w:tc>
          <w:tcPr>
            <w:tcW w:w="0" w:type="auto"/>
            <w:vAlign w:val="center"/>
          </w:tcPr>
          <w:p w14:paraId="3F025BBD" w14:textId="77777777" w:rsidR="0004240D" w:rsidRPr="00D66514" w:rsidRDefault="0004240D" w:rsidP="0004240D">
            <w:pPr>
              <w:pStyle w:val="NoSpacing"/>
              <w:jc w:val="center"/>
            </w:pPr>
            <w:r w:rsidRPr="00D66514">
              <w:t>-38.673</w:t>
            </w:r>
          </w:p>
        </w:tc>
        <w:tc>
          <w:tcPr>
            <w:tcW w:w="0" w:type="auto"/>
            <w:vAlign w:val="center"/>
          </w:tcPr>
          <w:p w14:paraId="58863CD9" w14:textId="77777777" w:rsidR="0004240D" w:rsidRPr="00D66514" w:rsidRDefault="0004240D" w:rsidP="0004240D">
            <w:pPr>
              <w:pStyle w:val="NoSpacing"/>
              <w:jc w:val="center"/>
            </w:pPr>
            <w:r w:rsidRPr="00D66514">
              <w:t>1</w:t>
            </w:r>
          </w:p>
        </w:tc>
        <w:tc>
          <w:tcPr>
            <w:tcW w:w="1775" w:type="dxa"/>
            <w:vAlign w:val="center"/>
          </w:tcPr>
          <w:p w14:paraId="30D92CD8" w14:textId="77777777" w:rsidR="0004240D" w:rsidRPr="00D66514" w:rsidRDefault="0004240D" w:rsidP="0004240D">
            <w:pPr>
              <w:pStyle w:val="NoSpacing"/>
              <w:jc w:val="center"/>
            </w:pPr>
            <w:r w:rsidRPr="00D66514">
              <w:t>-0.676</w:t>
            </w:r>
          </w:p>
        </w:tc>
      </w:tr>
      <w:tr w:rsidR="00D913F8" w:rsidRPr="00D66514" w14:paraId="42B5383B" w14:textId="77777777" w:rsidTr="00B25A84">
        <w:trPr>
          <w:jc w:val="center"/>
        </w:trPr>
        <w:tc>
          <w:tcPr>
            <w:tcW w:w="0" w:type="auto"/>
            <w:vMerge/>
            <w:vAlign w:val="center"/>
          </w:tcPr>
          <w:p w14:paraId="352608C0" w14:textId="77777777" w:rsidR="0004240D" w:rsidRPr="00D66514" w:rsidRDefault="0004240D" w:rsidP="0004240D">
            <w:pPr>
              <w:pStyle w:val="NoSpacing"/>
              <w:jc w:val="center"/>
              <w:rPr>
                <w:b/>
                <w:bCs/>
              </w:rPr>
            </w:pPr>
          </w:p>
        </w:tc>
        <w:tc>
          <w:tcPr>
            <w:tcW w:w="0" w:type="auto"/>
            <w:vAlign w:val="center"/>
          </w:tcPr>
          <w:p w14:paraId="0F2A86D8" w14:textId="77777777" w:rsidR="0004240D" w:rsidRPr="00D66514" w:rsidRDefault="0004240D" w:rsidP="00464934">
            <w:pPr>
              <w:pStyle w:val="NoSpacing"/>
              <w:rPr>
                <w:b/>
                <w:bCs/>
              </w:rPr>
            </w:pPr>
            <w:r w:rsidRPr="00D66514">
              <w:rPr>
                <w:b/>
                <w:bCs/>
              </w:rPr>
              <w:t>California</w:t>
            </w:r>
          </w:p>
        </w:tc>
        <w:tc>
          <w:tcPr>
            <w:tcW w:w="0" w:type="auto"/>
            <w:vAlign w:val="center"/>
          </w:tcPr>
          <w:p w14:paraId="6D83BED1" w14:textId="77777777" w:rsidR="0004240D" w:rsidRPr="00D66514" w:rsidRDefault="0004240D" w:rsidP="0004240D">
            <w:pPr>
              <w:pStyle w:val="NoSpacing"/>
              <w:jc w:val="center"/>
            </w:pPr>
            <w:r w:rsidRPr="00D66514">
              <w:t>-11.185</w:t>
            </w:r>
          </w:p>
        </w:tc>
        <w:tc>
          <w:tcPr>
            <w:tcW w:w="0" w:type="auto"/>
            <w:vAlign w:val="center"/>
          </w:tcPr>
          <w:p w14:paraId="723C5A86" w14:textId="77777777" w:rsidR="0004240D" w:rsidRPr="00D66514" w:rsidRDefault="0004240D" w:rsidP="0004240D">
            <w:pPr>
              <w:pStyle w:val="NoSpacing"/>
              <w:jc w:val="center"/>
            </w:pPr>
            <w:r w:rsidRPr="00D66514">
              <w:t>-2.426</w:t>
            </w:r>
          </w:p>
        </w:tc>
        <w:tc>
          <w:tcPr>
            <w:tcW w:w="1775" w:type="dxa"/>
            <w:vAlign w:val="center"/>
          </w:tcPr>
          <w:p w14:paraId="1069B79A" w14:textId="77777777" w:rsidR="0004240D" w:rsidRPr="00D66514" w:rsidRDefault="0004240D" w:rsidP="0004240D">
            <w:pPr>
              <w:pStyle w:val="NoSpacing"/>
              <w:jc w:val="center"/>
            </w:pPr>
            <w:r w:rsidRPr="00D66514">
              <w:t>1</w:t>
            </w:r>
          </w:p>
        </w:tc>
      </w:tr>
      <w:tr w:rsidR="00D913F8" w:rsidRPr="00D66514" w14:paraId="24942FCA" w14:textId="77777777" w:rsidTr="00B25A84">
        <w:trPr>
          <w:jc w:val="center"/>
        </w:trPr>
        <w:tc>
          <w:tcPr>
            <w:tcW w:w="0" w:type="auto"/>
            <w:vMerge/>
            <w:vAlign w:val="center"/>
          </w:tcPr>
          <w:p w14:paraId="3D3B0C7F" w14:textId="77777777" w:rsidR="0004240D" w:rsidRPr="00D66514" w:rsidRDefault="0004240D" w:rsidP="0004240D">
            <w:pPr>
              <w:pStyle w:val="NoSpacing"/>
              <w:jc w:val="center"/>
              <w:rPr>
                <w:b/>
                <w:bCs/>
              </w:rPr>
            </w:pPr>
          </w:p>
        </w:tc>
        <w:tc>
          <w:tcPr>
            <w:tcW w:w="0" w:type="auto"/>
            <w:vAlign w:val="center"/>
          </w:tcPr>
          <w:p w14:paraId="1D5B2E8B" w14:textId="77777777" w:rsidR="0004240D" w:rsidRPr="00D66514" w:rsidRDefault="0004240D" w:rsidP="00464934">
            <w:pPr>
              <w:pStyle w:val="NoSpacing"/>
              <w:rPr>
                <w:b/>
                <w:bCs/>
              </w:rPr>
            </w:pPr>
            <w:r w:rsidRPr="00D66514">
              <w:rPr>
                <w:b/>
                <w:bCs/>
              </w:rPr>
              <w:t>Ohio and California</w:t>
            </w:r>
          </w:p>
        </w:tc>
        <w:tc>
          <w:tcPr>
            <w:tcW w:w="0" w:type="auto"/>
            <w:vAlign w:val="center"/>
          </w:tcPr>
          <w:p w14:paraId="4E154C22" w14:textId="77777777" w:rsidR="0004240D" w:rsidRPr="00D66514" w:rsidRDefault="0004240D" w:rsidP="0004240D">
            <w:pPr>
              <w:pStyle w:val="NoSpacing"/>
              <w:jc w:val="center"/>
            </w:pPr>
            <w:r w:rsidRPr="00D66514">
              <w:t>-59.267</w:t>
            </w:r>
          </w:p>
        </w:tc>
        <w:tc>
          <w:tcPr>
            <w:tcW w:w="0" w:type="auto"/>
            <w:vAlign w:val="center"/>
          </w:tcPr>
          <w:p w14:paraId="221692B0" w14:textId="77777777" w:rsidR="0004240D" w:rsidRPr="00D66514" w:rsidRDefault="0004240D" w:rsidP="0004240D">
            <w:pPr>
              <w:pStyle w:val="NoSpacing"/>
              <w:jc w:val="center"/>
            </w:pPr>
            <w:r w:rsidRPr="00D66514">
              <w:t>0.914</w:t>
            </w:r>
          </w:p>
        </w:tc>
        <w:tc>
          <w:tcPr>
            <w:tcW w:w="1775" w:type="dxa"/>
            <w:vAlign w:val="center"/>
          </w:tcPr>
          <w:p w14:paraId="570637B6" w14:textId="77777777" w:rsidR="0004240D" w:rsidRPr="00D66514" w:rsidRDefault="0004240D" w:rsidP="0004240D">
            <w:pPr>
              <w:pStyle w:val="NoSpacing"/>
              <w:jc w:val="center"/>
            </w:pPr>
            <w:r w:rsidRPr="00D66514">
              <w:t>0.994</w:t>
            </w:r>
          </w:p>
        </w:tc>
      </w:tr>
      <w:tr w:rsidR="00D913F8" w:rsidRPr="00D66514" w14:paraId="7A02651B" w14:textId="77777777" w:rsidTr="00B25A84">
        <w:trPr>
          <w:jc w:val="center"/>
        </w:trPr>
        <w:tc>
          <w:tcPr>
            <w:tcW w:w="0" w:type="auto"/>
            <w:vMerge w:val="restart"/>
            <w:vAlign w:val="center"/>
          </w:tcPr>
          <w:p w14:paraId="63FA16B9" w14:textId="77777777" w:rsidR="0004240D" w:rsidRPr="00D66514" w:rsidRDefault="0004240D" w:rsidP="0004240D">
            <w:pPr>
              <w:pStyle w:val="NoSpacing"/>
              <w:jc w:val="center"/>
              <w:rPr>
                <w:b/>
                <w:bCs/>
              </w:rPr>
            </w:pPr>
            <w:r w:rsidRPr="00D66514">
              <w:rPr>
                <w:b/>
                <w:bCs/>
              </w:rPr>
              <w:t>SV</w:t>
            </w:r>
          </w:p>
        </w:tc>
        <w:tc>
          <w:tcPr>
            <w:tcW w:w="0" w:type="auto"/>
            <w:vAlign w:val="center"/>
          </w:tcPr>
          <w:p w14:paraId="0C4695D8" w14:textId="77777777" w:rsidR="0004240D" w:rsidRPr="00D66514" w:rsidRDefault="0004240D" w:rsidP="00464934">
            <w:pPr>
              <w:pStyle w:val="NoSpacing"/>
              <w:rPr>
                <w:b/>
                <w:bCs/>
              </w:rPr>
            </w:pPr>
            <w:r w:rsidRPr="00D66514">
              <w:rPr>
                <w:b/>
                <w:bCs/>
              </w:rPr>
              <w:t>Florida</w:t>
            </w:r>
          </w:p>
        </w:tc>
        <w:tc>
          <w:tcPr>
            <w:tcW w:w="0" w:type="auto"/>
            <w:vAlign w:val="center"/>
          </w:tcPr>
          <w:p w14:paraId="0AEF42C2" w14:textId="171E197C" w:rsidR="0004240D" w:rsidRPr="00D66514" w:rsidRDefault="00CD4A9A" w:rsidP="0004240D">
            <w:pPr>
              <w:pStyle w:val="NoSpacing"/>
              <w:jc w:val="center"/>
            </w:pPr>
            <w:r w:rsidRPr="00D66514">
              <w:t>NA</w:t>
            </w:r>
          </w:p>
        </w:tc>
        <w:tc>
          <w:tcPr>
            <w:tcW w:w="0" w:type="auto"/>
            <w:vAlign w:val="center"/>
          </w:tcPr>
          <w:p w14:paraId="17E0C44D" w14:textId="77777777" w:rsidR="0004240D" w:rsidRPr="00D66514" w:rsidRDefault="0004240D" w:rsidP="0004240D">
            <w:pPr>
              <w:pStyle w:val="NoSpacing"/>
              <w:jc w:val="center"/>
            </w:pPr>
            <w:r w:rsidRPr="00D66514">
              <w:t>-1.290</w:t>
            </w:r>
          </w:p>
        </w:tc>
        <w:tc>
          <w:tcPr>
            <w:tcW w:w="1775" w:type="dxa"/>
            <w:vAlign w:val="center"/>
          </w:tcPr>
          <w:p w14:paraId="24D77DD0" w14:textId="77777777" w:rsidR="0004240D" w:rsidRPr="00D66514" w:rsidRDefault="0004240D" w:rsidP="0004240D">
            <w:pPr>
              <w:pStyle w:val="NoSpacing"/>
              <w:jc w:val="center"/>
            </w:pPr>
            <w:r w:rsidRPr="00D66514">
              <w:t>-1.544</w:t>
            </w:r>
          </w:p>
        </w:tc>
      </w:tr>
      <w:tr w:rsidR="00D913F8" w:rsidRPr="00D66514" w14:paraId="6E7B1BE3" w14:textId="77777777" w:rsidTr="00B25A84">
        <w:trPr>
          <w:jc w:val="center"/>
        </w:trPr>
        <w:tc>
          <w:tcPr>
            <w:tcW w:w="0" w:type="auto"/>
            <w:vMerge/>
            <w:vAlign w:val="center"/>
          </w:tcPr>
          <w:p w14:paraId="48EDC720" w14:textId="77777777" w:rsidR="0004240D" w:rsidRPr="00D66514" w:rsidRDefault="0004240D" w:rsidP="0004240D">
            <w:pPr>
              <w:pStyle w:val="NoSpacing"/>
              <w:jc w:val="center"/>
              <w:rPr>
                <w:b/>
                <w:bCs/>
              </w:rPr>
            </w:pPr>
          </w:p>
        </w:tc>
        <w:tc>
          <w:tcPr>
            <w:tcW w:w="0" w:type="auto"/>
            <w:vAlign w:val="center"/>
          </w:tcPr>
          <w:p w14:paraId="64FCFC73" w14:textId="77777777" w:rsidR="0004240D" w:rsidRPr="00D66514" w:rsidRDefault="0004240D" w:rsidP="00464934">
            <w:pPr>
              <w:pStyle w:val="NoSpacing"/>
              <w:rPr>
                <w:b/>
                <w:bCs/>
              </w:rPr>
            </w:pPr>
            <w:r w:rsidRPr="00D66514">
              <w:rPr>
                <w:b/>
                <w:bCs/>
              </w:rPr>
              <w:t>Ohio</w:t>
            </w:r>
          </w:p>
        </w:tc>
        <w:tc>
          <w:tcPr>
            <w:tcW w:w="0" w:type="auto"/>
            <w:vAlign w:val="center"/>
          </w:tcPr>
          <w:p w14:paraId="586DC236" w14:textId="77777777" w:rsidR="0004240D" w:rsidRPr="00D66514" w:rsidRDefault="0004240D" w:rsidP="0004240D">
            <w:pPr>
              <w:pStyle w:val="NoSpacing"/>
              <w:jc w:val="center"/>
            </w:pPr>
            <w:r w:rsidRPr="00D66514">
              <w:t>NA</w:t>
            </w:r>
          </w:p>
        </w:tc>
        <w:tc>
          <w:tcPr>
            <w:tcW w:w="0" w:type="auto"/>
            <w:vAlign w:val="center"/>
          </w:tcPr>
          <w:p w14:paraId="05C063D1" w14:textId="77777777" w:rsidR="0004240D" w:rsidRPr="00D66514" w:rsidRDefault="0004240D" w:rsidP="0004240D">
            <w:pPr>
              <w:pStyle w:val="NoSpacing"/>
              <w:jc w:val="center"/>
            </w:pPr>
            <w:r w:rsidRPr="00D66514">
              <w:t>1</w:t>
            </w:r>
          </w:p>
        </w:tc>
        <w:tc>
          <w:tcPr>
            <w:tcW w:w="1775" w:type="dxa"/>
            <w:vAlign w:val="center"/>
          </w:tcPr>
          <w:p w14:paraId="40C2065E" w14:textId="77777777" w:rsidR="0004240D" w:rsidRPr="00D66514" w:rsidRDefault="0004240D" w:rsidP="0004240D">
            <w:pPr>
              <w:pStyle w:val="NoSpacing"/>
              <w:jc w:val="center"/>
            </w:pPr>
            <w:r w:rsidRPr="00D66514">
              <w:t>0.710</w:t>
            </w:r>
          </w:p>
        </w:tc>
      </w:tr>
      <w:tr w:rsidR="00D913F8" w:rsidRPr="00D66514" w14:paraId="45A4305E" w14:textId="77777777" w:rsidTr="00B25A84">
        <w:trPr>
          <w:jc w:val="center"/>
        </w:trPr>
        <w:tc>
          <w:tcPr>
            <w:tcW w:w="0" w:type="auto"/>
            <w:vMerge/>
            <w:vAlign w:val="center"/>
          </w:tcPr>
          <w:p w14:paraId="03E9C835" w14:textId="77777777" w:rsidR="0004240D" w:rsidRPr="00D66514" w:rsidRDefault="0004240D" w:rsidP="0004240D">
            <w:pPr>
              <w:pStyle w:val="NoSpacing"/>
              <w:jc w:val="center"/>
              <w:rPr>
                <w:b/>
                <w:bCs/>
              </w:rPr>
            </w:pPr>
          </w:p>
        </w:tc>
        <w:tc>
          <w:tcPr>
            <w:tcW w:w="0" w:type="auto"/>
            <w:vAlign w:val="center"/>
          </w:tcPr>
          <w:p w14:paraId="3AB24CBB" w14:textId="77777777" w:rsidR="0004240D" w:rsidRPr="00D66514" w:rsidRDefault="0004240D" w:rsidP="00464934">
            <w:pPr>
              <w:pStyle w:val="NoSpacing"/>
              <w:rPr>
                <w:b/>
                <w:bCs/>
              </w:rPr>
            </w:pPr>
            <w:r w:rsidRPr="00D66514">
              <w:rPr>
                <w:b/>
                <w:bCs/>
              </w:rPr>
              <w:t>California</w:t>
            </w:r>
          </w:p>
        </w:tc>
        <w:tc>
          <w:tcPr>
            <w:tcW w:w="0" w:type="auto"/>
            <w:vAlign w:val="center"/>
          </w:tcPr>
          <w:p w14:paraId="6536739A" w14:textId="77777777" w:rsidR="0004240D" w:rsidRPr="00D66514" w:rsidRDefault="0004240D" w:rsidP="0004240D">
            <w:pPr>
              <w:pStyle w:val="NoSpacing"/>
              <w:jc w:val="center"/>
            </w:pPr>
            <w:r w:rsidRPr="00D66514">
              <w:t>NA</w:t>
            </w:r>
          </w:p>
        </w:tc>
        <w:tc>
          <w:tcPr>
            <w:tcW w:w="0" w:type="auto"/>
            <w:vAlign w:val="center"/>
          </w:tcPr>
          <w:p w14:paraId="74FDDAB2" w14:textId="77777777" w:rsidR="0004240D" w:rsidRPr="00D66514" w:rsidRDefault="0004240D" w:rsidP="0004240D">
            <w:pPr>
              <w:pStyle w:val="NoSpacing"/>
              <w:jc w:val="center"/>
            </w:pPr>
            <w:r w:rsidRPr="00D66514">
              <w:t>0.451</w:t>
            </w:r>
          </w:p>
        </w:tc>
        <w:tc>
          <w:tcPr>
            <w:tcW w:w="1775" w:type="dxa"/>
            <w:vAlign w:val="center"/>
          </w:tcPr>
          <w:p w14:paraId="49BBD341" w14:textId="77777777" w:rsidR="0004240D" w:rsidRPr="00D66514" w:rsidRDefault="0004240D" w:rsidP="0004240D">
            <w:pPr>
              <w:pStyle w:val="NoSpacing"/>
              <w:jc w:val="center"/>
            </w:pPr>
            <w:r w:rsidRPr="00D66514">
              <w:t>1</w:t>
            </w:r>
          </w:p>
        </w:tc>
      </w:tr>
      <w:tr w:rsidR="00D913F8" w:rsidRPr="00D66514" w14:paraId="6AA25009" w14:textId="77777777" w:rsidTr="00B25A84">
        <w:trPr>
          <w:jc w:val="center"/>
        </w:trPr>
        <w:tc>
          <w:tcPr>
            <w:tcW w:w="0" w:type="auto"/>
            <w:vMerge/>
            <w:vAlign w:val="center"/>
          </w:tcPr>
          <w:p w14:paraId="46E05220" w14:textId="77777777" w:rsidR="0004240D" w:rsidRPr="00D66514" w:rsidRDefault="0004240D" w:rsidP="0004240D">
            <w:pPr>
              <w:pStyle w:val="NoSpacing"/>
              <w:jc w:val="center"/>
              <w:rPr>
                <w:b/>
                <w:bCs/>
              </w:rPr>
            </w:pPr>
          </w:p>
        </w:tc>
        <w:tc>
          <w:tcPr>
            <w:tcW w:w="0" w:type="auto"/>
            <w:vAlign w:val="center"/>
          </w:tcPr>
          <w:p w14:paraId="26BB7682" w14:textId="77777777" w:rsidR="0004240D" w:rsidRPr="00D66514" w:rsidRDefault="0004240D" w:rsidP="00464934">
            <w:pPr>
              <w:pStyle w:val="NoSpacing"/>
              <w:rPr>
                <w:b/>
                <w:bCs/>
              </w:rPr>
            </w:pPr>
            <w:r w:rsidRPr="00D66514">
              <w:rPr>
                <w:b/>
                <w:bCs/>
              </w:rPr>
              <w:t>Ohio and California</w:t>
            </w:r>
          </w:p>
        </w:tc>
        <w:tc>
          <w:tcPr>
            <w:tcW w:w="0" w:type="auto"/>
            <w:vAlign w:val="center"/>
          </w:tcPr>
          <w:p w14:paraId="00BE2DC0" w14:textId="77777777" w:rsidR="0004240D" w:rsidRPr="00D66514" w:rsidRDefault="0004240D" w:rsidP="0004240D">
            <w:pPr>
              <w:pStyle w:val="NoSpacing"/>
              <w:jc w:val="center"/>
            </w:pPr>
            <w:r w:rsidRPr="00D66514">
              <w:t>NA</w:t>
            </w:r>
          </w:p>
        </w:tc>
        <w:tc>
          <w:tcPr>
            <w:tcW w:w="0" w:type="auto"/>
            <w:vAlign w:val="center"/>
          </w:tcPr>
          <w:p w14:paraId="1AEDCE08" w14:textId="77777777" w:rsidR="0004240D" w:rsidRPr="00D66514" w:rsidRDefault="0004240D" w:rsidP="0004240D">
            <w:pPr>
              <w:pStyle w:val="NoSpacing"/>
              <w:jc w:val="center"/>
            </w:pPr>
            <w:r w:rsidRPr="00D66514">
              <w:t>0.978</w:t>
            </w:r>
          </w:p>
        </w:tc>
        <w:tc>
          <w:tcPr>
            <w:tcW w:w="1775" w:type="dxa"/>
            <w:vAlign w:val="center"/>
          </w:tcPr>
          <w:p w14:paraId="3005D3FD" w14:textId="77777777" w:rsidR="0004240D" w:rsidRPr="00D66514" w:rsidRDefault="0004240D" w:rsidP="0004240D">
            <w:pPr>
              <w:pStyle w:val="NoSpacing"/>
              <w:jc w:val="center"/>
            </w:pPr>
            <w:r w:rsidRPr="00D66514">
              <w:t>0.998</w:t>
            </w:r>
          </w:p>
        </w:tc>
      </w:tr>
      <w:tr w:rsidR="00D913F8" w:rsidRPr="00D66514" w14:paraId="187B31FE" w14:textId="77777777" w:rsidTr="00B25A84">
        <w:trPr>
          <w:jc w:val="center"/>
        </w:trPr>
        <w:tc>
          <w:tcPr>
            <w:tcW w:w="0" w:type="auto"/>
            <w:vMerge w:val="restart"/>
            <w:vAlign w:val="center"/>
          </w:tcPr>
          <w:p w14:paraId="6FE55786" w14:textId="77777777" w:rsidR="0004240D" w:rsidRPr="00D66514" w:rsidRDefault="0004240D" w:rsidP="0004240D">
            <w:pPr>
              <w:pStyle w:val="NoSpacing"/>
              <w:jc w:val="center"/>
              <w:rPr>
                <w:b/>
                <w:bCs/>
              </w:rPr>
            </w:pPr>
            <w:r w:rsidRPr="00D66514">
              <w:rPr>
                <w:b/>
                <w:bCs/>
              </w:rPr>
              <w:t>MV</w:t>
            </w:r>
          </w:p>
        </w:tc>
        <w:tc>
          <w:tcPr>
            <w:tcW w:w="0" w:type="auto"/>
            <w:vAlign w:val="center"/>
          </w:tcPr>
          <w:p w14:paraId="4C5BA791" w14:textId="77777777" w:rsidR="0004240D" w:rsidRPr="00D66514" w:rsidRDefault="0004240D" w:rsidP="00464934">
            <w:pPr>
              <w:pStyle w:val="NoSpacing"/>
              <w:rPr>
                <w:b/>
                <w:bCs/>
              </w:rPr>
            </w:pPr>
            <w:r w:rsidRPr="00D66514">
              <w:rPr>
                <w:b/>
                <w:bCs/>
              </w:rPr>
              <w:t>Florida</w:t>
            </w:r>
          </w:p>
        </w:tc>
        <w:tc>
          <w:tcPr>
            <w:tcW w:w="0" w:type="auto"/>
            <w:vAlign w:val="center"/>
          </w:tcPr>
          <w:p w14:paraId="73383120" w14:textId="77777777" w:rsidR="0004240D" w:rsidRPr="00D66514" w:rsidRDefault="0004240D" w:rsidP="0004240D">
            <w:pPr>
              <w:pStyle w:val="NoSpacing"/>
              <w:jc w:val="center"/>
            </w:pPr>
            <w:r w:rsidRPr="00D66514">
              <w:t>1</w:t>
            </w:r>
          </w:p>
        </w:tc>
        <w:tc>
          <w:tcPr>
            <w:tcW w:w="0" w:type="auto"/>
            <w:vAlign w:val="center"/>
          </w:tcPr>
          <w:p w14:paraId="4DC19574" w14:textId="77777777" w:rsidR="0004240D" w:rsidRPr="00D66514" w:rsidRDefault="0004240D" w:rsidP="0004240D">
            <w:pPr>
              <w:pStyle w:val="NoSpacing"/>
              <w:jc w:val="center"/>
            </w:pPr>
            <w:r w:rsidRPr="00D66514">
              <w:t>-2.481</w:t>
            </w:r>
          </w:p>
        </w:tc>
        <w:tc>
          <w:tcPr>
            <w:tcW w:w="1775" w:type="dxa"/>
            <w:vAlign w:val="center"/>
          </w:tcPr>
          <w:p w14:paraId="168F74A9" w14:textId="77777777" w:rsidR="0004240D" w:rsidRPr="00D66514" w:rsidRDefault="0004240D" w:rsidP="0004240D">
            <w:pPr>
              <w:pStyle w:val="NoSpacing"/>
              <w:jc w:val="center"/>
            </w:pPr>
            <w:r w:rsidRPr="00D66514">
              <w:t>-0.094</w:t>
            </w:r>
          </w:p>
        </w:tc>
      </w:tr>
      <w:tr w:rsidR="00D913F8" w:rsidRPr="00D66514" w14:paraId="493DB6B2" w14:textId="77777777" w:rsidTr="00B25A84">
        <w:trPr>
          <w:jc w:val="center"/>
        </w:trPr>
        <w:tc>
          <w:tcPr>
            <w:tcW w:w="0" w:type="auto"/>
            <w:vMerge/>
            <w:vAlign w:val="center"/>
          </w:tcPr>
          <w:p w14:paraId="49399266" w14:textId="77777777" w:rsidR="0004240D" w:rsidRPr="00D66514" w:rsidRDefault="0004240D" w:rsidP="0004240D">
            <w:pPr>
              <w:pStyle w:val="NoSpacing"/>
              <w:jc w:val="center"/>
            </w:pPr>
          </w:p>
        </w:tc>
        <w:tc>
          <w:tcPr>
            <w:tcW w:w="0" w:type="auto"/>
            <w:vAlign w:val="center"/>
          </w:tcPr>
          <w:p w14:paraId="40B22494" w14:textId="77777777" w:rsidR="0004240D" w:rsidRPr="00D66514" w:rsidRDefault="0004240D" w:rsidP="00464934">
            <w:pPr>
              <w:pStyle w:val="NoSpacing"/>
              <w:rPr>
                <w:b/>
                <w:bCs/>
              </w:rPr>
            </w:pPr>
            <w:r w:rsidRPr="00D66514">
              <w:rPr>
                <w:b/>
                <w:bCs/>
              </w:rPr>
              <w:t>Ohio</w:t>
            </w:r>
          </w:p>
        </w:tc>
        <w:tc>
          <w:tcPr>
            <w:tcW w:w="0" w:type="auto"/>
            <w:vAlign w:val="center"/>
          </w:tcPr>
          <w:p w14:paraId="0D320D39" w14:textId="77777777" w:rsidR="0004240D" w:rsidRPr="00D66514" w:rsidRDefault="0004240D" w:rsidP="0004240D">
            <w:pPr>
              <w:pStyle w:val="NoSpacing"/>
              <w:jc w:val="center"/>
            </w:pPr>
            <w:r w:rsidRPr="00D66514">
              <w:t>-0.441</w:t>
            </w:r>
          </w:p>
        </w:tc>
        <w:tc>
          <w:tcPr>
            <w:tcW w:w="0" w:type="auto"/>
            <w:vAlign w:val="center"/>
          </w:tcPr>
          <w:p w14:paraId="5431F3CF" w14:textId="77777777" w:rsidR="0004240D" w:rsidRPr="00D66514" w:rsidRDefault="0004240D" w:rsidP="0004240D">
            <w:pPr>
              <w:pStyle w:val="NoSpacing"/>
              <w:jc w:val="center"/>
            </w:pPr>
            <w:r w:rsidRPr="00D66514">
              <w:t>1</w:t>
            </w:r>
          </w:p>
        </w:tc>
        <w:tc>
          <w:tcPr>
            <w:tcW w:w="1775" w:type="dxa"/>
            <w:vAlign w:val="center"/>
          </w:tcPr>
          <w:p w14:paraId="1B633D91" w14:textId="77777777" w:rsidR="0004240D" w:rsidRPr="00D66514" w:rsidRDefault="0004240D" w:rsidP="0004240D">
            <w:pPr>
              <w:pStyle w:val="NoSpacing"/>
              <w:jc w:val="center"/>
            </w:pPr>
            <w:r w:rsidRPr="00D66514">
              <w:t>0.779</w:t>
            </w:r>
          </w:p>
        </w:tc>
      </w:tr>
      <w:tr w:rsidR="00D913F8" w:rsidRPr="00D66514" w14:paraId="62097C14" w14:textId="77777777" w:rsidTr="00B25A84">
        <w:trPr>
          <w:jc w:val="center"/>
        </w:trPr>
        <w:tc>
          <w:tcPr>
            <w:tcW w:w="0" w:type="auto"/>
            <w:vMerge/>
            <w:vAlign w:val="center"/>
          </w:tcPr>
          <w:p w14:paraId="5F96AE64" w14:textId="77777777" w:rsidR="0004240D" w:rsidRPr="00D66514" w:rsidRDefault="0004240D" w:rsidP="0004240D">
            <w:pPr>
              <w:pStyle w:val="NoSpacing"/>
              <w:jc w:val="center"/>
            </w:pPr>
          </w:p>
        </w:tc>
        <w:tc>
          <w:tcPr>
            <w:tcW w:w="0" w:type="auto"/>
            <w:vAlign w:val="center"/>
          </w:tcPr>
          <w:p w14:paraId="32AD2977" w14:textId="77777777" w:rsidR="0004240D" w:rsidRPr="00D66514" w:rsidRDefault="0004240D" w:rsidP="00464934">
            <w:pPr>
              <w:pStyle w:val="NoSpacing"/>
              <w:rPr>
                <w:b/>
                <w:bCs/>
              </w:rPr>
            </w:pPr>
            <w:r w:rsidRPr="00D66514">
              <w:rPr>
                <w:b/>
                <w:bCs/>
              </w:rPr>
              <w:t>California</w:t>
            </w:r>
          </w:p>
        </w:tc>
        <w:tc>
          <w:tcPr>
            <w:tcW w:w="0" w:type="auto"/>
            <w:vAlign w:val="center"/>
          </w:tcPr>
          <w:p w14:paraId="381C8CBA" w14:textId="77777777" w:rsidR="0004240D" w:rsidRPr="00D66514" w:rsidRDefault="0004240D" w:rsidP="0004240D">
            <w:pPr>
              <w:pStyle w:val="NoSpacing"/>
              <w:jc w:val="center"/>
            </w:pPr>
            <w:r w:rsidRPr="00D66514">
              <w:t>-0.843</w:t>
            </w:r>
          </w:p>
        </w:tc>
        <w:tc>
          <w:tcPr>
            <w:tcW w:w="0" w:type="auto"/>
            <w:vAlign w:val="center"/>
          </w:tcPr>
          <w:p w14:paraId="3A4F94E3" w14:textId="77777777" w:rsidR="0004240D" w:rsidRPr="00D66514" w:rsidRDefault="0004240D" w:rsidP="0004240D">
            <w:pPr>
              <w:pStyle w:val="NoSpacing"/>
              <w:jc w:val="center"/>
            </w:pPr>
            <w:r w:rsidRPr="00D66514">
              <w:t>0.508</w:t>
            </w:r>
          </w:p>
        </w:tc>
        <w:tc>
          <w:tcPr>
            <w:tcW w:w="1775" w:type="dxa"/>
            <w:vAlign w:val="center"/>
          </w:tcPr>
          <w:p w14:paraId="1A0F8FB9" w14:textId="77777777" w:rsidR="0004240D" w:rsidRPr="00D66514" w:rsidRDefault="0004240D" w:rsidP="0004240D">
            <w:pPr>
              <w:pStyle w:val="NoSpacing"/>
              <w:jc w:val="center"/>
            </w:pPr>
            <w:r w:rsidRPr="00D66514">
              <w:t>1</w:t>
            </w:r>
          </w:p>
        </w:tc>
      </w:tr>
      <w:tr w:rsidR="00D913F8" w:rsidRPr="00D66514" w14:paraId="3E1F0AF3" w14:textId="77777777" w:rsidTr="00B25A84">
        <w:trPr>
          <w:jc w:val="center"/>
        </w:trPr>
        <w:tc>
          <w:tcPr>
            <w:tcW w:w="0" w:type="auto"/>
            <w:vMerge/>
            <w:vAlign w:val="center"/>
          </w:tcPr>
          <w:p w14:paraId="20E9FD3C" w14:textId="77777777" w:rsidR="0004240D" w:rsidRPr="00D66514" w:rsidRDefault="0004240D" w:rsidP="0004240D">
            <w:pPr>
              <w:pStyle w:val="NoSpacing"/>
              <w:jc w:val="center"/>
            </w:pPr>
          </w:p>
        </w:tc>
        <w:tc>
          <w:tcPr>
            <w:tcW w:w="0" w:type="auto"/>
            <w:vAlign w:val="center"/>
          </w:tcPr>
          <w:p w14:paraId="4BA4A4D6" w14:textId="77777777" w:rsidR="0004240D" w:rsidRPr="00D66514" w:rsidRDefault="0004240D" w:rsidP="00464934">
            <w:pPr>
              <w:pStyle w:val="NoSpacing"/>
              <w:rPr>
                <w:b/>
                <w:bCs/>
              </w:rPr>
            </w:pPr>
            <w:r w:rsidRPr="00D66514">
              <w:rPr>
                <w:b/>
                <w:bCs/>
              </w:rPr>
              <w:t>Ohio and California</w:t>
            </w:r>
          </w:p>
        </w:tc>
        <w:tc>
          <w:tcPr>
            <w:tcW w:w="0" w:type="auto"/>
            <w:vAlign w:val="center"/>
          </w:tcPr>
          <w:p w14:paraId="06548EDF" w14:textId="77777777" w:rsidR="0004240D" w:rsidRPr="00D66514" w:rsidRDefault="0004240D" w:rsidP="0004240D">
            <w:pPr>
              <w:pStyle w:val="NoSpacing"/>
              <w:jc w:val="center"/>
            </w:pPr>
            <w:r w:rsidRPr="00D66514">
              <w:t>-0.436</w:t>
            </w:r>
          </w:p>
        </w:tc>
        <w:tc>
          <w:tcPr>
            <w:tcW w:w="0" w:type="auto"/>
            <w:vAlign w:val="center"/>
          </w:tcPr>
          <w:p w14:paraId="74F9AE6A" w14:textId="77777777" w:rsidR="0004240D" w:rsidRPr="00D66514" w:rsidRDefault="0004240D" w:rsidP="0004240D">
            <w:pPr>
              <w:pStyle w:val="NoSpacing"/>
              <w:jc w:val="center"/>
            </w:pPr>
            <w:r w:rsidRPr="00D66514">
              <w:t>0.990</w:t>
            </w:r>
          </w:p>
        </w:tc>
        <w:tc>
          <w:tcPr>
            <w:tcW w:w="1775" w:type="dxa"/>
            <w:vAlign w:val="center"/>
          </w:tcPr>
          <w:p w14:paraId="29A51B8F" w14:textId="77777777" w:rsidR="0004240D" w:rsidRPr="00D66514" w:rsidRDefault="0004240D" w:rsidP="0004240D">
            <w:pPr>
              <w:pStyle w:val="NoSpacing"/>
              <w:jc w:val="center"/>
            </w:pPr>
            <w:r w:rsidRPr="00D66514">
              <w:t>0.999</w:t>
            </w:r>
          </w:p>
        </w:tc>
      </w:tr>
      <w:tr w:rsidR="0004240D" w:rsidRPr="00D66514" w14:paraId="0DFAFD83" w14:textId="77777777" w:rsidTr="00B25A84">
        <w:trPr>
          <w:jc w:val="center"/>
        </w:trPr>
        <w:tc>
          <w:tcPr>
            <w:tcW w:w="0" w:type="auto"/>
            <w:vAlign w:val="center"/>
          </w:tcPr>
          <w:p w14:paraId="47F3E97D" w14:textId="77777777" w:rsidR="0004240D" w:rsidRPr="00D66514" w:rsidRDefault="0004240D" w:rsidP="0004240D">
            <w:pPr>
              <w:pStyle w:val="NoSpacing"/>
              <w:jc w:val="center"/>
            </w:pPr>
          </w:p>
        </w:tc>
        <w:tc>
          <w:tcPr>
            <w:tcW w:w="7135" w:type="dxa"/>
            <w:gridSpan w:val="4"/>
            <w:vAlign w:val="center"/>
          </w:tcPr>
          <w:p w14:paraId="735138BF" w14:textId="0D923E84" w:rsidR="0004240D" w:rsidRPr="00D66514" w:rsidRDefault="0004240D" w:rsidP="00B25A84">
            <w:pPr>
              <w:pStyle w:val="NoSpacing"/>
            </w:pPr>
            <w:r w:rsidRPr="00D66514">
              <w:t xml:space="preserve">NA : </w:t>
            </w:r>
            <w:r w:rsidR="00261E18" w:rsidRPr="00D66514">
              <w:t>constants only</w:t>
            </w:r>
            <w:r w:rsidR="00D913F8" w:rsidRPr="00D66514">
              <w:t xml:space="preserve"> </w:t>
            </w:r>
            <w:r w:rsidRPr="00D66514">
              <w:t>model of jurisdiction specific data failed to converge</w:t>
            </w:r>
          </w:p>
        </w:tc>
      </w:tr>
    </w:tbl>
    <w:p w14:paraId="1C90540F" w14:textId="77777777" w:rsidR="0004240D" w:rsidRPr="00D66514" w:rsidRDefault="0004240D"/>
    <w:p w14:paraId="569B218E" w14:textId="0EF995C1" w:rsidR="005E0EDD" w:rsidRPr="00D66514" w:rsidRDefault="00314DA5" w:rsidP="0058172A">
      <w:pPr>
        <w:pStyle w:val="Heading3"/>
      </w:pPr>
      <w:r w:rsidRPr="00D66514">
        <w:t>Sample Results of the</w:t>
      </w:r>
      <w:r w:rsidR="000B369C" w:rsidRPr="00D66514">
        <w:t xml:space="preserve"> Modified</w:t>
      </w:r>
      <w:r w:rsidRPr="00D66514">
        <w:t xml:space="preserve"> </w:t>
      </w:r>
      <w:r w:rsidR="00DC76D6" w:rsidRPr="00D66514">
        <w:t xml:space="preserve">Empirical Bayes </w:t>
      </w:r>
      <w:r w:rsidR="00025D38" w:rsidRPr="00D66514">
        <w:t>Measure</w:t>
      </w:r>
    </w:p>
    <w:p w14:paraId="18F9A74E" w14:textId="7E2B7476" w:rsidR="00C800D3" w:rsidRPr="00D66514" w:rsidRDefault="00E32657" w:rsidP="0058172A">
      <w:pPr>
        <w:spacing w:after="0"/>
      </w:pPr>
      <w:r w:rsidRPr="00D66514">
        <w:t>The second measure proposed in our study is the modified Empirical Bayes correction to improve the model transferability. The MEB correction allows for segment specific calibration factors and is based on segment specific attributes.</w:t>
      </w:r>
      <w:r w:rsidR="00C800D3" w:rsidRPr="00D66514">
        <w:t xml:space="preserve"> The applicability of the proposed approach is considered in comparison to the HSM calibrat</w:t>
      </w:r>
      <w:r w:rsidR="00DC76D6" w:rsidRPr="00D66514">
        <w:t>ion</w:t>
      </w:r>
      <w:r w:rsidR="00C800D3" w:rsidRPr="00D66514">
        <w:t xml:space="preserve"> </w:t>
      </w:r>
      <w:r w:rsidR="00DC76D6" w:rsidRPr="00D66514">
        <w:t>method</w:t>
      </w:r>
      <w:r w:rsidR="00C800D3" w:rsidRPr="00D66514">
        <w:t>. The comparison is illustrated by transferring</w:t>
      </w:r>
      <w:r w:rsidR="00314DA5" w:rsidRPr="00D66514">
        <w:t xml:space="preserve"> average conditions</w:t>
      </w:r>
      <w:r w:rsidR="00C800D3" w:rsidRPr="00D66514">
        <w:t xml:space="preserve"> single state models</w:t>
      </w:r>
      <w:r w:rsidR="00314DA5" w:rsidRPr="00D66514">
        <w:t xml:space="preserve"> of total crashes</w:t>
      </w:r>
      <w:r w:rsidR="00C800D3" w:rsidRPr="00D66514">
        <w:t xml:space="preserve"> to other states. So, every single</w:t>
      </w:r>
      <w:r w:rsidR="00DC76D6" w:rsidRPr="00D66514">
        <w:t>-</w:t>
      </w:r>
      <w:r w:rsidR="00C800D3" w:rsidRPr="00D66514">
        <w:t>state</w:t>
      </w:r>
      <w:r w:rsidR="00314DA5" w:rsidRPr="00D66514">
        <w:t xml:space="preserve"> </w:t>
      </w:r>
      <w:r w:rsidR="00C800D3" w:rsidRPr="00D66514">
        <w:t xml:space="preserve">model is transferred to the other two states providing 6 model prediction comparisons. </w:t>
      </w:r>
      <w:r w:rsidRPr="00D66514">
        <w:t xml:space="preserve">The results of MAD and MSPE computed for three models are computed: (1) transferred model (no correction), (2) transferred model with HSM calibration factor and (3) transferred model with modified EB correction. </w:t>
      </w:r>
      <w:r w:rsidRPr="00D66514">
        <w:rPr>
          <w:rFonts w:asciiTheme="majorBidi" w:hAnsiTheme="majorBidi" w:cstheme="majorBidi"/>
        </w:rPr>
        <w:t>It should be noted that in the majority of the cases where the modified EB correction is made, the expected crash counts are not overly dependent on the observed crash frequencies but rather on both the predicted and observed crash frequencies.</w:t>
      </w:r>
      <w:r w:rsidR="0077227A" w:rsidRPr="00D66514">
        <w:t xml:space="preserve"> </w:t>
      </w:r>
      <w:r w:rsidR="00C800D3" w:rsidRPr="00D66514">
        <w:t>The results are presented in</w:t>
      </w:r>
      <w:r w:rsidR="00DC76D6" w:rsidRPr="00D66514">
        <w:t xml:space="preserve"> </w:t>
      </w:r>
      <w:r w:rsidR="00DC76D6" w:rsidRPr="00D66514">
        <w:fldChar w:fldCharType="begin"/>
      </w:r>
      <w:r w:rsidR="00DC76D6" w:rsidRPr="00D66514">
        <w:instrText xml:space="preserve"> REF _Ref425946112 \h </w:instrText>
      </w:r>
      <w:r w:rsidR="00071DE2" w:rsidRPr="00D66514">
        <w:instrText xml:space="preserve"> \* MERGEFORMAT </w:instrText>
      </w:r>
      <w:r w:rsidR="00DC76D6" w:rsidRPr="00D66514">
        <w:fldChar w:fldCharType="separate"/>
      </w:r>
      <w:r w:rsidR="004F0410" w:rsidRPr="00D66514">
        <w:t xml:space="preserve">Table </w:t>
      </w:r>
      <w:r w:rsidR="004F0410">
        <w:rPr>
          <w:noProof/>
        </w:rPr>
        <w:t>9</w:t>
      </w:r>
      <w:r w:rsidR="00DC76D6" w:rsidRPr="00D66514">
        <w:fldChar w:fldCharType="end"/>
      </w:r>
      <w:r w:rsidR="00C800D3" w:rsidRPr="00D66514">
        <w:t xml:space="preserve">. The following observations can be made based on the results. First, the HSM calibration factor </w:t>
      </w:r>
      <w:r w:rsidR="00C800D3" w:rsidRPr="00D66514">
        <w:lastRenderedPageBreak/>
        <w:t xml:space="preserve">does not always improve model prediction (for example see Ohio to Florida). </w:t>
      </w:r>
      <w:r w:rsidRPr="00D66514">
        <w:t>Second, the modified EB correction measure improves the transferred model’s prediction substantially.</w:t>
      </w:r>
      <w:r w:rsidR="00C800D3" w:rsidRPr="00D66514">
        <w:t xml:space="preserve"> Hence, the pro</w:t>
      </w:r>
      <w:r w:rsidR="00AE58AF" w:rsidRPr="00D66514">
        <w:t>po</w:t>
      </w:r>
      <w:r w:rsidR="00C800D3" w:rsidRPr="00D66514">
        <w:t>sed measure is a useful contribution to consider</w:t>
      </w:r>
      <w:r w:rsidR="00025D38" w:rsidRPr="00D66514">
        <w:t xml:space="preserve"> when adopting SPFs</w:t>
      </w:r>
      <w:r w:rsidR="00C800D3" w:rsidRPr="00D66514">
        <w:t xml:space="preserve"> </w:t>
      </w:r>
      <w:r w:rsidR="00301FE6" w:rsidRPr="00D66514">
        <w:t>from other jurisdictions for locations with no SPF</w:t>
      </w:r>
      <w:r w:rsidR="00AE58AF" w:rsidRPr="00D66514">
        <w:t>s</w:t>
      </w:r>
      <w:r w:rsidR="00301FE6" w:rsidRPr="00D66514">
        <w:t>.</w:t>
      </w:r>
    </w:p>
    <w:p w14:paraId="068846C3" w14:textId="77777777" w:rsidR="00C800D3" w:rsidRPr="00D66514" w:rsidRDefault="00C800D3"/>
    <w:p w14:paraId="07D34539" w14:textId="09B1D6CC" w:rsidR="00477FC9" w:rsidRPr="00D66514" w:rsidRDefault="00477FC9" w:rsidP="00E70528">
      <w:pPr>
        <w:pStyle w:val="Caption"/>
        <w:keepNext/>
      </w:pPr>
      <w:bookmarkStart w:id="11" w:name="_Ref425946112"/>
      <w:r w:rsidRPr="00D66514">
        <w:t xml:space="preserve">Table </w:t>
      </w:r>
      <w:r w:rsidR="00A226E1">
        <w:fldChar w:fldCharType="begin"/>
      </w:r>
      <w:r w:rsidR="00A226E1">
        <w:instrText xml:space="preserve"> SEQ Table \* ARABIC </w:instrText>
      </w:r>
      <w:r w:rsidR="00A226E1">
        <w:fldChar w:fldCharType="separate"/>
      </w:r>
      <w:r w:rsidR="004F0410">
        <w:rPr>
          <w:noProof/>
        </w:rPr>
        <w:t>9</w:t>
      </w:r>
      <w:r w:rsidR="00A226E1">
        <w:rPr>
          <w:noProof/>
        </w:rPr>
        <w:fldChar w:fldCharType="end"/>
      </w:r>
      <w:bookmarkEnd w:id="11"/>
      <w:r w:rsidRPr="00D66514">
        <w:t xml:space="preserve"> </w:t>
      </w:r>
      <w:r w:rsidR="00314DA5" w:rsidRPr="00D66514">
        <w:t xml:space="preserve">Average Conditions </w:t>
      </w:r>
      <w:r w:rsidRPr="00D66514">
        <w:t>Comparison of Predicted, Calibrated and Expected KABCO Crash Frequencies</w:t>
      </w:r>
    </w:p>
    <w:tbl>
      <w:tblPr>
        <w:tblStyle w:val="TableGrid"/>
        <w:tblW w:w="0" w:type="auto"/>
        <w:jc w:val="center"/>
        <w:tblLook w:val="04A0" w:firstRow="1" w:lastRow="0" w:firstColumn="1" w:lastColumn="0" w:noHBand="0" w:noVBand="1"/>
      </w:tblPr>
      <w:tblGrid>
        <w:gridCol w:w="1618"/>
        <w:gridCol w:w="1991"/>
        <w:gridCol w:w="3212"/>
        <w:gridCol w:w="2529"/>
      </w:tblGrid>
      <w:tr w:rsidR="00694BBF" w:rsidRPr="00D66514" w14:paraId="254E8398" w14:textId="77777777" w:rsidTr="00B6740C">
        <w:trPr>
          <w:jc w:val="center"/>
        </w:trPr>
        <w:tc>
          <w:tcPr>
            <w:tcW w:w="0" w:type="auto"/>
            <w:shd w:val="clear" w:color="auto" w:fill="auto"/>
            <w:vAlign w:val="center"/>
          </w:tcPr>
          <w:p w14:paraId="3A5A95B3" w14:textId="77777777" w:rsidR="00477FC9" w:rsidRPr="00D66514" w:rsidRDefault="00477FC9" w:rsidP="00B6740C">
            <w:pPr>
              <w:jc w:val="center"/>
              <w:rPr>
                <w:b/>
                <w:bCs/>
              </w:rPr>
            </w:pPr>
            <w:r w:rsidRPr="00D66514">
              <w:rPr>
                <w:b/>
                <w:bCs/>
              </w:rPr>
              <w:t>Goodness of Fit Measures</w:t>
            </w:r>
          </w:p>
        </w:tc>
        <w:tc>
          <w:tcPr>
            <w:tcW w:w="0" w:type="auto"/>
            <w:shd w:val="clear" w:color="auto" w:fill="auto"/>
            <w:vAlign w:val="center"/>
          </w:tcPr>
          <w:p w14:paraId="402DD4C3" w14:textId="77777777" w:rsidR="00477FC9" w:rsidRPr="00D66514" w:rsidRDefault="00477FC9" w:rsidP="00B6740C">
            <w:pPr>
              <w:jc w:val="center"/>
              <w:rPr>
                <w:b/>
                <w:bCs/>
              </w:rPr>
            </w:pPr>
            <w:r w:rsidRPr="00D66514">
              <w:rPr>
                <w:b/>
                <w:bCs/>
              </w:rPr>
              <w:t>Based on Predicted Crash Frequency</w:t>
            </w:r>
          </w:p>
        </w:tc>
        <w:tc>
          <w:tcPr>
            <w:tcW w:w="0" w:type="auto"/>
            <w:shd w:val="clear" w:color="auto" w:fill="auto"/>
            <w:vAlign w:val="center"/>
          </w:tcPr>
          <w:p w14:paraId="3948036C" w14:textId="77777777" w:rsidR="00477FC9" w:rsidRPr="00D66514" w:rsidRDefault="00477FC9" w:rsidP="00B6740C">
            <w:pPr>
              <w:jc w:val="center"/>
              <w:rPr>
                <w:b/>
                <w:bCs/>
              </w:rPr>
            </w:pPr>
            <w:r w:rsidRPr="00D66514">
              <w:rPr>
                <w:b/>
                <w:bCs/>
              </w:rPr>
              <w:t>Based on Predicted Crash Frequency Multiplied by the HSM’s Calibration Factor</w:t>
            </w:r>
          </w:p>
        </w:tc>
        <w:tc>
          <w:tcPr>
            <w:tcW w:w="0" w:type="auto"/>
            <w:shd w:val="clear" w:color="auto" w:fill="auto"/>
            <w:vAlign w:val="center"/>
          </w:tcPr>
          <w:p w14:paraId="1AB8241F" w14:textId="2866DB8F" w:rsidR="00477FC9" w:rsidRPr="00D66514" w:rsidRDefault="00477FC9" w:rsidP="00B6740C">
            <w:pPr>
              <w:jc w:val="center"/>
              <w:rPr>
                <w:b/>
                <w:bCs/>
              </w:rPr>
            </w:pPr>
            <w:r w:rsidRPr="00D66514">
              <w:rPr>
                <w:b/>
                <w:bCs/>
              </w:rPr>
              <w:t xml:space="preserve">Based on </w:t>
            </w:r>
            <w:r w:rsidR="00694BBF" w:rsidRPr="00D66514">
              <w:rPr>
                <w:b/>
                <w:bCs/>
              </w:rPr>
              <w:t>Predicted Crash Frequency with EB Correction</w:t>
            </w:r>
          </w:p>
        </w:tc>
      </w:tr>
      <w:tr w:rsidR="00B6740C" w:rsidRPr="00D66514" w14:paraId="3F5B9123" w14:textId="77777777" w:rsidTr="00E70528">
        <w:trPr>
          <w:jc w:val="center"/>
        </w:trPr>
        <w:tc>
          <w:tcPr>
            <w:tcW w:w="0" w:type="auto"/>
            <w:shd w:val="clear" w:color="auto" w:fill="auto"/>
          </w:tcPr>
          <w:p w14:paraId="501B18E3" w14:textId="77777777" w:rsidR="00477FC9" w:rsidRPr="00D66514" w:rsidRDefault="00477FC9" w:rsidP="00477FC9">
            <w:pPr>
              <w:jc w:val="center"/>
            </w:pPr>
          </w:p>
        </w:tc>
        <w:tc>
          <w:tcPr>
            <w:tcW w:w="0" w:type="auto"/>
            <w:gridSpan w:val="3"/>
            <w:shd w:val="clear" w:color="auto" w:fill="auto"/>
          </w:tcPr>
          <w:p w14:paraId="3A969EEC" w14:textId="77777777" w:rsidR="00477FC9" w:rsidRPr="00D66514" w:rsidRDefault="00477FC9" w:rsidP="00477FC9">
            <w:pPr>
              <w:jc w:val="center"/>
            </w:pPr>
            <w:r w:rsidRPr="00D66514">
              <w:rPr>
                <w:b/>
                <w:bCs/>
              </w:rPr>
              <w:t>Application of Florida’s KABCO SPF to Ohio</w:t>
            </w:r>
          </w:p>
        </w:tc>
      </w:tr>
      <w:tr w:rsidR="00694BBF" w:rsidRPr="00D66514" w14:paraId="477F67A0" w14:textId="77777777" w:rsidTr="00E70528">
        <w:trPr>
          <w:jc w:val="center"/>
        </w:trPr>
        <w:tc>
          <w:tcPr>
            <w:tcW w:w="0" w:type="auto"/>
            <w:shd w:val="clear" w:color="auto" w:fill="auto"/>
          </w:tcPr>
          <w:p w14:paraId="36DBB78B" w14:textId="77777777" w:rsidR="00477FC9" w:rsidRPr="00D66514" w:rsidRDefault="00477FC9" w:rsidP="00477FC9">
            <w:pPr>
              <w:jc w:val="center"/>
              <w:rPr>
                <w:b/>
                <w:bCs/>
              </w:rPr>
            </w:pPr>
            <w:r w:rsidRPr="00D66514">
              <w:rPr>
                <w:b/>
                <w:bCs/>
              </w:rPr>
              <w:t>MAD</w:t>
            </w:r>
          </w:p>
        </w:tc>
        <w:tc>
          <w:tcPr>
            <w:tcW w:w="0" w:type="auto"/>
            <w:shd w:val="clear" w:color="auto" w:fill="auto"/>
          </w:tcPr>
          <w:p w14:paraId="261D2272" w14:textId="77777777" w:rsidR="00477FC9" w:rsidRPr="00D66514" w:rsidRDefault="00477FC9" w:rsidP="00477FC9">
            <w:pPr>
              <w:jc w:val="center"/>
            </w:pPr>
            <w:r w:rsidRPr="00D66514">
              <w:t>2.329</w:t>
            </w:r>
          </w:p>
        </w:tc>
        <w:tc>
          <w:tcPr>
            <w:tcW w:w="0" w:type="auto"/>
            <w:shd w:val="clear" w:color="auto" w:fill="auto"/>
          </w:tcPr>
          <w:p w14:paraId="46BF25D0" w14:textId="77777777" w:rsidR="00477FC9" w:rsidRPr="00D66514" w:rsidRDefault="00477FC9" w:rsidP="00477FC9">
            <w:pPr>
              <w:jc w:val="center"/>
            </w:pPr>
            <w:r w:rsidRPr="00D66514">
              <w:t>1.423</w:t>
            </w:r>
          </w:p>
        </w:tc>
        <w:tc>
          <w:tcPr>
            <w:tcW w:w="0" w:type="auto"/>
            <w:shd w:val="clear" w:color="auto" w:fill="auto"/>
          </w:tcPr>
          <w:p w14:paraId="2E1A7175" w14:textId="77777777" w:rsidR="00477FC9" w:rsidRPr="00D66514" w:rsidRDefault="00477FC9" w:rsidP="00477FC9">
            <w:pPr>
              <w:jc w:val="center"/>
            </w:pPr>
            <w:r w:rsidRPr="00D66514">
              <w:t>0.676</w:t>
            </w:r>
          </w:p>
        </w:tc>
      </w:tr>
      <w:tr w:rsidR="00694BBF" w:rsidRPr="00D66514" w14:paraId="655571C3" w14:textId="77777777" w:rsidTr="00E70528">
        <w:trPr>
          <w:jc w:val="center"/>
        </w:trPr>
        <w:tc>
          <w:tcPr>
            <w:tcW w:w="0" w:type="auto"/>
            <w:shd w:val="clear" w:color="auto" w:fill="auto"/>
          </w:tcPr>
          <w:p w14:paraId="7DB741F5" w14:textId="77777777" w:rsidR="00477FC9" w:rsidRPr="00D66514" w:rsidRDefault="00477FC9" w:rsidP="00477FC9">
            <w:pPr>
              <w:jc w:val="center"/>
              <w:rPr>
                <w:b/>
                <w:bCs/>
              </w:rPr>
            </w:pPr>
            <w:r w:rsidRPr="00D66514">
              <w:rPr>
                <w:b/>
                <w:bCs/>
              </w:rPr>
              <w:t>MSPE</w:t>
            </w:r>
          </w:p>
        </w:tc>
        <w:tc>
          <w:tcPr>
            <w:tcW w:w="0" w:type="auto"/>
            <w:shd w:val="clear" w:color="auto" w:fill="auto"/>
          </w:tcPr>
          <w:p w14:paraId="7A6A563A" w14:textId="77777777" w:rsidR="00477FC9" w:rsidRPr="00D66514" w:rsidRDefault="00477FC9" w:rsidP="00477FC9">
            <w:pPr>
              <w:jc w:val="center"/>
            </w:pPr>
            <w:r w:rsidRPr="00D66514">
              <w:t>15.194</w:t>
            </w:r>
          </w:p>
        </w:tc>
        <w:tc>
          <w:tcPr>
            <w:tcW w:w="0" w:type="auto"/>
            <w:shd w:val="clear" w:color="auto" w:fill="auto"/>
          </w:tcPr>
          <w:p w14:paraId="5C7AE395" w14:textId="77777777" w:rsidR="00477FC9" w:rsidRPr="00D66514" w:rsidRDefault="00477FC9" w:rsidP="00477FC9">
            <w:pPr>
              <w:jc w:val="center"/>
            </w:pPr>
            <w:r w:rsidRPr="00D66514">
              <w:t>6.883</w:t>
            </w:r>
          </w:p>
        </w:tc>
        <w:tc>
          <w:tcPr>
            <w:tcW w:w="0" w:type="auto"/>
            <w:shd w:val="clear" w:color="auto" w:fill="auto"/>
          </w:tcPr>
          <w:p w14:paraId="7179B659" w14:textId="77777777" w:rsidR="00477FC9" w:rsidRPr="00D66514" w:rsidRDefault="00477FC9" w:rsidP="00477FC9">
            <w:pPr>
              <w:jc w:val="center"/>
            </w:pPr>
            <w:r w:rsidRPr="00D66514">
              <w:t>0.663</w:t>
            </w:r>
          </w:p>
        </w:tc>
      </w:tr>
      <w:tr w:rsidR="00B6740C" w:rsidRPr="00D66514" w14:paraId="6F53C68D" w14:textId="77777777" w:rsidTr="00E70528">
        <w:trPr>
          <w:jc w:val="center"/>
        </w:trPr>
        <w:tc>
          <w:tcPr>
            <w:tcW w:w="0" w:type="auto"/>
            <w:shd w:val="clear" w:color="auto" w:fill="auto"/>
          </w:tcPr>
          <w:p w14:paraId="19FA2261" w14:textId="77777777" w:rsidR="00477FC9" w:rsidRPr="00D66514" w:rsidRDefault="00477FC9" w:rsidP="00477FC9">
            <w:pPr>
              <w:jc w:val="center"/>
              <w:rPr>
                <w:b/>
                <w:bCs/>
              </w:rPr>
            </w:pPr>
          </w:p>
        </w:tc>
        <w:tc>
          <w:tcPr>
            <w:tcW w:w="0" w:type="auto"/>
            <w:gridSpan w:val="3"/>
            <w:shd w:val="clear" w:color="auto" w:fill="auto"/>
          </w:tcPr>
          <w:p w14:paraId="2C05A33B" w14:textId="50BBC42C" w:rsidR="00477FC9" w:rsidRPr="00D66514" w:rsidRDefault="00C01AF3">
            <w:pPr>
              <w:jc w:val="center"/>
            </w:pPr>
            <w:r w:rsidRPr="00D66514">
              <w:rPr>
                <w:b/>
                <w:bCs/>
              </w:rPr>
              <w:t>Application of Florida’s KABCO SPF to California</w:t>
            </w:r>
          </w:p>
        </w:tc>
      </w:tr>
      <w:tr w:rsidR="00694BBF" w:rsidRPr="00D66514" w14:paraId="5CB633F3" w14:textId="77777777" w:rsidTr="00E70528">
        <w:trPr>
          <w:jc w:val="center"/>
        </w:trPr>
        <w:tc>
          <w:tcPr>
            <w:tcW w:w="0" w:type="auto"/>
            <w:shd w:val="clear" w:color="auto" w:fill="auto"/>
          </w:tcPr>
          <w:p w14:paraId="7BF5114B" w14:textId="16BC0229" w:rsidR="00C01AF3" w:rsidRPr="00D66514" w:rsidRDefault="00C01AF3" w:rsidP="00C01AF3">
            <w:pPr>
              <w:jc w:val="center"/>
              <w:rPr>
                <w:b/>
                <w:bCs/>
              </w:rPr>
            </w:pPr>
            <w:r w:rsidRPr="00D66514">
              <w:rPr>
                <w:b/>
                <w:bCs/>
              </w:rPr>
              <w:t>MAD</w:t>
            </w:r>
          </w:p>
        </w:tc>
        <w:tc>
          <w:tcPr>
            <w:tcW w:w="0" w:type="auto"/>
            <w:shd w:val="clear" w:color="auto" w:fill="auto"/>
          </w:tcPr>
          <w:p w14:paraId="03A5770A" w14:textId="1746A198" w:rsidR="00C01AF3" w:rsidRPr="00D66514" w:rsidRDefault="008D4D65" w:rsidP="00C01AF3">
            <w:pPr>
              <w:jc w:val="center"/>
            </w:pPr>
            <w:r w:rsidRPr="00D66514">
              <w:t>2.906</w:t>
            </w:r>
          </w:p>
        </w:tc>
        <w:tc>
          <w:tcPr>
            <w:tcW w:w="0" w:type="auto"/>
            <w:shd w:val="clear" w:color="auto" w:fill="auto"/>
          </w:tcPr>
          <w:p w14:paraId="7DD479CB" w14:textId="479B24FD" w:rsidR="00C01AF3" w:rsidRPr="00D66514" w:rsidRDefault="00251B41" w:rsidP="00C01AF3">
            <w:pPr>
              <w:jc w:val="center"/>
            </w:pPr>
            <w:r w:rsidRPr="00D66514">
              <w:t>2.679</w:t>
            </w:r>
          </w:p>
        </w:tc>
        <w:tc>
          <w:tcPr>
            <w:tcW w:w="0" w:type="auto"/>
            <w:shd w:val="clear" w:color="auto" w:fill="auto"/>
          </w:tcPr>
          <w:p w14:paraId="5B5165AB" w14:textId="2AE16445" w:rsidR="00C01AF3" w:rsidRPr="00D66514" w:rsidRDefault="000D5C6B" w:rsidP="00C01AF3">
            <w:pPr>
              <w:jc w:val="center"/>
            </w:pPr>
            <w:r w:rsidRPr="00D66514">
              <w:t>0.890</w:t>
            </w:r>
          </w:p>
        </w:tc>
      </w:tr>
      <w:tr w:rsidR="00694BBF" w:rsidRPr="00D66514" w14:paraId="12B1BF99" w14:textId="77777777" w:rsidTr="00E70528">
        <w:trPr>
          <w:jc w:val="center"/>
        </w:trPr>
        <w:tc>
          <w:tcPr>
            <w:tcW w:w="0" w:type="auto"/>
            <w:shd w:val="clear" w:color="auto" w:fill="auto"/>
          </w:tcPr>
          <w:p w14:paraId="54F3E185" w14:textId="45AB8EC6" w:rsidR="00C01AF3" w:rsidRPr="00D66514" w:rsidRDefault="00C01AF3" w:rsidP="00C01AF3">
            <w:pPr>
              <w:jc w:val="center"/>
              <w:rPr>
                <w:b/>
                <w:bCs/>
              </w:rPr>
            </w:pPr>
            <w:r w:rsidRPr="00D66514">
              <w:rPr>
                <w:b/>
                <w:bCs/>
              </w:rPr>
              <w:t>MSPE</w:t>
            </w:r>
          </w:p>
        </w:tc>
        <w:tc>
          <w:tcPr>
            <w:tcW w:w="0" w:type="auto"/>
            <w:shd w:val="clear" w:color="auto" w:fill="auto"/>
          </w:tcPr>
          <w:p w14:paraId="2B1F88E7" w14:textId="1E735DB9" w:rsidR="00C01AF3" w:rsidRPr="00D66514" w:rsidRDefault="008D4D65" w:rsidP="00C01AF3">
            <w:pPr>
              <w:jc w:val="center"/>
            </w:pPr>
            <w:r w:rsidRPr="00D66514">
              <w:t>29.550</w:t>
            </w:r>
          </w:p>
        </w:tc>
        <w:tc>
          <w:tcPr>
            <w:tcW w:w="0" w:type="auto"/>
            <w:shd w:val="clear" w:color="auto" w:fill="auto"/>
          </w:tcPr>
          <w:p w14:paraId="73D3DABC" w14:textId="3D68F0BC" w:rsidR="00C01AF3" w:rsidRPr="00D66514" w:rsidRDefault="00265634" w:rsidP="00C01AF3">
            <w:pPr>
              <w:jc w:val="center"/>
            </w:pPr>
            <w:r w:rsidRPr="00D66514">
              <w:t>26.949</w:t>
            </w:r>
          </w:p>
        </w:tc>
        <w:tc>
          <w:tcPr>
            <w:tcW w:w="0" w:type="auto"/>
            <w:shd w:val="clear" w:color="auto" w:fill="auto"/>
          </w:tcPr>
          <w:p w14:paraId="217B4FD1" w14:textId="6AA9DDA2" w:rsidR="00C01AF3" w:rsidRPr="00D66514" w:rsidRDefault="000D5C6B" w:rsidP="00C01AF3">
            <w:pPr>
              <w:jc w:val="center"/>
            </w:pPr>
            <w:r w:rsidRPr="00D66514">
              <w:t>2.187</w:t>
            </w:r>
          </w:p>
        </w:tc>
      </w:tr>
      <w:tr w:rsidR="00B6740C" w:rsidRPr="00D66514" w14:paraId="008C5B5A" w14:textId="77777777" w:rsidTr="001B25F4">
        <w:trPr>
          <w:jc w:val="center"/>
        </w:trPr>
        <w:tc>
          <w:tcPr>
            <w:tcW w:w="0" w:type="auto"/>
            <w:shd w:val="clear" w:color="auto" w:fill="auto"/>
          </w:tcPr>
          <w:p w14:paraId="04DCB14E" w14:textId="77777777" w:rsidR="00C01AF3" w:rsidRPr="00D66514" w:rsidRDefault="00C01AF3" w:rsidP="00C01AF3">
            <w:pPr>
              <w:jc w:val="center"/>
              <w:rPr>
                <w:b/>
                <w:bCs/>
              </w:rPr>
            </w:pPr>
          </w:p>
        </w:tc>
        <w:tc>
          <w:tcPr>
            <w:tcW w:w="0" w:type="auto"/>
            <w:gridSpan w:val="3"/>
            <w:shd w:val="clear" w:color="auto" w:fill="auto"/>
          </w:tcPr>
          <w:p w14:paraId="687C3865" w14:textId="4EA81254" w:rsidR="00C01AF3" w:rsidRPr="00D66514" w:rsidRDefault="00C01AF3" w:rsidP="00C01AF3">
            <w:pPr>
              <w:jc w:val="center"/>
            </w:pPr>
            <w:r w:rsidRPr="00D66514">
              <w:rPr>
                <w:b/>
                <w:bCs/>
              </w:rPr>
              <w:t>Application of Ohio’s KABCO SPF to Florida</w:t>
            </w:r>
          </w:p>
        </w:tc>
      </w:tr>
      <w:tr w:rsidR="00694BBF" w:rsidRPr="00D66514" w14:paraId="0263A2AA" w14:textId="77777777" w:rsidTr="00E70528">
        <w:trPr>
          <w:jc w:val="center"/>
        </w:trPr>
        <w:tc>
          <w:tcPr>
            <w:tcW w:w="0" w:type="auto"/>
            <w:shd w:val="clear" w:color="auto" w:fill="auto"/>
          </w:tcPr>
          <w:p w14:paraId="3B51D6A2" w14:textId="76A35F32" w:rsidR="00C01AF3" w:rsidRPr="00D66514" w:rsidRDefault="00C01AF3" w:rsidP="00C01AF3">
            <w:pPr>
              <w:jc w:val="center"/>
              <w:rPr>
                <w:b/>
                <w:bCs/>
              </w:rPr>
            </w:pPr>
            <w:r w:rsidRPr="00D66514">
              <w:rPr>
                <w:b/>
                <w:bCs/>
              </w:rPr>
              <w:t>MAD</w:t>
            </w:r>
          </w:p>
        </w:tc>
        <w:tc>
          <w:tcPr>
            <w:tcW w:w="0" w:type="auto"/>
            <w:shd w:val="clear" w:color="auto" w:fill="auto"/>
          </w:tcPr>
          <w:p w14:paraId="4DA3C91C" w14:textId="7487F06E" w:rsidR="00C01AF3" w:rsidRPr="00D66514" w:rsidRDefault="00C01AF3" w:rsidP="00C01AF3">
            <w:pPr>
              <w:jc w:val="center"/>
            </w:pPr>
            <w:r w:rsidRPr="00D66514">
              <w:t>4.609</w:t>
            </w:r>
          </w:p>
        </w:tc>
        <w:tc>
          <w:tcPr>
            <w:tcW w:w="0" w:type="auto"/>
            <w:shd w:val="clear" w:color="auto" w:fill="auto"/>
          </w:tcPr>
          <w:p w14:paraId="1F672339" w14:textId="1E1FA220" w:rsidR="00C01AF3" w:rsidRPr="00D66514" w:rsidRDefault="00C01AF3" w:rsidP="00C01AF3">
            <w:pPr>
              <w:jc w:val="center"/>
            </w:pPr>
            <w:r w:rsidRPr="00D66514">
              <w:t>5.149</w:t>
            </w:r>
          </w:p>
        </w:tc>
        <w:tc>
          <w:tcPr>
            <w:tcW w:w="0" w:type="auto"/>
            <w:shd w:val="clear" w:color="auto" w:fill="auto"/>
          </w:tcPr>
          <w:p w14:paraId="52BEF256" w14:textId="3E9B6A56" w:rsidR="00C01AF3" w:rsidRPr="00D66514" w:rsidRDefault="00C01AF3" w:rsidP="00C01AF3">
            <w:pPr>
              <w:jc w:val="center"/>
            </w:pPr>
            <w:r w:rsidRPr="00D66514">
              <w:t>1.075</w:t>
            </w:r>
          </w:p>
        </w:tc>
      </w:tr>
      <w:tr w:rsidR="00694BBF" w:rsidRPr="00D66514" w14:paraId="0AB5050E" w14:textId="77777777" w:rsidTr="00E70528">
        <w:trPr>
          <w:jc w:val="center"/>
        </w:trPr>
        <w:tc>
          <w:tcPr>
            <w:tcW w:w="0" w:type="auto"/>
            <w:shd w:val="clear" w:color="auto" w:fill="auto"/>
          </w:tcPr>
          <w:p w14:paraId="41F688BE" w14:textId="6B4B2E5F" w:rsidR="00C01AF3" w:rsidRPr="00D66514" w:rsidRDefault="00C01AF3" w:rsidP="00C01AF3">
            <w:pPr>
              <w:jc w:val="center"/>
              <w:rPr>
                <w:b/>
                <w:bCs/>
              </w:rPr>
            </w:pPr>
            <w:r w:rsidRPr="00D66514">
              <w:rPr>
                <w:b/>
                <w:bCs/>
              </w:rPr>
              <w:t>MSPE</w:t>
            </w:r>
          </w:p>
        </w:tc>
        <w:tc>
          <w:tcPr>
            <w:tcW w:w="0" w:type="auto"/>
            <w:shd w:val="clear" w:color="auto" w:fill="auto"/>
          </w:tcPr>
          <w:p w14:paraId="29E8B911" w14:textId="3E3ED724" w:rsidR="00C01AF3" w:rsidRPr="00D66514" w:rsidRDefault="00C01AF3" w:rsidP="00C01AF3">
            <w:pPr>
              <w:jc w:val="center"/>
            </w:pPr>
            <w:r w:rsidRPr="00D66514">
              <w:t>161.521</w:t>
            </w:r>
          </w:p>
        </w:tc>
        <w:tc>
          <w:tcPr>
            <w:tcW w:w="0" w:type="auto"/>
            <w:shd w:val="clear" w:color="auto" w:fill="auto"/>
          </w:tcPr>
          <w:p w14:paraId="6010850F" w14:textId="0BD057D3" w:rsidR="00C01AF3" w:rsidRPr="00D66514" w:rsidRDefault="00C01AF3" w:rsidP="00C01AF3">
            <w:pPr>
              <w:jc w:val="center"/>
            </w:pPr>
            <w:r w:rsidRPr="00D66514">
              <w:t>163.573</w:t>
            </w:r>
          </w:p>
        </w:tc>
        <w:tc>
          <w:tcPr>
            <w:tcW w:w="0" w:type="auto"/>
            <w:shd w:val="clear" w:color="auto" w:fill="auto"/>
          </w:tcPr>
          <w:p w14:paraId="74CD8004" w14:textId="52C5E1AA" w:rsidR="00C01AF3" w:rsidRPr="00D66514" w:rsidRDefault="00C01AF3" w:rsidP="00C01AF3">
            <w:pPr>
              <w:jc w:val="center"/>
            </w:pPr>
            <w:r w:rsidRPr="00D66514">
              <w:t>4.184</w:t>
            </w:r>
          </w:p>
        </w:tc>
      </w:tr>
      <w:tr w:rsidR="00B6740C" w:rsidRPr="00D66514" w14:paraId="645EEFD8" w14:textId="77777777" w:rsidTr="001B25F4">
        <w:trPr>
          <w:jc w:val="center"/>
        </w:trPr>
        <w:tc>
          <w:tcPr>
            <w:tcW w:w="0" w:type="auto"/>
            <w:shd w:val="clear" w:color="auto" w:fill="auto"/>
          </w:tcPr>
          <w:p w14:paraId="7C38A7AD" w14:textId="77777777" w:rsidR="00C01AF3" w:rsidRPr="00D66514" w:rsidRDefault="00C01AF3" w:rsidP="00C01AF3">
            <w:pPr>
              <w:jc w:val="center"/>
              <w:rPr>
                <w:b/>
                <w:bCs/>
              </w:rPr>
            </w:pPr>
          </w:p>
        </w:tc>
        <w:tc>
          <w:tcPr>
            <w:tcW w:w="0" w:type="auto"/>
            <w:gridSpan w:val="3"/>
            <w:shd w:val="clear" w:color="auto" w:fill="auto"/>
          </w:tcPr>
          <w:p w14:paraId="50FBBBC2" w14:textId="2F4343F4" w:rsidR="00C01AF3" w:rsidRPr="00D66514" w:rsidRDefault="00C01AF3">
            <w:pPr>
              <w:jc w:val="center"/>
            </w:pPr>
            <w:r w:rsidRPr="00D66514">
              <w:rPr>
                <w:b/>
                <w:bCs/>
              </w:rPr>
              <w:t>Application of Ohio’s KABCO SPF to California</w:t>
            </w:r>
          </w:p>
        </w:tc>
      </w:tr>
      <w:tr w:rsidR="00694BBF" w:rsidRPr="00D66514" w14:paraId="61368012" w14:textId="77777777" w:rsidTr="00E70528">
        <w:trPr>
          <w:jc w:val="center"/>
        </w:trPr>
        <w:tc>
          <w:tcPr>
            <w:tcW w:w="0" w:type="auto"/>
            <w:shd w:val="clear" w:color="auto" w:fill="auto"/>
          </w:tcPr>
          <w:p w14:paraId="004A71B9" w14:textId="1170F220" w:rsidR="00C01AF3" w:rsidRPr="00D66514" w:rsidRDefault="00C01AF3" w:rsidP="00C01AF3">
            <w:pPr>
              <w:jc w:val="center"/>
              <w:rPr>
                <w:b/>
                <w:bCs/>
              </w:rPr>
            </w:pPr>
            <w:r w:rsidRPr="00D66514">
              <w:rPr>
                <w:b/>
                <w:bCs/>
              </w:rPr>
              <w:t>MAD</w:t>
            </w:r>
          </w:p>
        </w:tc>
        <w:tc>
          <w:tcPr>
            <w:tcW w:w="0" w:type="auto"/>
            <w:shd w:val="clear" w:color="auto" w:fill="auto"/>
          </w:tcPr>
          <w:p w14:paraId="42F98167" w14:textId="6F9E7FDE" w:rsidR="00C01AF3" w:rsidRPr="00D66514" w:rsidRDefault="008D4D65" w:rsidP="00C01AF3">
            <w:pPr>
              <w:jc w:val="center"/>
            </w:pPr>
            <w:r w:rsidRPr="00D66514">
              <w:t>2.471</w:t>
            </w:r>
          </w:p>
        </w:tc>
        <w:tc>
          <w:tcPr>
            <w:tcW w:w="0" w:type="auto"/>
            <w:shd w:val="clear" w:color="auto" w:fill="auto"/>
          </w:tcPr>
          <w:p w14:paraId="78E612EC" w14:textId="6FB810CE" w:rsidR="00C01AF3" w:rsidRPr="00D66514" w:rsidRDefault="00251B41" w:rsidP="00C01AF3">
            <w:pPr>
              <w:jc w:val="center"/>
            </w:pPr>
            <w:r w:rsidRPr="00D66514">
              <w:t>2.676</w:t>
            </w:r>
          </w:p>
        </w:tc>
        <w:tc>
          <w:tcPr>
            <w:tcW w:w="0" w:type="auto"/>
            <w:shd w:val="clear" w:color="auto" w:fill="auto"/>
          </w:tcPr>
          <w:p w14:paraId="2D70F367" w14:textId="76E5E77C" w:rsidR="00C01AF3" w:rsidRPr="00D66514" w:rsidRDefault="00735F14" w:rsidP="00C01AF3">
            <w:pPr>
              <w:jc w:val="center"/>
            </w:pPr>
            <w:r w:rsidRPr="00D66514">
              <w:t>0.848</w:t>
            </w:r>
          </w:p>
        </w:tc>
      </w:tr>
      <w:tr w:rsidR="00694BBF" w:rsidRPr="00D66514" w14:paraId="1FE7F05F" w14:textId="77777777" w:rsidTr="00E70528">
        <w:trPr>
          <w:jc w:val="center"/>
        </w:trPr>
        <w:tc>
          <w:tcPr>
            <w:tcW w:w="0" w:type="auto"/>
            <w:shd w:val="clear" w:color="auto" w:fill="auto"/>
          </w:tcPr>
          <w:p w14:paraId="1CFC3C52" w14:textId="3505679A" w:rsidR="00C01AF3" w:rsidRPr="00D66514" w:rsidRDefault="00C01AF3" w:rsidP="00C01AF3">
            <w:pPr>
              <w:jc w:val="center"/>
              <w:rPr>
                <w:b/>
                <w:bCs/>
              </w:rPr>
            </w:pPr>
            <w:r w:rsidRPr="00D66514">
              <w:rPr>
                <w:b/>
                <w:bCs/>
              </w:rPr>
              <w:t>MSPE</w:t>
            </w:r>
          </w:p>
        </w:tc>
        <w:tc>
          <w:tcPr>
            <w:tcW w:w="0" w:type="auto"/>
            <w:shd w:val="clear" w:color="auto" w:fill="auto"/>
          </w:tcPr>
          <w:p w14:paraId="13A2C8B5" w14:textId="51D6DA66" w:rsidR="00C01AF3" w:rsidRPr="00D66514" w:rsidRDefault="008D4D65" w:rsidP="00C01AF3">
            <w:pPr>
              <w:jc w:val="center"/>
            </w:pPr>
            <w:r w:rsidRPr="00D66514">
              <w:t>28.418</w:t>
            </w:r>
          </w:p>
        </w:tc>
        <w:tc>
          <w:tcPr>
            <w:tcW w:w="0" w:type="auto"/>
            <w:shd w:val="clear" w:color="auto" w:fill="auto"/>
          </w:tcPr>
          <w:p w14:paraId="66FA7858" w14:textId="62B78CAD" w:rsidR="00C01AF3" w:rsidRPr="00D66514" w:rsidRDefault="00265634" w:rsidP="00C01AF3">
            <w:pPr>
              <w:jc w:val="center"/>
            </w:pPr>
            <w:r w:rsidRPr="00D66514">
              <w:t>27.076</w:t>
            </w:r>
          </w:p>
        </w:tc>
        <w:tc>
          <w:tcPr>
            <w:tcW w:w="0" w:type="auto"/>
            <w:shd w:val="clear" w:color="auto" w:fill="auto"/>
          </w:tcPr>
          <w:p w14:paraId="31E7AD16" w14:textId="47D12CA0" w:rsidR="00C01AF3" w:rsidRPr="00D66514" w:rsidRDefault="00735F14" w:rsidP="00C01AF3">
            <w:pPr>
              <w:jc w:val="center"/>
            </w:pPr>
            <w:r w:rsidRPr="00D66514">
              <w:t>2.233</w:t>
            </w:r>
          </w:p>
        </w:tc>
      </w:tr>
      <w:tr w:rsidR="00B6740C" w:rsidRPr="00D66514" w14:paraId="33A1F2CB" w14:textId="77777777" w:rsidTr="001B25F4">
        <w:trPr>
          <w:jc w:val="center"/>
        </w:trPr>
        <w:tc>
          <w:tcPr>
            <w:tcW w:w="0" w:type="auto"/>
            <w:shd w:val="clear" w:color="auto" w:fill="auto"/>
          </w:tcPr>
          <w:p w14:paraId="290F20E6" w14:textId="77777777" w:rsidR="00C01AF3" w:rsidRPr="00D66514" w:rsidRDefault="00C01AF3" w:rsidP="00C01AF3">
            <w:pPr>
              <w:jc w:val="center"/>
              <w:rPr>
                <w:b/>
                <w:bCs/>
              </w:rPr>
            </w:pPr>
          </w:p>
        </w:tc>
        <w:tc>
          <w:tcPr>
            <w:tcW w:w="0" w:type="auto"/>
            <w:gridSpan w:val="3"/>
            <w:shd w:val="clear" w:color="auto" w:fill="auto"/>
          </w:tcPr>
          <w:p w14:paraId="515B38E1" w14:textId="375D5D45" w:rsidR="00C01AF3" w:rsidRPr="00D66514" w:rsidRDefault="00C01AF3">
            <w:pPr>
              <w:jc w:val="center"/>
            </w:pPr>
            <w:r w:rsidRPr="00D66514">
              <w:rPr>
                <w:b/>
                <w:bCs/>
              </w:rPr>
              <w:t>Application of California’s KABCO SPF to Florida</w:t>
            </w:r>
          </w:p>
        </w:tc>
      </w:tr>
      <w:tr w:rsidR="00694BBF" w:rsidRPr="00D66514" w14:paraId="5B10A4F4" w14:textId="77777777" w:rsidTr="00A72C9B">
        <w:trPr>
          <w:jc w:val="center"/>
        </w:trPr>
        <w:tc>
          <w:tcPr>
            <w:tcW w:w="0" w:type="auto"/>
            <w:shd w:val="clear" w:color="auto" w:fill="auto"/>
          </w:tcPr>
          <w:p w14:paraId="71E64893" w14:textId="1ED1E20E" w:rsidR="00C01AF3" w:rsidRPr="00D66514" w:rsidRDefault="00C01AF3" w:rsidP="00C01AF3">
            <w:pPr>
              <w:jc w:val="center"/>
              <w:rPr>
                <w:b/>
                <w:bCs/>
              </w:rPr>
            </w:pPr>
            <w:r w:rsidRPr="00D66514">
              <w:rPr>
                <w:b/>
                <w:bCs/>
              </w:rPr>
              <w:t>MAD</w:t>
            </w:r>
          </w:p>
        </w:tc>
        <w:tc>
          <w:tcPr>
            <w:tcW w:w="0" w:type="auto"/>
            <w:shd w:val="clear" w:color="auto" w:fill="auto"/>
          </w:tcPr>
          <w:p w14:paraId="2A7B1588" w14:textId="01A4E5AE" w:rsidR="00C01AF3" w:rsidRPr="00D66514" w:rsidRDefault="008D4D65" w:rsidP="00C01AF3">
            <w:pPr>
              <w:jc w:val="center"/>
            </w:pPr>
            <w:r w:rsidRPr="00D66514">
              <w:t>5.977</w:t>
            </w:r>
          </w:p>
        </w:tc>
        <w:tc>
          <w:tcPr>
            <w:tcW w:w="0" w:type="auto"/>
            <w:shd w:val="clear" w:color="auto" w:fill="auto"/>
          </w:tcPr>
          <w:p w14:paraId="4EF5CC0F" w14:textId="6B9A9358" w:rsidR="00C01AF3" w:rsidRPr="00D66514" w:rsidRDefault="00251B41" w:rsidP="00C01AF3">
            <w:pPr>
              <w:jc w:val="center"/>
            </w:pPr>
            <w:r w:rsidRPr="00D66514">
              <w:t>5.142</w:t>
            </w:r>
          </w:p>
        </w:tc>
        <w:tc>
          <w:tcPr>
            <w:tcW w:w="0" w:type="auto"/>
            <w:shd w:val="clear" w:color="auto" w:fill="auto"/>
          </w:tcPr>
          <w:p w14:paraId="46A24A7E" w14:textId="43510EC2" w:rsidR="00C01AF3" w:rsidRPr="00D66514" w:rsidRDefault="00735F14" w:rsidP="00C01AF3">
            <w:pPr>
              <w:jc w:val="center"/>
            </w:pPr>
            <w:r w:rsidRPr="00D66514">
              <w:t>0.820</w:t>
            </w:r>
          </w:p>
        </w:tc>
      </w:tr>
      <w:tr w:rsidR="00694BBF" w:rsidRPr="00D66514" w14:paraId="7893A603" w14:textId="77777777" w:rsidTr="00A72C9B">
        <w:trPr>
          <w:jc w:val="center"/>
        </w:trPr>
        <w:tc>
          <w:tcPr>
            <w:tcW w:w="0" w:type="auto"/>
            <w:shd w:val="clear" w:color="auto" w:fill="auto"/>
          </w:tcPr>
          <w:p w14:paraId="7D4431DA" w14:textId="74DA07C1" w:rsidR="00C01AF3" w:rsidRPr="00D66514" w:rsidRDefault="00C01AF3" w:rsidP="00C01AF3">
            <w:pPr>
              <w:jc w:val="center"/>
              <w:rPr>
                <w:b/>
                <w:bCs/>
              </w:rPr>
            </w:pPr>
            <w:r w:rsidRPr="00D66514">
              <w:rPr>
                <w:b/>
                <w:bCs/>
              </w:rPr>
              <w:t>MSPE</w:t>
            </w:r>
          </w:p>
        </w:tc>
        <w:tc>
          <w:tcPr>
            <w:tcW w:w="0" w:type="auto"/>
            <w:shd w:val="clear" w:color="auto" w:fill="auto"/>
          </w:tcPr>
          <w:p w14:paraId="3C397E78" w14:textId="7874FD30" w:rsidR="00C01AF3" w:rsidRPr="00D66514" w:rsidRDefault="008D4D65" w:rsidP="00C01AF3">
            <w:pPr>
              <w:jc w:val="center"/>
            </w:pPr>
            <w:r w:rsidRPr="00D66514">
              <w:t>186.324</w:t>
            </w:r>
          </w:p>
        </w:tc>
        <w:tc>
          <w:tcPr>
            <w:tcW w:w="0" w:type="auto"/>
            <w:shd w:val="clear" w:color="auto" w:fill="auto"/>
          </w:tcPr>
          <w:p w14:paraId="04B58841" w14:textId="2B16C4BC" w:rsidR="00C01AF3" w:rsidRPr="00D66514" w:rsidRDefault="00265634" w:rsidP="00C01AF3">
            <w:pPr>
              <w:jc w:val="center"/>
            </w:pPr>
            <w:r w:rsidRPr="00D66514">
              <w:t>163.869</w:t>
            </w:r>
          </w:p>
        </w:tc>
        <w:tc>
          <w:tcPr>
            <w:tcW w:w="0" w:type="auto"/>
            <w:shd w:val="clear" w:color="auto" w:fill="auto"/>
          </w:tcPr>
          <w:p w14:paraId="4338E41B" w14:textId="36D3D8A2" w:rsidR="00C01AF3" w:rsidRPr="00D66514" w:rsidRDefault="00735F14" w:rsidP="00C01AF3">
            <w:pPr>
              <w:jc w:val="center"/>
            </w:pPr>
            <w:r w:rsidRPr="00D66514">
              <w:t>1.669</w:t>
            </w:r>
          </w:p>
        </w:tc>
      </w:tr>
      <w:tr w:rsidR="00B6740C" w:rsidRPr="00D66514" w14:paraId="16AE718B" w14:textId="77777777" w:rsidTr="001B25F4">
        <w:trPr>
          <w:jc w:val="center"/>
        </w:trPr>
        <w:tc>
          <w:tcPr>
            <w:tcW w:w="0" w:type="auto"/>
            <w:shd w:val="clear" w:color="auto" w:fill="auto"/>
          </w:tcPr>
          <w:p w14:paraId="281F6C19" w14:textId="77777777" w:rsidR="00C01AF3" w:rsidRPr="00D66514" w:rsidRDefault="00C01AF3" w:rsidP="00C01AF3">
            <w:pPr>
              <w:jc w:val="center"/>
              <w:rPr>
                <w:b/>
                <w:bCs/>
              </w:rPr>
            </w:pPr>
          </w:p>
        </w:tc>
        <w:tc>
          <w:tcPr>
            <w:tcW w:w="0" w:type="auto"/>
            <w:gridSpan w:val="3"/>
            <w:shd w:val="clear" w:color="auto" w:fill="auto"/>
          </w:tcPr>
          <w:p w14:paraId="62E8C3DA" w14:textId="6322A30B" w:rsidR="00C01AF3" w:rsidRPr="00D66514" w:rsidRDefault="00C01AF3">
            <w:pPr>
              <w:jc w:val="center"/>
            </w:pPr>
            <w:r w:rsidRPr="00D66514">
              <w:rPr>
                <w:b/>
                <w:bCs/>
              </w:rPr>
              <w:t>Application of California’s KABCO SPF to Ohio</w:t>
            </w:r>
          </w:p>
        </w:tc>
      </w:tr>
      <w:tr w:rsidR="00694BBF" w:rsidRPr="00D66514" w14:paraId="3FD7E124" w14:textId="77777777" w:rsidTr="00A72C9B">
        <w:trPr>
          <w:jc w:val="center"/>
        </w:trPr>
        <w:tc>
          <w:tcPr>
            <w:tcW w:w="0" w:type="auto"/>
            <w:shd w:val="clear" w:color="auto" w:fill="auto"/>
          </w:tcPr>
          <w:p w14:paraId="63B9651D" w14:textId="1F21B29B" w:rsidR="00C01AF3" w:rsidRPr="00D66514" w:rsidRDefault="00C01AF3" w:rsidP="00C01AF3">
            <w:pPr>
              <w:jc w:val="center"/>
              <w:rPr>
                <w:b/>
                <w:bCs/>
              </w:rPr>
            </w:pPr>
            <w:r w:rsidRPr="00D66514">
              <w:rPr>
                <w:b/>
                <w:bCs/>
              </w:rPr>
              <w:t>MAD</w:t>
            </w:r>
          </w:p>
        </w:tc>
        <w:tc>
          <w:tcPr>
            <w:tcW w:w="0" w:type="auto"/>
            <w:shd w:val="clear" w:color="auto" w:fill="auto"/>
          </w:tcPr>
          <w:p w14:paraId="5A68E519" w14:textId="3B63B210" w:rsidR="00C01AF3" w:rsidRPr="00D66514" w:rsidRDefault="008D4D65" w:rsidP="00C01AF3">
            <w:pPr>
              <w:jc w:val="center"/>
            </w:pPr>
            <w:r w:rsidRPr="00D66514">
              <w:t>2.088</w:t>
            </w:r>
          </w:p>
        </w:tc>
        <w:tc>
          <w:tcPr>
            <w:tcW w:w="0" w:type="auto"/>
            <w:shd w:val="clear" w:color="auto" w:fill="auto"/>
          </w:tcPr>
          <w:p w14:paraId="0529C894" w14:textId="2BDD8972" w:rsidR="00C01AF3" w:rsidRPr="00D66514" w:rsidRDefault="00251B41" w:rsidP="00C01AF3">
            <w:pPr>
              <w:jc w:val="center"/>
            </w:pPr>
            <w:r w:rsidRPr="00D66514">
              <w:t>1.423</w:t>
            </w:r>
          </w:p>
        </w:tc>
        <w:tc>
          <w:tcPr>
            <w:tcW w:w="0" w:type="auto"/>
            <w:shd w:val="clear" w:color="auto" w:fill="auto"/>
          </w:tcPr>
          <w:p w14:paraId="2F0076BC" w14:textId="419689C8" w:rsidR="00C01AF3" w:rsidRPr="00D66514" w:rsidRDefault="00735F14" w:rsidP="00C01AF3">
            <w:pPr>
              <w:jc w:val="center"/>
            </w:pPr>
            <w:r w:rsidRPr="00D66514">
              <w:t>0.629</w:t>
            </w:r>
          </w:p>
        </w:tc>
      </w:tr>
      <w:tr w:rsidR="00694BBF" w:rsidRPr="00D66514" w14:paraId="36AD3226" w14:textId="77777777" w:rsidTr="00A72C9B">
        <w:trPr>
          <w:jc w:val="center"/>
        </w:trPr>
        <w:tc>
          <w:tcPr>
            <w:tcW w:w="0" w:type="auto"/>
            <w:shd w:val="clear" w:color="auto" w:fill="auto"/>
          </w:tcPr>
          <w:p w14:paraId="28654806" w14:textId="6ACDAF9C" w:rsidR="00C01AF3" w:rsidRPr="00D66514" w:rsidRDefault="00C01AF3" w:rsidP="00C01AF3">
            <w:pPr>
              <w:jc w:val="center"/>
              <w:rPr>
                <w:b/>
                <w:bCs/>
              </w:rPr>
            </w:pPr>
            <w:r w:rsidRPr="00D66514">
              <w:rPr>
                <w:b/>
                <w:bCs/>
              </w:rPr>
              <w:t>MSPE</w:t>
            </w:r>
          </w:p>
        </w:tc>
        <w:tc>
          <w:tcPr>
            <w:tcW w:w="0" w:type="auto"/>
            <w:shd w:val="clear" w:color="auto" w:fill="auto"/>
          </w:tcPr>
          <w:p w14:paraId="5088DE94" w14:textId="19A7ED67" w:rsidR="00C01AF3" w:rsidRPr="00D66514" w:rsidRDefault="008D4D65" w:rsidP="00C01AF3">
            <w:pPr>
              <w:jc w:val="center"/>
            </w:pPr>
            <w:r w:rsidRPr="00D66514">
              <w:t>12.386</w:t>
            </w:r>
          </w:p>
        </w:tc>
        <w:tc>
          <w:tcPr>
            <w:tcW w:w="0" w:type="auto"/>
            <w:shd w:val="clear" w:color="auto" w:fill="auto"/>
          </w:tcPr>
          <w:p w14:paraId="2DCFA9C9" w14:textId="2BBAD026" w:rsidR="00C01AF3" w:rsidRPr="00D66514" w:rsidRDefault="001D452D" w:rsidP="00C01AF3">
            <w:pPr>
              <w:jc w:val="center"/>
            </w:pPr>
            <w:r w:rsidRPr="00D66514">
              <w:t>6.816</w:t>
            </w:r>
          </w:p>
        </w:tc>
        <w:tc>
          <w:tcPr>
            <w:tcW w:w="0" w:type="auto"/>
            <w:shd w:val="clear" w:color="auto" w:fill="auto"/>
          </w:tcPr>
          <w:p w14:paraId="12B14B94" w14:textId="5C9AEC95" w:rsidR="00C01AF3" w:rsidRPr="00D66514" w:rsidRDefault="00735F14" w:rsidP="00C01AF3">
            <w:pPr>
              <w:jc w:val="center"/>
            </w:pPr>
            <w:r w:rsidRPr="00D66514">
              <w:t>0.649</w:t>
            </w:r>
          </w:p>
        </w:tc>
      </w:tr>
    </w:tbl>
    <w:p w14:paraId="1E33B55C" w14:textId="77777777" w:rsidR="00477FC9" w:rsidRPr="00D66514" w:rsidRDefault="00477FC9"/>
    <w:p w14:paraId="1E13753E" w14:textId="614E0060" w:rsidR="00AF7A18" w:rsidRPr="00D66514" w:rsidRDefault="00AF7A18">
      <w:pPr>
        <w:pStyle w:val="Heading1"/>
      </w:pPr>
      <w:r w:rsidRPr="00D66514">
        <w:t>Conclusion</w:t>
      </w:r>
      <w:r w:rsidR="00C72063" w:rsidRPr="00D66514">
        <w:t>S</w:t>
      </w:r>
    </w:p>
    <w:p w14:paraId="195B21CD" w14:textId="2C9F58BC" w:rsidR="001440BF" w:rsidRPr="00D66514" w:rsidRDefault="004B63E3">
      <w:r w:rsidRPr="00D66514">
        <w:rPr>
          <w:rStyle w:val="Emphasis"/>
          <w:rFonts w:asciiTheme="majorBidi" w:hAnsiTheme="majorBidi"/>
          <w:i w:val="0"/>
        </w:rPr>
        <w:t>Safety Performance Functions (SPF) form a crucial part of improving traffic safety by allowing us to predict crash frequencies and identify hot spots when used in conjunction with the HSM’s Empirical Bayes Method.</w:t>
      </w:r>
      <w:r w:rsidR="00C72063" w:rsidRPr="00D66514">
        <w:t xml:space="preserve"> </w:t>
      </w:r>
      <w:r w:rsidR="001440BF" w:rsidRPr="00D66514">
        <w:t>SPFs are employed to predict the number</w:t>
      </w:r>
      <w:r w:rsidR="00314DA5" w:rsidRPr="00D66514">
        <w:t xml:space="preserve"> of</w:t>
      </w:r>
      <w:r w:rsidR="001440BF" w:rsidRPr="00D66514">
        <w:t xml:space="preserve"> crashes of any type (vehicular, pedestrian or bicyclist) or severity level (fatal (K), incapacitating injury (A), non-incapacitating injury (B), possible injury (C) and property damage only (O)). The Highway Safety Manual employs several NB based SPFs for different types of roadway segments. These default SPFs are employed for local jurisdictions in the absence of local SPFs. To customize the SPF for the study region, the SPF is calibrated by using an aggregate correction measure based on </w:t>
      </w:r>
      <w:r w:rsidR="00694BBF" w:rsidRPr="00D66514">
        <w:t xml:space="preserve">the </w:t>
      </w:r>
      <w:r w:rsidR="001440BF" w:rsidRPr="00D66514">
        <w:t xml:space="preserve">ratio of total observed crashes </w:t>
      </w:r>
      <w:r w:rsidR="00694BBF" w:rsidRPr="00D66514">
        <w:t>t</w:t>
      </w:r>
      <w:r w:rsidR="00314DA5" w:rsidRPr="00D66514">
        <w:t>o</w:t>
      </w:r>
      <w:r w:rsidR="001440BF" w:rsidRPr="00D66514">
        <w:t xml:space="preserve"> total predicted crashes. The approach has been employed recently in traffic safety literature. However, there has</w:t>
      </w:r>
      <w:r w:rsidR="00314DA5" w:rsidRPr="00D66514">
        <w:t xml:space="preserve"> been</w:t>
      </w:r>
      <w:r w:rsidR="001440BF" w:rsidRPr="00D66514">
        <w:t xml:space="preserve"> little research exploring the validity of such model transferability</w:t>
      </w:r>
      <w:r w:rsidR="00583092" w:rsidRPr="00D66514">
        <w:t xml:space="preserve"> approach</w:t>
      </w:r>
      <w:r w:rsidR="001440BF" w:rsidRPr="00D66514">
        <w:t>.</w:t>
      </w:r>
    </w:p>
    <w:p w14:paraId="5D8E0783" w14:textId="4EED9590" w:rsidR="009B0D02" w:rsidRPr="00D66514" w:rsidRDefault="001440BF" w:rsidP="0058172A">
      <w:r w:rsidRPr="00D66514">
        <w:lastRenderedPageBreak/>
        <w:t>The current study contributes to growing literature on SPF transferability by considering a detailed and rigorous assessment of SPF transferability across multiple regions. Specifically, we consider transferability of jurisdiction specific SPFs of Florida (FL), Ohio (OH) and California (CA) and compare their predictive performance</w:t>
      </w:r>
      <w:r w:rsidR="005A10E3" w:rsidRPr="00D66514">
        <w:t>s</w:t>
      </w:r>
      <w:r w:rsidRPr="00D66514">
        <w:t xml:space="preserve"> across the three states. Towards this end, we estimate HSM based NB models</w:t>
      </w:r>
      <w:r w:rsidR="009B0D02" w:rsidRPr="00D66514">
        <w:t xml:space="preserve"> (for KABCO, KABC, KAB, KA, SV and MV crashes)</w:t>
      </w:r>
      <w:r w:rsidRPr="00D66514">
        <w:t xml:space="preserve"> separately for three states, by pooling data from all pairs of states and</w:t>
      </w:r>
      <w:r w:rsidR="005A10E3" w:rsidRPr="00D66514">
        <w:t xml:space="preserve"> by</w:t>
      </w:r>
      <w:r w:rsidRPr="00D66514">
        <w:t xml:space="preserve"> pooling the data </w:t>
      </w:r>
      <w:r w:rsidR="005A10E3" w:rsidRPr="00D66514">
        <w:t xml:space="preserve">of </w:t>
      </w:r>
      <w:r w:rsidRPr="00D66514">
        <w:t xml:space="preserve">all three states. The study effort has two main objectives. First, we explore the influence of pooling data from multiple states for SPF development on the transferability of the pooled SPFs relative to single state data based SPFs. </w:t>
      </w:r>
      <w:r w:rsidR="009B0D02" w:rsidRPr="00D66514">
        <w:t xml:space="preserve">The comparison exercise is undertaken using the Transfer Index measure that has been employed before in </w:t>
      </w:r>
      <w:r w:rsidR="00694BBF" w:rsidRPr="00D66514">
        <w:t>t</w:t>
      </w:r>
      <w:r w:rsidR="009B0D02" w:rsidRPr="00D66514">
        <w:t>ransportation. The comparison clearly highlighted the improvement in Transfer Ind</w:t>
      </w:r>
      <w:r w:rsidR="00694BBF" w:rsidRPr="00D66514">
        <w:t>ices</w:t>
      </w:r>
      <w:r w:rsidR="009B0D02" w:rsidRPr="00D66514">
        <w:t xml:space="preserve"> for two</w:t>
      </w:r>
      <w:r w:rsidR="00694BBF" w:rsidRPr="00D66514">
        <w:t>-</w:t>
      </w:r>
      <w:r w:rsidR="009B0D02" w:rsidRPr="00D66514">
        <w:t>state and three</w:t>
      </w:r>
      <w:r w:rsidR="00694BBF" w:rsidRPr="00D66514">
        <w:t>-</w:t>
      </w:r>
      <w:r w:rsidR="009B0D02" w:rsidRPr="00D66514">
        <w:t>state models. Among the states, Florida and California</w:t>
      </w:r>
      <w:r w:rsidR="00694BBF" w:rsidRPr="00D66514">
        <w:t>’s</w:t>
      </w:r>
      <w:r w:rsidR="009B0D02" w:rsidRPr="00D66514">
        <w:t xml:space="preserve"> SPFs are mutually </w:t>
      </w:r>
      <w:r w:rsidR="00694BBF" w:rsidRPr="00D66514">
        <w:t>more</w:t>
      </w:r>
      <w:r w:rsidR="009B0D02" w:rsidRPr="00D66514">
        <w:t xml:space="preserve"> transferable relative to the Ohio SPF</w:t>
      </w:r>
      <w:r w:rsidR="00694BBF" w:rsidRPr="00D66514">
        <w:t>s</w:t>
      </w:r>
      <w:r w:rsidR="009B0D02" w:rsidRPr="00D66514">
        <w:t>.</w:t>
      </w:r>
      <w:r w:rsidR="005A10E3" w:rsidRPr="00D66514">
        <w:t xml:space="preserve"> It is also critical to note that the transferability of SPFs did not improve for every state under the modified base conditions, relative to the average conditions, possibly due to lack of samples especially in Florida.</w:t>
      </w:r>
      <w:r w:rsidR="009B0D02" w:rsidRPr="00D66514">
        <w:t xml:space="preserve"> Further</w:t>
      </w:r>
      <w:r w:rsidRPr="00D66514">
        <w:t>, we propose a more disaggregate calibration measure that customizes SPFs from elsewhere for the study region without local SPF</w:t>
      </w:r>
      <w:r w:rsidR="00694BBF" w:rsidRPr="00D66514">
        <w:t>s</w:t>
      </w:r>
      <w:r w:rsidRPr="00D66514">
        <w:t xml:space="preserve">. </w:t>
      </w:r>
      <w:r w:rsidR="00E32657" w:rsidRPr="00D66514">
        <w:t>The proposed measure is a modified version of the Empirical Bayes method and is tested in comparison with the HSM suggested calibration factor.</w:t>
      </w:r>
      <w:r w:rsidR="009B0D02" w:rsidRPr="00D66514">
        <w:t xml:space="preserve"> The results clearly illustrate the applicability of the proposed measure and also confirm that the disaggregate measure performs better than the aggregate HSM calibration factor</w:t>
      </w:r>
      <w:r w:rsidR="00694BBF" w:rsidRPr="00D66514">
        <w:t xml:space="preserve"> method</w:t>
      </w:r>
      <w:r w:rsidR="009B0D02" w:rsidRPr="00D66514">
        <w:t xml:space="preserve">. </w:t>
      </w:r>
    </w:p>
    <w:p w14:paraId="68A532F9" w14:textId="1DECC245" w:rsidR="00455BEB" w:rsidRPr="00D66514" w:rsidRDefault="004B63E3" w:rsidP="009A69AA">
      <w:r w:rsidRPr="00D66514">
        <w:t>As interpreted by the transferability assessment results, Ohio’s crash patterns are different from both Florida’s and California’s. Even though Florida represents the southeast while California represents the west with different weather trends and topography, crash patterns might be similar. That is possibly because of similarities in demographics, e.g., tourism is common in both states. Also, California’s roads located in mountainous (usually two lane roads) areas are not included in the data. Thus, Florida and California’s data do not include information on segments that experience snow. On the other hand, Ohio experiences snow during Winter. Also, tourism is not as active in Ohio as in Florida and California. In addition, in Summer and Fall, the rainfall intensity in Florida surges.</w:t>
      </w:r>
      <w:r w:rsidR="00464325" w:rsidRPr="00D66514">
        <w:t xml:space="preserve"> Furthermore, it should be noted that the crash reporting thresholds</w:t>
      </w:r>
      <w:r w:rsidR="000625BA" w:rsidRPr="00D66514">
        <w:t>, measured by property damage cost, vary among the</w:t>
      </w:r>
      <w:r w:rsidR="00464325" w:rsidRPr="00D66514">
        <w:t xml:space="preserve"> three states</w:t>
      </w:r>
      <w:r w:rsidR="000625BA" w:rsidRPr="00D66514">
        <w:t>. The thresholds mainly affect the count of property damage only crashes reported.</w:t>
      </w:r>
      <w:r w:rsidR="00464325" w:rsidRPr="00D66514">
        <w:t xml:space="preserve"> </w:t>
      </w:r>
      <w:r w:rsidR="000625BA" w:rsidRPr="00D66514">
        <w:t>Florida, Ohio and California’s reporting thresholds are $500 according to the traffic regulations section of the Florida Statutes, $400 according to the Ohio Bureau of Motor Vehicles and $750 (</w:t>
      </w:r>
      <w:r w:rsidR="004839C7" w:rsidRPr="00D66514">
        <w:t>Xie et al., 2011</w:t>
      </w:r>
      <w:r w:rsidR="000625BA" w:rsidRPr="00D66514">
        <w:t>)</w:t>
      </w:r>
      <w:r w:rsidR="00456DD0" w:rsidRPr="00D66514">
        <w:t>,</w:t>
      </w:r>
      <w:r w:rsidR="000625BA" w:rsidRPr="00D66514">
        <w:t xml:space="preserve"> respectively.</w:t>
      </w:r>
      <w:r w:rsidR="00EE71A4" w:rsidRPr="00D66514">
        <w:t xml:space="preserve"> However, Ohio the reporting threshold</w:t>
      </w:r>
      <w:r w:rsidR="009A69AA" w:rsidRPr="00D66514">
        <w:t xml:space="preserve"> of Ohio changed</w:t>
      </w:r>
      <w:r w:rsidR="00EE71A4" w:rsidRPr="00D66514">
        <w:t xml:space="preserve"> to $1,000 of property damage in 2011 according to the HSIS description</w:t>
      </w:r>
      <w:r w:rsidR="00C670A5" w:rsidRPr="00D66514">
        <w:t xml:space="preserve"> of the Ohio crash records</w:t>
      </w:r>
      <w:r w:rsidR="00EE71A4" w:rsidRPr="00D66514">
        <w:t>.</w:t>
      </w:r>
      <w:r w:rsidR="000625BA" w:rsidRPr="00D66514">
        <w:tab/>
      </w:r>
      <w:r w:rsidR="00455BEB" w:rsidRPr="00D66514">
        <w:t xml:space="preserve"> </w:t>
      </w:r>
    </w:p>
    <w:p w14:paraId="35AE8D90" w14:textId="7A861BAD" w:rsidR="005A10E3" w:rsidRPr="00D66514" w:rsidRDefault="008448FC">
      <w:r w:rsidRPr="00D66514">
        <w:t>The study is not without limitations. The NB model based SPFs employed in our research are quite simplistic and do not consider variables such as lane width, shoulder width, grades, presence of horizontal curves and speed limits. Although, it was difficult in our study to add such factors as they were not consistently available for all the states used in this study, adding such information will enhance the SPFs developed and more critically possibly enhance transferability.</w:t>
      </w:r>
      <w:r w:rsidR="009B0D02" w:rsidRPr="00D66514">
        <w:t xml:space="preserve"> </w:t>
      </w:r>
      <w:r w:rsidR="004E3AAC" w:rsidRPr="00D66514">
        <w:t>There is also growing evidence that recommends considering socio-</w:t>
      </w:r>
      <w:r w:rsidR="001F0B8D" w:rsidRPr="00D66514">
        <w:t>demographic</w:t>
      </w:r>
      <w:r w:rsidR="004E3AAC" w:rsidRPr="00D66514">
        <w:t xml:space="preserve"> information in SPF development (</w:t>
      </w:r>
      <w:r w:rsidR="004839C7" w:rsidRPr="00D66514">
        <w:t>Lee et al., 2014</w:t>
      </w:r>
      <w:r w:rsidR="004E3AAC" w:rsidRPr="00D66514">
        <w:t>).</w:t>
      </w:r>
      <w:r w:rsidR="003B49AC" w:rsidRPr="00D66514">
        <w:t xml:space="preserve"> </w:t>
      </w:r>
      <w:r w:rsidR="003B49AC" w:rsidRPr="00D66514">
        <w:rPr>
          <w:rFonts w:asciiTheme="majorBidi" w:hAnsiTheme="majorBidi" w:cstheme="majorBidi"/>
          <w:color w:val="212121"/>
        </w:rPr>
        <w:t xml:space="preserve">In addition, it might be useful to examine the variability in the transfer index with different samples. Of course, this would necessitate an increased number of </w:t>
      </w:r>
      <w:r w:rsidR="003B49AC" w:rsidRPr="00D66514">
        <w:rPr>
          <w:rFonts w:asciiTheme="majorBidi" w:hAnsiTheme="majorBidi" w:cstheme="majorBidi"/>
          <w:color w:val="212121"/>
        </w:rPr>
        <w:lastRenderedPageBreak/>
        <w:t>data samples for each state.</w:t>
      </w:r>
      <w:r w:rsidR="004E3AAC" w:rsidRPr="00D66514">
        <w:t xml:space="preserve"> </w:t>
      </w:r>
      <w:r w:rsidR="00AA4C02" w:rsidRPr="00D66514">
        <w:t>Further</w:t>
      </w:r>
      <w:r w:rsidR="00123322" w:rsidRPr="00D66514">
        <w:t>more</w:t>
      </w:r>
      <w:r w:rsidR="00AA4C02" w:rsidRPr="00D66514">
        <w:t xml:space="preserve">, it would be useful to extend the work undertaken for rural divided multilane highways to other types of roadways. </w:t>
      </w:r>
    </w:p>
    <w:p w14:paraId="3C853AC2" w14:textId="77777777" w:rsidR="00F876D1" w:rsidRPr="00D66514" w:rsidRDefault="00F876D1" w:rsidP="00F876D1">
      <w:pPr>
        <w:spacing w:after="0"/>
      </w:pPr>
    </w:p>
    <w:p w14:paraId="425411DC" w14:textId="6E045AE4" w:rsidR="003F1E19" w:rsidRPr="00D66514" w:rsidRDefault="003F1E19" w:rsidP="00F876D1">
      <w:pPr>
        <w:spacing w:after="0"/>
        <w:rPr>
          <w:sz w:val="28"/>
        </w:rPr>
      </w:pPr>
      <w:r w:rsidRPr="00D66514">
        <w:rPr>
          <w:b/>
          <w:sz w:val="28"/>
        </w:rPr>
        <w:t>ACKNOWLEDGMENTS</w:t>
      </w:r>
    </w:p>
    <w:p w14:paraId="558C398A" w14:textId="2E3E0522" w:rsidR="00EC6620" w:rsidRPr="00D66514" w:rsidRDefault="000475E7" w:rsidP="00F876D1">
      <w:pPr>
        <w:spacing w:after="0"/>
      </w:pPr>
      <w:r w:rsidRPr="00D66514">
        <w:t>The authors wish to acknowledge the financial support of NCHRP 17-62 and the team represented by Drs. John Ivan, Bhagwant Persaud, and Raghavan Srinivasan. All opinions are those only of the authors.</w:t>
      </w:r>
    </w:p>
    <w:p w14:paraId="74C860CA" w14:textId="77777777" w:rsidR="00F876D1" w:rsidRPr="00D66514" w:rsidRDefault="00F876D1" w:rsidP="00F876D1">
      <w:pPr>
        <w:spacing w:after="0"/>
      </w:pPr>
    </w:p>
    <w:p w14:paraId="231B31D4" w14:textId="6C886A06" w:rsidR="0055724F" w:rsidRPr="00D66514" w:rsidRDefault="00C45DCE" w:rsidP="00464934">
      <w:pPr>
        <w:rPr>
          <w:bCs/>
          <w:szCs w:val="24"/>
        </w:rPr>
      </w:pPr>
      <w:r w:rsidRPr="00D66514">
        <w:rPr>
          <w:b/>
          <w:bCs/>
          <w:sz w:val="28"/>
          <w:szCs w:val="24"/>
        </w:rPr>
        <w:t>REFERENCES</w:t>
      </w:r>
    </w:p>
    <w:p w14:paraId="6D280B41" w14:textId="49D6844D" w:rsidR="00771638" w:rsidRPr="00D66514" w:rsidRDefault="00771638" w:rsidP="00464934">
      <w:pPr>
        <w:pStyle w:val="ListParagraph"/>
        <w:ind w:left="1077" w:hanging="720"/>
        <w:rPr>
          <w:rFonts w:cs="Times New Roman"/>
          <w:noProof/>
          <w:szCs w:val="24"/>
        </w:rPr>
      </w:pPr>
      <w:r w:rsidRPr="00D66514">
        <w:rPr>
          <w:rFonts w:cs="Times New Roman"/>
          <w:noProof/>
          <w:szCs w:val="24"/>
        </w:rPr>
        <w:t>Al Kaaf, K., Abdel-Aty, M., 201</w:t>
      </w:r>
      <w:r w:rsidR="00623A5B" w:rsidRPr="00D66514">
        <w:rPr>
          <w:rFonts w:cs="Times New Roman"/>
          <w:noProof/>
          <w:szCs w:val="24"/>
        </w:rPr>
        <w:t>5</w:t>
      </w:r>
      <w:r w:rsidRPr="00D66514">
        <w:rPr>
          <w:rFonts w:cs="Times New Roman"/>
          <w:noProof/>
          <w:szCs w:val="24"/>
        </w:rPr>
        <w:t xml:space="preserve">. Transferability and Calibration of Highway Safety Manual Performance Functions and Development of New Models for Urban Four-Lane Divided Roads in Riyadh. Presented at: 94th Annual Meeting of the Transportation Research Board, Washington, D.C.   </w:t>
      </w:r>
    </w:p>
    <w:p w14:paraId="0721F9F2" w14:textId="77777777" w:rsidR="00F138B2" w:rsidRPr="00D66514" w:rsidRDefault="00F138B2" w:rsidP="00464934">
      <w:pPr>
        <w:pStyle w:val="ListParagraph"/>
        <w:ind w:left="1077" w:hanging="720"/>
        <w:rPr>
          <w:rFonts w:cs="Times New Roman"/>
          <w:noProof/>
          <w:szCs w:val="24"/>
        </w:rPr>
      </w:pPr>
    </w:p>
    <w:p w14:paraId="496EADE1" w14:textId="77777777" w:rsidR="00771638" w:rsidRPr="00D66514" w:rsidRDefault="00771638" w:rsidP="00464934">
      <w:pPr>
        <w:pStyle w:val="ListParagraph"/>
        <w:ind w:left="1077" w:hanging="720"/>
        <w:rPr>
          <w:rFonts w:cs="Times New Roman"/>
          <w:noProof/>
          <w:szCs w:val="24"/>
        </w:rPr>
      </w:pPr>
      <w:r w:rsidRPr="00D66514">
        <w:rPr>
          <w:rFonts w:cs="Times New Roman"/>
          <w:noProof/>
          <w:szCs w:val="24"/>
        </w:rPr>
        <w:t>American Association of State Highway and Transportation Officials, 2010. Highway Safety Manual. Washington, D.C.</w:t>
      </w:r>
    </w:p>
    <w:p w14:paraId="36117930" w14:textId="77777777" w:rsidR="00771638" w:rsidRPr="00D66514" w:rsidRDefault="00771638" w:rsidP="00771638">
      <w:pPr>
        <w:pStyle w:val="ListParagraph"/>
        <w:ind w:left="360"/>
        <w:rPr>
          <w:rFonts w:cs="Times New Roman"/>
          <w:noProof/>
          <w:szCs w:val="24"/>
        </w:rPr>
      </w:pPr>
    </w:p>
    <w:p w14:paraId="57630838" w14:textId="77777777" w:rsidR="00771638" w:rsidRPr="00D66514" w:rsidRDefault="00771638" w:rsidP="00464934">
      <w:pPr>
        <w:pStyle w:val="ListParagraph"/>
        <w:spacing w:line="240" w:lineRule="auto"/>
        <w:ind w:left="1077" w:hanging="720"/>
        <w:rPr>
          <w:rFonts w:cs="Times New Roman"/>
          <w:noProof/>
          <w:szCs w:val="24"/>
        </w:rPr>
      </w:pPr>
      <w:r w:rsidRPr="00D66514">
        <w:rPr>
          <w:rFonts w:cs="Times New Roman"/>
          <w:noProof/>
          <w:szCs w:val="24"/>
        </w:rPr>
        <w:t>Cafiso, S., Di Silvestro, G., Di Guardo, G., 2012. Application of Highway Safety Manual to Italian Divided Multilane Highways. Procedia-Social and Behavioral Sciences 53, 910-919.</w:t>
      </w:r>
    </w:p>
    <w:p w14:paraId="0D3F27C2" w14:textId="77777777" w:rsidR="00771638" w:rsidRPr="00D66514" w:rsidRDefault="00771638" w:rsidP="00771638">
      <w:pPr>
        <w:pStyle w:val="ListParagraph"/>
        <w:ind w:left="360"/>
        <w:rPr>
          <w:rFonts w:cs="Times New Roman"/>
          <w:noProof/>
          <w:szCs w:val="24"/>
        </w:rPr>
      </w:pPr>
    </w:p>
    <w:p w14:paraId="4AE50808" w14:textId="77777777" w:rsidR="00771638" w:rsidRPr="00D66514" w:rsidRDefault="00771638" w:rsidP="00464934">
      <w:pPr>
        <w:pStyle w:val="ListParagraph"/>
        <w:ind w:left="1077" w:hanging="720"/>
        <w:rPr>
          <w:rFonts w:cs="Times New Roman"/>
          <w:noProof/>
          <w:szCs w:val="24"/>
        </w:rPr>
      </w:pPr>
      <w:r w:rsidRPr="00D66514">
        <w:rPr>
          <w:rFonts w:cs="Times New Roman"/>
          <w:noProof/>
          <w:szCs w:val="24"/>
        </w:rPr>
        <w:t>Donnell, E., Mason, J., 2006. Predicting the Frequency of Median Barrier Crashes on Pennsylvania Interstate Highways. Accident Analysis &amp; Prevention 38 (3), 590-599.</w:t>
      </w:r>
    </w:p>
    <w:p w14:paraId="4F71EA7B" w14:textId="77777777" w:rsidR="00771638" w:rsidRPr="00D66514" w:rsidRDefault="00771638" w:rsidP="00771638">
      <w:pPr>
        <w:pStyle w:val="ListParagraph"/>
        <w:ind w:left="360"/>
        <w:rPr>
          <w:rFonts w:cs="Times New Roman"/>
          <w:noProof/>
          <w:szCs w:val="24"/>
        </w:rPr>
      </w:pPr>
    </w:p>
    <w:p w14:paraId="603D46C6" w14:textId="77777777" w:rsidR="00771638" w:rsidRPr="00D66514" w:rsidRDefault="00771638" w:rsidP="00464934">
      <w:pPr>
        <w:pStyle w:val="ListParagraph"/>
        <w:ind w:left="1077" w:hanging="720"/>
        <w:rPr>
          <w:rFonts w:cs="Times New Roman"/>
          <w:noProof/>
          <w:szCs w:val="24"/>
        </w:rPr>
      </w:pPr>
      <w:r w:rsidRPr="00D66514">
        <w:rPr>
          <w:rFonts w:cs="Times New Roman"/>
          <w:noProof/>
          <w:szCs w:val="24"/>
        </w:rPr>
        <w:t>El-Dabaja, S., McAvoy, D., 2015. Application of the Highway Safety Manual Predictive Method: A Before/After Case Study of Ohio State Route 682 in the Plains, Ohio. Presented at: 94th Annual Meeting of the Transportation Research Board, Washington, D.C.</w:t>
      </w:r>
    </w:p>
    <w:p w14:paraId="5240AD7E" w14:textId="77777777" w:rsidR="001E09DB" w:rsidRPr="00D66514" w:rsidRDefault="001E09DB" w:rsidP="00464934">
      <w:pPr>
        <w:pStyle w:val="ListParagraph"/>
        <w:ind w:left="1077" w:hanging="720"/>
        <w:rPr>
          <w:rFonts w:cs="Times New Roman"/>
          <w:noProof/>
          <w:szCs w:val="24"/>
        </w:rPr>
      </w:pPr>
    </w:p>
    <w:p w14:paraId="76C1D77B" w14:textId="57C2761B" w:rsidR="001E09DB" w:rsidRPr="00D66514" w:rsidRDefault="001E09DB" w:rsidP="00464934">
      <w:pPr>
        <w:pStyle w:val="ListParagraph"/>
        <w:ind w:left="1077" w:hanging="720"/>
        <w:rPr>
          <w:rFonts w:cs="Times New Roman"/>
          <w:noProof/>
          <w:szCs w:val="24"/>
        </w:rPr>
      </w:pPr>
      <w:r w:rsidRPr="00D66514">
        <w:rPr>
          <w:rFonts w:cs="Times New Roman"/>
          <w:noProof/>
          <w:szCs w:val="24"/>
        </w:rPr>
        <w:t>Elvik, R. 2008. The Predictive Validity of Empirical Bayes Estimates of Road Safety. Accident Analysis and Prevention 40 (6), 1964-1969.</w:t>
      </w:r>
    </w:p>
    <w:p w14:paraId="29D10ED2" w14:textId="77777777" w:rsidR="00771638" w:rsidRPr="00D66514" w:rsidRDefault="00771638" w:rsidP="00771638">
      <w:pPr>
        <w:pStyle w:val="ListParagraph"/>
        <w:ind w:left="360"/>
        <w:rPr>
          <w:rFonts w:cs="Times New Roman"/>
          <w:noProof/>
          <w:szCs w:val="24"/>
        </w:rPr>
      </w:pPr>
    </w:p>
    <w:p w14:paraId="54324F8D" w14:textId="77777777" w:rsidR="00771638" w:rsidRPr="00D66514" w:rsidRDefault="00771638" w:rsidP="00464934">
      <w:pPr>
        <w:pStyle w:val="ListParagraph"/>
        <w:ind w:left="1077" w:hanging="720"/>
        <w:rPr>
          <w:rFonts w:cs="Times New Roman"/>
          <w:noProof/>
          <w:szCs w:val="24"/>
        </w:rPr>
      </w:pPr>
      <w:r w:rsidRPr="00D66514">
        <w:rPr>
          <w:rFonts w:cs="Times New Roman"/>
          <w:noProof/>
          <w:szCs w:val="24"/>
        </w:rPr>
        <w:t>Elvik, R., Vaa, T., Erke, A., Sorensen, M., 2009. The Handbook of Road Safety Measures. Emerald Group Publishing, Bradford, U.K.</w:t>
      </w:r>
    </w:p>
    <w:p w14:paraId="2922B615" w14:textId="77777777" w:rsidR="00771638" w:rsidRPr="00D66514" w:rsidRDefault="00771638" w:rsidP="00771638">
      <w:pPr>
        <w:pStyle w:val="ListParagraph"/>
        <w:ind w:left="360"/>
        <w:rPr>
          <w:rFonts w:cs="Times New Roman"/>
          <w:noProof/>
          <w:szCs w:val="24"/>
        </w:rPr>
      </w:pPr>
    </w:p>
    <w:p w14:paraId="33AFFFA6" w14:textId="77777777" w:rsidR="00771638" w:rsidRPr="00D66514" w:rsidRDefault="00771638" w:rsidP="00464934">
      <w:pPr>
        <w:pStyle w:val="ListParagraph"/>
        <w:ind w:left="1077" w:hanging="720"/>
        <w:rPr>
          <w:rFonts w:cs="Times New Roman"/>
          <w:noProof/>
          <w:szCs w:val="24"/>
        </w:rPr>
      </w:pPr>
      <w:r w:rsidRPr="00D66514">
        <w:rPr>
          <w:rFonts w:cs="Times New Roman"/>
          <w:noProof/>
          <w:szCs w:val="24"/>
        </w:rPr>
        <w:t>Florida Statutes. Title XXIII – Motor Vehicle. The Florida Legislature, Tallahassee, Florida. http://www.leg.state.fl.us/Statutes/index.cfm?App_mode=Display_Statute&amp;Search_String=&amp;URL=0300-0399/0316/Sections/0316.065.html. Accessed Oct. 28, 2015.</w:t>
      </w:r>
    </w:p>
    <w:p w14:paraId="01EF49BE" w14:textId="77777777" w:rsidR="00771638" w:rsidRPr="00D66514" w:rsidRDefault="00771638" w:rsidP="00771638">
      <w:pPr>
        <w:pStyle w:val="ListParagraph"/>
        <w:ind w:left="360"/>
        <w:rPr>
          <w:rFonts w:cs="Times New Roman"/>
          <w:noProof/>
          <w:szCs w:val="24"/>
        </w:rPr>
      </w:pPr>
    </w:p>
    <w:p w14:paraId="1327816D" w14:textId="77777777" w:rsidR="001E09DB" w:rsidRPr="00D66514" w:rsidRDefault="001E09DB" w:rsidP="00464934">
      <w:pPr>
        <w:pStyle w:val="ListParagraph"/>
        <w:spacing w:line="240" w:lineRule="auto"/>
        <w:ind w:left="1077" w:hanging="720"/>
        <w:rPr>
          <w:rFonts w:cs="Times New Roman"/>
          <w:noProof/>
          <w:szCs w:val="24"/>
        </w:rPr>
      </w:pPr>
    </w:p>
    <w:p w14:paraId="7931357D" w14:textId="77777777" w:rsidR="001E09DB" w:rsidRPr="00D66514" w:rsidRDefault="001E09DB" w:rsidP="00464934">
      <w:pPr>
        <w:pStyle w:val="ListParagraph"/>
        <w:spacing w:line="240" w:lineRule="auto"/>
        <w:ind w:left="1077" w:hanging="720"/>
        <w:rPr>
          <w:rFonts w:cs="Times New Roman"/>
          <w:noProof/>
          <w:szCs w:val="24"/>
        </w:rPr>
      </w:pPr>
    </w:p>
    <w:p w14:paraId="53ECA79C" w14:textId="77777777" w:rsidR="00771638" w:rsidRPr="00D66514" w:rsidRDefault="00771638" w:rsidP="00464934">
      <w:pPr>
        <w:pStyle w:val="ListParagraph"/>
        <w:spacing w:line="240" w:lineRule="auto"/>
        <w:ind w:left="1077" w:hanging="720"/>
        <w:rPr>
          <w:rFonts w:cs="Times New Roman"/>
          <w:noProof/>
          <w:szCs w:val="24"/>
        </w:rPr>
      </w:pPr>
      <w:r w:rsidRPr="00D66514">
        <w:rPr>
          <w:rFonts w:cs="Times New Roman"/>
          <w:noProof/>
          <w:szCs w:val="24"/>
        </w:rPr>
        <w:lastRenderedPageBreak/>
        <w:t>Garber, N., Wu, L., 2001. Stochastic Models Relating Crash Probabilities with Geometric and Corresponding Traffic Characteristics Data. Presented to: National Intelligent Transportation Systems Implementation Research Center. U.S. Department of Transportation.</w:t>
      </w:r>
    </w:p>
    <w:p w14:paraId="38E6DE3F" w14:textId="77777777" w:rsidR="00771638" w:rsidRPr="00D66514" w:rsidRDefault="00771638" w:rsidP="00771638">
      <w:pPr>
        <w:pStyle w:val="ListParagraph"/>
        <w:ind w:left="360"/>
        <w:rPr>
          <w:rFonts w:cs="Times New Roman"/>
          <w:noProof/>
          <w:szCs w:val="24"/>
        </w:rPr>
      </w:pPr>
    </w:p>
    <w:p w14:paraId="0BE8E7D0" w14:textId="77777777" w:rsidR="00771638" w:rsidRPr="00D66514" w:rsidRDefault="00771638" w:rsidP="00464934">
      <w:pPr>
        <w:pStyle w:val="ListParagraph"/>
        <w:ind w:left="1077" w:hanging="720"/>
        <w:rPr>
          <w:rFonts w:cs="Times New Roman"/>
          <w:noProof/>
          <w:szCs w:val="24"/>
        </w:rPr>
      </w:pPr>
      <w:r w:rsidRPr="00D66514">
        <w:rPr>
          <w:rFonts w:cs="Times New Roman"/>
          <w:noProof/>
          <w:szCs w:val="24"/>
        </w:rPr>
        <w:t>Hadayeghi, A., Shalaby, A., Persaud, B., Cheung, C., 2006. Temporal Transferability and Updating of Zonal Level Accident Prediction Models. Accident Analysis &amp; Prevention 38 (3), 579-589.</w:t>
      </w:r>
    </w:p>
    <w:p w14:paraId="0111D0A3" w14:textId="77777777" w:rsidR="00771638" w:rsidRPr="00D66514" w:rsidRDefault="00771638" w:rsidP="00771638">
      <w:pPr>
        <w:pStyle w:val="ListParagraph"/>
        <w:ind w:left="360"/>
        <w:rPr>
          <w:rFonts w:cs="Times New Roman"/>
          <w:noProof/>
          <w:szCs w:val="24"/>
        </w:rPr>
      </w:pPr>
    </w:p>
    <w:p w14:paraId="237DA7ED" w14:textId="77777777" w:rsidR="00771638" w:rsidRPr="00D66514" w:rsidRDefault="00771638" w:rsidP="00464934">
      <w:pPr>
        <w:pStyle w:val="ListParagraph"/>
        <w:ind w:left="1077" w:hanging="720"/>
        <w:rPr>
          <w:rFonts w:cs="Times New Roman"/>
          <w:noProof/>
          <w:szCs w:val="24"/>
        </w:rPr>
      </w:pPr>
      <w:r w:rsidRPr="00D66514">
        <w:rPr>
          <w:rFonts w:cs="Times New Roman"/>
          <w:noProof/>
          <w:szCs w:val="24"/>
        </w:rPr>
        <w:t>Harnen, S., Umar, R., Wong, S., Hashim, W., 2004. Development of Prediction Models for Motorcycle Crashes at Signalized Intersections on Urban Roads in Malaysia. Journal of Transportation and Statistics 7 (2), 27-39.</w:t>
      </w:r>
    </w:p>
    <w:p w14:paraId="269FF71B" w14:textId="77777777" w:rsidR="00771638" w:rsidRPr="00D66514" w:rsidRDefault="00771638" w:rsidP="00771638">
      <w:pPr>
        <w:pStyle w:val="ListParagraph"/>
        <w:ind w:left="360"/>
        <w:rPr>
          <w:rFonts w:cs="Times New Roman"/>
          <w:noProof/>
          <w:szCs w:val="24"/>
        </w:rPr>
      </w:pPr>
    </w:p>
    <w:p w14:paraId="6B8FB024" w14:textId="5C8E48F9" w:rsidR="00EE71A4" w:rsidRPr="00D66514" w:rsidRDefault="00EE71A4" w:rsidP="00F913D7">
      <w:pPr>
        <w:pStyle w:val="ListParagraph"/>
        <w:ind w:left="1077" w:hanging="720"/>
        <w:rPr>
          <w:rFonts w:cs="Times New Roman"/>
          <w:noProof/>
          <w:szCs w:val="24"/>
        </w:rPr>
      </w:pPr>
      <w:r w:rsidRPr="00D66514">
        <w:rPr>
          <w:rFonts w:cs="Times New Roman"/>
          <w:noProof/>
          <w:szCs w:val="24"/>
        </w:rPr>
        <w:t xml:space="preserve">Highway Safety Information System. Guidebook for the Ohio State Data Files. Highway Safety Research Center, University of North Carolina, Chapel Hill, North Carolina. </w:t>
      </w:r>
      <w:r w:rsidR="00F913D7" w:rsidRPr="00D66514">
        <w:rPr>
          <w:rFonts w:cs="Times New Roman"/>
          <w:noProof/>
          <w:szCs w:val="24"/>
        </w:rPr>
        <w:t>http://www.hsisinfo.org/guidebooks/ohio.cfm</w:t>
      </w:r>
      <w:r w:rsidRPr="00D66514">
        <w:rPr>
          <w:rFonts w:cs="Times New Roman"/>
          <w:noProof/>
          <w:szCs w:val="24"/>
        </w:rPr>
        <w:t>. Accessed Nov. 11, 2015.</w:t>
      </w:r>
    </w:p>
    <w:p w14:paraId="3CBAF682" w14:textId="77777777" w:rsidR="00EE71A4" w:rsidRPr="00D66514" w:rsidRDefault="00EE71A4" w:rsidP="00771638">
      <w:pPr>
        <w:pStyle w:val="ListParagraph"/>
        <w:ind w:left="360"/>
        <w:rPr>
          <w:rFonts w:cs="Times New Roman"/>
          <w:noProof/>
          <w:szCs w:val="24"/>
        </w:rPr>
      </w:pPr>
    </w:p>
    <w:p w14:paraId="3DB07957" w14:textId="77777777" w:rsidR="00F913D7" w:rsidRPr="00D66514" w:rsidRDefault="00F913D7" w:rsidP="00F913D7">
      <w:pPr>
        <w:pStyle w:val="ListParagraph"/>
        <w:ind w:left="1077" w:hanging="720"/>
        <w:rPr>
          <w:rFonts w:cs="Times New Roman"/>
          <w:noProof/>
          <w:szCs w:val="24"/>
        </w:rPr>
      </w:pPr>
      <w:r w:rsidRPr="00D66514">
        <w:rPr>
          <w:rFonts w:cs="Times New Roman"/>
          <w:noProof/>
          <w:szCs w:val="24"/>
        </w:rPr>
        <w:t>Highway Safety Information System. State Data. Highway Safety Research Center, University of North Carolina, Chapel Hill, North Carolina. http://www.hsisinfo.org/. Accessed Sept. 28, 2015.</w:t>
      </w:r>
    </w:p>
    <w:p w14:paraId="1DF7E970" w14:textId="77777777" w:rsidR="00F913D7" w:rsidRPr="00D66514" w:rsidRDefault="00F913D7" w:rsidP="00771638">
      <w:pPr>
        <w:pStyle w:val="ListParagraph"/>
        <w:ind w:left="360"/>
        <w:rPr>
          <w:rFonts w:cs="Times New Roman"/>
          <w:noProof/>
          <w:szCs w:val="24"/>
        </w:rPr>
      </w:pPr>
    </w:p>
    <w:p w14:paraId="4A5ED648" w14:textId="77777777" w:rsidR="00771638" w:rsidRPr="00D66514" w:rsidRDefault="00771638" w:rsidP="00464934">
      <w:pPr>
        <w:pStyle w:val="ListParagraph"/>
        <w:ind w:left="1077" w:hanging="720"/>
        <w:rPr>
          <w:rFonts w:cs="Times New Roman"/>
          <w:noProof/>
          <w:szCs w:val="24"/>
        </w:rPr>
      </w:pPr>
      <w:r w:rsidRPr="00D66514">
        <w:rPr>
          <w:rFonts w:cs="Times New Roman"/>
          <w:noProof/>
          <w:szCs w:val="24"/>
        </w:rPr>
        <w:t>Kim, S., Chung, S., Song, K., Chon, K., 2005. Development of an Accident Prediction Model using GLIM (Generalized Log-linear Model) and EB method: A case of Seoul. Journal of the Eastern Asia Society for Transportation Studies 6, 3669-3682.</w:t>
      </w:r>
    </w:p>
    <w:p w14:paraId="334F77E0" w14:textId="77777777" w:rsidR="00771638" w:rsidRPr="00D66514" w:rsidRDefault="00771638" w:rsidP="00771638">
      <w:pPr>
        <w:pStyle w:val="ListParagraph"/>
        <w:ind w:left="360"/>
        <w:rPr>
          <w:rFonts w:cs="Times New Roman"/>
          <w:noProof/>
          <w:szCs w:val="24"/>
        </w:rPr>
      </w:pPr>
    </w:p>
    <w:p w14:paraId="0AB69F8D" w14:textId="77777777" w:rsidR="00771638" w:rsidRPr="00D66514" w:rsidRDefault="00771638" w:rsidP="00464934">
      <w:pPr>
        <w:pStyle w:val="ListParagraph"/>
        <w:ind w:left="1077" w:hanging="720"/>
        <w:rPr>
          <w:rFonts w:cs="Times New Roman"/>
          <w:noProof/>
          <w:szCs w:val="24"/>
        </w:rPr>
      </w:pPr>
      <w:r w:rsidRPr="00D66514">
        <w:rPr>
          <w:rFonts w:cs="Times New Roman"/>
          <w:noProof/>
          <w:szCs w:val="24"/>
        </w:rPr>
        <w:t>Kloeden, C., Ponte, G., McLean, A., 2001. Travelling Speed and the Risk of Crash Involvement on Rural Roads. Submitted to: Road Accident Research Unit of Adelaide University, Adelaide, U.K.</w:t>
      </w:r>
    </w:p>
    <w:p w14:paraId="1B13892A" w14:textId="77777777" w:rsidR="00771638" w:rsidRPr="00D66514" w:rsidRDefault="00771638" w:rsidP="00771638">
      <w:pPr>
        <w:pStyle w:val="ListParagraph"/>
        <w:ind w:left="360"/>
        <w:rPr>
          <w:rFonts w:cs="Times New Roman"/>
          <w:noProof/>
          <w:szCs w:val="24"/>
        </w:rPr>
      </w:pPr>
    </w:p>
    <w:p w14:paraId="5781D8CA" w14:textId="77777777" w:rsidR="00771638" w:rsidRPr="00D66514" w:rsidRDefault="00771638" w:rsidP="00464934">
      <w:pPr>
        <w:pStyle w:val="ListParagraph"/>
        <w:ind w:left="1077" w:hanging="720"/>
        <w:rPr>
          <w:rFonts w:cs="Times New Roman"/>
          <w:noProof/>
          <w:szCs w:val="24"/>
        </w:rPr>
      </w:pPr>
      <w:r w:rsidRPr="00D66514">
        <w:rPr>
          <w:rFonts w:cs="Times New Roman"/>
          <w:noProof/>
          <w:szCs w:val="24"/>
        </w:rPr>
        <w:t>Lee, J., Abdel-Aty, M., Choi, K., 2014. Analysis of Residence Characteristics of at-Fault Drivers in Traffic Crashes. Safety Science 68, 6-13.</w:t>
      </w:r>
    </w:p>
    <w:p w14:paraId="2B6690A1" w14:textId="77777777" w:rsidR="00771638" w:rsidRPr="00D66514" w:rsidRDefault="00771638" w:rsidP="00771638">
      <w:pPr>
        <w:pStyle w:val="ListParagraph"/>
        <w:ind w:left="360"/>
        <w:rPr>
          <w:rFonts w:cs="Times New Roman"/>
          <w:noProof/>
          <w:szCs w:val="24"/>
        </w:rPr>
      </w:pPr>
    </w:p>
    <w:p w14:paraId="18C742C3" w14:textId="77777777" w:rsidR="00771638" w:rsidRPr="00D66514" w:rsidRDefault="00771638" w:rsidP="00464934">
      <w:pPr>
        <w:pStyle w:val="ListParagraph"/>
        <w:ind w:left="1077" w:hanging="720"/>
        <w:rPr>
          <w:rFonts w:cs="Times New Roman"/>
          <w:noProof/>
          <w:szCs w:val="24"/>
        </w:rPr>
      </w:pPr>
      <w:r w:rsidRPr="00D66514">
        <w:rPr>
          <w:rFonts w:cs="Times New Roman"/>
          <w:noProof/>
          <w:szCs w:val="24"/>
        </w:rPr>
        <w:t>Local and Rural Road Safety Program. 2012 Traffic Safety Facts "Rural and Urban Comparison" DOT-HS-812-050. Federal Highway Administration, United States Department of Transportation, Washington D.C. http://safety.fhwa.dot.gov/local_rural/#programs. Accessed July 7, 2015.</w:t>
      </w:r>
    </w:p>
    <w:p w14:paraId="2F58F740" w14:textId="77777777" w:rsidR="00771638" w:rsidRPr="00D66514" w:rsidRDefault="00771638" w:rsidP="00771638">
      <w:pPr>
        <w:pStyle w:val="ListParagraph"/>
        <w:ind w:left="360"/>
        <w:rPr>
          <w:rFonts w:cs="Times New Roman"/>
          <w:noProof/>
          <w:szCs w:val="24"/>
        </w:rPr>
      </w:pPr>
    </w:p>
    <w:p w14:paraId="031225E0" w14:textId="77777777" w:rsidR="00771638" w:rsidRPr="00D66514" w:rsidRDefault="00771638" w:rsidP="00464934">
      <w:pPr>
        <w:pStyle w:val="ListParagraph"/>
        <w:ind w:left="1077" w:hanging="720"/>
        <w:rPr>
          <w:rFonts w:cs="Times New Roman"/>
          <w:noProof/>
          <w:szCs w:val="24"/>
        </w:rPr>
      </w:pPr>
      <w:r w:rsidRPr="00D66514">
        <w:rPr>
          <w:rFonts w:cs="Times New Roman"/>
          <w:noProof/>
          <w:szCs w:val="24"/>
        </w:rPr>
        <w:t>Lord, D., Geedipally, S., Persaud, B., Washington, S., Van Schalkwyk, I., Ivan, J., Lyon, C., Jonsson, T., 2008. NCHRP 126 Report: Methodology for Estimating the Safety Performance of Rural Multilane Highways. National Cooperative Highway Research Program, Transportation Research Board, Washington, D.C.</w:t>
      </w:r>
    </w:p>
    <w:p w14:paraId="6A43AAC2" w14:textId="77777777" w:rsidR="00771638" w:rsidRPr="00D66514" w:rsidRDefault="00771638" w:rsidP="00771638">
      <w:pPr>
        <w:pStyle w:val="ListParagraph"/>
        <w:ind w:left="360"/>
        <w:rPr>
          <w:rFonts w:cs="Times New Roman"/>
          <w:noProof/>
          <w:szCs w:val="24"/>
        </w:rPr>
      </w:pPr>
    </w:p>
    <w:p w14:paraId="40FAD103" w14:textId="77777777" w:rsidR="00771638" w:rsidRPr="00D66514" w:rsidRDefault="00771638" w:rsidP="00464934">
      <w:pPr>
        <w:pStyle w:val="ListParagraph"/>
        <w:ind w:left="1077" w:hanging="720"/>
        <w:rPr>
          <w:rFonts w:cs="Times New Roman"/>
          <w:noProof/>
          <w:szCs w:val="24"/>
        </w:rPr>
      </w:pPr>
      <w:r w:rsidRPr="00D66514">
        <w:rPr>
          <w:rFonts w:cs="Times New Roman"/>
          <w:noProof/>
          <w:szCs w:val="24"/>
        </w:rPr>
        <w:lastRenderedPageBreak/>
        <w:t>Lord, D., Washington, S., Ivan, J., 2005. Poisson, Poisson-gamma and Zero-Inflated Regression Models of Motor Vehicle Crashes: Balancing Statistical Fit and Theory. Accident Analysis &amp; Prevention 37 (1), 35-46.</w:t>
      </w:r>
    </w:p>
    <w:p w14:paraId="71312638" w14:textId="77777777" w:rsidR="00771638" w:rsidRPr="00D66514" w:rsidRDefault="00771638" w:rsidP="00771638">
      <w:pPr>
        <w:pStyle w:val="ListParagraph"/>
        <w:ind w:left="360"/>
        <w:rPr>
          <w:rFonts w:cs="Times New Roman"/>
          <w:noProof/>
          <w:szCs w:val="24"/>
        </w:rPr>
      </w:pPr>
    </w:p>
    <w:p w14:paraId="05943326" w14:textId="77777777" w:rsidR="00771638" w:rsidRPr="00D66514" w:rsidRDefault="00771638" w:rsidP="00464934">
      <w:pPr>
        <w:pStyle w:val="ListParagraph"/>
        <w:ind w:left="1077" w:hanging="720"/>
        <w:rPr>
          <w:rFonts w:cs="Times New Roman"/>
          <w:noProof/>
          <w:szCs w:val="24"/>
        </w:rPr>
      </w:pPr>
      <w:r w:rsidRPr="00D66514">
        <w:rPr>
          <w:rFonts w:cs="Times New Roman"/>
          <w:noProof/>
          <w:szCs w:val="24"/>
        </w:rPr>
        <w:t>Mehta, G., Lou, Y., 2013. Calibration and Development of Safety Performance Functions For Alabama: Two-Lane, Two-Way Rural Roads and Four-Lane Divided Highways. Transportation Research Record (2398), 75-82.</w:t>
      </w:r>
    </w:p>
    <w:p w14:paraId="5CA5A7F9" w14:textId="77777777" w:rsidR="00F138B2" w:rsidRPr="00D66514" w:rsidRDefault="00F138B2" w:rsidP="00F138B2">
      <w:pPr>
        <w:pStyle w:val="ListParagraph"/>
        <w:ind w:left="1077" w:hanging="720"/>
        <w:rPr>
          <w:rFonts w:cs="Times New Roman"/>
          <w:noProof/>
          <w:szCs w:val="24"/>
        </w:rPr>
      </w:pPr>
    </w:p>
    <w:p w14:paraId="1730ED2A" w14:textId="77777777" w:rsidR="00F138B2" w:rsidRPr="00D66514" w:rsidRDefault="00F138B2" w:rsidP="00F138B2">
      <w:pPr>
        <w:pStyle w:val="ListParagraph"/>
        <w:ind w:left="1077" w:hanging="720"/>
        <w:rPr>
          <w:rFonts w:cs="Times New Roman"/>
          <w:noProof/>
          <w:szCs w:val="24"/>
        </w:rPr>
      </w:pPr>
      <w:r w:rsidRPr="00D66514">
        <w:rPr>
          <w:rFonts w:cs="Times New Roman"/>
          <w:noProof/>
          <w:szCs w:val="24"/>
        </w:rPr>
        <w:t>Miaou, S.-P., 1994. The Relationship between Truck Accidents and Geometric Design of Road Sections: Poisson versus Negative Binomial Regressions. Accident Analysis &amp; Prevention 26 (4), 471-482.</w:t>
      </w:r>
    </w:p>
    <w:p w14:paraId="51F0AF02" w14:textId="77777777" w:rsidR="00F138B2" w:rsidRPr="00D66514" w:rsidRDefault="00F138B2" w:rsidP="00771638">
      <w:pPr>
        <w:pStyle w:val="ListParagraph"/>
        <w:ind w:left="360"/>
        <w:rPr>
          <w:rFonts w:cs="Times New Roman"/>
          <w:noProof/>
          <w:szCs w:val="24"/>
        </w:rPr>
      </w:pPr>
    </w:p>
    <w:p w14:paraId="052BC7CC" w14:textId="5128E341" w:rsidR="00771638" w:rsidRPr="00D66514" w:rsidRDefault="00771638" w:rsidP="00464934">
      <w:pPr>
        <w:pStyle w:val="ListParagraph"/>
        <w:ind w:left="1077" w:hanging="720"/>
        <w:rPr>
          <w:rFonts w:cs="Times New Roman"/>
          <w:noProof/>
          <w:szCs w:val="24"/>
        </w:rPr>
      </w:pPr>
      <w:r w:rsidRPr="00D66514">
        <w:rPr>
          <w:rFonts w:cs="Times New Roman"/>
          <w:noProof/>
          <w:szCs w:val="24"/>
        </w:rPr>
        <w:t xml:space="preserve">Miaou, S.-P., Hu, P., Wright, T., Davis, S., Rathi, A., 1993. Development of the Relationship between Truck Accidents and Geometric Design: Phase I. Publication FHWA-RD-91-124. Federal Highway Administration. U.S. Department of Transportation. </w:t>
      </w:r>
    </w:p>
    <w:p w14:paraId="7B9C83D8" w14:textId="77777777" w:rsidR="00771638" w:rsidRPr="00D66514" w:rsidRDefault="00771638" w:rsidP="00771638">
      <w:pPr>
        <w:pStyle w:val="ListParagraph"/>
        <w:ind w:left="360"/>
        <w:rPr>
          <w:rFonts w:cs="Times New Roman"/>
          <w:noProof/>
          <w:szCs w:val="24"/>
        </w:rPr>
      </w:pPr>
    </w:p>
    <w:p w14:paraId="1425FC10" w14:textId="77777777" w:rsidR="00771638" w:rsidRPr="00D66514" w:rsidRDefault="00771638" w:rsidP="00464934">
      <w:pPr>
        <w:pStyle w:val="ListParagraph"/>
        <w:ind w:left="1077" w:hanging="720"/>
        <w:rPr>
          <w:rFonts w:cs="Times New Roman"/>
          <w:noProof/>
          <w:szCs w:val="24"/>
        </w:rPr>
      </w:pPr>
      <w:r w:rsidRPr="00D66514">
        <w:rPr>
          <w:rFonts w:cs="Times New Roman"/>
          <w:noProof/>
          <w:szCs w:val="24"/>
        </w:rPr>
        <w:t>Miaou, S.-P., Lum, H., 1993. Modeling Vehicle Accidents and Highway Geometric Design Relationships. Accident Analysis &amp; Prevention 25 (6), 689-709.</w:t>
      </w:r>
    </w:p>
    <w:p w14:paraId="1043AE6F" w14:textId="77777777" w:rsidR="00771638" w:rsidRPr="00D66514" w:rsidRDefault="00771638" w:rsidP="00771638">
      <w:pPr>
        <w:pStyle w:val="ListParagraph"/>
        <w:ind w:left="360"/>
        <w:rPr>
          <w:rFonts w:cs="Times New Roman"/>
          <w:noProof/>
          <w:szCs w:val="24"/>
        </w:rPr>
      </w:pPr>
    </w:p>
    <w:p w14:paraId="0F8789C8" w14:textId="77777777" w:rsidR="00771638" w:rsidRPr="00D66514" w:rsidRDefault="00771638" w:rsidP="00464934">
      <w:pPr>
        <w:pStyle w:val="ListParagraph"/>
        <w:ind w:left="1077" w:hanging="720"/>
        <w:rPr>
          <w:rFonts w:cs="Times New Roman"/>
          <w:noProof/>
          <w:szCs w:val="24"/>
        </w:rPr>
      </w:pPr>
      <w:r w:rsidRPr="00D66514">
        <w:rPr>
          <w:rFonts w:cs="Times New Roman"/>
          <w:noProof/>
          <w:szCs w:val="24"/>
        </w:rPr>
        <w:t>Ohio Bureau of Motor Vehicles. When Involved in an Automobile Crash. Ohio Department of Public Safety, Columbus, Ohio. http://www.bmv.ohio.gov/fr_laws.stm. Accessed Oct. 28, 2015.</w:t>
      </w:r>
    </w:p>
    <w:p w14:paraId="5DBD6CA3" w14:textId="77777777" w:rsidR="00771638" w:rsidRPr="00D66514" w:rsidRDefault="00771638" w:rsidP="00771638">
      <w:pPr>
        <w:pStyle w:val="ListParagraph"/>
        <w:ind w:left="360"/>
        <w:rPr>
          <w:rFonts w:cs="Times New Roman"/>
          <w:noProof/>
          <w:szCs w:val="24"/>
        </w:rPr>
      </w:pPr>
    </w:p>
    <w:p w14:paraId="46FD7EC8" w14:textId="77777777" w:rsidR="00771638" w:rsidRPr="00D66514" w:rsidRDefault="00771638" w:rsidP="00464934">
      <w:pPr>
        <w:pStyle w:val="ListParagraph"/>
        <w:ind w:left="1077" w:hanging="720"/>
        <w:rPr>
          <w:rFonts w:cs="Times New Roman"/>
          <w:noProof/>
          <w:szCs w:val="24"/>
        </w:rPr>
      </w:pPr>
      <w:r w:rsidRPr="00D66514">
        <w:rPr>
          <w:rFonts w:cs="Times New Roman"/>
          <w:noProof/>
          <w:szCs w:val="24"/>
        </w:rPr>
        <w:t>Quimby, A., Maycock, G., Palmer, C., Buttress, S., 1999. The Factors That Influence A Driver's Choice of Speed: A Questionnaire Study. Publication TRL325. Transport Research Laboratory, Wokingham, Berkshire, U.K.</w:t>
      </w:r>
    </w:p>
    <w:p w14:paraId="6C8F4B4B" w14:textId="77777777" w:rsidR="00F138B2" w:rsidRPr="00D66514" w:rsidRDefault="00F138B2" w:rsidP="00771638">
      <w:pPr>
        <w:pStyle w:val="ListParagraph"/>
        <w:ind w:left="360"/>
        <w:rPr>
          <w:rFonts w:cs="Times New Roman"/>
          <w:noProof/>
          <w:szCs w:val="24"/>
        </w:rPr>
      </w:pPr>
    </w:p>
    <w:p w14:paraId="3C663519" w14:textId="77777777" w:rsidR="00771638" w:rsidRPr="00D66514" w:rsidRDefault="00771638" w:rsidP="00464934">
      <w:pPr>
        <w:pStyle w:val="ListParagraph"/>
        <w:ind w:left="1077" w:hanging="720"/>
        <w:rPr>
          <w:rFonts w:cs="Times New Roman"/>
          <w:noProof/>
          <w:szCs w:val="24"/>
        </w:rPr>
      </w:pPr>
      <w:r w:rsidRPr="00D66514">
        <w:rPr>
          <w:rFonts w:cs="Times New Roman"/>
          <w:noProof/>
          <w:szCs w:val="24"/>
        </w:rPr>
        <w:t>Salifu, M., 2004. Accident Prediction Models for Unsignalised Urban Junctions in Ghana. IATSS Research 28 (1), 68-81.</w:t>
      </w:r>
    </w:p>
    <w:p w14:paraId="380FDF51" w14:textId="77777777" w:rsidR="00771638" w:rsidRPr="00D66514" w:rsidRDefault="00771638" w:rsidP="00771638">
      <w:pPr>
        <w:pStyle w:val="ListParagraph"/>
        <w:ind w:left="360"/>
        <w:rPr>
          <w:rFonts w:cs="Times New Roman"/>
          <w:noProof/>
          <w:szCs w:val="24"/>
        </w:rPr>
      </w:pPr>
    </w:p>
    <w:p w14:paraId="53F6FB18" w14:textId="77777777" w:rsidR="00771638" w:rsidRPr="00D66514" w:rsidRDefault="00771638" w:rsidP="00464934">
      <w:pPr>
        <w:pStyle w:val="ListParagraph"/>
        <w:ind w:left="1077" w:hanging="720"/>
        <w:rPr>
          <w:rFonts w:cs="Times New Roman"/>
          <w:noProof/>
          <w:szCs w:val="24"/>
        </w:rPr>
      </w:pPr>
      <w:r w:rsidRPr="00D66514">
        <w:rPr>
          <w:rFonts w:cs="Times New Roman"/>
          <w:noProof/>
          <w:szCs w:val="24"/>
        </w:rPr>
        <w:t>Sawalha, Z., Sayed, T., 2006. Traffic Accident Modeling: Some Statistical Issues. Canadian Journal of Civil Engineering 33 (9), 1115-1124.</w:t>
      </w:r>
    </w:p>
    <w:p w14:paraId="450BAB4C" w14:textId="77777777" w:rsidR="00771638" w:rsidRPr="00D66514" w:rsidRDefault="00771638" w:rsidP="00771638">
      <w:pPr>
        <w:pStyle w:val="ListParagraph"/>
        <w:ind w:left="360"/>
        <w:rPr>
          <w:rFonts w:cs="Times New Roman"/>
          <w:noProof/>
          <w:szCs w:val="24"/>
        </w:rPr>
      </w:pPr>
    </w:p>
    <w:p w14:paraId="6BB76BCE" w14:textId="77777777" w:rsidR="00771638" w:rsidRPr="00D66514" w:rsidRDefault="00771638" w:rsidP="00464934">
      <w:pPr>
        <w:pStyle w:val="ListParagraph"/>
        <w:ind w:left="1077" w:hanging="720"/>
        <w:rPr>
          <w:rFonts w:cs="Times New Roman"/>
          <w:noProof/>
          <w:szCs w:val="24"/>
        </w:rPr>
      </w:pPr>
      <w:r w:rsidRPr="00D66514">
        <w:rPr>
          <w:rFonts w:cs="Times New Roman"/>
          <w:noProof/>
          <w:szCs w:val="24"/>
        </w:rPr>
        <w:t>Sikder, S., Augustin, B., Pinjari, A., Eluru, N., 2014. Spatial Transferability of Tour-Based Time-of-Day Choice Models: An Empirical Assessment. Transportation Research Record (2429), 99–109.</w:t>
      </w:r>
    </w:p>
    <w:p w14:paraId="76AFBEEF" w14:textId="77777777" w:rsidR="00771638" w:rsidRPr="00D66514" w:rsidRDefault="00771638" w:rsidP="00771638">
      <w:pPr>
        <w:pStyle w:val="ListParagraph"/>
        <w:ind w:left="360"/>
        <w:rPr>
          <w:rFonts w:cs="Times New Roman"/>
          <w:noProof/>
          <w:szCs w:val="24"/>
        </w:rPr>
      </w:pPr>
    </w:p>
    <w:p w14:paraId="4F3CD5D4" w14:textId="77777777" w:rsidR="00771638" w:rsidRPr="00D66514" w:rsidRDefault="00771638" w:rsidP="00464934">
      <w:pPr>
        <w:pStyle w:val="ListParagraph"/>
        <w:ind w:left="1077" w:hanging="720"/>
        <w:rPr>
          <w:rFonts w:cs="Times New Roman"/>
          <w:noProof/>
          <w:szCs w:val="24"/>
        </w:rPr>
      </w:pPr>
      <w:r w:rsidRPr="00D66514">
        <w:rPr>
          <w:rFonts w:cs="Times New Roman"/>
          <w:noProof/>
          <w:szCs w:val="24"/>
        </w:rPr>
        <w:t>Srinivasan, R., Carter, D., 2011. Development of Safety Performance Functions for North Carolina. Publication FHWA/NC/2010-09. Research and Analysis Group, North Carolina Department of Transportation.</w:t>
      </w:r>
    </w:p>
    <w:p w14:paraId="242ECDFE" w14:textId="77777777" w:rsidR="00771638" w:rsidRPr="00D66514" w:rsidRDefault="00771638" w:rsidP="00464934">
      <w:pPr>
        <w:pStyle w:val="ListParagraph"/>
        <w:ind w:left="1077" w:hanging="720"/>
        <w:rPr>
          <w:rFonts w:cs="Times New Roman"/>
          <w:noProof/>
          <w:szCs w:val="24"/>
        </w:rPr>
      </w:pPr>
      <w:r w:rsidRPr="00D66514">
        <w:rPr>
          <w:rFonts w:cs="Times New Roman"/>
          <w:noProof/>
          <w:szCs w:val="24"/>
        </w:rPr>
        <w:t>Sun, C., Brown, H., Edara, P., Claros, B., Nam, K., 2014. Calibration of the HSM’s SPFs for Missouri. Publication CMR14-007. Missouri Department of Transportation.</w:t>
      </w:r>
    </w:p>
    <w:p w14:paraId="32A14D89" w14:textId="77777777" w:rsidR="00771638" w:rsidRPr="00D66514" w:rsidRDefault="00771638" w:rsidP="00771638">
      <w:pPr>
        <w:pStyle w:val="ListParagraph"/>
        <w:ind w:left="360"/>
        <w:rPr>
          <w:rFonts w:cs="Times New Roman"/>
          <w:noProof/>
          <w:szCs w:val="24"/>
        </w:rPr>
      </w:pPr>
    </w:p>
    <w:p w14:paraId="71284673" w14:textId="77777777" w:rsidR="00771638" w:rsidRPr="00D66514" w:rsidRDefault="00771638" w:rsidP="00464934">
      <w:pPr>
        <w:pStyle w:val="ListParagraph"/>
        <w:ind w:left="1077" w:hanging="720"/>
        <w:rPr>
          <w:rFonts w:cs="Times New Roman"/>
          <w:noProof/>
          <w:szCs w:val="24"/>
        </w:rPr>
      </w:pPr>
      <w:r w:rsidRPr="00D66514">
        <w:rPr>
          <w:rFonts w:cs="Times New Roman"/>
          <w:noProof/>
          <w:szCs w:val="24"/>
        </w:rPr>
        <w:lastRenderedPageBreak/>
        <w:t>Sun, X., Li, Y., Magri, D., Shirazi, H., 2006. Application of “Highway Safety Manual” Draft Chapter: Louisiana Experience. Transportation Research Record (1950), 55-64.</w:t>
      </w:r>
    </w:p>
    <w:p w14:paraId="3123A722" w14:textId="77777777" w:rsidR="00771638" w:rsidRPr="00D66514" w:rsidRDefault="00771638" w:rsidP="00771638">
      <w:pPr>
        <w:pStyle w:val="ListParagraph"/>
        <w:ind w:left="360"/>
        <w:rPr>
          <w:rFonts w:cs="Times New Roman"/>
          <w:noProof/>
          <w:szCs w:val="24"/>
        </w:rPr>
      </w:pPr>
    </w:p>
    <w:p w14:paraId="3FCF98D8" w14:textId="77777777" w:rsidR="00771638" w:rsidRPr="00D66514" w:rsidRDefault="00771638" w:rsidP="00464934">
      <w:pPr>
        <w:pStyle w:val="ListParagraph"/>
        <w:ind w:left="1077" w:hanging="720"/>
        <w:rPr>
          <w:rFonts w:cs="Times New Roman"/>
          <w:noProof/>
          <w:szCs w:val="24"/>
        </w:rPr>
      </w:pPr>
      <w:r w:rsidRPr="00D66514">
        <w:rPr>
          <w:rFonts w:cs="Times New Roman"/>
          <w:noProof/>
          <w:szCs w:val="24"/>
        </w:rPr>
        <w:t>Taylor, M., Baruya, A., Kennedy, J., 2002. The Relationship between Speed and Accidents on Rural Single-Carriageway Roads. Publication TRL511. Transport Research Laboratory, Wokingham, Berkshire, U.K.</w:t>
      </w:r>
    </w:p>
    <w:p w14:paraId="1A2779FA" w14:textId="77777777" w:rsidR="00771638" w:rsidRPr="00D66514" w:rsidRDefault="00771638" w:rsidP="00771638">
      <w:pPr>
        <w:pStyle w:val="ListParagraph"/>
        <w:ind w:left="360"/>
        <w:rPr>
          <w:rFonts w:cs="Times New Roman"/>
          <w:noProof/>
          <w:szCs w:val="24"/>
        </w:rPr>
      </w:pPr>
    </w:p>
    <w:p w14:paraId="777F27AF" w14:textId="77777777" w:rsidR="00771638" w:rsidRPr="00D66514" w:rsidRDefault="00771638" w:rsidP="00464934">
      <w:pPr>
        <w:pStyle w:val="ListParagraph"/>
        <w:ind w:left="1077" w:hanging="720"/>
        <w:rPr>
          <w:rFonts w:cs="Times New Roman"/>
          <w:noProof/>
          <w:szCs w:val="24"/>
        </w:rPr>
      </w:pPr>
      <w:r w:rsidRPr="00D66514">
        <w:rPr>
          <w:rFonts w:cs="Times New Roman"/>
          <w:noProof/>
          <w:szCs w:val="24"/>
        </w:rPr>
        <w:t>Xie, F., Gladhill, K., Dixon, K., Monsere, C., 2011. Calibration of Highway Safety Manual Predictive Models for Oregon State Highways. Transportation Research Record (2241), 19-28.</w:t>
      </w:r>
    </w:p>
    <w:p w14:paraId="642269CB" w14:textId="77777777" w:rsidR="00771638" w:rsidRPr="00D66514" w:rsidRDefault="00771638" w:rsidP="00771638">
      <w:pPr>
        <w:pStyle w:val="ListParagraph"/>
        <w:ind w:left="360"/>
        <w:rPr>
          <w:rFonts w:cs="Times New Roman"/>
          <w:noProof/>
          <w:szCs w:val="24"/>
        </w:rPr>
      </w:pPr>
    </w:p>
    <w:p w14:paraId="73801150" w14:textId="17418F74" w:rsidR="004C334F" w:rsidRPr="007E2A7F" w:rsidRDefault="00771638" w:rsidP="00464934">
      <w:pPr>
        <w:pStyle w:val="ListParagraph"/>
        <w:ind w:left="1077" w:hanging="720"/>
        <w:rPr>
          <w:rFonts w:cs="Times New Roman"/>
          <w:noProof/>
          <w:szCs w:val="24"/>
        </w:rPr>
      </w:pPr>
      <w:r w:rsidRPr="00D66514">
        <w:rPr>
          <w:rFonts w:cs="Times New Roman"/>
          <w:noProof/>
          <w:szCs w:val="24"/>
        </w:rPr>
        <w:t>Young, J., Park, P., 2012. Comparing the Highway Safety Manual’s Safety Performance Functions with Jurisdiction Specific Functions for Intersections in Regina. Presented at: 2012 Annual Meeting of the Transportation Association of Canada Federation, New Brunswick.</w:t>
      </w:r>
    </w:p>
    <w:sectPr w:rsidR="004C334F" w:rsidRPr="007E2A7F" w:rsidSect="007D4EBE">
      <w:type w:val="continuous"/>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D0DA5" w14:textId="77777777" w:rsidR="00A226E1" w:rsidRDefault="00A226E1" w:rsidP="00FD5D48">
      <w:pPr>
        <w:spacing w:after="0" w:line="240" w:lineRule="auto"/>
      </w:pPr>
      <w:r>
        <w:separator/>
      </w:r>
    </w:p>
  </w:endnote>
  <w:endnote w:type="continuationSeparator" w:id="0">
    <w:p w14:paraId="6BE104F6" w14:textId="77777777" w:rsidR="00A226E1" w:rsidRDefault="00A226E1" w:rsidP="00FD5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D7D11" w14:textId="77777777" w:rsidR="00A226E1" w:rsidRDefault="00A226E1" w:rsidP="00FD5D48">
      <w:pPr>
        <w:spacing w:after="0" w:line="240" w:lineRule="auto"/>
      </w:pPr>
      <w:r>
        <w:separator/>
      </w:r>
    </w:p>
  </w:footnote>
  <w:footnote w:type="continuationSeparator" w:id="0">
    <w:p w14:paraId="2087B0DD" w14:textId="77777777" w:rsidR="00A226E1" w:rsidRDefault="00A226E1" w:rsidP="00FD5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F195E" w14:textId="25622443" w:rsidR="00D913F8" w:rsidRDefault="00D913F8">
    <w:pPr>
      <w:pStyle w:val="Header"/>
    </w:pPr>
    <w:r>
      <w:t>Farid, Abdel-Aty, Lee and Eluru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8D24D" w14:textId="110C48E1" w:rsidR="00D913F8" w:rsidRDefault="00D913F8" w:rsidP="00B04D0A">
    <w:pPr>
      <w:pStyle w:val="Header"/>
    </w:pPr>
    <w:r>
      <w:t xml:space="preserve">Farid, Abdel-Aty, Lee, Eluru and Wang </w:t>
    </w:r>
    <w:r>
      <w:ptab w:relativeTo="margin" w:alignment="right" w:leader="none"/>
    </w:r>
    <w:r>
      <w:fldChar w:fldCharType="begin"/>
    </w:r>
    <w:r>
      <w:instrText xml:space="preserve"> PAGE  \* Arabic  \* MERGEFORMAT </w:instrText>
    </w:r>
    <w:r>
      <w:fldChar w:fldCharType="separate"/>
    </w:r>
    <w:r w:rsidR="00B6222E">
      <w:rPr>
        <w:noProof/>
      </w:rPr>
      <w:t>6</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3260538"/>
      <w:docPartObj>
        <w:docPartGallery w:val="Page Numbers (Top of Page)"/>
        <w:docPartUnique/>
      </w:docPartObj>
    </w:sdtPr>
    <w:sdtEndPr>
      <w:rPr>
        <w:noProof/>
      </w:rPr>
    </w:sdtEndPr>
    <w:sdtContent>
      <w:p w14:paraId="1D73DB14" w14:textId="533978D2" w:rsidR="00D913F8" w:rsidRDefault="00D913F8">
        <w:pPr>
          <w:pStyle w:val="Header"/>
          <w:jc w:val="right"/>
        </w:pPr>
        <w:r>
          <w:fldChar w:fldCharType="begin"/>
        </w:r>
        <w:r>
          <w:instrText xml:space="preserve"> PAGE   \* MERGEFORMAT </w:instrText>
        </w:r>
        <w:r>
          <w:fldChar w:fldCharType="separate"/>
        </w:r>
        <w:r w:rsidR="00B6222E">
          <w:rPr>
            <w:noProof/>
          </w:rPr>
          <w:t>9</w:t>
        </w:r>
        <w:r>
          <w:rPr>
            <w:noProof/>
          </w:rPr>
          <w:fldChar w:fldCharType="end"/>
        </w:r>
      </w:p>
    </w:sdtContent>
  </w:sdt>
  <w:p w14:paraId="7599B0DD" w14:textId="0713CB88" w:rsidR="00D913F8" w:rsidRDefault="00D913F8" w:rsidP="00B04D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83FAA"/>
    <w:multiLevelType w:val="hybridMultilevel"/>
    <w:tmpl w:val="46267E4C"/>
    <w:lvl w:ilvl="0" w:tplc="069E37FC">
      <w:start w:val="40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54F93"/>
    <w:multiLevelType w:val="hybridMultilevel"/>
    <w:tmpl w:val="FC3643EC"/>
    <w:lvl w:ilvl="0" w:tplc="E88248A2">
      <w:start w:val="407"/>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760BAE"/>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4EA659F"/>
    <w:multiLevelType w:val="hybridMultilevel"/>
    <w:tmpl w:val="C5A268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EEA0ABB"/>
    <w:multiLevelType w:val="hybridMultilevel"/>
    <w:tmpl w:val="9226602C"/>
    <w:lvl w:ilvl="0" w:tplc="1A847A6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3F4DE4"/>
    <w:multiLevelType w:val="hybridMultilevel"/>
    <w:tmpl w:val="C0E6EE16"/>
    <w:lvl w:ilvl="0" w:tplc="4658EE30">
      <w:start w:val="1"/>
      <w:numFmt w:val="bullet"/>
      <w:lvlText w:val=""/>
      <w:lvlJc w:val="left"/>
      <w:pPr>
        <w:tabs>
          <w:tab w:val="num" w:pos="720"/>
        </w:tabs>
        <w:ind w:left="720" w:hanging="360"/>
      </w:pPr>
      <w:rPr>
        <w:rFonts w:ascii="Wingdings" w:hAnsi="Wingdings" w:hint="default"/>
      </w:rPr>
    </w:lvl>
    <w:lvl w:ilvl="1" w:tplc="6074981E" w:tentative="1">
      <w:start w:val="1"/>
      <w:numFmt w:val="bullet"/>
      <w:lvlText w:val=""/>
      <w:lvlJc w:val="left"/>
      <w:pPr>
        <w:tabs>
          <w:tab w:val="num" w:pos="1440"/>
        </w:tabs>
        <w:ind w:left="1440" w:hanging="360"/>
      </w:pPr>
      <w:rPr>
        <w:rFonts w:ascii="Wingdings" w:hAnsi="Wingdings" w:hint="default"/>
      </w:rPr>
    </w:lvl>
    <w:lvl w:ilvl="2" w:tplc="27DC90DC" w:tentative="1">
      <w:start w:val="1"/>
      <w:numFmt w:val="bullet"/>
      <w:lvlText w:val=""/>
      <w:lvlJc w:val="left"/>
      <w:pPr>
        <w:tabs>
          <w:tab w:val="num" w:pos="2160"/>
        </w:tabs>
        <w:ind w:left="2160" w:hanging="360"/>
      </w:pPr>
      <w:rPr>
        <w:rFonts w:ascii="Wingdings" w:hAnsi="Wingdings" w:hint="default"/>
      </w:rPr>
    </w:lvl>
    <w:lvl w:ilvl="3" w:tplc="BDECC212" w:tentative="1">
      <w:start w:val="1"/>
      <w:numFmt w:val="bullet"/>
      <w:lvlText w:val=""/>
      <w:lvlJc w:val="left"/>
      <w:pPr>
        <w:tabs>
          <w:tab w:val="num" w:pos="2880"/>
        </w:tabs>
        <w:ind w:left="2880" w:hanging="360"/>
      </w:pPr>
      <w:rPr>
        <w:rFonts w:ascii="Wingdings" w:hAnsi="Wingdings" w:hint="default"/>
      </w:rPr>
    </w:lvl>
    <w:lvl w:ilvl="4" w:tplc="DB74AF18" w:tentative="1">
      <w:start w:val="1"/>
      <w:numFmt w:val="bullet"/>
      <w:lvlText w:val=""/>
      <w:lvlJc w:val="left"/>
      <w:pPr>
        <w:tabs>
          <w:tab w:val="num" w:pos="3600"/>
        </w:tabs>
        <w:ind w:left="3600" w:hanging="360"/>
      </w:pPr>
      <w:rPr>
        <w:rFonts w:ascii="Wingdings" w:hAnsi="Wingdings" w:hint="default"/>
      </w:rPr>
    </w:lvl>
    <w:lvl w:ilvl="5" w:tplc="CC767E22" w:tentative="1">
      <w:start w:val="1"/>
      <w:numFmt w:val="bullet"/>
      <w:lvlText w:val=""/>
      <w:lvlJc w:val="left"/>
      <w:pPr>
        <w:tabs>
          <w:tab w:val="num" w:pos="4320"/>
        </w:tabs>
        <w:ind w:left="4320" w:hanging="360"/>
      </w:pPr>
      <w:rPr>
        <w:rFonts w:ascii="Wingdings" w:hAnsi="Wingdings" w:hint="default"/>
      </w:rPr>
    </w:lvl>
    <w:lvl w:ilvl="6" w:tplc="715C6AA4" w:tentative="1">
      <w:start w:val="1"/>
      <w:numFmt w:val="bullet"/>
      <w:lvlText w:val=""/>
      <w:lvlJc w:val="left"/>
      <w:pPr>
        <w:tabs>
          <w:tab w:val="num" w:pos="5040"/>
        </w:tabs>
        <w:ind w:left="5040" w:hanging="360"/>
      </w:pPr>
      <w:rPr>
        <w:rFonts w:ascii="Wingdings" w:hAnsi="Wingdings" w:hint="default"/>
      </w:rPr>
    </w:lvl>
    <w:lvl w:ilvl="7" w:tplc="9544FC2A" w:tentative="1">
      <w:start w:val="1"/>
      <w:numFmt w:val="bullet"/>
      <w:lvlText w:val=""/>
      <w:lvlJc w:val="left"/>
      <w:pPr>
        <w:tabs>
          <w:tab w:val="num" w:pos="5760"/>
        </w:tabs>
        <w:ind w:left="5760" w:hanging="360"/>
      </w:pPr>
      <w:rPr>
        <w:rFonts w:ascii="Wingdings" w:hAnsi="Wingdings" w:hint="default"/>
      </w:rPr>
    </w:lvl>
    <w:lvl w:ilvl="8" w:tplc="87BE1AD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E751D7"/>
    <w:multiLevelType w:val="hybridMultilevel"/>
    <w:tmpl w:val="5FBAB880"/>
    <w:lvl w:ilvl="0" w:tplc="20BE9C9A">
      <w:start w:val="2"/>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737A5043"/>
    <w:multiLevelType w:val="hybridMultilevel"/>
    <w:tmpl w:val="AB5E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4F4507"/>
    <w:multiLevelType w:val="hybridMultilevel"/>
    <w:tmpl w:val="AB5E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0"/>
  </w:num>
  <w:num w:numId="4">
    <w:abstractNumId w:val="1"/>
  </w:num>
  <w:num w:numId="5">
    <w:abstractNumId w:val="6"/>
  </w:num>
  <w:num w:numId="6">
    <w:abstractNumId w:val="4"/>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332"/>
    <w:rsid w:val="000008AF"/>
    <w:rsid w:val="00000C15"/>
    <w:rsid w:val="00004336"/>
    <w:rsid w:val="00006410"/>
    <w:rsid w:val="00006CDA"/>
    <w:rsid w:val="00007C21"/>
    <w:rsid w:val="00012376"/>
    <w:rsid w:val="0002068C"/>
    <w:rsid w:val="0002426C"/>
    <w:rsid w:val="000257AC"/>
    <w:rsid w:val="00025D38"/>
    <w:rsid w:val="00026F71"/>
    <w:rsid w:val="00030D29"/>
    <w:rsid w:val="00031888"/>
    <w:rsid w:val="00036EB8"/>
    <w:rsid w:val="000371A3"/>
    <w:rsid w:val="000372B5"/>
    <w:rsid w:val="00037BFB"/>
    <w:rsid w:val="00037D20"/>
    <w:rsid w:val="00041729"/>
    <w:rsid w:val="0004240D"/>
    <w:rsid w:val="000430F8"/>
    <w:rsid w:val="0004343B"/>
    <w:rsid w:val="00045F03"/>
    <w:rsid w:val="000475E7"/>
    <w:rsid w:val="00047DBD"/>
    <w:rsid w:val="0005735D"/>
    <w:rsid w:val="000604A7"/>
    <w:rsid w:val="00060776"/>
    <w:rsid w:val="0006208F"/>
    <w:rsid w:val="000625BA"/>
    <w:rsid w:val="00064CAE"/>
    <w:rsid w:val="00065CB9"/>
    <w:rsid w:val="000714A2"/>
    <w:rsid w:val="00071DE2"/>
    <w:rsid w:val="0008279C"/>
    <w:rsid w:val="000850D8"/>
    <w:rsid w:val="0008643D"/>
    <w:rsid w:val="000917BE"/>
    <w:rsid w:val="000A2050"/>
    <w:rsid w:val="000A31D8"/>
    <w:rsid w:val="000B0A77"/>
    <w:rsid w:val="000B2C34"/>
    <w:rsid w:val="000B369C"/>
    <w:rsid w:val="000B4951"/>
    <w:rsid w:val="000B561C"/>
    <w:rsid w:val="000B59BA"/>
    <w:rsid w:val="000B5E94"/>
    <w:rsid w:val="000B64BD"/>
    <w:rsid w:val="000C3E6E"/>
    <w:rsid w:val="000C64A9"/>
    <w:rsid w:val="000D4345"/>
    <w:rsid w:val="000D5C6B"/>
    <w:rsid w:val="000D67EE"/>
    <w:rsid w:val="000E14A3"/>
    <w:rsid w:val="000E1F38"/>
    <w:rsid w:val="000E222D"/>
    <w:rsid w:val="000F3DF3"/>
    <w:rsid w:val="000F51B0"/>
    <w:rsid w:val="00100479"/>
    <w:rsid w:val="00101BD9"/>
    <w:rsid w:val="00102147"/>
    <w:rsid w:val="0010257F"/>
    <w:rsid w:val="00104954"/>
    <w:rsid w:val="0011159B"/>
    <w:rsid w:val="00112890"/>
    <w:rsid w:val="00116913"/>
    <w:rsid w:val="00121028"/>
    <w:rsid w:val="00122ED3"/>
    <w:rsid w:val="00123322"/>
    <w:rsid w:val="001234BF"/>
    <w:rsid w:val="00123CE9"/>
    <w:rsid w:val="001241C4"/>
    <w:rsid w:val="001327CD"/>
    <w:rsid w:val="001335CB"/>
    <w:rsid w:val="001374C0"/>
    <w:rsid w:val="001407F7"/>
    <w:rsid w:val="001440BF"/>
    <w:rsid w:val="00155CEE"/>
    <w:rsid w:val="00156163"/>
    <w:rsid w:val="00166557"/>
    <w:rsid w:val="00171B2F"/>
    <w:rsid w:val="00186037"/>
    <w:rsid w:val="00193361"/>
    <w:rsid w:val="001A31AE"/>
    <w:rsid w:val="001B2071"/>
    <w:rsid w:val="001B21C4"/>
    <w:rsid w:val="001B25F4"/>
    <w:rsid w:val="001B4AE9"/>
    <w:rsid w:val="001B5430"/>
    <w:rsid w:val="001B597D"/>
    <w:rsid w:val="001C1B1D"/>
    <w:rsid w:val="001C3239"/>
    <w:rsid w:val="001C49F6"/>
    <w:rsid w:val="001D452D"/>
    <w:rsid w:val="001D6909"/>
    <w:rsid w:val="001D7AFC"/>
    <w:rsid w:val="001E09DB"/>
    <w:rsid w:val="001E5667"/>
    <w:rsid w:val="001E582A"/>
    <w:rsid w:val="001E627E"/>
    <w:rsid w:val="001F0B8D"/>
    <w:rsid w:val="001F3E14"/>
    <w:rsid w:val="00202AA5"/>
    <w:rsid w:val="002100CA"/>
    <w:rsid w:val="00213BF8"/>
    <w:rsid w:val="00216391"/>
    <w:rsid w:val="00217EC5"/>
    <w:rsid w:val="00224AE6"/>
    <w:rsid w:val="00233485"/>
    <w:rsid w:val="00236321"/>
    <w:rsid w:val="002413DA"/>
    <w:rsid w:val="002437D1"/>
    <w:rsid w:val="002446E6"/>
    <w:rsid w:val="00250EFF"/>
    <w:rsid w:val="00250FF3"/>
    <w:rsid w:val="002515C5"/>
    <w:rsid w:val="00251B41"/>
    <w:rsid w:val="00253E5B"/>
    <w:rsid w:val="002556DE"/>
    <w:rsid w:val="00261256"/>
    <w:rsid w:val="00261E18"/>
    <w:rsid w:val="00262750"/>
    <w:rsid w:val="00263462"/>
    <w:rsid w:val="00265634"/>
    <w:rsid w:val="00275401"/>
    <w:rsid w:val="00277EEB"/>
    <w:rsid w:val="002806B9"/>
    <w:rsid w:val="00282631"/>
    <w:rsid w:val="00286FA0"/>
    <w:rsid w:val="002912A6"/>
    <w:rsid w:val="002934D6"/>
    <w:rsid w:val="002957DC"/>
    <w:rsid w:val="0029644D"/>
    <w:rsid w:val="002965B8"/>
    <w:rsid w:val="002A7404"/>
    <w:rsid w:val="002B4D72"/>
    <w:rsid w:val="002B5049"/>
    <w:rsid w:val="002B69BD"/>
    <w:rsid w:val="002C07E7"/>
    <w:rsid w:val="002C1137"/>
    <w:rsid w:val="002D3694"/>
    <w:rsid w:val="002D650A"/>
    <w:rsid w:val="002E0B7F"/>
    <w:rsid w:val="002E2681"/>
    <w:rsid w:val="002E2FD8"/>
    <w:rsid w:val="002F1674"/>
    <w:rsid w:val="00301FE6"/>
    <w:rsid w:val="00302293"/>
    <w:rsid w:val="00302A6C"/>
    <w:rsid w:val="0030577B"/>
    <w:rsid w:val="00305A72"/>
    <w:rsid w:val="0030789C"/>
    <w:rsid w:val="0031267D"/>
    <w:rsid w:val="00314DA5"/>
    <w:rsid w:val="003151DC"/>
    <w:rsid w:val="003203FB"/>
    <w:rsid w:val="00322F23"/>
    <w:rsid w:val="00334761"/>
    <w:rsid w:val="00343874"/>
    <w:rsid w:val="00344AAD"/>
    <w:rsid w:val="003570B4"/>
    <w:rsid w:val="00357C77"/>
    <w:rsid w:val="00363148"/>
    <w:rsid w:val="00363379"/>
    <w:rsid w:val="00364485"/>
    <w:rsid w:val="00370568"/>
    <w:rsid w:val="0037144E"/>
    <w:rsid w:val="00372344"/>
    <w:rsid w:val="003729B2"/>
    <w:rsid w:val="00373C05"/>
    <w:rsid w:val="00375BC1"/>
    <w:rsid w:val="00375C39"/>
    <w:rsid w:val="00380959"/>
    <w:rsid w:val="003816AB"/>
    <w:rsid w:val="00382B78"/>
    <w:rsid w:val="00383BA1"/>
    <w:rsid w:val="00383D27"/>
    <w:rsid w:val="003919BA"/>
    <w:rsid w:val="003940DA"/>
    <w:rsid w:val="003A2A36"/>
    <w:rsid w:val="003A2E5A"/>
    <w:rsid w:val="003A3CEB"/>
    <w:rsid w:val="003A6B9D"/>
    <w:rsid w:val="003B2A1C"/>
    <w:rsid w:val="003B2EB5"/>
    <w:rsid w:val="003B49AC"/>
    <w:rsid w:val="003B57AD"/>
    <w:rsid w:val="003B7713"/>
    <w:rsid w:val="003B7D2C"/>
    <w:rsid w:val="003C616C"/>
    <w:rsid w:val="003C70B7"/>
    <w:rsid w:val="003C71FE"/>
    <w:rsid w:val="003D0BF5"/>
    <w:rsid w:val="003D2519"/>
    <w:rsid w:val="003E2D25"/>
    <w:rsid w:val="003E3862"/>
    <w:rsid w:val="003E7DE9"/>
    <w:rsid w:val="003F1D6E"/>
    <w:rsid w:val="003F1E19"/>
    <w:rsid w:val="003F2FAA"/>
    <w:rsid w:val="003F43B6"/>
    <w:rsid w:val="004026CC"/>
    <w:rsid w:val="00403020"/>
    <w:rsid w:val="00405AB5"/>
    <w:rsid w:val="0040634D"/>
    <w:rsid w:val="004076A9"/>
    <w:rsid w:val="00410095"/>
    <w:rsid w:val="004162EA"/>
    <w:rsid w:val="00416B83"/>
    <w:rsid w:val="004207B4"/>
    <w:rsid w:val="00423807"/>
    <w:rsid w:val="00425366"/>
    <w:rsid w:val="0043242F"/>
    <w:rsid w:val="00433A99"/>
    <w:rsid w:val="00436026"/>
    <w:rsid w:val="004408F6"/>
    <w:rsid w:val="00440FAB"/>
    <w:rsid w:val="00455BEB"/>
    <w:rsid w:val="00456DD0"/>
    <w:rsid w:val="00464325"/>
    <w:rsid w:val="004643F1"/>
    <w:rsid w:val="00464934"/>
    <w:rsid w:val="0046687B"/>
    <w:rsid w:val="004713FE"/>
    <w:rsid w:val="004725B3"/>
    <w:rsid w:val="00473D48"/>
    <w:rsid w:val="00476416"/>
    <w:rsid w:val="0047719B"/>
    <w:rsid w:val="00477D06"/>
    <w:rsid w:val="00477FC9"/>
    <w:rsid w:val="004838CC"/>
    <w:rsid w:val="004839C7"/>
    <w:rsid w:val="004868F4"/>
    <w:rsid w:val="004A1408"/>
    <w:rsid w:val="004A1F70"/>
    <w:rsid w:val="004A2350"/>
    <w:rsid w:val="004A3420"/>
    <w:rsid w:val="004A3EE1"/>
    <w:rsid w:val="004A6591"/>
    <w:rsid w:val="004B0EA6"/>
    <w:rsid w:val="004B1F0B"/>
    <w:rsid w:val="004B1F28"/>
    <w:rsid w:val="004B4617"/>
    <w:rsid w:val="004B63E3"/>
    <w:rsid w:val="004B6513"/>
    <w:rsid w:val="004C1536"/>
    <w:rsid w:val="004C334F"/>
    <w:rsid w:val="004C4F13"/>
    <w:rsid w:val="004D2D26"/>
    <w:rsid w:val="004D5D36"/>
    <w:rsid w:val="004E0A0F"/>
    <w:rsid w:val="004E3AAC"/>
    <w:rsid w:val="004F0410"/>
    <w:rsid w:val="004F0F3D"/>
    <w:rsid w:val="004F3F42"/>
    <w:rsid w:val="004F4B22"/>
    <w:rsid w:val="00501C35"/>
    <w:rsid w:val="00503414"/>
    <w:rsid w:val="005036AC"/>
    <w:rsid w:val="00503D95"/>
    <w:rsid w:val="00507F91"/>
    <w:rsid w:val="00512E3D"/>
    <w:rsid w:val="00513B5E"/>
    <w:rsid w:val="005174A6"/>
    <w:rsid w:val="005247BA"/>
    <w:rsid w:val="005308DD"/>
    <w:rsid w:val="00530913"/>
    <w:rsid w:val="005316F3"/>
    <w:rsid w:val="00532893"/>
    <w:rsid w:val="00537AD5"/>
    <w:rsid w:val="005413C4"/>
    <w:rsid w:val="00542B60"/>
    <w:rsid w:val="0054396F"/>
    <w:rsid w:val="00551106"/>
    <w:rsid w:val="00552119"/>
    <w:rsid w:val="0055291E"/>
    <w:rsid w:val="00552F69"/>
    <w:rsid w:val="005570D1"/>
    <w:rsid w:val="0055724F"/>
    <w:rsid w:val="0056003B"/>
    <w:rsid w:val="00560434"/>
    <w:rsid w:val="00564789"/>
    <w:rsid w:val="00564830"/>
    <w:rsid w:val="00567F02"/>
    <w:rsid w:val="0057082B"/>
    <w:rsid w:val="00572ED8"/>
    <w:rsid w:val="005772C6"/>
    <w:rsid w:val="0058172A"/>
    <w:rsid w:val="005829D3"/>
    <w:rsid w:val="00583092"/>
    <w:rsid w:val="00591143"/>
    <w:rsid w:val="00591304"/>
    <w:rsid w:val="00591680"/>
    <w:rsid w:val="005A0BBA"/>
    <w:rsid w:val="005A10E3"/>
    <w:rsid w:val="005A1507"/>
    <w:rsid w:val="005A1ABE"/>
    <w:rsid w:val="005A2EE8"/>
    <w:rsid w:val="005A3F11"/>
    <w:rsid w:val="005A4B19"/>
    <w:rsid w:val="005A5A5B"/>
    <w:rsid w:val="005B0761"/>
    <w:rsid w:val="005B62FD"/>
    <w:rsid w:val="005B6D9D"/>
    <w:rsid w:val="005C0166"/>
    <w:rsid w:val="005C0355"/>
    <w:rsid w:val="005C26B4"/>
    <w:rsid w:val="005C3B90"/>
    <w:rsid w:val="005C3DC3"/>
    <w:rsid w:val="005D4471"/>
    <w:rsid w:val="005E0EDD"/>
    <w:rsid w:val="005F1716"/>
    <w:rsid w:val="005F2FF6"/>
    <w:rsid w:val="005F426A"/>
    <w:rsid w:val="005F4A85"/>
    <w:rsid w:val="0060220D"/>
    <w:rsid w:val="00602A76"/>
    <w:rsid w:val="00610C9B"/>
    <w:rsid w:val="0061271A"/>
    <w:rsid w:val="00612B6B"/>
    <w:rsid w:val="00613C96"/>
    <w:rsid w:val="00614214"/>
    <w:rsid w:val="006160C2"/>
    <w:rsid w:val="00623A5B"/>
    <w:rsid w:val="006249B0"/>
    <w:rsid w:val="00625A86"/>
    <w:rsid w:val="00630C16"/>
    <w:rsid w:val="006317F4"/>
    <w:rsid w:val="00633A18"/>
    <w:rsid w:val="006350B1"/>
    <w:rsid w:val="00635191"/>
    <w:rsid w:val="00636AFB"/>
    <w:rsid w:val="00636C4C"/>
    <w:rsid w:val="00640D53"/>
    <w:rsid w:val="00641DBC"/>
    <w:rsid w:val="00641F35"/>
    <w:rsid w:val="00642CEE"/>
    <w:rsid w:val="00644A2F"/>
    <w:rsid w:val="00646504"/>
    <w:rsid w:val="006505D5"/>
    <w:rsid w:val="00654B14"/>
    <w:rsid w:val="00655AD3"/>
    <w:rsid w:val="00660A8E"/>
    <w:rsid w:val="00670E8D"/>
    <w:rsid w:val="00672A2C"/>
    <w:rsid w:val="00674011"/>
    <w:rsid w:val="00674326"/>
    <w:rsid w:val="00674678"/>
    <w:rsid w:val="0067663A"/>
    <w:rsid w:val="00680DD0"/>
    <w:rsid w:val="00686298"/>
    <w:rsid w:val="00686910"/>
    <w:rsid w:val="006877D2"/>
    <w:rsid w:val="00694BBF"/>
    <w:rsid w:val="006959FC"/>
    <w:rsid w:val="00696BF1"/>
    <w:rsid w:val="006A0B3A"/>
    <w:rsid w:val="006A5ED6"/>
    <w:rsid w:val="006B259C"/>
    <w:rsid w:val="006B56BD"/>
    <w:rsid w:val="006B6E30"/>
    <w:rsid w:val="006C5DAE"/>
    <w:rsid w:val="006D0066"/>
    <w:rsid w:val="006D35A4"/>
    <w:rsid w:val="006E5CF8"/>
    <w:rsid w:val="006F544C"/>
    <w:rsid w:val="006F7A21"/>
    <w:rsid w:val="006F7FA7"/>
    <w:rsid w:val="007039F9"/>
    <w:rsid w:val="00704977"/>
    <w:rsid w:val="007049B6"/>
    <w:rsid w:val="0070608B"/>
    <w:rsid w:val="00706752"/>
    <w:rsid w:val="00706B71"/>
    <w:rsid w:val="007108DB"/>
    <w:rsid w:val="00716638"/>
    <w:rsid w:val="0071756A"/>
    <w:rsid w:val="00717C37"/>
    <w:rsid w:val="00724144"/>
    <w:rsid w:val="00725411"/>
    <w:rsid w:val="00730A7A"/>
    <w:rsid w:val="0073473D"/>
    <w:rsid w:val="00735F14"/>
    <w:rsid w:val="0074050F"/>
    <w:rsid w:val="007408D0"/>
    <w:rsid w:val="00742684"/>
    <w:rsid w:val="00745FA1"/>
    <w:rsid w:val="00750CE8"/>
    <w:rsid w:val="00753C1B"/>
    <w:rsid w:val="0075711A"/>
    <w:rsid w:val="00762244"/>
    <w:rsid w:val="00766D59"/>
    <w:rsid w:val="00771638"/>
    <w:rsid w:val="0077227A"/>
    <w:rsid w:val="00774FB3"/>
    <w:rsid w:val="007760C7"/>
    <w:rsid w:val="00776710"/>
    <w:rsid w:val="007773AC"/>
    <w:rsid w:val="00777469"/>
    <w:rsid w:val="00777B4C"/>
    <w:rsid w:val="00780797"/>
    <w:rsid w:val="00785CBD"/>
    <w:rsid w:val="00792892"/>
    <w:rsid w:val="00793D46"/>
    <w:rsid w:val="007A0E83"/>
    <w:rsid w:val="007A1935"/>
    <w:rsid w:val="007A1E86"/>
    <w:rsid w:val="007A1EF9"/>
    <w:rsid w:val="007A4A37"/>
    <w:rsid w:val="007B6E13"/>
    <w:rsid w:val="007C0C44"/>
    <w:rsid w:val="007D146C"/>
    <w:rsid w:val="007D4EBE"/>
    <w:rsid w:val="007E2A7F"/>
    <w:rsid w:val="007E47AB"/>
    <w:rsid w:val="007E646B"/>
    <w:rsid w:val="007E77CD"/>
    <w:rsid w:val="007F2843"/>
    <w:rsid w:val="007F3818"/>
    <w:rsid w:val="007F393D"/>
    <w:rsid w:val="007F3B0A"/>
    <w:rsid w:val="007F41F0"/>
    <w:rsid w:val="008058D4"/>
    <w:rsid w:val="00805EEA"/>
    <w:rsid w:val="008100EC"/>
    <w:rsid w:val="008105DF"/>
    <w:rsid w:val="008113D8"/>
    <w:rsid w:val="008128EB"/>
    <w:rsid w:val="00822612"/>
    <w:rsid w:val="00830ABC"/>
    <w:rsid w:val="00833AAA"/>
    <w:rsid w:val="008341D9"/>
    <w:rsid w:val="008360D1"/>
    <w:rsid w:val="0083643C"/>
    <w:rsid w:val="0084263C"/>
    <w:rsid w:val="008448FC"/>
    <w:rsid w:val="00845AB5"/>
    <w:rsid w:val="00846153"/>
    <w:rsid w:val="008461DE"/>
    <w:rsid w:val="0084620D"/>
    <w:rsid w:val="0085481B"/>
    <w:rsid w:val="0085640E"/>
    <w:rsid w:val="00856522"/>
    <w:rsid w:val="00856AB6"/>
    <w:rsid w:val="00864E1F"/>
    <w:rsid w:val="008653B0"/>
    <w:rsid w:val="0086666E"/>
    <w:rsid w:val="00876EF6"/>
    <w:rsid w:val="00877FBC"/>
    <w:rsid w:val="008820DD"/>
    <w:rsid w:val="00883D19"/>
    <w:rsid w:val="00890123"/>
    <w:rsid w:val="008A3DBC"/>
    <w:rsid w:val="008A41AF"/>
    <w:rsid w:val="008A516D"/>
    <w:rsid w:val="008A6367"/>
    <w:rsid w:val="008B0AF7"/>
    <w:rsid w:val="008B377C"/>
    <w:rsid w:val="008B3E49"/>
    <w:rsid w:val="008B54BE"/>
    <w:rsid w:val="008C070C"/>
    <w:rsid w:val="008C322C"/>
    <w:rsid w:val="008D4D65"/>
    <w:rsid w:val="008D6898"/>
    <w:rsid w:val="008D6C3E"/>
    <w:rsid w:val="008E0360"/>
    <w:rsid w:val="008E5EFF"/>
    <w:rsid w:val="008F34B7"/>
    <w:rsid w:val="008F464C"/>
    <w:rsid w:val="009063B9"/>
    <w:rsid w:val="00906AA6"/>
    <w:rsid w:val="009075EE"/>
    <w:rsid w:val="00914FB3"/>
    <w:rsid w:val="009168D9"/>
    <w:rsid w:val="00920B78"/>
    <w:rsid w:val="009223AD"/>
    <w:rsid w:val="00925CFB"/>
    <w:rsid w:val="00927C4E"/>
    <w:rsid w:val="00933C31"/>
    <w:rsid w:val="00933D48"/>
    <w:rsid w:val="00935B97"/>
    <w:rsid w:val="00936544"/>
    <w:rsid w:val="00953A93"/>
    <w:rsid w:val="00956769"/>
    <w:rsid w:val="00957F3C"/>
    <w:rsid w:val="00963402"/>
    <w:rsid w:val="00964762"/>
    <w:rsid w:val="0096488B"/>
    <w:rsid w:val="00965B23"/>
    <w:rsid w:val="00966D6A"/>
    <w:rsid w:val="009855CF"/>
    <w:rsid w:val="00985E54"/>
    <w:rsid w:val="00991FF5"/>
    <w:rsid w:val="00994354"/>
    <w:rsid w:val="009944AA"/>
    <w:rsid w:val="00994C5F"/>
    <w:rsid w:val="00996583"/>
    <w:rsid w:val="009A20FE"/>
    <w:rsid w:val="009A5A98"/>
    <w:rsid w:val="009A69AA"/>
    <w:rsid w:val="009B0D02"/>
    <w:rsid w:val="009B2502"/>
    <w:rsid w:val="009B33E8"/>
    <w:rsid w:val="009B45E9"/>
    <w:rsid w:val="009D3900"/>
    <w:rsid w:val="009D4E0B"/>
    <w:rsid w:val="009D7811"/>
    <w:rsid w:val="009D7EB2"/>
    <w:rsid w:val="009E1ED9"/>
    <w:rsid w:val="009E459B"/>
    <w:rsid w:val="009E6CCE"/>
    <w:rsid w:val="009E706E"/>
    <w:rsid w:val="009F3A7B"/>
    <w:rsid w:val="009F5B15"/>
    <w:rsid w:val="009F71EF"/>
    <w:rsid w:val="009F7B8E"/>
    <w:rsid w:val="00A05A8F"/>
    <w:rsid w:val="00A17050"/>
    <w:rsid w:val="00A22116"/>
    <w:rsid w:val="00A226E1"/>
    <w:rsid w:val="00A2363D"/>
    <w:rsid w:val="00A26D7D"/>
    <w:rsid w:val="00A3174C"/>
    <w:rsid w:val="00A3442D"/>
    <w:rsid w:val="00A36B9C"/>
    <w:rsid w:val="00A41D30"/>
    <w:rsid w:val="00A53920"/>
    <w:rsid w:val="00A60B2E"/>
    <w:rsid w:val="00A61B8A"/>
    <w:rsid w:val="00A62ECD"/>
    <w:rsid w:val="00A6531E"/>
    <w:rsid w:val="00A6616F"/>
    <w:rsid w:val="00A70C73"/>
    <w:rsid w:val="00A72C9B"/>
    <w:rsid w:val="00A757E3"/>
    <w:rsid w:val="00A85441"/>
    <w:rsid w:val="00A906B4"/>
    <w:rsid w:val="00A910C9"/>
    <w:rsid w:val="00A94F9D"/>
    <w:rsid w:val="00A95E0B"/>
    <w:rsid w:val="00AA4291"/>
    <w:rsid w:val="00AA4C02"/>
    <w:rsid w:val="00AB1425"/>
    <w:rsid w:val="00AB27CF"/>
    <w:rsid w:val="00AB2BDD"/>
    <w:rsid w:val="00AB3680"/>
    <w:rsid w:val="00AB3AA4"/>
    <w:rsid w:val="00AC0504"/>
    <w:rsid w:val="00AC447E"/>
    <w:rsid w:val="00AC5DFD"/>
    <w:rsid w:val="00AC6F54"/>
    <w:rsid w:val="00AC73F5"/>
    <w:rsid w:val="00AC75E0"/>
    <w:rsid w:val="00AD1116"/>
    <w:rsid w:val="00AD1756"/>
    <w:rsid w:val="00AD2061"/>
    <w:rsid w:val="00AD4160"/>
    <w:rsid w:val="00AD53CD"/>
    <w:rsid w:val="00AE092D"/>
    <w:rsid w:val="00AE2552"/>
    <w:rsid w:val="00AE58AF"/>
    <w:rsid w:val="00AE6C12"/>
    <w:rsid w:val="00AF1931"/>
    <w:rsid w:val="00AF1FE2"/>
    <w:rsid w:val="00AF5630"/>
    <w:rsid w:val="00AF7A18"/>
    <w:rsid w:val="00B03D53"/>
    <w:rsid w:val="00B04D0A"/>
    <w:rsid w:val="00B05EBC"/>
    <w:rsid w:val="00B061CE"/>
    <w:rsid w:val="00B102A4"/>
    <w:rsid w:val="00B134C9"/>
    <w:rsid w:val="00B14099"/>
    <w:rsid w:val="00B14923"/>
    <w:rsid w:val="00B1529A"/>
    <w:rsid w:val="00B23C92"/>
    <w:rsid w:val="00B24594"/>
    <w:rsid w:val="00B25A84"/>
    <w:rsid w:val="00B25B2A"/>
    <w:rsid w:val="00B274C9"/>
    <w:rsid w:val="00B30016"/>
    <w:rsid w:val="00B315DB"/>
    <w:rsid w:val="00B36DCF"/>
    <w:rsid w:val="00B40CB4"/>
    <w:rsid w:val="00B4249E"/>
    <w:rsid w:val="00B522C8"/>
    <w:rsid w:val="00B6185B"/>
    <w:rsid w:val="00B6222E"/>
    <w:rsid w:val="00B634EB"/>
    <w:rsid w:val="00B66467"/>
    <w:rsid w:val="00B6740C"/>
    <w:rsid w:val="00B8024F"/>
    <w:rsid w:val="00B80F53"/>
    <w:rsid w:val="00B8226C"/>
    <w:rsid w:val="00B86C54"/>
    <w:rsid w:val="00B93EE4"/>
    <w:rsid w:val="00B942A9"/>
    <w:rsid w:val="00B9583B"/>
    <w:rsid w:val="00BA1B27"/>
    <w:rsid w:val="00BA25D8"/>
    <w:rsid w:val="00BA5294"/>
    <w:rsid w:val="00BA59EA"/>
    <w:rsid w:val="00BB6E3C"/>
    <w:rsid w:val="00BC20A0"/>
    <w:rsid w:val="00BC67C8"/>
    <w:rsid w:val="00BD3AFF"/>
    <w:rsid w:val="00BD4231"/>
    <w:rsid w:val="00BD4332"/>
    <w:rsid w:val="00BD5A3B"/>
    <w:rsid w:val="00BD5B64"/>
    <w:rsid w:val="00BE12E6"/>
    <w:rsid w:val="00BE4228"/>
    <w:rsid w:val="00BE4C31"/>
    <w:rsid w:val="00BE6A95"/>
    <w:rsid w:val="00BE6F6D"/>
    <w:rsid w:val="00BF21CB"/>
    <w:rsid w:val="00BF69EC"/>
    <w:rsid w:val="00BF73EF"/>
    <w:rsid w:val="00C01555"/>
    <w:rsid w:val="00C01AF3"/>
    <w:rsid w:val="00C0646F"/>
    <w:rsid w:val="00C10037"/>
    <w:rsid w:val="00C1140A"/>
    <w:rsid w:val="00C204A5"/>
    <w:rsid w:val="00C2403C"/>
    <w:rsid w:val="00C26C97"/>
    <w:rsid w:val="00C333FC"/>
    <w:rsid w:val="00C350AF"/>
    <w:rsid w:val="00C40347"/>
    <w:rsid w:val="00C446BE"/>
    <w:rsid w:val="00C4581A"/>
    <w:rsid w:val="00C45DCE"/>
    <w:rsid w:val="00C46618"/>
    <w:rsid w:val="00C50AE7"/>
    <w:rsid w:val="00C542F0"/>
    <w:rsid w:val="00C54AD0"/>
    <w:rsid w:val="00C5708F"/>
    <w:rsid w:val="00C6023E"/>
    <w:rsid w:val="00C62E6A"/>
    <w:rsid w:val="00C639B2"/>
    <w:rsid w:val="00C64725"/>
    <w:rsid w:val="00C6600B"/>
    <w:rsid w:val="00C661D5"/>
    <w:rsid w:val="00C670A5"/>
    <w:rsid w:val="00C6712A"/>
    <w:rsid w:val="00C71314"/>
    <w:rsid w:val="00C72063"/>
    <w:rsid w:val="00C73BA2"/>
    <w:rsid w:val="00C75AD6"/>
    <w:rsid w:val="00C800D3"/>
    <w:rsid w:val="00C90E7C"/>
    <w:rsid w:val="00C930C2"/>
    <w:rsid w:val="00C94273"/>
    <w:rsid w:val="00C97374"/>
    <w:rsid w:val="00CA15C9"/>
    <w:rsid w:val="00CA25AF"/>
    <w:rsid w:val="00CA5BA2"/>
    <w:rsid w:val="00CA6FDC"/>
    <w:rsid w:val="00CB2384"/>
    <w:rsid w:val="00CC18EB"/>
    <w:rsid w:val="00CC3752"/>
    <w:rsid w:val="00CC3CD3"/>
    <w:rsid w:val="00CC5832"/>
    <w:rsid w:val="00CC6A54"/>
    <w:rsid w:val="00CD08D7"/>
    <w:rsid w:val="00CD2C2D"/>
    <w:rsid w:val="00CD4A9A"/>
    <w:rsid w:val="00CE018A"/>
    <w:rsid w:val="00CE1984"/>
    <w:rsid w:val="00CE5238"/>
    <w:rsid w:val="00CF10F0"/>
    <w:rsid w:val="00CF11BA"/>
    <w:rsid w:val="00CF4FD4"/>
    <w:rsid w:val="00CF6907"/>
    <w:rsid w:val="00D0462A"/>
    <w:rsid w:val="00D05F09"/>
    <w:rsid w:val="00D073E3"/>
    <w:rsid w:val="00D0775B"/>
    <w:rsid w:val="00D173FB"/>
    <w:rsid w:val="00D23092"/>
    <w:rsid w:val="00D2391F"/>
    <w:rsid w:val="00D25266"/>
    <w:rsid w:val="00D253C4"/>
    <w:rsid w:val="00D26242"/>
    <w:rsid w:val="00D26B88"/>
    <w:rsid w:val="00D40FD4"/>
    <w:rsid w:val="00D410B8"/>
    <w:rsid w:val="00D41CB0"/>
    <w:rsid w:val="00D420B6"/>
    <w:rsid w:val="00D45C0A"/>
    <w:rsid w:val="00D47FEF"/>
    <w:rsid w:val="00D50841"/>
    <w:rsid w:val="00D55290"/>
    <w:rsid w:val="00D570A3"/>
    <w:rsid w:val="00D5719E"/>
    <w:rsid w:val="00D62220"/>
    <w:rsid w:val="00D6282C"/>
    <w:rsid w:val="00D65909"/>
    <w:rsid w:val="00D66514"/>
    <w:rsid w:val="00D671B1"/>
    <w:rsid w:val="00D67911"/>
    <w:rsid w:val="00D733D0"/>
    <w:rsid w:val="00D76B44"/>
    <w:rsid w:val="00D77CC6"/>
    <w:rsid w:val="00D80005"/>
    <w:rsid w:val="00D815E1"/>
    <w:rsid w:val="00D82672"/>
    <w:rsid w:val="00D83B5B"/>
    <w:rsid w:val="00D849C4"/>
    <w:rsid w:val="00D9096C"/>
    <w:rsid w:val="00D90CC0"/>
    <w:rsid w:val="00D913F8"/>
    <w:rsid w:val="00D92E89"/>
    <w:rsid w:val="00D937DE"/>
    <w:rsid w:val="00D95F35"/>
    <w:rsid w:val="00D96A44"/>
    <w:rsid w:val="00DA2E0D"/>
    <w:rsid w:val="00DB167A"/>
    <w:rsid w:val="00DB1F38"/>
    <w:rsid w:val="00DB4CA7"/>
    <w:rsid w:val="00DC0FF3"/>
    <w:rsid w:val="00DC3F7B"/>
    <w:rsid w:val="00DC538C"/>
    <w:rsid w:val="00DC6053"/>
    <w:rsid w:val="00DC62E1"/>
    <w:rsid w:val="00DC6B06"/>
    <w:rsid w:val="00DC7256"/>
    <w:rsid w:val="00DC76D6"/>
    <w:rsid w:val="00DD3D7E"/>
    <w:rsid w:val="00DD6405"/>
    <w:rsid w:val="00DD6B7C"/>
    <w:rsid w:val="00DD6E5B"/>
    <w:rsid w:val="00DD7531"/>
    <w:rsid w:val="00DD75F9"/>
    <w:rsid w:val="00DD79D4"/>
    <w:rsid w:val="00DE50BA"/>
    <w:rsid w:val="00DE782E"/>
    <w:rsid w:val="00DF1091"/>
    <w:rsid w:val="00DF47F5"/>
    <w:rsid w:val="00DF6A54"/>
    <w:rsid w:val="00E00C59"/>
    <w:rsid w:val="00E0260A"/>
    <w:rsid w:val="00E07586"/>
    <w:rsid w:val="00E1076A"/>
    <w:rsid w:val="00E145D6"/>
    <w:rsid w:val="00E20DA4"/>
    <w:rsid w:val="00E24458"/>
    <w:rsid w:val="00E2580A"/>
    <w:rsid w:val="00E26D6C"/>
    <w:rsid w:val="00E26E78"/>
    <w:rsid w:val="00E320E0"/>
    <w:rsid w:val="00E32657"/>
    <w:rsid w:val="00E34EDE"/>
    <w:rsid w:val="00E432B2"/>
    <w:rsid w:val="00E47C0E"/>
    <w:rsid w:val="00E5028D"/>
    <w:rsid w:val="00E51049"/>
    <w:rsid w:val="00E53911"/>
    <w:rsid w:val="00E5406C"/>
    <w:rsid w:val="00E5410B"/>
    <w:rsid w:val="00E5684D"/>
    <w:rsid w:val="00E70528"/>
    <w:rsid w:val="00E74554"/>
    <w:rsid w:val="00E8116B"/>
    <w:rsid w:val="00E818EC"/>
    <w:rsid w:val="00E90CF2"/>
    <w:rsid w:val="00E911D2"/>
    <w:rsid w:val="00E92167"/>
    <w:rsid w:val="00EA16B3"/>
    <w:rsid w:val="00EA530F"/>
    <w:rsid w:val="00EA58F0"/>
    <w:rsid w:val="00EA706C"/>
    <w:rsid w:val="00EB0FB3"/>
    <w:rsid w:val="00EB37E1"/>
    <w:rsid w:val="00EB3F55"/>
    <w:rsid w:val="00EB54A1"/>
    <w:rsid w:val="00EC15CE"/>
    <w:rsid w:val="00EC1DC4"/>
    <w:rsid w:val="00EC4E1D"/>
    <w:rsid w:val="00EC56BE"/>
    <w:rsid w:val="00EC6620"/>
    <w:rsid w:val="00EC7A54"/>
    <w:rsid w:val="00ED3940"/>
    <w:rsid w:val="00ED4AE3"/>
    <w:rsid w:val="00EE01D8"/>
    <w:rsid w:val="00EE1876"/>
    <w:rsid w:val="00EE1CF0"/>
    <w:rsid w:val="00EE1D08"/>
    <w:rsid w:val="00EE2DFF"/>
    <w:rsid w:val="00EE35E6"/>
    <w:rsid w:val="00EE5EB8"/>
    <w:rsid w:val="00EE71A4"/>
    <w:rsid w:val="00F01BBC"/>
    <w:rsid w:val="00F03C35"/>
    <w:rsid w:val="00F041A3"/>
    <w:rsid w:val="00F138B2"/>
    <w:rsid w:val="00F2326C"/>
    <w:rsid w:val="00F25156"/>
    <w:rsid w:val="00F354ED"/>
    <w:rsid w:val="00F360F3"/>
    <w:rsid w:val="00F379D0"/>
    <w:rsid w:val="00F421FB"/>
    <w:rsid w:val="00F44DDF"/>
    <w:rsid w:val="00F5082A"/>
    <w:rsid w:val="00F51215"/>
    <w:rsid w:val="00F51F91"/>
    <w:rsid w:val="00F53516"/>
    <w:rsid w:val="00F55D46"/>
    <w:rsid w:val="00F74113"/>
    <w:rsid w:val="00F809F2"/>
    <w:rsid w:val="00F81C2B"/>
    <w:rsid w:val="00F85A08"/>
    <w:rsid w:val="00F876D1"/>
    <w:rsid w:val="00F913D7"/>
    <w:rsid w:val="00F94259"/>
    <w:rsid w:val="00F947B7"/>
    <w:rsid w:val="00F94F5C"/>
    <w:rsid w:val="00F9534A"/>
    <w:rsid w:val="00F96E4D"/>
    <w:rsid w:val="00FA30F6"/>
    <w:rsid w:val="00FB50C7"/>
    <w:rsid w:val="00FC17EF"/>
    <w:rsid w:val="00FC60AF"/>
    <w:rsid w:val="00FC68A8"/>
    <w:rsid w:val="00FC7318"/>
    <w:rsid w:val="00FC76BA"/>
    <w:rsid w:val="00FD07D0"/>
    <w:rsid w:val="00FD3BD8"/>
    <w:rsid w:val="00FD5BCB"/>
    <w:rsid w:val="00FD5D48"/>
    <w:rsid w:val="00FE219B"/>
    <w:rsid w:val="00FE3340"/>
    <w:rsid w:val="00FE3D64"/>
    <w:rsid w:val="00FE4161"/>
    <w:rsid w:val="00FE74F3"/>
    <w:rsid w:val="00FF0052"/>
    <w:rsid w:val="00FF04F5"/>
    <w:rsid w:val="00FF47BA"/>
    <w:rsid w:val="00FF5F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95E230"/>
  <w15:docId w15:val="{95839028-6F8B-4330-BBAB-134018C26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6A9"/>
    <w:pPr>
      <w:jc w:val="both"/>
    </w:pPr>
    <w:rPr>
      <w:rFonts w:ascii="Times New Roman" w:hAnsi="Times New Roman"/>
      <w:sz w:val="24"/>
    </w:rPr>
  </w:style>
  <w:style w:type="paragraph" w:styleId="Heading1">
    <w:name w:val="heading 1"/>
    <w:basedOn w:val="Normal"/>
    <w:next w:val="Normal"/>
    <w:link w:val="Heading1Char"/>
    <w:uiPriority w:val="9"/>
    <w:qFormat/>
    <w:rsid w:val="003919BA"/>
    <w:pPr>
      <w:keepNext/>
      <w:keepLines/>
      <w:numPr>
        <w:numId w:val="9"/>
      </w:numPr>
      <w:spacing w:before="240" w:after="0"/>
      <w:outlineLvl w:val="0"/>
    </w:pPr>
    <w:rPr>
      <w:rFonts w:eastAsiaTheme="majorEastAsia" w:cstheme="majorBidi"/>
      <w:b/>
      <w:caps/>
      <w:sz w:val="28"/>
      <w:szCs w:val="32"/>
    </w:rPr>
  </w:style>
  <w:style w:type="paragraph" w:styleId="Heading2">
    <w:name w:val="heading 2"/>
    <w:basedOn w:val="Normal"/>
    <w:next w:val="Normal"/>
    <w:link w:val="Heading2Char"/>
    <w:uiPriority w:val="9"/>
    <w:unhideWhenUsed/>
    <w:qFormat/>
    <w:rsid w:val="009D3900"/>
    <w:pPr>
      <w:keepNext/>
      <w:keepLines/>
      <w:numPr>
        <w:ilvl w:val="1"/>
        <w:numId w:val="9"/>
      </w:numPr>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006410"/>
    <w:pPr>
      <w:keepNext/>
      <w:keepLines/>
      <w:numPr>
        <w:ilvl w:val="2"/>
        <w:numId w:val="9"/>
      </w:numPr>
      <w:spacing w:before="40" w:after="0"/>
      <w:outlineLvl w:val="2"/>
    </w:pPr>
    <w:rPr>
      <w:rFonts w:asciiTheme="majorBidi" w:eastAsiaTheme="majorEastAsia" w:hAnsiTheme="majorBidi" w:cstheme="majorBidi"/>
      <w:i/>
      <w:szCs w:val="24"/>
    </w:rPr>
  </w:style>
  <w:style w:type="paragraph" w:styleId="Heading4">
    <w:name w:val="heading 4"/>
    <w:basedOn w:val="Normal"/>
    <w:next w:val="Normal"/>
    <w:link w:val="Heading4Char"/>
    <w:uiPriority w:val="9"/>
    <w:semiHidden/>
    <w:unhideWhenUsed/>
    <w:qFormat/>
    <w:rsid w:val="00C45DCE"/>
    <w:pPr>
      <w:keepNext/>
      <w:keepLines/>
      <w:numPr>
        <w:ilvl w:val="3"/>
        <w:numId w:val="9"/>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45DCE"/>
    <w:pPr>
      <w:keepNext/>
      <w:keepLines/>
      <w:numPr>
        <w:ilvl w:val="4"/>
        <w:numId w:val="9"/>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45DCE"/>
    <w:pPr>
      <w:keepNext/>
      <w:keepLines/>
      <w:numPr>
        <w:ilvl w:val="5"/>
        <w:numId w:val="9"/>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45DCE"/>
    <w:pPr>
      <w:keepNext/>
      <w:keepLines/>
      <w:numPr>
        <w:ilvl w:val="6"/>
        <w:numId w:val="9"/>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45DCE"/>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5DCE"/>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9BA"/>
    <w:rPr>
      <w:rFonts w:ascii="Times New Roman" w:eastAsiaTheme="majorEastAsia" w:hAnsi="Times New Roman" w:cstheme="majorBidi"/>
      <w:b/>
      <w:caps/>
      <w:sz w:val="28"/>
      <w:szCs w:val="32"/>
    </w:rPr>
  </w:style>
  <w:style w:type="table" w:styleId="TableGrid">
    <w:name w:val="Table Grid"/>
    <w:basedOn w:val="TableNormal"/>
    <w:uiPriority w:val="39"/>
    <w:rsid w:val="006740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52119"/>
    <w:pPr>
      <w:spacing w:after="200" w:line="240" w:lineRule="auto"/>
      <w:jc w:val="center"/>
    </w:pPr>
    <w:rPr>
      <w:b/>
      <w:iCs/>
      <w:szCs w:val="18"/>
    </w:rPr>
  </w:style>
  <w:style w:type="character" w:customStyle="1" w:styleId="Heading2Char">
    <w:name w:val="Heading 2 Char"/>
    <w:basedOn w:val="DefaultParagraphFont"/>
    <w:link w:val="Heading2"/>
    <w:uiPriority w:val="9"/>
    <w:rsid w:val="009D3900"/>
    <w:rPr>
      <w:rFonts w:ascii="Times New Roman" w:eastAsiaTheme="majorEastAsia" w:hAnsi="Times New Roman" w:cstheme="majorBidi"/>
      <w:b/>
      <w:sz w:val="24"/>
      <w:szCs w:val="26"/>
    </w:rPr>
  </w:style>
  <w:style w:type="table" w:customStyle="1" w:styleId="PlainTable21">
    <w:name w:val="Plain Table 21"/>
    <w:basedOn w:val="TableNormal"/>
    <w:uiPriority w:val="42"/>
    <w:rsid w:val="00AB142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0B64BD"/>
    <w:pPr>
      <w:spacing w:after="0" w:line="240" w:lineRule="auto"/>
    </w:pPr>
    <w:rPr>
      <w:rFonts w:ascii="Times New Roman" w:hAnsi="Times New Roman"/>
      <w:sz w:val="24"/>
    </w:rPr>
  </w:style>
  <w:style w:type="paragraph" w:styleId="ListParagraph">
    <w:name w:val="List Paragraph"/>
    <w:basedOn w:val="Normal"/>
    <w:uiPriority w:val="34"/>
    <w:qFormat/>
    <w:rsid w:val="00845AB5"/>
    <w:pPr>
      <w:ind w:left="720"/>
      <w:contextualSpacing/>
    </w:pPr>
  </w:style>
  <w:style w:type="character" w:styleId="Hyperlink">
    <w:name w:val="Hyperlink"/>
    <w:basedOn w:val="DefaultParagraphFont"/>
    <w:uiPriority w:val="99"/>
    <w:unhideWhenUsed/>
    <w:rsid w:val="008E0360"/>
    <w:rPr>
      <w:color w:val="0563C1" w:themeColor="hyperlink"/>
      <w:u w:val="single"/>
    </w:rPr>
  </w:style>
  <w:style w:type="paragraph" w:customStyle="1" w:styleId="EndNoteBibliography">
    <w:name w:val="EndNote Bibliography"/>
    <w:basedOn w:val="Normal"/>
    <w:link w:val="EndNoteBibliographyChar"/>
    <w:rsid w:val="00640D53"/>
    <w:pPr>
      <w:spacing w:line="240" w:lineRule="auto"/>
    </w:pPr>
    <w:rPr>
      <w:rFonts w:cs="Times New Roman"/>
      <w:noProof/>
    </w:rPr>
  </w:style>
  <w:style w:type="character" w:customStyle="1" w:styleId="EndNoteBibliographyChar">
    <w:name w:val="EndNote Bibliography Char"/>
    <w:basedOn w:val="DefaultParagraphFont"/>
    <w:link w:val="EndNoteBibliography"/>
    <w:rsid w:val="00640D53"/>
    <w:rPr>
      <w:rFonts w:ascii="Times New Roman" w:hAnsi="Times New Roman" w:cs="Times New Roman"/>
      <w:noProof/>
      <w:sz w:val="24"/>
    </w:rPr>
  </w:style>
  <w:style w:type="paragraph" w:styleId="Header">
    <w:name w:val="header"/>
    <w:basedOn w:val="Normal"/>
    <w:link w:val="HeaderChar"/>
    <w:uiPriority w:val="99"/>
    <w:unhideWhenUsed/>
    <w:rsid w:val="00FD5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D48"/>
    <w:rPr>
      <w:rFonts w:ascii="Times New Roman" w:hAnsi="Times New Roman"/>
      <w:sz w:val="24"/>
    </w:rPr>
  </w:style>
  <w:style w:type="paragraph" w:styleId="Footer">
    <w:name w:val="footer"/>
    <w:basedOn w:val="Normal"/>
    <w:link w:val="FooterChar"/>
    <w:uiPriority w:val="99"/>
    <w:unhideWhenUsed/>
    <w:rsid w:val="00FD5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D48"/>
    <w:rPr>
      <w:rFonts w:ascii="Times New Roman" w:hAnsi="Times New Roman"/>
      <w:sz w:val="24"/>
    </w:rPr>
  </w:style>
  <w:style w:type="character" w:styleId="LineNumber">
    <w:name w:val="line number"/>
    <w:basedOn w:val="DefaultParagraphFont"/>
    <w:uiPriority w:val="99"/>
    <w:semiHidden/>
    <w:unhideWhenUsed/>
    <w:rsid w:val="00FD5D48"/>
  </w:style>
  <w:style w:type="character" w:styleId="CommentReference">
    <w:name w:val="annotation reference"/>
    <w:basedOn w:val="DefaultParagraphFont"/>
    <w:unhideWhenUsed/>
    <w:rsid w:val="00FC7318"/>
    <w:rPr>
      <w:sz w:val="16"/>
      <w:szCs w:val="16"/>
    </w:rPr>
  </w:style>
  <w:style w:type="paragraph" w:styleId="CommentText">
    <w:name w:val="annotation text"/>
    <w:basedOn w:val="Normal"/>
    <w:link w:val="CommentTextChar"/>
    <w:unhideWhenUsed/>
    <w:rsid w:val="00FC7318"/>
    <w:pPr>
      <w:spacing w:line="240" w:lineRule="auto"/>
    </w:pPr>
    <w:rPr>
      <w:sz w:val="20"/>
      <w:szCs w:val="20"/>
    </w:rPr>
  </w:style>
  <w:style w:type="character" w:customStyle="1" w:styleId="CommentTextChar">
    <w:name w:val="Comment Text Char"/>
    <w:basedOn w:val="DefaultParagraphFont"/>
    <w:link w:val="CommentText"/>
    <w:rsid w:val="00FC731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C7318"/>
    <w:rPr>
      <w:b/>
      <w:bCs/>
    </w:rPr>
  </w:style>
  <w:style w:type="character" w:customStyle="1" w:styleId="CommentSubjectChar">
    <w:name w:val="Comment Subject Char"/>
    <w:basedOn w:val="CommentTextChar"/>
    <w:link w:val="CommentSubject"/>
    <w:uiPriority w:val="99"/>
    <w:semiHidden/>
    <w:rsid w:val="00FC7318"/>
    <w:rPr>
      <w:rFonts w:ascii="Times New Roman" w:hAnsi="Times New Roman"/>
      <w:b/>
      <w:bCs/>
      <w:sz w:val="20"/>
      <w:szCs w:val="20"/>
    </w:rPr>
  </w:style>
  <w:style w:type="paragraph" w:styleId="BalloonText">
    <w:name w:val="Balloon Text"/>
    <w:basedOn w:val="Normal"/>
    <w:link w:val="BalloonTextChar"/>
    <w:uiPriority w:val="99"/>
    <w:semiHidden/>
    <w:unhideWhenUsed/>
    <w:rsid w:val="00FC73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318"/>
    <w:rPr>
      <w:rFonts w:ascii="Tahoma" w:hAnsi="Tahoma" w:cs="Tahoma"/>
      <w:sz w:val="16"/>
      <w:szCs w:val="16"/>
    </w:rPr>
  </w:style>
  <w:style w:type="table" w:styleId="LightShading-Accent2">
    <w:name w:val="Light Shading Accent 2"/>
    <w:basedOn w:val="TableNormal"/>
    <w:uiPriority w:val="60"/>
    <w:rsid w:val="00F360F3"/>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Revision">
    <w:name w:val="Revision"/>
    <w:hidden/>
    <w:uiPriority w:val="99"/>
    <w:semiHidden/>
    <w:rsid w:val="00672A2C"/>
    <w:pPr>
      <w:spacing w:after="0" w:line="240" w:lineRule="auto"/>
    </w:pPr>
    <w:rPr>
      <w:rFonts w:ascii="Times New Roman" w:hAnsi="Times New Roman"/>
      <w:sz w:val="24"/>
    </w:rPr>
  </w:style>
  <w:style w:type="character" w:styleId="Strong">
    <w:name w:val="Strong"/>
    <w:basedOn w:val="DefaultParagraphFont"/>
    <w:uiPriority w:val="22"/>
    <w:qFormat/>
    <w:rsid w:val="00B14099"/>
    <w:rPr>
      <w:b/>
      <w:bCs/>
    </w:rPr>
  </w:style>
  <w:style w:type="character" w:customStyle="1" w:styleId="Heading3Char">
    <w:name w:val="Heading 3 Char"/>
    <w:basedOn w:val="DefaultParagraphFont"/>
    <w:link w:val="Heading3"/>
    <w:uiPriority w:val="9"/>
    <w:rsid w:val="00006410"/>
    <w:rPr>
      <w:rFonts w:asciiTheme="majorBidi" w:eastAsiaTheme="majorEastAsia" w:hAnsiTheme="majorBidi" w:cstheme="majorBidi"/>
      <w:i/>
      <w:sz w:val="24"/>
      <w:szCs w:val="24"/>
    </w:rPr>
  </w:style>
  <w:style w:type="character" w:customStyle="1" w:styleId="Heading4Char">
    <w:name w:val="Heading 4 Char"/>
    <w:basedOn w:val="DefaultParagraphFont"/>
    <w:link w:val="Heading4"/>
    <w:uiPriority w:val="9"/>
    <w:semiHidden/>
    <w:rsid w:val="00C45DCE"/>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C45DCE"/>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C45DCE"/>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C45DCE"/>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C45DC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5DCE"/>
    <w:rPr>
      <w:rFonts w:asciiTheme="majorHAnsi" w:eastAsiaTheme="majorEastAsia" w:hAnsiTheme="majorHAnsi" w:cstheme="majorBidi"/>
      <w:i/>
      <w:iCs/>
      <w:color w:val="272727" w:themeColor="text1" w:themeTint="D8"/>
      <w:sz w:val="21"/>
      <w:szCs w:val="21"/>
    </w:rPr>
  </w:style>
  <w:style w:type="character" w:styleId="Emphasis">
    <w:name w:val="Emphasis"/>
    <w:basedOn w:val="DefaultParagraphFont"/>
    <w:qFormat/>
    <w:rsid w:val="00613C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76679">
      <w:bodyDiv w:val="1"/>
      <w:marLeft w:val="0"/>
      <w:marRight w:val="0"/>
      <w:marTop w:val="0"/>
      <w:marBottom w:val="0"/>
      <w:divBdr>
        <w:top w:val="none" w:sz="0" w:space="0" w:color="auto"/>
        <w:left w:val="none" w:sz="0" w:space="0" w:color="auto"/>
        <w:bottom w:val="none" w:sz="0" w:space="0" w:color="auto"/>
        <w:right w:val="none" w:sz="0" w:space="0" w:color="auto"/>
      </w:divBdr>
    </w:div>
    <w:div w:id="391004509">
      <w:bodyDiv w:val="1"/>
      <w:marLeft w:val="0"/>
      <w:marRight w:val="0"/>
      <w:marTop w:val="0"/>
      <w:marBottom w:val="0"/>
      <w:divBdr>
        <w:top w:val="none" w:sz="0" w:space="0" w:color="auto"/>
        <w:left w:val="none" w:sz="0" w:space="0" w:color="auto"/>
        <w:bottom w:val="none" w:sz="0" w:space="0" w:color="auto"/>
        <w:right w:val="none" w:sz="0" w:space="0" w:color="auto"/>
      </w:divBdr>
    </w:div>
    <w:div w:id="900558250">
      <w:bodyDiv w:val="1"/>
      <w:marLeft w:val="0"/>
      <w:marRight w:val="0"/>
      <w:marTop w:val="0"/>
      <w:marBottom w:val="0"/>
      <w:divBdr>
        <w:top w:val="none" w:sz="0" w:space="0" w:color="auto"/>
        <w:left w:val="none" w:sz="0" w:space="0" w:color="auto"/>
        <w:bottom w:val="none" w:sz="0" w:space="0" w:color="auto"/>
        <w:right w:val="none" w:sz="0" w:space="0" w:color="auto"/>
      </w:divBdr>
    </w:div>
    <w:div w:id="983510795">
      <w:bodyDiv w:val="1"/>
      <w:marLeft w:val="0"/>
      <w:marRight w:val="0"/>
      <w:marTop w:val="0"/>
      <w:marBottom w:val="0"/>
      <w:divBdr>
        <w:top w:val="none" w:sz="0" w:space="0" w:color="auto"/>
        <w:left w:val="none" w:sz="0" w:space="0" w:color="auto"/>
        <w:bottom w:val="none" w:sz="0" w:space="0" w:color="auto"/>
        <w:right w:val="none" w:sz="0" w:space="0" w:color="auto"/>
      </w:divBdr>
    </w:div>
    <w:div w:id="1371879335">
      <w:bodyDiv w:val="1"/>
      <w:marLeft w:val="0"/>
      <w:marRight w:val="0"/>
      <w:marTop w:val="0"/>
      <w:marBottom w:val="0"/>
      <w:divBdr>
        <w:top w:val="none" w:sz="0" w:space="0" w:color="auto"/>
        <w:left w:val="none" w:sz="0" w:space="0" w:color="auto"/>
        <w:bottom w:val="none" w:sz="0" w:space="0" w:color="auto"/>
        <w:right w:val="none" w:sz="0" w:space="0" w:color="auto"/>
      </w:divBdr>
    </w:div>
    <w:div w:id="1403020942">
      <w:bodyDiv w:val="1"/>
      <w:marLeft w:val="0"/>
      <w:marRight w:val="0"/>
      <w:marTop w:val="0"/>
      <w:marBottom w:val="0"/>
      <w:divBdr>
        <w:top w:val="none" w:sz="0" w:space="0" w:color="auto"/>
        <w:left w:val="none" w:sz="0" w:space="0" w:color="auto"/>
        <w:bottom w:val="none" w:sz="0" w:space="0" w:color="auto"/>
        <w:right w:val="none" w:sz="0" w:space="0" w:color="auto"/>
      </w:divBdr>
    </w:div>
    <w:div w:id="1418556515">
      <w:bodyDiv w:val="1"/>
      <w:marLeft w:val="0"/>
      <w:marRight w:val="0"/>
      <w:marTop w:val="0"/>
      <w:marBottom w:val="0"/>
      <w:divBdr>
        <w:top w:val="none" w:sz="0" w:space="0" w:color="auto"/>
        <w:left w:val="none" w:sz="0" w:space="0" w:color="auto"/>
        <w:bottom w:val="none" w:sz="0" w:space="0" w:color="auto"/>
        <w:right w:val="none" w:sz="0" w:space="0" w:color="auto"/>
      </w:divBdr>
    </w:div>
    <w:div w:id="1894273350">
      <w:bodyDiv w:val="1"/>
      <w:marLeft w:val="0"/>
      <w:marRight w:val="0"/>
      <w:marTop w:val="0"/>
      <w:marBottom w:val="0"/>
      <w:divBdr>
        <w:top w:val="none" w:sz="0" w:space="0" w:color="auto"/>
        <w:left w:val="none" w:sz="0" w:space="0" w:color="auto"/>
        <w:bottom w:val="none" w:sz="0" w:space="0" w:color="auto"/>
        <w:right w:val="none" w:sz="0" w:space="0" w:color="auto"/>
      </w:divBdr>
    </w:div>
    <w:div w:id="1979336577">
      <w:bodyDiv w:val="1"/>
      <w:marLeft w:val="0"/>
      <w:marRight w:val="0"/>
      <w:marTop w:val="0"/>
      <w:marBottom w:val="0"/>
      <w:divBdr>
        <w:top w:val="none" w:sz="0" w:space="0" w:color="auto"/>
        <w:left w:val="none" w:sz="0" w:space="0" w:color="auto"/>
        <w:bottom w:val="none" w:sz="0" w:space="0" w:color="auto"/>
        <w:right w:val="none" w:sz="0" w:space="0" w:color="auto"/>
      </w:divBdr>
      <w:divsChild>
        <w:div w:id="1088845835">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oleObject" Target="embeddings/oleObject12.bin"/><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oleObject" Target="embeddings/oleObject7.bin"/><Relationship Id="rId32" Type="http://schemas.openxmlformats.org/officeDocument/2006/relationships/oleObject" Target="embeddings/oleObject11.bin"/><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5.wmf"/><Relationship Id="rId31"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D1B6974B-122A-401F-B6DB-6E42CB835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26</Pages>
  <Words>8870</Words>
  <Characters>50564</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Ahmed</dc:creator>
  <cp:lastModifiedBy>Naveen Eluru</cp:lastModifiedBy>
  <cp:revision>12</cp:revision>
  <cp:lastPrinted>2016-04-14T17:41:00Z</cp:lastPrinted>
  <dcterms:created xsi:type="dcterms:W3CDTF">2016-04-13T17:49:00Z</dcterms:created>
  <dcterms:modified xsi:type="dcterms:W3CDTF">2016-04-27T17:22:00Z</dcterms:modified>
</cp:coreProperties>
</file>