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77" w:type="pct"/>
        <w:jc w:val="center"/>
        <w:tblLook w:val="04A0" w:firstRow="1" w:lastRow="0" w:firstColumn="1" w:lastColumn="0" w:noHBand="0" w:noVBand="1"/>
      </w:tblPr>
      <w:tblGrid>
        <w:gridCol w:w="10249"/>
      </w:tblGrid>
      <w:tr w:rsidR="0008552C" w:rsidRPr="0032538D" w14:paraId="26D806FC" w14:textId="77777777" w:rsidTr="0008552C">
        <w:trPr>
          <w:trHeight w:val="720"/>
          <w:jc w:val="center"/>
        </w:trPr>
        <w:tc>
          <w:tcPr>
            <w:tcW w:w="5000" w:type="pct"/>
            <w:tcBorders>
              <w:top w:val="single" w:sz="4" w:space="0" w:color="4F81BD"/>
            </w:tcBorders>
            <w:vAlign w:val="center"/>
          </w:tcPr>
          <w:p w14:paraId="67544495" w14:textId="77777777" w:rsidR="0008552C" w:rsidRPr="0032538D" w:rsidRDefault="0008552C" w:rsidP="005F034C">
            <w:pPr>
              <w:pStyle w:val="MediumGrid211"/>
              <w:jc w:val="center"/>
              <w:rPr>
                <w:rFonts w:ascii="Times New Roman" w:hAnsi="Times New Roman"/>
                <w:b/>
                <w:sz w:val="28"/>
                <w:szCs w:val="28"/>
              </w:rPr>
            </w:pPr>
            <w:r w:rsidRPr="0032538D">
              <w:rPr>
                <w:rFonts w:ascii="Times New Roman" w:hAnsi="Times New Roman"/>
                <w:b/>
                <w:sz w:val="28"/>
                <w:szCs w:val="28"/>
              </w:rPr>
              <w:t>Exposure to Walkable Neighbourhoods in Urban Areas Increases Utilitarian Walking: Longitudinal Study of Canadians</w:t>
            </w:r>
          </w:p>
        </w:tc>
      </w:tr>
    </w:tbl>
    <w:p w14:paraId="4890B8E1" w14:textId="77777777" w:rsidR="005F6E08" w:rsidRPr="00CB3D47" w:rsidRDefault="005F6E08" w:rsidP="00FD6E16">
      <w:pPr>
        <w:pStyle w:val="MediumGrid21"/>
        <w:rPr>
          <w:rFonts w:ascii="Times New Roman" w:hAnsi="Times New Roman"/>
          <w:bCs/>
          <w:sz w:val="28"/>
          <w:szCs w:val="28"/>
        </w:rPr>
      </w:pPr>
    </w:p>
    <w:p w14:paraId="3FEA23A3" w14:textId="2351BD69" w:rsidR="00CB3D47" w:rsidRPr="00CB3D47" w:rsidRDefault="00CB3D47" w:rsidP="00CB3D47">
      <w:pPr>
        <w:pStyle w:val="MediumGrid21"/>
        <w:jc w:val="center"/>
        <w:rPr>
          <w:rFonts w:ascii="Times New Roman" w:hAnsi="Times New Roman"/>
          <w:bCs/>
          <w:sz w:val="28"/>
          <w:szCs w:val="28"/>
        </w:rPr>
      </w:pPr>
      <w:r w:rsidRPr="00CB3D47">
        <w:rPr>
          <w:rFonts w:ascii="Times New Roman" w:hAnsi="Times New Roman"/>
          <w:bCs/>
          <w:sz w:val="28"/>
          <w:szCs w:val="28"/>
        </w:rPr>
        <w:t>Rania Wasfi, Kaberi Dasgupta, Naveen Eluru, Nancy Ross</w:t>
      </w:r>
    </w:p>
    <w:p w14:paraId="49EA6323" w14:textId="77777777" w:rsidR="00CB3D47" w:rsidRDefault="00CB3D47" w:rsidP="00CB3D47">
      <w:pPr>
        <w:pStyle w:val="MediumGrid21"/>
        <w:jc w:val="center"/>
        <w:rPr>
          <w:rFonts w:ascii="Times New Roman" w:hAnsi="Times New Roman"/>
          <w:b/>
          <w:bCs/>
          <w:sz w:val="28"/>
          <w:szCs w:val="28"/>
        </w:rPr>
      </w:pPr>
    </w:p>
    <w:p w14:paraId="086ACFA9" w14:textId="77777777" w:rsidR="00CB3D47" w:rsidRDefault="00CB3D47" w:rsidP="009F3873">
      <w:pPr>
        <w:pStyle w:val="MediumGrid21"/>
        <w:rPr>
          <w:rFonts w:ascii="Times New Roman" w:hAnsi="Times New Roman"/>
          <w:b/>
          <w:bCs/>
          <w:sz w:val="28"/>
          <w:szCs w:val="28"/>
        </w:rPr>
      </w:pPr>
      <w:bookmarkStart w:id="0" w:name="_GoBack"/>
      <w:bookmarkEnd w:id="0"/>
    </w:p>
    <w:p w14:paraId="73116694" w14:textId="77777777" w:rsidR="006C7799" w:rsidRDefault="002936F9" w:rsidP="009F3873">
      <w:pPr>
        <w:pStyle w:val="MediumGrid21"/>
        <w:rPr>
          <w:rFonts w:ascii="Times New Roman" w:hAnsi="Times New Roman"/>
          <w:b/>
          <w:bCs/>
          <w:sz w:val="28"/>
          <w:szCs w:val="28"/>
        </w:rPr>
      </w:pPr>
      <w:r w:rsidRPr="0032538D">
        <w:rPr>
          <w:rFonts w:ascii="Times New Roman" w:hAnsi="Times New Roman"/>
          <w:b/>
          <w:bCs/>
          <w:sz w:val="28"/>
          <w:szCs w:val="28"/>
        </w:rPr>
        <w:t>A</w:t>
      </w:r>
      <w:r>
        <w:rPr>
          <w:rFonts w:ascii="Times New Roman" w:hAnsi="Times New Roman"/>
          <w:b/>
          <w:bCs/>
          <w:sz w:val="28"/>
          <w:szCs w:val="28"/>
        </w:rPr>
        <w:t>BSTRACT</w:t>
      </w:r>
      <w:r w:rsidR="00AB34D9">
        <w:rPr>
          <w:rFonts w:ascii="Times New Roman" w:hAnsi="Times New Roman"/>
          <w:b/>
          <w:bCs/>
          <w:sz w:val="28"/>
          <w:szCs w:val="28"/>
        </w:rPr>
        <w:t xml:space="preserve"> </w:t>
      </w:r>
    </w:p>
    <w:p w14:paraId="7D99299B" w14:textId="77777777" w:rsidR="007C2650" w:rsidRPr="0032538D" w:rsidRDefault="007C2650" w:rsidP="009F3873">
      <w:pPr>
        <w:pStyle w:val="MediumGrid21"/>
        <w:rPr>
          <w:rFonts w:ascii="Times New Roman" w:hAnsi="Times New Roman"/>
          <w:b/>
          <w:bCs/>
          <w:sz w:val="28"/>
          <w:szCs w:val="28"/>
        </w:rPr>
      </w:pPr>
    </w:p>
    <w:p w14:paraId="77DE2A73" w14:textId="77777777" w:rsidR="007C2650" w:rsidRPr="007C2650" w:rsidRDefault="007C2650" w:rsidP="009F3873">
      <w:pPr>
        <w:pStyle w:val="MediumGrid21"/>
        <w:rPr>
          <w:rFonts w:ascii="Times New Roman" w:hAnsi="Times New Roman"/>
          <w:b/>
          <w:sz w:val="24"/>
          <w:szCs w:val="24"/>
        </w:rPr>
      </w:pPr>
      <w:r w:rsidRPr="007C2650">
        <w:rPr>
          <w:rFonts w:ascii="Times New Roman" w:hAnsi="Times New Roman"/>
          <w:b/>
          <w:sz w:val="24"/>
          <w:szCs w:val="24"/>
        </w:rPr>
        <w:t>Background:</w:t>
      </w:r>
    </w:p>
    <w:p w14:paraId="210F6375" w14:textId="77777777" w:rsidR="00EC131C" w:rsidRDefault="00627A5C" w:rsidP="009F3873">
      <w:pPr>
        <w:pStyle w:val="MediumGrid21"/>
        <w:rPr>
          <w:rFonts w:ascii="Times New Roman" w:hAnsi="Times New Roman"/>
          <w:sz w:val="24"/>
          <w:szCs w:val="24"/>
        </w:rPr>
      </w:pPr>
      <w:r>
        <w:rPr>
          <w:rFonts w:ascii="Times New Roman" w:hAnsi="Times New Roman"/>
          <w:sz w:val="24"/>
          <w:szCs w:val="24"/>
        </w:rPr>
        <w:t>P</w:t>
      </w:r>
      <w:r w:rsidRPr="0032538D">
        <w:rPr>
          <w:rFonts w:ascii="Times New Roman" w:hAnsi="Times New Roman"/>
          <w:sz w:val="24"/>
          <w:szCs w:val="24"/>
        </w:rPr>
        <w:t xml:space="preserve">urposeful </w:t>
      </w:r>
      <w:r w:rsidR="00A26A18" w:rsidRPr="0032538D">
        <w:rPr>
          <w:rFonts w:ascii="Times New Roman" w:hAnsi="Times New Roman"/>
          <w:sz w:val="24"/>
          <w:szCs w:val="24"/>
        </w:rPr>
        <w:t>or utilitarian walking may allow a time</w:t>
      </w:r>
      <w:r w:rsidR="00E76063">
        <w:rPr>
          <w:rFonts w:ascii="Times New Roman" w:hAnsi="Times New Roman"/>
          <w:sz w:val="24"/>
          <w:szCs w:val="24"/>
        </w:rPr>
        <w:t>-</w:t>
      </w:r>
      <w:r w:rsidR="00A26A18" w:rsidRPr="0032538D">
        <w:rPr>
          <w:rFonts w:ascii="Times New Roman" w:hAnsi="Times New Roman"/>
          <w:sz w:val="24"/>
          <w:szCs w:val="24"/>
        </w:rPr>
        <w:t>efficient</w:t>
      </w:r>
      <w:r w:rsidR="00E76063">
        <w:rPr>
          <w:rFonts w:ascii="Times New Roman" w:hAnsi="Times New Roman"/>
          <w:sz w:val="24"/>
          <w:szCs w:val="24"/>
        </w:rPr>
        <w:t>, low cost</w:t>
      </w:r>
      <w:r w:rsidR="00A26A18" w:rsidRPr="0032538D">
        <w:rPr>
          <w:rFonts w:ascii="Times New Roman" w:hAnsi="Times New Roman"/>
          <w:sz w:val="24"/>
          <w:szCs w:val="24"/>
        </w:rPr>
        <w:t xml:space="preserve"> accumulation of physical </w:t>
      </w:r>
      <w:r w:rsidR="00E2557F" w:rsidRPr="0032538D">
        <w:rPr>
          <w:rFonts w:ascii="Times New Roman" w:hAnsi="Times New Roman"/>
          <w:sz w:val="24"/>
          <w:szCs w:val="24"/>
        </w:rPr>
        <w:t>activity</w:t>
      </w:r>
      <w:r w:rsidR="00FD46FE">
        <w:rPr>
          <w:rFonts w:ascii="Times New Roman" w:hAnsi="Times New Roman"/>
          <w:sz w:val="24"/>
          <w:szCs w:val="24"/>
        </w:rPr>
        <w:t>.</w:t>
      </w:r>
      <w:r w:rsidR="006760DD">
        <w:rPr>
          <w:rFonts w:ascii="Times New Roman" w:hAnsi="Times New Roman"/>
          <w:sz w:val="24"/>
          <w:szCs w:val="24"/>
        </w:rPr>
        <w:t xml:space="preserve"> </w:t>
      </w:r>
      <w:r w:rsidR="00A14DFF">
        <w:rPr>
          <w:rFonts w:ascii="Times New Roman" w:hAnsi="Times New Roman"/>
          <w:sz w:val="24"/>
          <w:szCs w:val="24"/>
        </w:rPr>
        <w:t xml:space="preserve">While constructing </w:t>
      </w:r>
      <w:r w:rsidR="004D0433">
        <w:rPr>
          <w:rFonts w:ascii="Times New Roman" w:hAnsi="Times New Roman"/>
          <w:sz w:val="24"/>
          <w:szCs w:val="24"/>
        </w:rPr>
        <w:t xml:space="preserve">a built environment </w:t>
      </w:r>
      <w:r w:rsidR="0047328A">
        <w:rPr>
          <w:rFonts w:ascii="Times New Roman" w:hAnsi="Times New Roman"/>
          <w:sz w:val="24"/>
          <w:szCs w:val="24"/>
        </w:rPr>
        <w:t xml:space="preserve">that supports </w:t>
      </w:r>
      <w:r w:rsidR="0047328A" w:rsidRPr="0047328A">
        <w:rPr>
          <w:rFonts w:ascii="Times New Roman" w:hAnsi="Times New Roman"/>
          <w:sz w:val="24"/>
          <w:szCs w:val="24"/>
        </w:rPr>
        <w:t xml:space="preserve">utilitarian walking </w:t>
      </w:r>
      <w:r w:rsidR="00856723">
        <w:rPr>
          <w:rFonts w:ascii="Times New Roman" w:hAnsi="Times New Roman"/>
          <w:sz w:val="24"/>
          <w:szCs w:val="24"/>
        </w:rPr>
        <w:t>is</w:t>
      </w:r>
      <w:r w:rsidR="004D0433">
        <w:rPr>
          <w:rFonts w:ascii="Times New Roman" w:hAnsi="Times New Roman"/>
          <w:sz w:val="24"/>
          <w:szCs w:val="24"/>
        </w:rPr>
        <w:t xml:space="preserve"> </w:t>
      </w:r>
      <w:r w:rsidR="0047328A">
        <w:rPr>
          <w:rFonts w:ascii="Times New Roman" w:hAnsi="Times New Roman"/>
          <w:sz w:val="24"/>
          <w:szCs w:val="24"/>
        </w:rPr>
        <w:t>conceptually appealing</w:t>
      </w:r>
      <w:r w:rsidR="005867A4">
        <w:rPr>
          <w:rFonts w:ascii="Times New Roman" w:hAnsi="Times New Roman"/>
          <w:sz w:val="24"/>
          <w:szCs w:val="24"/>
        </w:rPr>
        <w:t>, longitudinal research investigating the enduring influences of the environment on walking behavior has been limited.</w:t>
      </w:r>
    </w:p>
    <w:p w14:paraId="666745B6" w14:textId="77777777" w:rsidR="00A71898" w:rsidRDefault="00A71898" w:rsidP="009F3873">
      <w:pPr>
        <w:pStyle w:val="MediumGrid21"/>
        <w:rPr>
          <w:rFonts w:ascii="Times New Roman" w:hAnsi="Times New Roman"/>
          <w:sz w:val="24"/>
          <w:szCs w:val="24"/>
        </w:rPr>
      </w:pPr>
    </w:p>
    <w:p w14:paraId="22EA3887" w14:textId="77777777" w:rsidR="00EC131C" w:rsidRPr="00EC131C" w:rsidRDefault="00EC131C" w:rsidP="009F3873">
      <w:pPr>
        <w:pStyle w:val="MediumGrid21"/>
        <w:rPr>
          <w:rFonts w:ascii="Times New Roman" w:hAnsi="Times New Roman"/>
          <w:b/>
          <w:sz w:val="24"/>
          <w:szCs w:val="24"/>
        </w:rPr>
      </w:pPr>
      <w:r w:rsidRPr="00EC131C">
        <w:rPr>
          <w:rFonts w:ascii="Times New Roman" w:hAnsi="Times New Roman"/>
          <w:b/>
          <w:sz w:val="24"/>
          <w:szCs w:val="24"/>
        </w:rPr>
        <w:t>Purpose:</w:t>
      </w:r>
    </w:p>
    <w:p w14:paraId="0E874B9E" w14:textId="77777777" w:rsidR="007C2650" w:rsidRPr="00CE415A" w:rsidRDefault="00A14DFF" w:rsidP="009F3873">
      <w:pPr>
        <w:pStyle w:val="MediumGrid21"/>
        <w:rPr>
          <w:rFonts w:ascii="Times New Roman" w:hAnsi="Times New Roman"/>
          <w:sz w:val="24"/>
          <w:szCs w:val="24"/>
        </w:rPr>
      </w:pPr>
      <w:r>
        <w:rPr>
          <w:rFonts w:ascii="Times New Roman" w:hAnsi="Times New Roman"/>
          <w:sz w:val="24"/>
          <w:szCs w:val="24"/>
        </w:rPr>
        <w:t>This</w:t>
      </w:r>
      <w:r w:rsidR="003C5E67">
        <w:rPr>
          <w:rFonts w:ascii="Times New Roman" w:hAnsi="Times New Roman"/>
          <w:sz w:val="24"/>
          <w:szCs w:val="24"/>
        </w:rPr>
        <w:t xml:space="preserve"> research </w:t>
      </w:r>
      <w:r w:rsidR="007C2650">
        <w:rPr>
          <w:rFonts w:ascii="Times New Roman" w:hAnsi="Times New Roman"/>
          <w:sz w:val="24"/>
          <w:szCs w:val="24"/>
        </w:rPr>
        <w:t>examine</w:t>
      </w:r>
      <w:r>
        <w:rPr>
          <w:rFonts w:ascii="Times New Roman" w:hAnsi="Times New Roman"/>
          <w:sz w:val="24"/>
          <w:szCs w:val="24"/>
        </w:rPr>
        <w:t>s</w:t>
      </w:r>
      <w:r w:rsidR="007C2650">
        <w:rPr>
          <w:rFonts w:ascii="Times New Roman" w:hAnsi="Times New Roman"/>
          <w:sz w:val="24"/>
          <w:szCs w:val="24"/>
        </w:rPr>
        <w:t xml:space="preserve"> the relationship between utilitarian walking </w:t>
      </w:r>
      <w:r w:rsidR="00990639">
        <w:rPr>
          <w:rFonts w:ascii="Times New Roman" w:hAnsi="Times New Roman"/>
          <w:sz w:val="24"/>
          <w:szCs w:val="24"/>
        </w:rPr>
        <w:t xml:space="preserve">levels </w:t>
      </w:r>
      <w:r w:rsidR="007C2650">
        <w:rPr>
          <w:rFonts w:ascii="Times New Roman" w:hAnsi="Times New Roman"/>
          <w:sz w:val="24"/>
          <w:szCs w:val="24"/>
        </w:rPr>
        <w:t xml:space="preserve">and neighbourhood </w:t>
      </w:r>
      <w:r w:rsidR="007C2650" w:rsidRPr="00CE415A">
        <w:rPr>
          <w:rFonts w:ascii="Times New Roman" w:hAnsi="Times New Roman"/>
          <w:sz w:val="24"/>
          <w:szCs w:val="24"/>
        </w:rPr>
        <w:t xml:space="preserve">walkability </w:t>
      </w:r>
      <w:r w:rsidR="002817CB">
        <w:rPr>
          <w:rFonts w:ascii="Times New Roman" w:hAnsi="Times New Roman"/>
          <w:sz w:val="24"/>
          <w:szCs w:val="24"/>
        </w:rPr>
        <w:t>through</w:t>
      </w:r>
      <w:r w:rsidR="002817CB" w:rsidRPr="00CE415A">
        <w:rPr>
          <w:rFonts w:ascii="Times New Roman" w:hAnsi="Times New Roman"/>
          <w:sz w:val="24"/>
          <w:szCs w:val="24"/>
        </w:rPr>
        <w:t xml:space="preserve"> </w:t>
      </w:r>
      <w:r w:rsidR="007C2650" w:rsidRPr="00CE415A">
        <w:rPr>
          <w:rFonts w:ascii="Times New Roman" w:hAnsi="Times New Roman"/>
          <w:sz w:val="24"/>
          <w:szCs w:val="24"/>
        </w:rPr>
        <w:t xml:space="preserve">longitudinal </w:t>
      </w:r>
      <w:r w:rsidR="002817CB">
        <w:rPr>
          <w:rFonts w:ascii="Times New Roman" w:hAnsi="Times New Roman"/>
          <w:sz w:val="24"/>
          <w:szCs w:val="24"/>
        </w:rPr>
        <w:t>analyses</w:t>
      </w:r>
      <w:r w:rsidR="00E76063">
        <w:rPr>
          <w:rFonts w:ascii="Times New Roman" w:hAnsi="Times New Roman"/>
          <w:sz w:val="24"/>
          <w:szCs w:val="24"/>
        </w:rPr>
        <w:t xml:space="preserve"> of a population-based cohort</w:t>
      </w:r>
      <w:r w:rsidR="007C2650" w:rsidRPr="00CE415A">
        <w:rPr>
          <w:rFonts w:ascii="Times New Roman" w:hAnsi="Times New Roman"/>
          <w:sz w:val="24"/>
          <w:szCs w:val="24"/>
        </w:rPr>
        <w:t xml:space="preserve">. </w:t>
      </w:r>
    </w:p>
    <w:p w14:paraId="776CA531" w14:textId="77777777" w:rsidR="007C2650" w:rsidRPr="00CE415A" w:rsidRDefault="007C2650" w:rsidP="009F3873">
      <w:pPr>
        <w:pStyle w:val="MediumGrid21"/>
        <w:rPr>
          <w:rFonts w:ascii="Times New Roman" w:hAnsi="Times New Roman"/>
          <w:sz w:val="24"/>
          <w:szCs w:val="24"/>
        </w:rPr>
      </w:pPr>
    </w:p>
    <w:p w14:paraId="1E0A3CDE" w14:textId="77777777" w:rsidR="007C2650" w:rsidRPr="00CE415A" w:rsidRDefault="007C2650" w:rsidP="009F3873">
      <w:pPr>
        <w:pStyle w:val="MediumGrid21"/>
        <w:rPr>
          <w:rFonts w:ascii="Times New Roman" w:hAnsi="Times New Roman"/>
          <w:b/>
          <w:sz w:val="24"/>
          <w:szCs w:val="24"/>
          <w:lang w:val="en-CA" w:eastAsia="en-CA"/>
        </w:rPr>
      </w:pPr>
      <w:r w:rsidRPr="00CE415A">
        <w:rPr>
          <w:rFonts w:ascii="Times New Roman" w:hAnsi="Times New Roman"/>
          <w:b/>
          <w:sz w:val="24"/>
          <w:szCs w:val="24"/>
          <w:lang w:val="en-CA" w:eastAsia="en-CA"/>
        </w:rPr>
        <w:t>Methods:</w:t>
      </w:r>
    </w:p>
    <w:p w14:paraId="09CDD211" w14:textId="77777777" w:rsidR="007C2650" w:rsidRDefault="00A26A18" w:rsidP="009F3873">
      <w:pPr>
        <w:pStyle w:val="MediumGrid21"/>
        <w:rPr>
          <w:rFonts w:ascii="Times New Roman" w:hAnsi="Times New Roman"/>
          <w:sz w:val="24"/>
          <w:szCs w:val="24"/>
        </w:rPr>
      </w:pPr>
      <w:r w:rsidRPr="00CE415A">
        <w:rPr>
          <w:rFonts w:ascii="Times New Roman" w:hAnsi="Times New Roman"/>
          <w:sz w:val="24"/>
          <w:szCs w:val="24"/>
        </w:rPr>
        <w:t xml:space="preserve">Data </w:t>
      </w:r>
      <w:r w:rsidR="00104F39" w:rsidRPr="00CE415A">
        <w:rPr>
          <w:rFonts w:ascii="Times New Roman" w:hAnsi="Times New Roman"/>
          <w:sz w:val="24"/>
          <w:szCs w:val="24"/>
        </w:rPr>
        <w:t xml:space="preserve">are </w:t>
      </w:r>
      <w:r w:rsidRPr="00CE415A">
        <w:rPr>
          <w:rFonts w:ascii="Times New Roman" w:hAnsi="Times New Roman"/>
          <w:sz w:val="24"/>
          <w:szCs w:val="24"/>
        </w:rPr>
        <w:t xml:space="preserve">from </w:t>
      </w:r>
      <w:r w:rsidR="00F21D5B" w:rsidRPr="00CE415A">
        <w:rPr>
          <w:rFonts w:ascii="Times New Roman" w:hAnsi="Times New Roman"/>
          <w:sz w:val="24"/>
          <w:szCs w:val="24"/>
        </w:rPr>
        <w:t>Canada’s</w:t>
      </w:r>
      <w:r w:rsidRPr="00CE415A">
        <w:rPr>
          <w:rFonts w:ascii="Times New Roman" w:hAnsi="Times New Roman"/>
          <w:sz w:val="24"/>
          <w:szCs w:val="24"/>
        </w:rPr>
        <w:t xml:space="preserve"> National Population Health Survey (n=</w:t>
      </w:r>
      <w:r w:rsidRPr="00CE415A">
        <w:rPr>
          <w:rFonts w:ascii="Times New Roman" w:hAnsi="Times New Roman"/>
          <w:color w:val="000000"/>
          <w:kern w:val="24"/>
          <w:sz w:val="24"/>
          <w:szCs w:val="24"/>
        </w:rPr>
        <w:t>2,976</w:t>
      </w:r>
      <w:r w:rsidRPr="00CE415A">
        <w:rPr>
          <w:rFonts w:ascii="Times New Roman" w:hAnsi="Times New Roman"/>
          <w:sz w:val="24"/>
          <w:szCs w:val="24"/>
        </w:rPr>
        <w:t>; biannual assessments 1994- 2006). Socio-demographic and health data were linked to r</w:t>
      </w:r>
      <w:r w:rsidR="00A35D83">
        <w:rPr>
          <w:rFonts w:ascii="Times New Roman" w:hAnsi="Times New Roman"/>
          <w:sz w:val="24"/>
          <w:szCs w:val="24"/>
        </w:rPr>
        <w:t xml:space="preserve">esidential neighbourhoods </w:t>
      </w:r>
      <w:r w:rsidR="005867A4">
        <w:rPr>
          <w:rFonts w:ascii="Times New Roman" w:hAnsi="Times New Roman"/>
          <w:sz w:val="24"/>
          <w:szCs w:val="24"/>
        </w:rPr>
        <w:t>via postal code</w:t>
      </w:r>
      <w:r w:rsidR="00A35D83">
        <w:rPr>
          <w:rFonts w:ascii="Times New Roman" w:hAnsi="Times New Roman"/>
          <w:sz w:val="24"/>
          <w:szCs w:val="24"/>
        </w:rPr>
        <w:t xml:space="preserve">. </w:t>
      </w:r>
      <w:r w:rsidRPr="00CE415A">
        <w:rPr>
          <w:rFonts w:ascii="Times New Roman" w:hAnsi="Times New Roman"/>
          <w:sz w:val="24"/>
          <w:szCs w:val="24"/>
        </w:rPr>
        <w:t xml:space="preserve">Walkability was </w:t>
      </w:r>
      <w:r w:rsidR="00E76063">
        <w:rPr>
          <w:rFonts w:ascii="Times New Roman" w:hAnsi="Times New Roman"/>
          <w:sz w:val="24"/>
          <w:szCs w:val="24"/>
        </w:rPr>
        <w:t>measured by the</w:t>
      </w:r>
      <w:r w:rsidRPr="00CE415A">
        <w:rPr>
          <w:rFonts w:ascii="Times New Roman" w:hAnsi="Times New Roman"/>
          <w:sz w:val="24"/>
          <w:szCs w:val="24"/>
        </w:rPr>
        <w:t xml:space="preserve"> </w:t>
      </w:r>
      <w:r w:rsidR="00DC05D5">
        <w:rPr>
          <w:rFonts w:ascii="Times New Roman" w:hAnsi="Times New Roman"/>
          <w:sz w:val="24"/>
          <w:szCs w:val="24"/>
        </w:rPr>
        <w:t>Walk Score®</w:t>
      </w:r>
      <w:r w:rsidRPr="00CE415A">
        <w:rPr>
          <w:rFonts w:ascii="Times New Roman" w:hAnsi="Times New Roman"/>
          <w:sz w:val="24"/>
          <w:szCs w:val="24"/>
        </w:rPr>
        <w:t xml:space="preserve">. Levels of utilitarian walking were modeled as a function of </w:t>
      </w:r>
      <w:r w:rsidR="00DC05D5">
        <w:rPr>
          <w:rFonts w:ascii="Times New Roman" w:hAnsi="Times New Roman"/>
          <w:sz w:val="24"/>
          <w:szCs w:val="24"/>
        </w:rPr>
        <w:t>Walk Score®</w:t>
      </w:r>
      <w:r w:rsidRPr="00CE415A">
        <w:rPr>
          <w:rFonts w:ascii="Times New Roman" w:hAnsi="Times New Roman"/>
          <w:sz w:val="24"/>
          <w:szCs w:val="24"/>
        </w:rPr>
        <w:t xml:space="preserve"> and </w:t>
      </w:r>
      <w:r w:rsidR="00F479A9">
        <w:rPr>
          <w:rFonts w:ascii="Times New Roman" w:hAnsi="Times New Roman"/>
          <w:sz w:val="24"/>
          <w:szCs w:val="24"/>
        </w:rPr>
        <w:t>socio-demographic and behavioura</w:t>
      </w:r>
      <w:r w:rsidR="00FD6E18">
        <w:rPr>
          <w:rFonts w:ascii="Times New Roman" w:hAnsi="Times New Roman"/>
          <w:sz w:val="24"/>
          <w:szCs w:val="24"/>
        </w:rPr>
        <w:t>l</w:t>
      </w:r>
      <w:r w:rsidR="00F479A9" w:rsidRPr="00CE415A">
        <w:rPr>
          <w:rFonts w:ascii="Times New Roman" w:hAnsi="Times New Roman"/>
          <w:sz w:val="24"/>
          <w:szCs w:val="24"/>
        </w:rPr>
        <w:t xml:space="preserve"> </w:t>
      </w:r>
      <w:r w:rsidR="006C694C">
        <w:rPr>
          <w:rFonts w:ascii="Times New Roman" w:hAnsi="Times New Roman"/>
          <w:sz w:val="24"/>
          <w:szCs w:val="24"/>
        </w:rPr>
        <w:t>covariates</w:t>
      </w:r>
      <w:r w:rsidR="006C694C" w:rsidRPr="00CE415A">
        <w:rPr>
          <w:rFonts w:ascii="Times New Roman" w:hAnsi="Times New Roman"/>
          <w:sz w:val="24"/>
          <w:szCs w:val="24"/>
        </w:rPr>
        <w:t xml:space="preserve"> </w:t>
      </w:r>
      <w:r w:rsidRPr="00CE415A">
        <w:rPr>
          <w:rFonts w:ascii="Times New Roman" w:hAnsi="Times New Roman"/>
          <w:sz w:val="24"/>
          <w:szCs w:val="24"/>
        </w:rPr>
        <w:t>using mixed effects ordered logistic regression</w:t>
      </w:r>
      <w:r w:rsidR="00A14DFF">
        <w:rPr>
          <w:rFonts w:ascii="Times New Roman" w:hAnsi="Times New Roman"/>
          <w:sz w:val="24"/>
          <w:szCs w:val="24"/>
        </w:rPr>
        <w:t xml:space="preserve"> and fixed effects logistic</w:t>
      </w:r>
      <w:r w:rsidR="000C2910">
        <w:rPr>
          <w:rFonts w:ascii="Times New Roman" w:hAnsi="Times New Roman"/>
          <w:sz w:val="24"/>
          <w:szCs w:val="24"/>
        </w:rPr>
        <w:t xml:space="preserve"> regression.</w:t>
      </w:r>
    </w:p>
    <w:p w14:paraId="3800793E" w14:textId="77777777" w:rsidR="00452015" w:rsidRDefault="00452015" w:rsidP="009F3873">
      <w:pPr>
        <w:pStyle w:val="MediumGrid21"/>
        <w:rPr>
          <w:rFonts w:ascii="Times New Roman" w:hAnsi="Times New Roman"/>
          <w:sz w:val="24"/>
          <w:szCs w:val="24"/>
        </w:rPr>
      </w:pPr>
    </w:p>
    <w:p w14:paraId="053819AB" w14:textId="77777777" w:rsidR="007C2650" w:rsidRPr="007C2650" w:rsidRDefault="007C2650" w:rsidP="009F3873">
      <w:pPr>
        <w:pStyle w:val="MediumGrid21"/>
        <w:rPr>
          <w:rFonts w:ascii="Times New Roman" w:hAnsi="Times New Roman"/>
          <w:b/>
          <w:sz w:val="24"/>
          <w:szCs w:val="24"/>
        </w:rPr>
      </w:pPr>
      <w:r w:rsidRPr="007C2650">
        <w:rPr>
          <w:rFonts w:ascii="Times New Roman" w:hAnsi="Times New Roman"/>
          <w:b/>
          <w:sz w:val="24"/>
          <w:szCs w:val="24"/>
        </w:rPr>
        <w:t>Results:</w:t>
      </w:r>
    </w:p>
    <w:p w14:paraId="543D55F0" w14:textId="77777777" w:rsidR="007C2650" w:rsidRDefault="00A35D83" w:rsidP="009F3873">
      <w:pPr>
        <w:pStyle w:val="MediumGrid21"/>
        <w:rPr>
          <w:rFonts w:ascii="Times New Roman" w:hAnsi="Times New Roman"/>
          <w:sz w:val="24"/>
          <w:szCs w:val="24"/>
        </w:rPr>
      </w:pPr>
      <w:r>
        <w:rPr>
          <w:rFonts w:ascii="Times New Roman" w:hAnsi="Times New Roman"/>
          <w:sz w:val="24"/>
          <w:szCs w:val="24"/>
        </w:rPr>
        <w:t>M</w:t>
      </w:r>
      <w:r w:rsidR="006B39BC" w:rsidRPr="00856C3F">
        <w:rPr>
          <w:rFonts w:ascii="Times New Roman" w:hAnsi="Times New Roman"/>
          <w:sz w:val="24"/>
          <w:szCs w:val="24"/>
        </w:rPr>
        <w:t>oderate utilitarian walking increased from 2</w:t>
      </w:r>
      <w:r w:rsidR="006760DD">
        <w:rPr>
          <w:rFonts w:ascii="Times New Roman" w:hAnsi="Times New Roman"/>
          <w:sz w:val="24"/>
          <w:szCs w:val="24"/>
        </w:rPr>
        <w:t>4</w:t>
      </w:r>
      <w:r w:rsidR="006B39BC" w:rsidRPr="00856C3F">
        <w:rPr>
          <w:rFonts w:ascii="Times New Roman" w:hAnsi="Times New Roman"/>
          <w:sz w:val="24"/>
          <w:szCs w:val="24"/>
        </w:rPr>
        <w:t xml:space="preserve">% to </w:t>
      </w:r>
      <w:r w:rsidR="006B39BC">
        <w:rPr>
          <w:rFonts w:ascii="Times New Roman" w:hAnsi="Times New Roman"/>
          <w:sz w:val="24"/>
          <w:szCs w:val="24"/>
        </w:rPr>
        <w:t>3</w:t>
      </w:r>
      <w:r w:rsidR="006760DD">
        <w:rPr>
          <w:rFonts w:ascii="Times New Roman" w:hAnsi="Times New Roman"/>
          <w:sz w:val="24"/>
          <w:szCs w:val="24"/>
        </w:rPr>
        <w:t>6</w:t>
      </w:r>
      <w:r w:rsidR="006B39BC" w:rsidRPr="00856C3F">
        <w:rPr>
          <w:rFonts w:ascii="Times New Roman" w:hAnsi="Times New Roman"/>
          <w:sz w:val="24"/>
          <w:szCs w:val="24"/>
        </w:rPr>
        <w:t xml:space="preserve">% </w:t>
      </w:r>
      <w:r w:rsidR="006B39BC">
        <w:rPr>
          <w:rFonts w:ascii="Times New Roman" w:hAnsi="Times New Roman"/>
          <w:sz w:val="24"/>
          <w:szCs w:val="24"/>
        </w:rPr>
        <w:t xml:space="preserve">over the study period, </w:t>
      </w:r>
      <w:r>
        <w:rPr>
          <w:rFonts w:ascii="Times New Roman" w:hAnsi="Times New Roman"/>
          <w:sz w:val="24"/>
          <w:szCs w:val="24"/>
        </w:rPr>
        <w:t>with</w:t>
      </w:r>
      <w:r w:rsidR="006B39BC">
        <w:rPr>
          <w:rFonts w:ascii="Times New Roman" w:hAnsi="Times New Roman"/>
          <w:sz w:val="24"/>
          <w:szCs w:val="24"/>
        </w:rPr>
        <w:t xml:space="preserve"> the </w:t>
      </w:r>
      <w:r>
        <w:rPr>
          <w:rFonts w:ascii="Times New Roman" w:hAnsi="Times New Roman"/>
          <w:sz w:val="24"/>
          <w:szCs w:val="24"/>
        </w:rPr>
        <w:t xml:space="preserve">highest </w:t>
      </w:r>
      <w:r w:rsidR="006B39BC">
        <w:rPr>
          <w:rFonts w:ascii="Times New Roman" w:hAnsi="Times New Roman"/>
          <w:sz w:val="24"/>
          <w:szCs w:val="24"/>
        </w:rPr>
        <w:t xml:space="preserve">increase </w:t>
      </w:r>
      <w:r w:rsidR="008373D1">
        <w:rPr>
          <w:rFonts w:ascii="Times New Roman" w:hAnsi="Times New Roman"/>
          <w:sz w:val="24"/>
          <w:szCs w:val="24"/>
        </w:rPr>
        <w:t xml:space="preserve">(15%) </w:t>
      </w:r>
      <w:r w:rsidR="001A5F54">
        <w:rPr>
          <w:rFonts w:ascii="Times New Roman" w:hAnsi="Times New Roman"/>
          <w:sz w:val="24"/>
          <w:szCs w:val="24"/>
        </w:rPr>
        <w:t xml:space="preserve">for participants </w:t>
      </w:r>
      <w:r w:rsidR="008373D1">
        <w:rPr>
          <w:rFonts w:ascii="Times New Roman" w:hAnsi="Times New Roman"/>
          <w:sz w:val="24"/>
          <w:szCs w:val="24"/>
        </w:rPr>
        <w:t xml:space="preserve">living </w:t>
      </w:r>
      <w:r w:rsidR="006B39BC">
        <w:rPr>
          <w:rFonts w:ascii="Times New Roman" w:hAnsi="Times New Roman"/>
          <w:sz w:val="24"/>
          <w:szCs w:val="24"/>
        </w:rPr>
        <w:t xml:space="preserve">in the </w:t>
      </w:r>
      <w:r w:rsidR="00FD6E18">
        <w:rPr>
          <w:rFonts w:ascii="Times New Roman" w:hAnsi="Times New Roman"/>
          <w:sz w:val="24"/>
          <w:szCs w:val="24"/>
        </w:rPr>
        <w:t>most walkable</w:t>
      </w:r>
      <w:r w:rsidR="006B39BC">
        <w:rPr>
          <w:rFonts w:ascii="Times New Roman" w:hAnsi="Times New Roman"/>
          <w:sz w:val="24"/>
          <w:szCs w:val="24"/>
        </w:rPr>
        <w:t xml:space="preserve"> neighbourhoods</w:t>
      </w:r>
      <w:r w:rsidR="00F479A9">
        <w:rPr>
          <w:rFonts w:ascii="Times New Roman" w:hAnsi="Times New Roman"/>
          <w:sz w:val="24"/>
          <w:szCs w:val="24"/>
        </w:rPr>
        <w:t>.</w:t>
      </w:r>
      <w:r w:rsidR="006B39BC">
        <w:rPr>
          <w:rFonts w:ascii="Times New Roman" w:hAnsi="Times New Roman"/>
          <w:sz w:val="24"/>
          <w:szCs w:val="24"/>
        </w:rPr>
        <w:t xml:space="preserve"> </w:t>
      </w:r>
      <w:r w:rsidR="009B21B0">
        <w:rPr>
          <w:rFonts w:ascii="Times New Roman" w:hAnsi="Times New Roman"/>
          <w:sz w:val="24"/>
          <w:szCs w:val="24"/>
        </w:rPr>
        <w:t xml:space="preserve">In multivariate analyses, a </w:t>
      </w:r>
      <w:r w:rsidR="007138D6">
        <w:rPr>
          <w:rFonts w:ascii="Times New Roman" w:hAnsi="Times New Roman"/>
          <w:sz w:val="24"/>
          <w:szCs w:val="24"/>
        </w:rPr>
        <w:t xml:space="preserve">one </w:t>
      </w:r>
      <w:r w:rsidR="00B7486B">
        <w:rPr>
          <w:rFonts w:ascii="Times New Roman" w:hAnsi="Times New Roman"/>
          <w:sz w:val="24"/>
          <w:szCs w:val="24"/>
        </w:rPr>
        <w:t>unit</w:t>
      </w:r>
      <w:r w:rsidR="00B7486B" w:rsidRPr="004804E7">
        <w:rPr>
          <w:rFonts w:ascii="Times New Roman" w:hAnsi="Times New Roman"/>
          <w:sz w:val="24"/>
          <w:szCs w:val="24"/>
        </w:rPr>
        <w:t xml:space="preserve"> </w:t>
      </w:r>
      <w:r w:rsidR="008F6AD2" w:rsidRPr="004804E7">
        <w:rPr>
          <w:rFonts w:ascii="Times New Roman" w:hAnsi="Times New Roman"/>
          <w:sz w:val="24"/>
          <w:szCs w:val="24"/>
        </w:rPr>
        <w:t xml:space="preserve">increase in </w:t>
      </w:r>
      <w:r w:rsidR="00B7486B">
        <w:rPr>
          <w:rFonts w:ascii="Times New Roman" w:hAnsi="Times New Roman"/>
          <w:sz w:val="24"/>
          <w:szCs w:val="24"/>
        </w:rPr>
        <w:t xml:space="preserve">the probability of spending more time in the </w:t>
      </w:r>
      <w:r w:rsidR="008F6AD2" w:rsidRPr="004804E7">
        <w:rPr>
          <w:rFonts w:ascii="Times New Roman" w:hAnsi="Times New Roman"/>
          <w:sz w:val="24"/>
          <w:szCs w:val="24"/>
        </w:rPr>
        <w:t xml:space="preserve"> </w:t>
      </w:r>
      <w:r w:rsidR="00613DB2">
        <w:rPr>
          <w:rFonts w:ascii="Times New Roman" w:hAnsi="Times New Roman"/>
          <w:sz w:val="24"/>
          <w:szCs w:val="24"/>
        </w:rPr>
        <w:t>4</w:t>
      </w:r>
      <w:r w:rsidR="00613DB2" w:rsidRPr="00F36F34">
        <w:rPr>
          <w:rFonts w:ascii="Times New Roman" w:hAnsi="Times New Roman"/>
          <w:sz w:val="24"/>
          <w:szCs w:val="24"/>
          <w:vertAlign w:val="superscript"/>
        </w:rPr>
        <w:t>th</w:t>
      </w:r>
      <w:r w:rsidR="00613DB2">
        <w:rPr>
          <w:rFonts w:ascii="Times New Roman" w:hAnsi="Times New Roman"/>
          <w:sz w:val="24"/>
          <w:szCs w:val="24"/>
        </w:rPr>
        <w:t xml:space="preserve"> </w:t>
      </w:r>
      <w:r w:rsidR="008F6AD2" w:rsidRPr="003844C7">
        <w:rPr>
          <w:rFonts w:ascii="Times New Roman" w:hAnsi="Times New Roman"/>
          <w:sz w:val="24"/>
          <w:szCs w:val="24"/>
        </w:rPr>
        <w:t>vs 1</w:t>
      </w:r>
      <w:r w:rsidR="008F6AD2" w:rsidRPr="003844C7">
        <w:rPr>
          <w:rFonts w:ascii="Times New Roman" w:hAnsi="Times New Roman"/>
          <w:sz w:val="24"/>
          <w:szCs w:val="24"/>
          <w:vertAlign w:val="superscript"/>
        </w:rPr>
        <w:t>st</w:t>
      </w:r>
      <w:r w:rsidR="008F6AD2" w:rsidRPr="003844C7">
        <w:rPr>
          <w:rFonts w:ascii="Times New Roman" w:hAnsi="Times New Roman"/>
          <w:sz w:val="24"/>
          <w:szCs w:val="24"/>
        </w:rPr>
        <w:t xml:space="preserve"> </w:t>
      </w:r>
      <w:r w:rsidR="00DC05D5">
        <w:rPr>
          <w:rFonts w:ascii="Times New Roman" w:hAnsi="Times New Roman"/>
          <w:sz w:val="24"/>
          <w:szCs w:val="24"/>
        </w:rPr>
        <w:t>Walk Score®</w:t>
      </w:r>
      <w:r w:rsidR="008F6AD2" w:rsidRPr="003844C7">
        <w:rPr>
          <w:rFonts w:ascii="Times New Roman" w:hAnsi="Times New Roman"/>
          <w:sz w:val="24"/>
          <w:szCs w:val="24"/>
        </w:rPr>
        <w:t xml:space="preserve"> quartile neighbourhoods increased moderate utilitarian walking by 4% (95% C.I. 2.9%, 5.1%)</w:t>
      </w:r>
      <w:r w:rsidR="003844C7" w:rsidRPr="003844C7">
        <w:rPr>
          <w:rFonts w:ascii="Times New Roman" w:hAnsi="Times New Roman"/>
          <w:sz w:val="24"/>
          <w:szCs w:val="24"/>
        </w:rPr>
        <w:t>.</w:t>
      </w:r>
      <w:r w:rsidR="004B0223">
        <w:rPr>
          <w:rFonts w:ascii="Times New Roman" w:hAnsi="Times New Roman"/>
          <w:sz w:val="24"/>
          <w:szCs w:val="24"/>
        </w:rPr>
        <w:t xml:space="preserve"> The influence of neighbourhood walkability persisted through adjustment for individual co-variates including leisure time physical activity.</w:t>
      </w:r>
      <w:r w:rsidR="003844C7" w:rsidRPr="003844C7">
        <w:rPr>
          <w:rFonts w:ascii="Times New Roman" w:hAnsi="Times New Roman"/>
          <w:sz w:val="24"/>
          <w:szCs w:val="24"/>
        </w:rPr>
        <w:t xml:space="preserve"> </w:t>
      </w:r>
      <w:r w:rsidR="00F00B3A" w:rsidRPr="003844C7">
        <w:rPr>
          <w:rFonts w:ascii="Times New Roman" w:hAnsi="Times New Roman"/>
          <w:sz w:val="24"/>
          <w:szCs w:val="24"/>
        </w:rPr>
        <w:t>Moving to a higher walkable neighbourhood</w:t>
      </w:r>
      <w:r w:rsidR="00876BD3">
        <w:rPr>
          <w:rFonts w:ascii="Times New Roman" w:hAnsi="Times New Roman"/>
          <w:sz w:val="24"/>
          <w:szCs w:val="24"/>
        </w:rPr>
        <w:t xml:space="preserve"> </w:t>
      </w:r>
      <w:r w:rsidR="00F00B3A" w:rsidRPr="003844C7">
        <w:rPr>
          <w:rFonts w:ascii="Times New Roman" w:hAnsi="Times New Roman"/>
          <w:sz w:val="24"/>
          <w:szCs w:val="24"/>
        </w:rPr>
        <w:t xml:space="preserve">increased the odds </w:t>
      </w:r>
      <w:r w:rsidR="007949E1" w:rsidRPr="003844C7">
        <w:rPr>
          <w:rFonts w:ascii="Times New Roman" w:hAnsi="Times New Roman"/>
          <w:sz w:val="24"/>
          <w:szCs w:val="24"/>
        </w:rPr>
        <w:t>of moderate and high utilitarian walking by 59% (</w:t>
      </w:r>
      <w:r w:rsidR="00B42094">
        <w:rPr>
          <w:rFonts w:ascii="Times New Roman" w:hAnsi="Times New Roman"/>
          <w:sz w:val="24"/>
          <w:szCs w:val="24"/>
        </w:rPr>
        <w:t xml:space="preserve">95% </w:t>
      </w:r>
      <w:r w:rsidR="007949E1" w:rsidRPr="003844C7">
        <w:rPr>
          <w:rFonts w:ascii="Times New Roman" w:hAnsi="Times New Roman"/>
          <w:sz w:val="24"/>
          <w:szCs w:val="24"/>
        </w:rPr>
        <w:t>C.I</w:t>
      </w:r>
      <w:r w:rsidR="001773F8" w:rsidRPr="003844C7">
        <w:rPr>
          <w:rFonts w:ascii="Times New Roman" w:hAnsi="Times New Roman"/>
          <w:sz w:val="24"/>
          <w:szCs w:val="24"/>
        </w:rPr>
        <w:t>.</w:t>
      </w:r>
      <w:r w:rsidR="007949E1" w:rsidRPr="003844C7">
        <w:rPr>
          <w:rFonts w:ascii="Times New Roman" w:hAnsi="Times New Roman"/>
          <w:sz w:val="24"/>
          <w:szCs w:val="24"/>
        </w:rPr>
        <w:t xml:space="preserve"> 3</w:t>
      </w:r>
      <w:r w:rsidR="00856C3F" w:rsidRPr="003844C7">
        <w:rPr>
          <w:rFonts w:ascii="Times New Roman" w:hAnsi="Times New Roman"/>
          <w:sz w:val="24"/>
          <w:szCs w:val="24"/>
        </w:rPr>
        <w:t>%</w:t>
      </w:r>
      <w:r w:rsidR="00357BCF" w:rsidRPr="003844C7">
        <w:rPr>
          <w:rFonts w:ascii="Times New Roman" w:hAnsi="Times New Roman"/>
          <w:sz w:val="24"/>
          <w:szCs w:val="24"/>
        </w:rPr>
        <w:t>-</w:t>
      </w:r>
      <w:r w:rsidR="007949E1" w:rsidRPr="003844C7">
        <w:rPr>
          <w:rFonts w:ascii="Times New Roman" w:hAnsi="Times New Roman"/>
          <w:sz w:val="24"/>
          <w:szCs w:val="24"/>
        </w:rPr>
        <w:t xml:space="preserve">140%) compared to </w:t>
      </w:r>
      <w:r w:rsidR="00F479A9">
        <w:rPr>
          <w:rFonts w:ascii="Times New Roman" w:hAnsi="Times New Roman"/>
          <w:sz w:val="24"/>
          <w:szCs w:val="24"/>
        </w:rPr>
        <w:t>other types of residential moves.</w:t>
      </w:r>
    </w:p>
    <w:p w14:paraId="5016C775" w14:textId="77777777" w:rsidR="007C2650" w:rsidRDefault="007C2650" w:rsidP="009F3873">
      <w:pPr>
        <w:pStyle w:val="MediumGrid21"/>
        <w:rPr>
          <w:rFonts w:ascii="Times New Roman" w:hAnsi="Times New Roman"/>
          <w:sz w:val="24"/>
          <w:szCs w:val="24"/>
        </w:rPr>
      </w:pPr>
    </w:p>
    <w:p w14:paraId="14EEA33B" w14:textId="77777777" w:rsidR="007C2650" w:rsidRPr="00F74135" w:rsidRDefault="007C2650" w:rsidP="009F3873">
      <w:pPr>
        <w:pStyle w:val="MediumGrid21"/>
        <w:rPr>
          <w:rFonts w:ascii="Times New Roman" w:hAnsi="Times New Roman"/>
          <w:b/>
          <w:sz w:val="24"/>
          <w:szCs w:val="24"/>
        </w:rPr>
      </w:pPr>
      <w:r w:rsidRPr="00F74135">
        <w:rPr>
          <w:rFonts w:ascii="Times New Roman" w:hAnsi="Times New Roman"/>
          <w:b/>
          <w:sz w:val="24"/>
          <w:szCs w:val="24"/>
        </w:rPr>
        <w:t>Conclusions:</w:t>
      </w:r>
    </w:p>
    <w:p w14:paraId="21F8CC1A" w14:textId="15F4B8E7" w:rsidR="00A26A18" w:rsidRPr="003844C7" w:rsidRDefault="00894AAC" w:rsidP="009F3873">
      <w:pPr>
        <w:pStyle w:val="MediumGrid21"/>
        <w:rPr>
          <w:rFonts w:ascii="Times New Roman" w:hAnsi="Times New Roman"/>
          <w:sz w:val="24"/>
          <w:szCs w:val="24"/>
        </w:rPr>
      </w:pPr>
      <w:r w:rsidRPr="00F74135">
        <w:rPr>
          <w:rFonts w:ascii="Times New Roman" w:hAnsi="Times New Roman"/>
          <w:sz w:val="24"/>
          <w:szCs w:val="24"/>
          <w:lang w:val="en-CA" w:eastAsia="en-CA"/>
        </w:rPr>
        <w:t>Exposure</w:t>
      </w:r>
      <w:r w:rsidR="00A26A18" w:rsidRPr="00F74135">
        <w:rPr>
          <w:rFonts w:ascii="Times New Roman" w:hAnsi="Times New Roman"/>
          <w:sz w:val="24"/>
          <w:szCs w:val="24"/>
          <w:lang w:val="en-CA" w:eastAsia="en-CA"/>
        </w:rPr>
        <w:t xml:space="preserve"> to more walkable neighbourhoods</w:t>
      </w:r>
      <w:r w:rsidRPr="00F74135">
        <w:rPr>
          <w:rFonts w:ascii="Times New Roman" w:hAnsi="Times New Roman"/>
          <w:sz w:val="24"/>
          <w:szCs w:val="24"/>
          <w:lang w:val="en-CA" w:eastAsia="en-CA"/>
        </w:rPr>
        <w:t xml:space="preserve"> and moving from less walkable to </w:t>
      </w:r>
      <w:r w:rsidR="008C46B7" w:rsidRPr="00F74135">
        <w:rPr>
          <w:rFonts w:ascii="Times New Roman" w:hAnsi="Times New Roman"/>
          <w:sz w:val="24"/>
          <w:szCs w:val="24"/>
          <w:lang w:val="en-CA" w:eastAsia="en-CA"/>
        </w:rPr>
        <w:t xml:space="preserve">more </w:t>
      </w:r>
      <w:r w:rsidRPr="00F74135">
        <w:rPr>
          <w:rFonts w:ascii="Times New Roman" w:hAnsi="Times New Roman"/>
          <w:sz w:val="24"/>
          <w:szCs w:val="24"/>
          <w:lang w:val="en-CA" w:eastAsia="en-CA"/>
        </w:rPr>
        <w:t>walkable neighbourhoods</w:t>
      </w:r>
      <w:r w:rsidR="00A26A18" w:rsidRPr="00F74135">
        <w:rPr>
          <w:rFonts w:ascii="Times New Roman" w:hAnsi="Times New Roman"/>
          <w:sz w:val="24"/>
          <w:szCs w:val="24"/>
          <w:lang w:val="en-CA" w:eastAsia="en-CA"/>
        </w:rPr>
        <w:t xml:space="preserve"> was associated with </w:t>
      </w:r>
      <w:r w:rsidR="008373D1" w:rsidRPr="00F74135">
        <w:rPr>
          <w:rFonts w:ascii="Times New Roman" w:hAnsi="Times New Roman"/>
          <w:sz w:val="24"/>
          <w:szCs w:val="24"/>
          <w:lang w:val="en-CA" w:eastAsia="en-CA"/>
        </w:rPr>
        <w:t xml:space="preserve">increases in </w:t>
      </w:r>
      <w:r w:rsidR="00A26A18" w:rsidRPr="00F74135">
        <w:rPr>
          <w:rFonts w:ascii="Times New Roman" w:hAnsi="Times New Roman"/>
          <w:sz w:val="24"/>
          <w:szCs w:val="24"/>
          <w:lang w:val="en-CA" w:eastAsia="en-CA"/>
        </w:rPr>
        <w:t>utilitarian walking</w:t>
      </w:r>
      <w:r w:rsidR="004B0223" w:rsidRPr="00F74135">
        <w:rPr>
          <w:rFonts w:ascii="Times New Roman" w:hAnsi="Times New Roman"/>
          <w:sz w:val="24"/>
          <w:szCs w:val="24"/>
          <w:lang w:val="en-CA" w:eastAsia="en-CA"/>
        </w:rPr>
        <w:t>, even for individuals who were otherwise inactive in their leisure time</w:t>
      </w:r>
      <w:r w:rsidR="00A26A18" w:rsidRPr="00F74135">
        <w:rPr>
          <w:rFonts w:ascii="Times New Roman" w:hAnsi="Times New Roman"/>
          <w:sz w:val="24"/>
          <w:szCs w:val="24"/>
          <w:lang w:val="en-CA" w:eastAsia="en-CA"/>
        </w:rPr>
        <w:t xml:space="preserve">. </w:t>
      </w:r>
      <w:r w:rsidR="00C1770C" w:rsidRPr="00F74135">
        <w:rPr>
          <w:rFonts w:ascii="Times New Roman" w:hAnsi="Times New Roman"/>
          <w:sz w:val="24"/>
          <w:szCs w:val="24"/>
          <w:lang w:val="en-CA" w:eastAsia="en-CA"/>
        </w:rPr>
        <w:t>Walkable neighbourhood environments have</w:t>
      </w:r>
      <w:r w:rsidR="00A26A18" w:rsidRPr="00F74135">
        <w:rPr>
          <w:rFonts w:ascii="Times New Roman" w:hAnsi="Times New Roman"/>
          <w:sz w:val="24"/>
          <w:szCs w:val="24"/>
          <w:lang w:val="en-CA" w:eastAsia="en-CA"/>
        </w:rPr>
        <w:t xml:space="preserve"> the potential to increase utilitarian walking</w:t>
      </w:r>
      <w:r w:rsidR="00FD6E18" w:rsidRPr="00F74135">
        <w:rPr>
          <w:rFonts w:ascii="Times New Roman" w:hAnsi="Times New Roman"/>
          <w:sz w:val="24"/>
          <w:szCs w:val="24"/>
          <w:lang w:val="en-CA" w:eastAsia="en-CA"/>
        </w:rPr>
        <w:t xml:space="preserve"> </w:t>
      </w:r>
      <w:r w:rsidR="00A26A18" w:rsidRPr="00F74135">
        <w:rPr>
          <w:rFonts w:ascii="Times New Roman" w:hAnsi="Times New Roman"/>
          <w:sz w:val="24"/>
          <w:szCs w:val="24"/>
          <w:lang w:val="en-CA" w:eastAsia="en-CA"/>
        </w:rPr>
        <w:t xml:space="preserve">and </w:t>
      </w:r>
      <w:r w:rsidR="00F479A9" w:rsidRPr="00F74135">
        <w:rPr>
          <w:rFonts w:ascii="Times New Roman" w:hAnsi="Times New Roman"/>
          <w:sz w:val="24"/>
          <w:szCs w:val="24"/>
          <w:lang w:val="en-CA" w:eastAsia="en-CA"/>
        </w:rPr>
        <w:t>walking-friendly neighbourhood design should be</w:t>
      </w:r>
      <w:r w:rsidR="00A26A18" w:rsidRPr="00F74135">
        <w:rPr>
          <w:rFonts w:ascii="Times New Roman" w:hAnsi="Times New Roman"/>
          <w:sz w:val="24"/>
          <w:szCs w:val="24"/>
          <w:lang w:val="en-CA" w:eastAsia="en-CA"/>
        </w:rPr>
        <w:t xml:space="preserve"> considered amongst policy options for </w:t>
      </w:r>
      <w:r w:rsidR="00357D45" w:rsidRPr="00F74135">
        <w:rPr>
          <w:rFonts w:ascii="Times New Roman" w:hAnsi="Times New Roman"/>
          <w:sz w:val="24"/>
          <w:szCs w:val="24"/>
          <w:lang w:val="en-CA" w:eastAsia="en-CA"/>
        </w:rPr>
        <w:t xml:space="preserve">increasing </w:t>
      </w:r>
      <w:r w:rsidR="00A26A18" w:rsidRPr="00F74135">
        <w:rPr>
          <w:rFonts w:ascii="Times New Roman" w:hAnsi="Times New Roman"/>
          <w:sz w:val="24"/>
          <w:szCs w:val="24"/>
          <w:lang w:val="en-CA" w:eastAsia="en-CA"/>
        </w:rPr>
        <w:t>population level physical activity.</w:t>
      </w:r>
    </w:p>
    <w:p w14:paraId="60BAC7BA" w14:textId="77777777" w:rsidR="00A26A18" w:rsidRPr="00856C3F" w:rsidRDefault="00A26A18" w:rsidP="009F3873"/>
    <w:p w14:paraId="788D12F1" w14:textId="77777777" w:rsidR="00283AA4" w:rsidRDefault="00283AA4" w:rsidP="009F3873">
      <w:pPr>
        <w:rPr>
          <w:rFonts w:ascii="Courier New" w:hAnsi="Courier New" w:cs="Courier New"/>
          <w:sz w:val="25"/>
          <w:szCs w:val="25"/>
        </w:rPr>
      </w:pPr>
      <w:bookmarkStart w:id="1" w:name="_Toc257162599"/>
    </w:p>
    <w:p w14:paraId="571CA8BA" w14:textId="77777777" w:rsidR="00E137F3" w:rsidRPr="00C67B3F" w:rsidRDefault="00E137F3" w:rsidP="009F3873">
      <w:pPr>
        <w:spacing w:after="200"/>
      </w:pPr>
      <w:r w:rsidRPr="00E137F3">
        <w:rPr>
          <w:b/>
        </w:rPr>
        <w:t xml:space="preserve">Key words: </w:t>
      </w:r>
      <w:r w:rsidRPr="00C67B3F">
        <w:t>Longitudinal analysis, Walkability, Utilitarian Walking, Built Environment, Physical Activity</w:t>
      </w:r>
      <w:r>
        <w:t xml:space="preserve">, </w:t>
      </w:r>
      <w:r w:rsidR="00DC05D5">
        <w:t>Walk Score®</w:t>
      </w:r>
    </w:p>
    <w:p w14:paraId="0181C71C" w14:textId="77777777" w:rsidR="00283AA4" w:rsidRDefault="00283AA4" w:rsidP="009F3873">
      <w:pPr>
        <w:rPr>
          <w:rFonts w:ascii="Courier New" w:hAnsi="Courier New" w:cs="Courier New"/>
          <w:sz w:val="25"/>
          <w:szCs w:val="25"/>
        </w:rPr>
      </w:pPr>
    </w:p>
    <w:p w14:paraId="6AC020FC" w14:textId="77777777" w:rsidR="00283AA4" w:rsidRDefault="00283AA4" w:rsidP="009F3873">
      <w:pPr>
        <w:rPr>
          <w:rFonts w:ascii="Courier New" w:hAnsi="Courier New" w:cs="Courier New"/>
          <w:sz w:val="25"/>
          <w:szCs w:val="25"/>
        </w:rPr>
      </w:pPr>
    </w:p>
    <w:p w14:paraId="0D02E587" w14:textId="77777777" w:rsidR="00AD4547" w:rsidRPr="007C2650" w:rsidRDefault="002936F9" w:rsidP="00D83242">
      <w:pPr>
        <w:pStyle w:val="Heading1"/>
        <w:spacing w:before="120" w:after="120" w:line="480" w:lineRule="auto"/>
        <w:rPr>
          <w:rFonts w:ascii="Times New Roman" w:hAnsi="Times New Roman"/>
        </w:rPr>
      </w:pPr>
      <w:r w:rsidRPr="0032538D">
        <w:rPr>
          <w:rFonts w:ascii="Times New Roman" w:hAnsi="Times New Roman"/>
        </w:rPr>
        <w:t>INTRODUCTION</w:t>
      </w:r>
      <w:bookmarkEnd w:id="1"/>
      <w:r w:rsidRPr="0032538D">
        <w:rPr>
          <w:rFonts w:ascii="Times New Roman" w:hAnsi="Times New Roman"/>
        </w:rPr>
        <w:t xml:space="preserve"> </w:t>
      </w:r>
    </w:p>
    <w:p w14:paraId="68F63642" w14:textId="361E1256" w:rsidR="00AE0781" w:rsidRPr="00AD4547" w:rsidRDefault="00F17004" w:rsidP="00B87F60">
      <w:pPr>
        <w:spacing w:before="120" w:after="120" w:line="480" w:lineRule="auto"/>
        <w:ind w:firstLine="720"/>
        <w:rPr>
          <w:lang w:val="en-CA"/>
        </w:rPr>
      </w:pPr>
      <w:r>
        <w:t xml:space="preserve">Constructing a built environment that facilitates </w:t>
      </w:r>
      <w:r w:rsidR="005867A4">
        <w:t xml:space="preserve">walking </w:t>
      </w:r>
      <w:r>
        <w:t xml:space="preserve"> is conceptually </w:t>
      </w:r>
      <w:r w:rsidR="005867A4">
        <w:t xml:space="preserve">appealing </w:t>
      </w:r>
      <w:r w:rsidR="00BC3CA8">
        <w:t xml:space="preserve">and </w:t>
      </w:r>
      <w:r w:rsidR="00BC3CA8">
        <w:rPr>
          <w:sz w:val="25"/>
          <w:szCs w:val="25"/>
        </w:rPr>
        <w:t>there</w:t>
      </w:r>
      <w:r w:rsidR="000B2648">
        <w:t xml:space="preserve"> </w:t>
      </w:r>
      <w:r w:rsidR="000B2648" w:rsidRPr="0032538D">
        <w:rPr>
          <w:color w:val="000000"/>
        </w:rPr>
        <w:t>are</w:t>
      </w:r>
      <w:r>
        <w:rPr>
          <w:color w:val="000000"/>
        </w:rPr>
        <w:t xml:space="preserve"> studies </w:t>
      </w:r>
      <w:r w:rsidR="00C05ED6">
        <w:rPr>
          <w:color w:val="000000"/>
        </w:rPr>
        <w:t xml:space="preserve">that  signal </w:t>
      </w:r>
      <w:r>
        <w:rPr>
          <w:color w:val="000000"/>
        </w:rPr>
        <w:t xml:space="preserve">an association between built environmental influences and </w:t>
      </w:r>
      <w:r w:rsidRPr="0032538D">
        <w:rPr>
          <w:color w:val="000000"/>
        </w:rPr>
        <w:t>utilitarian walking</w:t>
      </w:r>
      <w:r>
        <w:rPr>
          <w:color w:val="000000"/>
        </w:rPr>
        <w:t xml:space="preserve"> </w:t>
      </w:r>
      <w:r w:rsidR="00DB274F" w:rsidRPr="0032538D">
        <w:fldChar w:fldCharType="begin">
          <w:fldData xml:space="preserve">PEVuZE5vdGU+PENpdGU+PEF1dGhvcj5DZXJ2ZXJvPC9BdXRob3I+PFllYXI+MTk5NTwvWWVhcj48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</w:fldData>
        </w:fldChar>
      </w:r>
      <w:r w:rsidR="00445F70">
        <w:instrText xml:space="preserve"> ADDIN EN.CITE </w:instrText>
      </w:r>
      <w:r w:rsidR="00445F70">
        <w:fldChar w:fldCharType="begin">
          <w:fldData xml:space="preserve">PEVuZE5vdGU+PENpdGU+PEF1dGhvcj5DZXJ2ZXJvPC9BdXRob3I+PFllYXI+MTk5NTwvWWVhcj48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</w:fldData>
        </w:fldChar>
      </w:r>
      <w:r w:rsidR="00445F70">
        <w:instrText xml:space="preserve"> ADDIN EN.CITE.DATA </w:instrText>
      </w:r>
      <w:r w:rsidR="00445F70">
        <w:fldChar w:fldCharType="end"/>
      </w:r>
      <w:r w:rsidR="00DB274F" w:rsidRPr="0032538D">
        <w:fldChar w:fldCharType="separate"/>
      </w:r>
      <w:r w:rsidR="00445F70">
        <w:rPr>
          <w:noProof/>
        </w:rPr>
        <w:t>(</w:t>
      </w:r>
      <w:hyperlink w:anchor="_ENREF_5" w:tooltip="Cervero, 1995 #23" w:history="1">
        <w:r w:rsidR="00DD02A3">
          <w:rPr>
            <w:noProof/>
          </w:rPr>
          <w:t>Cervero and Gorham 1995</w:t>
        </w:r>
      </w:hyperlink>
      <w:r w:rsidR="00445F70">
        <w:rPr>
          <w:noProof/>
        </w:rPr>
        <w:t xml:space="preserve">, </w:t>
      </w:r>
      <w:hyperlink w:anchor="_ENREF_6" w:tooltip="Cervero, 1996 #24" w:history="1">
        <w:r w:rsidR="00DD02A3">
          <w:rPr>
            <w:noProof/>
          </w:rPr>
          <w:t>Cervero and Radisch 1996</w:t>
        </w:r>
      </w:hyperlink>
      <w:r w:rsidR="00445F70">
        <w:rPr>
          <w:noProof/>
        </w:rPr>
        <w:t xml:space="preserve">, </w:t>
      </w:r>
      <w:hyperlink w:anchor="_ENREF_14" w:tooltip="Handy, 1996 #25" w:history="1">
        <w:r w:rsidR="00DD02A3">
          <w:rPr>
            <w:noProof/>
          </w:rPr>
          <w:t>Handy 1996</w:t>
        </w:r>
      </w:hyperlink>
      <w:r w:rsidR="00445F70">
        <w:rPr>
          <w:noProof/>
        </w:rPr>
        <w:t xml:space="preserve">, </w:t>
      </w:r>
      <w:hyperlink w:anchor="_ENREF_22" w:tooltip="Kitamura, 1997 #28" w:history="1">
        <w:r w:rsidR="00DD02A3">
          <w:rPr>
            <w:noProof/>
          </w:rPr>
          <w:t>Kitamura, Mokhtarian et al. 1997</w:t>
        </w:r>
      </w:hyperlink>
      <w:r w:rsidR="00445F70">
        <w:rPr>
          <w:noProof/>
        </w:rPr>
        <w:t xml:space="preserve">, </w:t>
      </w:r>
      <w:hyperlink w:anchor="_ENREF_17" w:tooltip="Handy, 2001 #27" w:history="1">
        <w:r w:rsidR="00DD02A3">
          <w:rPr>
            <w:noProof/>
          </w:rPr>
          <w:t>Handy and Clifton 2001</w:t>
        </w:r>
      </w:hyperlink>
      <w:r w:rsidR="00445F70">
        <w:rPr>
          <w:noProof/>
        </w:rPr>
        <w:t xml:space="preserve">, </w:t>
      </w:r>
      <w:hyperlink w:anchor="_ENREF_16" w:tooltip="Handy, 2002 #26" w:history="1">
        <w:r w:rsidR="00DD02A3">
          <w:rPr>
            <w:noProof/>
          </w:rPr>
          <w:t>Handy, Boarnet et al. 2002</w:t>
        </w:r>
      </w:hyperlink>
      <w:r w:rsidR="00445F70">
        <w:rPr>
          <w:noProof/>
        </w:rPr>
        <w:t xml:space="preserve">, </w:t>
      </w:r>
      <w:hyperlink w:anchor="_ENREF_3" w:tooltip="Besser, 2005 #93" w:history="1">
        <w:r w:rsidR="00DD02A3">
          <w:rPr>
            <w:noProof/>
          </w:rPr>
          <w:t>Besser and Dannenberg 2005</w:t>
        </w:r>
      </w:hyperlink>
      <w:r w:rsidR="00445F70">
        <w:rPr>
          <w:noProof/>
        </w:rPr>
        <w:t xml:space="preserve">, </w:t>
      </w:r>
      <w:hyperlink w:anchor="_ENREF_34" w:tooltip="Wasfi, 2013 #112" w:history="1">
        <w:r w:rsidR="00DD02A3">
          <w:rPr>
            <w:noProof/>
          </w:rPr>
          <w:t>Wasfi, Ross et al. 2013</w:t>
        </w:r>
      </w:hyperlink>
      <w:r w:rsidR="00445F70">
        <w:rPr>
          <w:noProof/>
        </w:rPr>
        <w:t xml:space="preserve">, </w:t>
      </w:r>
      <w:hyperlink w:anchor="_ENREF_31" w:tooltip="Thielman, 2015 #113" w:history="1">
        <w:r w:rsidR="00DD02A3">
          <w:rPr>
            <w:noProof/>
          </w:rPr>
          <w:t>Thielman, Rosella et al. 2015</w:t>
        </w:r>
      </w:hyperlink>
      <w:r w:rsidR="00445F70">
        <w:rPr>
          <w:noProof/>
        </w:rPr>
        <w:t>)</w:t>
      </w:r>
      <w:r w:rsidR="00DB274F" w:rsidRPr="0032538D">
        <w:fldChar w:fldCharType="end"/>
      </w:r>
      <w:r w:rsidR="005F034C">
        <w:t>.</w:t>
      </w:r>
      <w:r w:rsidR="00B87F60">
        <w:t xml:space="preserve"> </w:t>
      </w:r>
      <w:r>
        <w:t xml:space="preserve">For </w:t>
      </w:r>
      <w:r w:rsidR="00111103">
        <w:t xml:space="preserve">example, </w:t>
      </w:r>
      <w:r w:rsidR="00111103" w:rsidRPr="0032538D">
        <w:t>the</w:t>
      </w:r>
      <w:r w:rsidR="008F5387" w:rsidRPr="0032538D">
        <w:t xml:space="preserve"> </w:t>
      </w:r>
      <w:r w:rsidR="00AB3735">
        <w:t xml:space="preserve">energy expenditure calculated from the </w:t>
      </w:r>
      <w:r w:rsidR="00C22622" w:rsidRPr="0032538D">
        <w:t xml:space="preserve">number of estimated weekly </w:t>
      </w:r>
      <w:r w:rsidR="004D27A8" w:rsidRPr="0032538D">
        <w:t xml:space="preserve">utilitarian </w:t>
      </w:r>
      <w:r w:rsidR="00C22622" w:rsidRPr="0032538D">
        <w:t>walking trips reported by residents of high</w:t>
      </w:r>
      <w:r w:rsidR="00FA331E" w:rsidRPr="0032538D">
        <w:t>ly</w:t>
      </w:r>
      <w:r w:rsidR="00C22622" w:rsidRPr="0032538D">
        <w:t xml:space="preserve"> walkable neighbourhoods</w:t>
      </w:r>
      <w:r w:rsidR="00E52E9F">
        <w:t xml:space="preserve"> </w:t>
      </w:r>
      <w:r w:rsidR="00AE0781">
        <w:t xml:space="preserve">in </w:t>
      </w:r>
      <w:r w:rsidR="00480B6C">
        <w:t xml:space="preserve">Canadian cities was </w:t>
      </w:r>
      <w:r w:rsidR="00480B6C" w:rsidRPr="0032538D">
        <w:t xml:space="preserve">consistently </w:t>
      </w:r>
      <w:r w:rsidR="00AB3735" w:rsidRPr="0032538D">
        <w:t>higher</w:t>
      </w:r>
      <w:r w:rsidR="00AB3735">
        <w:t xml:space="preserve"> </w:t>
      </w:r>
      <w:r w:rsidR="00384B0C">
        <w:t xml:space="preserve">by approximately 1.7 kcal/kg/day </w:t>
      </w:r>
      <w:r w:rsidR="00AB3735">
        <w:t>than</w:t>
      </w:r>
      <w:r w:rsidR="00480B6C" w:rsidRPr="0032538D">
        <w:t xml:space="preserve"> those reported by residents of low walkable </w:t>
      </w:r>
      <w:r w:rsidR="00480B6C" w:rsidRPr="006E2168">
        <w:t>neighbourhoods</w:t>
      </w:r>
      <w:r w:rsidR="00480B6C">
        <w:t xml:space="preserve"> </w:t>
      </w:r>
      <w:r w:rsidR="00AB3735">
        <w:fldChar w:fldCharType="begin"/>
      </w:r>
      <w:r w:rsidR="00AB3735">
        <w:instrText xml:space="preserve"> ADDIN EN.CITE &lt;EndNote&gt;&lt;Cite&gt;&lt;Author&gt;Thielman&lt;/Author&gt;&lt;Year&gt;2015&lt;/Year&gt;&lt;RecNum&gt;113&lt;/RecNum&gt;&lt;DisplayText&gt;(Thielman, Rosella et al. 2015)&lt;/DisplayText&gt;&lt;record&gt;&lt;rec-number&gt;113&lt;/rec-number&gt;&lt;foreign-keys&gt;&lt;key app="EN" db-id="dp0x5dweyf5fpve0aecvexej50xdfspe0wdp"&gt;113&lt;/key&gt;&lt;/foreign-keys&gt;&lt;ref-type name="Journal Article"&gt;17&lt;/ref-type&gt;&lt;contributors&gt;&lt;authors&gt;&lt;author&gt;Thielman, J.&lt;/author&gt;&lt;author&gt;Rosella, L.&lt;/author&gt;&lt;author&gt;Copes, R.&lt;/author&gt;&lt;author&gt;Lebenbaum, M.&lt;/author&gt;&lt;author&gt;Manson, H.&lt;/author&gt;&lt;/authors&gt;&lt;/contributors&gt;&lt;titles&gt;&lt;title&gt;Neighbourhood walkability: differential associations with self-reported transport walking and leisure-time physical activity in Canadian towns and cities of all sizes&lt;/title&gt;&lt;secondary-title&gt;Preventive Medicine&lt;/secondary-title&gt;&lt;/titles&gt;&lt;periodical&gt;&lt;full-title&gt;Preventive Medicine&lt;/full-title&gt;&lt;/periodical&gt;&lt;pages&gt;174-80&lt;/pages&gt;&lt;volume&gt;77&lt;/volume&gt;&lt;dates&gt;&lt;year&gt;2015&lt;/year&gt;&lt;/dates&gt;&lt;urls&gt;&lt;/urls&gt;&lt;electronic-resource-num&gt;doi: 10.1016/j.ypmed.2015.05.011&lt;/electronic-resource-num&gt;&lt;/record&gt;&lt;/Cite&gt;&lt;/EndNote&gt;</w:instrText>
      </w:r>
      <w:r w:rsidR="00AB3735">
        <w:fldChar w:fldCharType="separate"/>
      </w:r>
      <w:r w:rsidR="00AB3735">
        <w:rPr>
          <w:noProof/>
        </w:rPr>
        <w:t>(</w:t>
      </w:r>
      <w:hyperlink w:anchor="_ENREF_31" w:tooltip="Thielman, 2015 #113" w:history="1">
        <w:r w:rsidR="00DD02A3">
          <w:rPr>
            <w:noProof/>
          </w:rPr>
          <w:t>Thielman, Rosella et al. 2015</w:t>
        </w:r>
      </w:hyperlink>
      <w:r w:rsidR="00AB3735">
        <w:rPr>
          <w:noProof/>
        </w:rPr>
        <w:t>)</w:t>
      </w:r>
      <w:r w:rsidR="00AB3735">
        <w:fldChar w:fldCharType="end"/>
      </w:r>
      <w:r w:rsidR="00AB3735">
        <w:t xml:space="preserve">. </w:t>
      </w:r>
      <w:r w:rsidR="00111103">
        <w:t>Similar associations between neighbourhood walkability and utilitarian walking persisted in a number of studies</w:t>
      </w:r>
      <w:r w:rsidR="00B87F60">
        <w:t xml:space="preserve"> in the United States and Canada</w:t>
      </w:r>
      <w:r w:rsidR="00E30235">
        <w:t xml:space="preserve"> </w:t>
      </w:r>
      <w:r w:rsidR="00E30235">
        <w:fldChar w:fldCharType="begin">
          <w:fldData xml:space="preserve">PEVuZE5vdGU+PENpdGU+PEF1dGhvcj5HcmFzc2VyPC9BdXRob3I+PFllYXI+MjAxMzwvWWVhcj48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</w:fldData>
        </w:fldChar>
      </w:r>
      <w:r w:rsidR="00B87F60">
        <w:instrText xml:space="preserve"> ADDIN EN.CITE </w:instrText>
      </w:r>
      <w:r w:rsidR="00B87F60">
        <w:fldChar w:fldCharType="begin">
          <w:fldData xml:space="preserve">PEVuZE5vdGU+PENpdGU+PEF1dGhvcj5HcmFzc2VyPC9BdXRob3I+PFllYXI+MjAxMzwvWWVhcj48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</w:fldData>
        </w:fldChar>
      </w:r>
      <w:r w:rsidR="00B87F60">
        <w:instrText xml:space="preserve"> ADDIN EN.CITE.DATA </w:instrText>
      </w:r>
      <w:r w:rsidR="00B87F60">
        <w:fldChar w:fldCharType="end"/>
      </w:r>
      <w:r w:rsidR="00E30235">
        <w:fldChar w:fldCharType="separate"/>
      </w:r>
      <w:r w:rsidR="00B87F60">
        <w:rPr>
          <w:noProof/>
        </w:rPr>
        <w:t>(</w:t>
      </w:r>
      <w:hyperlink w:anchor="_ENREF_27" w:tooltip="Saelens, 2008 #82" w:history="1">
        <w:r w:rsidR="00DD02A3">
          <w:rPr>
            <w:noProof/>
          </w:rPr>
          <w:t>Saelens and Handy 2008</w:t>
        </w:r>
      </w:hyperlink>
      <w:r w:rsidR="00B87F60">
        <w:rPr>
          <w:noProof/>
        </w:rPr>
        <w:t xml:space="preserve">, </w:t>
      </w:r>
      <w:hyperlink w:anchor="_ENREF_9" w:tooltip="Ewing, 2010 #79" w:history="1">
        <w:r w:rsidR="00DD02A3">
          <w:rPr>
            <w:noProof/>
          </w:rPr>
          <w:t>Ewing and Cervero 2010</w:t>
        </w:r>
      </w:hyperlink>
      <w:r w:rsidR="00B87F60">
        <w:rPr>
          <w:noProof/>
        </w:rPr>
        <w:t xml:space="preserve">, </w:t>
      </w:r>
      <w:hyperlink w:anchor="_ENREF_13" w:tooltip="Grasser, 2013 #29" w:history="1">
        <w:r w:rsidR="00DD02A3">
          <w:rPr>
            <w:noProof/>
          </w:rPr>
          <w:t>Grasser, Van Dyck et al. 2013</w:t>
        </w:r>
      </w:hyperlink>
      <w:r w:rsidR="00B87F60">
        <w:rPr>
          <w:noProof/>
        </w:rPr>
        <w:t>)</w:t>
      </w:r>
      <w:r w:rsidR="00E30235">
        <w:fldChar w:fldCharType="end"/>
      </w:r>
      <w:r w:rsidR="00E30235">
        <w:t>.</w:t>
      </w:r>
      <w:r w:rsidR="00B87F60">
        <w:t xml:space="preserve"> </w:t>
      </w:r>
      <w:r w:rsidR="00C7443B">
        <w:t xml:space="preserve">There are, however, a number of inconsistencies in </w:t>
      </w:r>
      <w:r w:rsidR="00B97ECA">
        <w:t xml:space="preserve">the body of </w:t>
      </w:r>
      <w:r w:rsidR="00C7443B">
        <w:t>research examin</w:t>
      </w:r>
      <w:r w:rsidR="00BC3CA8">
        <w:t>in</w:t>
      </w:r>
      <w:r w:rsidR="00C7443B">
        <w:t>g</w:t>
      </w:r>
      <w:r w:rsidR="000E5023">
        <w:t xml:space="preserve"> association</w:t>
      </w:r>
      <w:r w:rsidR="00C7443B">
        <w:t>s</w:t>
      </w:r>
      <w:r w:rsidR="000E5023">
        <w:t xml:space="preserve"> between built environmental influences and physical activity </w:t>
      </w:r>
      <w:r w:rsidR="00DB274F">
        <w:fldChar w:fldCharType="begin">
          <w:fldData xml:space="preserve">PEVuZE5vdGU+PENpdGU+PEF1dGhvcj5TbWl0aDwvQXV0aG9yPjxZZWFyPjIwMDg8L1llYXI+PFJl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=
</w:fldData>
        </w:fldChar>
      </w:r>
      <w:r w:rsidR="000F1152">
        <w:instrText xml:space="preserve"> ADDIN EN.CITE </w:instrText>
      </w:r>
      <w:r w:rsidR="000F1152">
        <w:fldChar w:fldCharType="begin">
          <w:fldData xml:space="preserve">PEVuZE5vdGU+PENpdGU+PEF1dGhvcj5TbWl0aDwvQXV0aG9yPjxZZWFyPjIwMDg8L1llYXI+PFJl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=
</w:fldData>
        </w:fldChar>
      </w:r>
      <w:r w:rsidR="000F1152">
        <w:instrText xml:space="preserve"> ADDIN EN.CITE.DATA </w:instrText>
      </w:r>
      <w:r w:rsidR="000F1152">
        <w:fldChar w:fldCharType="end"/>
      </w:r>
      <w:r w:rsidR="00DB274F">
        <w:fldChar w:fldCharType="separate"/>
      </w:r>
      <w:r w:rsidR="00752723">
        <w:rPr>
          <w:noProof/>
        </w:rPr>
        <w:t>(</w:t>
      </w:r>
      <w:hyperlink w:anchor="_ENREF_16" w:tooltip="Handy, 2002 #26" w:history="1">
        <w:r w:rsidR="00DD02A3">
          <w:rPr>
            <w:noProof/>
          </w:rPr>
          <w:t>Handy, Boarnet et al. 2002</w:t>
        </w:r>
      </w:hyperlink>
      <w:r w:rsidR="00752723">
        <w:rPr>
          <w:noProof/>
        </w:rPr>
        <w:t xml:space="preserve">, </w:t>
      </w:r>
      <w:hyperlink w:anchor="_ENREF_8" w:tooltip="Ewing, 2005 #30" w:history="1">
        <w:r w:rsidR="00DD02A3">
          <w:rPr>
            <w:noProof/>
          </w:rPr>
          <w:t>Ewing 2005</w:t>
        </w:r>
      </w:hyperlink>
      <w:r w:rsidR="00752723">
        <w:rPr>
          <w:noProof/>
        </w:rPr>
        <w:t xml:space="preserve">, </w:t>
      </w:r>
      <w:hyperlink w:anchor="_ENREF_15" w:tooltip="Handy, 2005 #42" w:history="1">
        <w:r w:rsidR="00DD02A3">
          <w:rPr>
            <w:noProof/>
          </w:rPr>
          <w:t>Handy 2005</w:t>
        </w:r>
      </w:hyperlink>
      <w:r w:rsidR="00752723">
        <w:rPr>
          <w:noProof/>
        </w:rPr>
        <w:t xml:space="preserve">, </w:t>
      </w:r>
      <w:hyperlink w:anchor="_ENREF_11" w:tooltip="Forsyth, 2007 #31" w:history="1">
        <w:r w:rsidR="00DD02A3">
          <w:rPr>
            <w:noProof/>
          </w:rPr>
          <w:t>Forsyth, Oakes et al. 2007</w:t>
        </w:r>
      </w:hyperlink>
      <w:r w:rsidR="00752723">
        <w:rPr>
          <w:noProof/>
        </w:rPr>
        <w:t xml:space="preserve">, </w:t>
      </w:r>
      <w:hyperlink w:anchor="_ENREF_29" w:tooltip="Smith, 2008 #38" w:history="1">
        <w:r w:rsidR="00DD02A3">
          <w:rPr>
            <w:noProof/>
          </w:rPr>
          <w:t>Smith, Brown et al. 2008</w:t>
        </w:r>
      </w:hyperlink>
      <w:r w:rsidR="00752723">
        <w:rPr>
          <w:noProof/>
        </w:rPr>
        <w:t>)</w:t>
      </w:r>
      <w:r w:rsidR="00DB274F">
        <w:fldChar w:fldCharType="end"/>
      </w:r>
      <w:r w:rsidR="00C7443B">
        <w:t xml:space="preserve">. </w:t>
      </w:r>
      <w:r w:rsidR="00B97ECA">
        <w:t>Research</w:t>
      </w:r>
      <w:r w:rsidR="00C7443B">
        <w:t xml:space="preserve"> in this area</w:t>
      </w:r>
      <w:r w:rsidR="006C385D">
        <w:t xml:space="preserve"> has struggled to</w:t>
      </w:r>
      <w:r w:rsidR="0030693E">
        <w:t xml:space="preserve"> establish causal relationships because of </w:t>
      </w:r>
      <w:r w:rsidR="006C385D">
        <w:t xml:space="preserve">reliance on </w:t>
      </w:r>
      <w:r w:rsidR="0030693E">
        <w:t xml:space="preserve">cross-sectional </w:t>
      </w:r>
      <w:r w:rsidR="00B42094">
        <w:t xml:space="preserve">study </w:t>
      </w:r>
      <w:r w:rsidR="0030693E">
        <w:t>design</w:t>
      </w:r>
      <w:r w:rsidR="00B42094">
        <w:t>s</w:t>
      </w:r>
      <w:r w:rsidR="00C05ED6">
        <w:t xml:space="preserve"> </w:t>
      </w:r>
      <w:r w:rsidR="00104F39">
        <w:t>and</w:t>
      </w:r>
      <w:r w:rsidR="00C05ED6">
        <w:t xml:space="preserve"> </w:t>
      </w:r>
      <w:r w:rsidR="00B42094">
        <w:t xml:space="preserve">their </w:t>
      </w:r>
      <w:r w:rsidR="006C385D">
        <w:t xml:space="preserve">concomitant </w:t>
      </w:r>
      <w:r w:rsidR="00C05ED6">
        <w:t>problems of self-selection of residents</w:t>
      </w:r>
      <w:r w:rsidR="009C6CFE">
        <w:t>,</w:t>
      </w:r>
      <w:r w:rsidR="00C05ED6">
        <w:t xml:space="preserve"> who </w:t>
      </w:r>
      <w:r w:rsidR="009C6CFE">
        <w:t>may already</w:t>
      </w:r>
      <w:r w:rsidR="00B42094">
        <w:t xml:space="preserve"> be </w:t>
      </w:r>
      <w:r w:rsidR="00C05ED6">
        <w:t xml:space="preserve">motivated </w:t>
      </w:r>
      <w:r w:rsidR="00B97ECA">
        <w:t>walkers,</w:t>
      </w:r>
      <w:r w:rsidR="00C05ED6">
        <w:t xml:space="preserve"> into more walkable neighbourhoods</w:t>
      </w:r>
      <w:r w:rsidR="0030693E">
        <w:t>.</w:t>
      </w:r>
      <w:r w:rsidR="00D71CD8">
        <w:t xml:space="preserve"> </w:t>
      </w:r>
    </w:p>
    <w:p w14:paraId="488C7FA2" w14:textId="21222F18" w:rsidR="00D605ED" w:rsidRPr="007C2650" w:rsidRDefault="00BD7553" w:rsidP="009F3873">
      <w:pPr>
        <w:spacing w:before="120" w:after="120" w:line="480" w:lineRule="auto"/>
        <w:ind w:firstLine="720"/>
      </w:pPr>
      <w:r>
        <w:t>A</w:t>
      </w:r>
      <w:r w:rsidR="000B2648" w:rsidRPr="009D21B8">
        <w:t xml:space="preserve"> longitudinal </w:t>
      </w:r>
      <w:r w:rsidR="009816A8">
        <w:t>analysis</w:t>
      </w:r>
      <w:r w:rsidR="000B2648" w:rsidRPr="009D21B8">
        <w:t xml:space="preserve"> in the United States</w:t>
      </w:r>
      <w:r w:rsidR="000B2648" w:rsidRPr="006A51A6">
        <w:t xml:space="preserve"> </w:t>
      </w:r>
      <w:r w:rsidR="00C05ED6">
        <w:t xml:space="preserve"> </w:t>
      </w:r>
      <w:r w:rsidR="000B2648">
        <w:t>(</w:t>
      </w:r>
      <w:r w:rsidR="00C05ED6">
        <w:t xml:space="preserve">the Multi-Ethnic Study of </w:t>
      </w:r>
      <w:r w:rsidR="000B2648">
        <w:t>Atherosclerosis</w:t>
      </w:r>
      <w:r w:rsidR="00C05ED6">
        <w:t xml:space="preserve"> (MES</w:t>
      </w:r>
      <w:r w:rsidR="00A602D3">
        <w:t>A</w:t>
      </w:r>
      <w:r w:rsidR="00C05ED6">
        <w:t>)</w:t>
      </w:r>
      <w:r w:rsidR="00D41F60">
        <w:t>)</w:t>
      </w:r>
      <w:r w:rsidR="000B2648">
        <w:t xml:space="preserve">, </w:t>
      </w:r>
      <w:r w:rsidR="007C07B6">
        <w:t>estimated</w:t>
      </w:r>
      <w:r w:rsidR="007C07B6" w:rsidRPr="009D21B8">
        <w:t xml:space="preserve"> </w:t>
      </w:r>
      <w:r w:rsidR="00C22622" w:rsidRPr="009D21B8">
        <w:t xml:space="preserve">the impact of </w:t>
      </w:r>
      <w:r w:rsidR="00513E5F" w:rsidRPr="00195D0C">
        <w:t>neighbourhood walkability</w:t>
      </w:r>
      <w:r w:rsidR="00C22622" w:rsidRPr="00195D0C">
        <w:t xml:space="preserve"> on utilitarian walking</w:t>
      </w:r>
      <w:r w:rsidR="00513E5F" w:rsidRPr="00195D0C">
        <w:t xml:space="preserve"> for a sample of older adults (45 to 84 years old at baseline) who </w:t>
      </w:r>
      <w:r w:rsidR="002D7F44" w:rsidRPr="00C923F7">
        <w:t xml:space="preserve">changed their residential location </w:t>
      </w:r>
      <w:r w:rsidR="00DB274F" w:rsidRPr="009D21B8">
        <w:fldChar w:fldCharType="begin"/>
      </w:r>
      <w:r w:rsidR="00FB121F">
        <w:instrText xml:space="preserve"> ADDIN EN.CITE &lt;EndNote&gt;&lt;Cite&gt;&lt;Author&gt;Hirsch&lt;/Author&gt;&lt;Year&gt;2014&lt;/Year&gt;&lt;RecNum&gt;48&lt;/RecNum&gt;&lt;DisplayText&gt;(Hirsch, Diez Roux et al. 2014)&lt;/DisplayText&gt;&lt;record&gt;&lt;rec-number&gt;48&lt;/rec-number&gt;&lt;foreign-keys&gt;&lt;key app="EN" db-id="dp0x5dweyf5fpve0aecvexej50xdfspe0wdp"&gt;48&lt;/key&gt;&lt;/foreign-keys&gt;&lt;ref-type name="Journal Article"&gt;17&lt;/ref-type&gt;&lt;contributors&gt;&lt;authors&gt;&lt;author&gt;Hirsch, J.&lt;/author&gt;&lt;author&gt;Diez Roux, A.&lt;/author&gt;&lt;author&gt;Moore, K.&lt;/author&gt;&lt;author&gt;Evenson, K. &lt;/author&gt;&lt;author&gt;Rodriguez, D.&lt;/author&gt;&lt;/authors&gt;&lt;/contributors&gt;&lt;titles&gt;&lt;title&gt;Change in walking and body mass index following residential relocation: The multi-ethnic study of atherosclerosis&lt;/title&gt;&lt;secondary-title&gt;American Journal of  Public Health &lt;/secondary-title&gt;&lt;/titles&gt;&lt;periodical&gt;&lt;full-title&gt;American Journal of  Public Health&lt;/full-title&gt;&lt;/periodical&gt;&lt;pages&gt;e49-e56&lt;/pages&gt;&lt;volume&gt;104&lt;/volume&gt;&lt;number&gt;3&lt;/number&gt;&lt;dates&gt;&lt;year&gt;2014&lt;/year&gt;&lt;/dates&gt;&lt;urls&gt;&lt;/urls&gt;&lt;/record&gt;&lt;/Cite&gt;&lt;/EndNote&gt;</w:instrText>
      </w:r>
      <w:r w:rsidR="00DB274F" w:rsidRPr="009D21B8">
        <w:fldChar w:fldCharType="separate"/>
      </w:r>
      <w:r w:rsidR="00752723">
        <w:rPr>
          <w:noProof/>
        </w:rPr>
        <w:t>(</w:t>
      </w:r>
      <w:hyperlink w:anchor="_ENREF_21" w:tooltip="Hirsch, 2014 #48" w:history="1">
        <w:r w:rsidR="00DD02A3">
          <w:rPr>
            <w:noProof/>
          </w:rPr>
          <w:t>Hirsch, Diez Roux et al. 2014</w:t>
        </w:r>
      </w:hyperlink>
      <w:r w:rsidR="00752723">
        <w:rPr>
          <w:noProof/>
        </w:rPr>
        <w:t>)</w:t>
      </w:r>
      <w:r w:rsidR="00DB274F" w:rsidRPr="009D21B8">
        <w:fldChar w:fldCharType="end"/>
      </w:r>
      <w:r w:rsidR="00AB04EF" w:rsidRPr="009D21B8">
        <w:t>.</w:t>
      </w:r>
      <w:r w:rsidR="00513E5F" w:rsidRPr="009D21B8">
        <w:t xml:space="preserve"> </w:t>
      </w:r>
      <w:r w:rsidR="00836F90" w:rsidRPr="009D21B8">
        <w:t>M</w:t>
      </w:r>
      <w:r w:rsidR="000341B2" w:rsidRPr="009D21B8">
        <w:t xml:space="preserve">oving to </w:t>
      </w:r>
      <w:r w:rsidR="00EE03CD" w:rsidRPr="009D21B8">
        <w:t xml:space="preserve">a </w:t>
      </w:r>
      <w:r w:rsidR="00FA331E" w:rsidRPr="009D21B8">
        <w:t xml:space="preserve">more </w:t>
      </w:r>
      <w:r w:rsidR="000341B2" w:rsidRPr="009D21B8">
        <w:t>walkable neighbourhood</w:t>
      </w:r>
      <w:r w:rsidR="00EE03CD" w:rsidRPr="009D21B8">
        <w:t xml:space="preserve"> (a 10 point higher </w:t>
      </w:r>
      <w:r w:rsidR="00DC05D5">
        <w:t>Walk Score®</w:t>
      </w:r>
      <w:r w:rsidR="00EE03CD" w:rsidRPr="00195D0C">
        <w:t>)</w:t>
      </w:r>
      <w:r w:rsidR="000341B2" w:rsidRPr="00195D0C">
        <w:t xml:space="preserve"> </w:t>
      </w:r>
      <w:r w:rsidR="00EE03CD" w:rsidRPr="00195D0C">
        <w:t xml:space="preserve">was associated </w:t>
      </w:r>
      <w:r w:rsidR="00EE03CD" w:rsidRPr="00195D0C">
        <w:lastRenderedPageBreak/>
        <w:t xml:space="preserve">with </w:t>
      </w:r>
      <w:r w:rsidR="00EE03CD" w:rsidRPr="00C923F7">
        <w:t>increas</w:t>
      </w:r>
      <w:r w:rsidR="00321359">
        <w:t xml:space="preserve">ing the odds of meeting “ Every Body Walk” campaign goals (≥ 150 minutes/week of walking) by 11% </w:t>
      </w:r>
      <w:r w:rsidR="00EE03CD" w:rsidRPr="00A8438D">
        <w:t xml:space="preserve"> </w:t>
      </w:r>
      <w:r w:rsidR="004C5551">
        <w:t>(</w:t>
      </w:r>
      <w:r w:rsidR="00EE03CD" w:rsidRPr="00A8438D">
        <w:t>95%</w:t>
      </w:r>
      <w:r w:rsidR="00434157">
        <w:t xml:space="preserve"> </w:t>
      </w:r>
      <w:r w:rsidR="00EE03CD" w:rsidRPr="00A8438D">
        <w:t>C</w:t>
      </w:r>
      <w:r w:rsidR="00BB1589">
        <w:t>.</w:t>
      </w:r>
      <w:r w:rsidR="00EE03CD" w:rsidRPr="00A8438D">
        <w:t>I</w:t>
      </w:r>
      <w:r w:rsidR="001F1244">
        <w:t>.</w:t>
      </w:r>
      <w:r w:rsidR="001F1244" w:rsidRPr="00A8438D">
        <w:t xml:space="preserve"> </w:t>
      </w:r>
      <w:r w:rsidR="00142FF9">
        <w:t>0.2% , 21% )</w:t>
      </w:r>
      <w:r w:rsidR="00EE03CD" w:rsidRPr="00A8438D">
        <w:t>.</w:t>
      </w:r>
      <w:r w:rsidR="004033B9" w:rsidRPr="00A8438D">
        <w:t xml:space="preserve"> </w:t>
      </w:r>
      <w:r w:rsidR="00D71CD8">
        <w:t xml:space="preserve"> </w:t>
      </w:r>
      <w:r w:rsidR="005B7EED">
        <w:t xml:space="preserve">Our </w:t>
      </w:r>
      <w:r w:rsidR="00683810">
        <w:t>study</w:t>
      </w:r>
      <w:r w:rsidR="00836F90" w:rsidRPr="00A8438D">
        <w:t xml:space="preserve"> aims to </w:t>
      </w:r>
      <w:r w:rsidR="00683810">
        <w:t>add to th</w:t>
      </w:r>
      <w:r w:rsidR="00531614">
        <w:t>is</w:t>
      </w:r>
      <w:r w:rsidR="00683810">
        <w:t xml:space="preserve"> emerging longitudinal evidence</w:t>
      </w:r>
      <w:r w:rsidR="00BB1589">
        <w:t xml:space="preserve"> </w:t>
      </w:r>
      <w:r w:rsidR="006C4694">
        <w:t>base of the</w:t>
      </w:r>
      <w:r w:rsidR="00683810">
        <w:t xml:space="preserve"> influence of the built </w:t>
      </w:r>
      <w:r w:rsidR="00BB1589">
        <w:t xml:space="preserve">environment </w:t>
      </w:r>
      <w:r w:rsidR="00BB1589" w:rsidRPr="00A8438D">
        <w:t>on</w:t>
      </w:r>
      <w:r w:rsidR="00683810">
        <w:t xml:space="preserve"> utilitarian walking </w:t>
      </w:r>
      <w:r w:rsidR="00531614">
        <w:t>with a large population sample that includes both movers</w:t>
      </w:r>
      <w:r w:rsidR="00EF53F5">
        <w:t xml:space="preserve"> (people who changed their residential neighbourhood during the 12 years of the survey follow up)</w:t>
      </w:r>
      <w:r w:rsidR="00531614">
        <w:t xml:space="preserve"> and </w:t>
      </w:r>
      <w:r w:rsidR="00020F3A">
        <w:t>non-</w:t>
      </w:r>
      <w:r w:rsidR="00EF53F5">
        <w:t xml:space="preserve">movers </w:t>
      </w:r>
      <w:r w:rsidR="006B5717">
        <w:t>(people</w:t>
      </w:r>
      <w:r w:rsidR="00EF53F5">
        <w:t xml:space="preserve"> who stayed in the same neighbourhood </w:t>
      </w:r>
      <w:r w:rsidR="006B5717">
        <w:t xml:space="preserve">for the </w:t>
      </w:r>
      <w:r w:rsidR="00EF53F5">
        <w:t xml:space="preserve">entire </w:t>
      </w:r>
      <w:r w:rsidR="006B5717">
        <w:t>12 years of follow up)</w:t>
      </w:r>
      <w:r w:rsidR="00020F3A">
        <w:t>.</w:t>
      </w:r>
      <w:r w:rsidR="008B4265" w:rsidRPr="006A51A6">
        <w:t xml:space="preserve"> </w:t>
      </w:r>
      <w:r w:rsidR="006A51A6">
        <w:t xml:space="preserve"> We </w:t>
      </w:r>
      <w:r w:rsidR="001A304E">
        <w:t>model not</w:t>
      </w:r>
      <w:r w:rsidR="006A51A6">
        <w:t xml:space="preserve"> only the </w:t>
      </w:r>
      <w:r w:rsidR="002F675D">
        <w:t xml:space="preserve">likelihood </w:t>
      </w:r>
      <w:r w:rsidR="006A51A6">
        <w:t xml:space="preserve">of walking for utilitarian purposes, but </w:t>
      </w:r>
      <w:r w:rsidR="002F675D">
        <w:t xml:space="preserve">also </w:t>
      </w:r>
      <w:r w:rsidR="006A51A6">
        <w:t>levels of utilitarian walking</w:t>
      </w:r>
      <w:r w:rsidR="005F034C">
        <w:t xml:space="preserve"> </w:t>
      </w:r>
      <w:r w:rsidR="009D21B8">
        <w:t xml:space="preserve">(a revealed limitation in the MESA study </w:t>
      </w:r>
      <w:r w:rsidR="00DD4D37">
        <w:t>due to</w:t>
      </w:r>
      <w:r w:rsidR="009D21B8">
        <w:t xml:space="preserve"> insufficient sample size</w:t>
      </w:r>
      <w:r w:rsidR="00DD4D37">
        <w:t xml:space="preserve"> (</w:t>
      </w:r>
      <w:r w:rsidR="006A51A6">
        <w:t>n=701</w:t>
      </w:r>
      <w:r w:rsidR="00DD4D37">
        <w:t>)</w:t>
      </w:r>
      <w:r w:rsidR="009D21B8">
        <w:t>)</w:t>
      </w:r>
      <w:r w:rsidR="00DD4D37">
        <w:t>.</w:t>
      </w:r>
      <w:r w:rsidR="009D21B8">
        <w:t xml:space="preserve"> </w:t>
      </w:r>
    </w:p>
    <w:p w14:paraId="510934C7" w14:textId="77777777" w:rsidR="00503874" w:rsidRPr="00D83242" w:rsidRDefault="002936F9" w:rsidP="00D83242">
      <w:pPr>
        <w:spacing w:before="120" w:after="120" w:line="480" w:lineRule="auto"/>
        <w:rPr>
          <w:b/>
          <w:sz w:val="32"/>
          <w:szCs w:val="32"/>
        </w:rPr>
      </w:pPr>
      <w:r w:rsidRPr="00D83242">
        <w:rPr>
          <w:b/>
          <w:sz w:val="32"/>
          <w:szCs w:val="32"/>
        </w:rPr>
        <w:t xml:space="preserve">METHODS </w:t>
      </w:r>
    </w:p>
    <w:p w14:paraId="693AA8B5" w14:textId="77777777" w:rsidR="00752723" w:rsidRPr="00276238" w:rsidRDefault="000E5F88" w:rsidP="00D83242">
      <w:pPr>
        <w:pStyle w:val="MediumGrid21"/>
        <w:spacing w:before="120" w:after="120" w:line="480" w:lineRule="auto"/>
        <w:rPr>
          <w:rFonts w:ascii="Times New Roman" w:hAnsi="Times New Roman"/>
          <w:b/>
          <w:sz w:val="28"/>
          <w:szCs w:val="28"/>
        </w:rPr>
      </w:pPr>
      <w:r w:rsidRPr="00276238">
        <w:rPr>
          <w:rFonts w:ascii="Times New Roman" w:hAnsi="Times New Roman"/>
          <w:b/>
          <w:sz w:val="28"/>
          <w:szCs w:val="28"/>
        </w:rPr>
        <w:t>D</w:t>
      </w:r>
      <w:r w:rsidR="00D81689" w:rsidRPr="00276238">
        <w:rPr>
          <w:rFonts w:ascii="Times New Roman" w:hAnsi="Times New Roman"/>
          <w:b/>
          <w:sz w:val="28"/>
          <w:szCs w:val="28"/>
        </w:rPr>
        <w:t>ata sources and sample size</w:t>
      </w:r>
      <w:r w:rsidR="003037C9" w:rsidRPr="00276238">
        <w:rPr>
          <w:rFonts w:ascii="Times New Roman" w:hAnsi="Times New Roman"/>
          <w:b/>
          <w:sz w:val="28"/>
          <w:szCs w:val="28"/>
        </w:rPr>
        <w:t xml:space="preserve"> </w:t>
      </w:r>
    </w:p>
    <w:p w14:paraId="0A670F9C" w14:textId="708782EC" w:rsidR="00752723" w:rsidRDefault="00752723" w:rsidP="009F3873">
      <w:pPr>
        <w:spacing w:before="120" w:after="120" w:line="480" w:lineRule="auto"/>
        <w:ind w:firstLine="709"/>
      </w:pPr>
      <w:r w:rsidRPr="00752723">
        <w:t>Our sample comes from the National Population Health Survey (NPHS), a longitudinal survey conducted biannually by Statistics Canada starting in 1994/95. The target population of the NPHS is household residents in the ten Canadian provinces excluding some special groups (e.g. persons living on Indian Reserves and Crown Lands)</w:t>
      </w:r>
      <w:r w:rsidR="004F4096">
        <w:t xml:space="preserve"> </w:t>
      </w:r>
      <w:r w:rsidR="00DB274F">
        <w:fldChar w:fldCharType="begin"/>
      </w:r>
      <w:r w:rsidR="00FB121F">
        <w:instrText xml:space="preserve"> ADDIN EN.CITE &lt;EndNote&gt;&lt;Cite&gt;&lt;Author&gt;Statistics Canada&lt;/Author&gt;&lt;Year&gt;2009&lt;/Year&gt;&lt;RecNum&gt;172&lt;/RecNum&gt;&lt;DisplayText&gt;(Statistics Canada 2009)&lt;/DisplayText&gt;&lt;record&gt;&lt;rec-number&gt;172&lt;/rec-number&gt;&lt;foreign-keys&gt;&lt;key app="EN" db-id="dp0x5dweyf5fpve0aecvexej50xdfspe0wdp"&gt;172&lt;/key&gt;&lt;/foreign-keys&gt;&lt;ref-type name="Government Document"&gt;46&lt;/ref-type&gt;&lt;contributors&gt;&lt;authors&gt;&lt;author&gt;Statistics Canada, &lt;/author&gt;&lt;/authors&gt;&lt;/contributors&gt;&lt;titles&gt;&lt;title&gt;National Population Health Survey. Household component documentation for the derived variables and the constant longitudinal variables (specifications). Cycles 1 to 7  (1994/1995 to 2006/2007) &lt;/title&gt;&lt;/titles&gt;&lt;dates&gt;&lt;year&gt;2009&lt;/year&gt;&lt;/dates&gt;&lt;pub-location&gt;Ottawa&lt;/pub-location&gt;&lt;publisher&gt;Statistics Canada&lt;/publisher&gt;&lt;urls&gt;&lt;related-urls&gt;&lt;url&gt;http://www23.statcan.gc.ca/imdb-bmdi/pub/document/3225_D10_T9_V3-eng.pdf&lt;/url&gt;&lt;/related-urls&gt;&lt;/urls&gt;&lt;/record&gt;&lt;/Cite&gt;&lt;/EndNote&gt;</w:instrText>
      </w:r>
      <w:r w:rsidR="00DB274F">
        <w:fldChar w:fldCharType="separate"/>
      </w:r>
      <w:r w:rsidR="004F4096">
        <w:rPr>
          <w:noProof/>
        </w:rPr>
        <w:t>(</w:t>
      </w:r>
      <w:hyperlink w:anchor="_ENREF_30" w:tooltip="Statistics Canada, 2009 #172" w:history="1">
        <w:r w:rsidR="00DD02A3">
          <w:rPr>
            <w:noProof/>
          </w:rPr>
          <w:t>Statistics Canada 2009</w:t>
        </w:r>
      </w:hyperlink>
      <w:r w:rsidR="004F4096">
        <w:rPr>
          <w:noProof/>
        </w:rPr>
        <w:t>)</w:t>
      </w:r>
      <w:r w:rsidR="00DB274F">
        <w:fldChar w:fldCharType="end"/>
      </w:r>
      <w:r w:rsidR="00CE78EA">
        <w:t>.</w:t>
      </w:r>
      <w:r w:rsidRPr="00752723">
        <w:t xml:space="preserve"> We used the first seven cycles of data collection</w:t>
      </w:r>
      <w:r w:rsidR="00276238">
        <w:rPr>
          <w:color w:val="000000"/>
        </w:rPr>
        <w:t>.</w:t>
      </w:r>
      <w:r w:rsidR="0020002A">
        <w:rPr>
          <w:color w:val="000000"/>
        </w:rPr>
        <w:t xml:space="preserve"> </w:t>
      </w:r>
      <w:r w:rsidR="0020002A" w:rsidRPr="00276238">
        <w:t>Access to the data was granted by the Social Sciences and Humanit</w:t>
      </w:r>
      <w:r w:rsidR="0020002A">
        <w:t>ies Research Council of Canada (#09-SSH-MCG-2068</w:t>
      </w:r>
      <w:r w:rsidR="0020002A" w:rsidRPr="00276238">
        <w:t>). Analyses were performed at the McGill-Concordia Quebec Inter-University Center for Social Statistics (QICSS).</w:t>
      </w:r>
    </w:p>
    <w:p w14:paraId="2ECE7DB5" w14:textId="77777777" w:rsidR="00D30952" w:rsidRPr="00F3377F" w:rsidRDefault="00752723" w:rsidP="009F3873">
      <w:pPr>
        <w:pStyle w:val="MediumGrid21"/>
        <w:spacing w:before="120" w:after="120" w:line="480" w:lineRule="auto"/>
        <w:ind w:firstLine="709"/>
        <w:rPr>
          <w:rFonts w:ascii="Times New Roman" w:hAnsi="Times New Roman"/>
          <w:sz w:val="24"/>
          <w:szCs w:val="24"/>
        </w:rPr>
      </w:pPr>
      <w:r w:rsidRPr="00752723">
        <w:rPr>
          <w:rFonts w:ascii="Times New Roman" w:hAnsi="Times New Roman"/>
          <w:sz w:val="24"/>
          <w:szCs w:val="24"/>
        </w:rPr>
        <w:t>We restricted our analysis to adults (18 to 55 years old at baseline) living in urban areas (&gt; 50,000 population), who answered the following utilitarian walking question: “</w:t>
      </w:r>
      <w:r w:rsidRPr="00752723">
        <w:rPr>
          <w:rFonts w:ascii="Times New Roman" w:hAnsi="Times New Roman"/>
          <w:i/>
          <w:sz w:val="24"/>
          <w:szCs w:val="24"/>
        </w:rPr>
        <w:t>In a typical week in the past 3 months, how many hours did you usually spend walking to work or to school or while doing errands? (None, less than one hour, 1 to 5 hours, 6 to 10 hours, 11 to 20 hours, more than 20 hours</w:t>
      </w:r>
      <w:r w:rsidR="00206CE3" w:rsidRPr="00752723">
        <w:rPr>
          <w:rFonts w:ascii="Times New Roman" w:hAnsi="Times New Roman"/>
          <w:i/>
          <w:sz w:val="24"/>
          <w:szCs w:val="24"/>
        </w:rPr>
        <w:t>)</w:t>
      </w:r>
      <w:r w:rsidR="00206CE3">
        <w:rPr>
          <w:rFonts w:ascii="Times New Roman" w:hAnsi="Times New Roman"/>
          <w:i/>
          <w:sz w:val="24"/>
          <w:szCs w:val="24"/>
        </w:rPr>
        <w:t xml:space="preserve">”. </w:t>
      </w:r>
      <w:r w:rsidRPr="00752723">
        <w:rPr>
          <w:rFonts w:ascii="Times New Roman" w:hAnsi="Times New Roman"/>
          <w:sz w:val="24"/>
          <w:szCs w:val="24"/>
        </w:rPr>
        <w:t xml:space="preserve">We included participants who either did not change their residential location or who relocated to a new </w:t>
      </w:r>
      <w:r w:rsidRPr="00752723">
        <w:rPr>
          <w:rFonts w:ascii="Times New Roman" w:hAnsi="Times New Roman"/>
          <w:sz w:val="24"/>
          <w:szCs w:val="24"/>
        </w:rPr>
        <w:lastRenderedPageBreak/>
        <w:t>neighbourhood once during the follow-up period</w:t>
      </w:r>
      <w:r w:rsidR="00941CDB">
        <w:rPr>
          <w:rFonts w:ascii="Times New Roman" w:hAnsi="Times New Roman"/>
          <w:sz w:val="24"/>
          <w:szCs w:val="24"/>
        </w:rPr>
        <w:t>,</w:t>
      </w:r>
      <w:r w:rsidRPr="00752723">
        <w:rPr>
          <w:rFonts w:ascii="Times New Roman" w:hAnsi="Times New Roman"/>
          <w:sz w:val="24"/>
          <w:szCs w:val="24"/>
        </w:rPr>
        <w:t xml:space="preserve"> to allow for sufficient exposure time. Respondents with inconsistent answers (i.e., those who reported some utilitarian walking but also reported their inability to walk in another question) and those who stopped answering the survey </w:t>
      </w:r>
      <w:r w:rsidRPr="00F3377F">
        <w:rPr>
          <w:rFonts w:ascii="Times New Roman" w:hAnsi="Times New Roman"/>
          <w:sz w:val="24"/>
          <w:szCs w:val="24"/>
        </w:rPr>
        <w:t xml:space="preserve">after the first cycle were excluded from the analyses. </w:t>
      </w:r>
    </w:p>
    <w:p w14:paraId="42B95EC6" w14:textId="77777777" w:rsidR="005E19CA" w:rsidRDefault="005E19CA" w:rsidP="00D83242">
      <w:pPr>
        <w:pStyle w:val="MediumGrid21"/>
        <w:spacing w:before="120" w:after="120" w:line="480" w:lineRule="auto"/>
        <w:rPr>
          <w:rFonts w:ascii="Times New Roman" w:hAnsi="Times New Roman"/>
          <w:b/>
          <w:sz w:val="28"/>
          <w:szCs w:val="28"/>
        </w:rPr>
      </w:pPr>
      <w:r>
        <w:rPr>
          <w:rFonts w:ascii="Times New Roman" w:hAnsi="Times New Roman"/>
          <w:b/>
          <w:sz w:val="28"/>
          <w:szCs w:val="28"/>
        </w:rPr>
        <w:t>Description of variables</w:t>
      </w:r>
    </w:p>
    <w:p w14:paraId="5C75997C" w14:textId="2353C67D" w:rsidR="00752723" w:rsidRPr="00E56ABB" w:rsidRDefault="00752723" w:rsidP="00D83242">
      <w:pPr>
        <w:pStyle w:val="MediumGrid21"/>
        <w:spacing w:before="120" w:after="120" w:line="480" w:lineRule="auto"/>
        <w:rPr>
          <w:rFonts w:ascii="Times New Roman" w:hAnsi="Times New Roman"/>
          <w:b/>
          <w:sz w:val="28"/>
          <w:szCs w:val="28"/>
        </w:rPr>
      </w:pPr>
      <w:r w:rsidRPr="00E56ABB">
        <w:rPr>
          <w:rFonts w:ascii="Times New Roman" w:hAnsi="Times New Roman"/>
          <w:b/>
          <w:sz w:val="28"/>
          <w:szCs w:val="28"/>
        </w:rPr>
        <w:t>Outcome measure</w:t>
      </w:r>
      <w:r w:rsidR="00E56ABB" w:rsidRPr="00E56ABB">
        <w:rPr>
          <w:rFonts w:ascii="Times New Roman" w:hAnsi="Times New Roman"/>
          <w:b/>
          <w:sz w:val="28"/>
          <w:szCs w:val="28"/>
        </w:rPr>
        <w:t xml:space="preserve"> </w:t>
      </w:r>
    </w:p>
    <w:p w14:paraId="268E15CC" w14:textId="04D27D8C" w:rsidR="00E56ABB" w:rsidRPr="000942E3" w:rsidRDefault="00E56ABB" w:rsidP="009F3873">
      <w:pPr>
        <w:autoSpaceDE w:val="0"/>
        <w:autoSpaceDN w:val="0"/>
        <w:adjustRightInd w:val="0"/>
        <w:spacing w:before="120" w:after="120" w:line="480" w:lineRule="auto"/>
        <w:ind w:firstLine="709"/>
        <w:rPr>
          <w:b/>
        </w:rPr>
      </w:pPr>
      <w:r w:rsidRPr="00E56ABB">
        <w:t xml:space="preserve">The primary outcome of interest was utilitarian walking. We reclassified the six categories of utilitarian walking </w:t>
      </w:r>
      <w:r w:rsidRPr="000942E3">
        <w:t xml:space="preserve">to four: (1) None, (2) Low (less than an hour per week), (3) Moderate (1 to 5 hours per week), and (4) High (6 hours or more per week). This is consistent with previous research in this field </w:t>
      </w:r>
      <w:r w:rsidRPr="000942E3">
        <w:fldChar w:fldCharType="begin"/>
      </w:r>
      <w:r w:rsidR="000F1152">
        <w:instrText xml:space="preserve"> ADDIN EN.CITE &lt;EndNote&gt;&lt;Cite&gt;&lt;Author&gt;Bauman&lt;/Author&gt;&lt;Year&gt;2009&lt;/Year&gt;&lt;RecNum&gt;127&lt;/RecNum&gt;&lt;DisplayText&gt;(Blair, Cheng et al. 2001, Bauman, Bull et al. 2009)&lt;/DisplayText&gt;&lt;record&gt;&lt;rec-number&gt;127&lt;/rec-number&gt;&lt;foreign-keys&gt;&lt;key app="EN" db-id="dp0x5dweyf5fpve0aecvexej50xdfspe0wdp"&gt;127&lt;/key&gt;&lt;/foreign-keys&gt;&lt;ref-type name="Journal Article"&gt;17&lt;/ref-type&gt;&lt;contributors&gt;&lt;authors&gt;&lt;author&gt;Bauman, A. &lt;/author&gt;&lt;author&gt;Bull, F.&lt;/author&gt;&lt;author&gt;Chey, T.&lt;/author&gt;&lt;author&gt;Craig, C.&lt;/author&gt;&lt;author&gt;Ainsworth, B.&lt;/author&gt;&lt;author&gt;Sallis, J.&lt;/author&gt;&lt;author&gt;Bowles,  H.&lt;/author&gt;&lt;author&gt;Hagstromer, M.&lt;/author&gt;&lt;author&gt;Sjostrom,  M.&lt;/author&gt;&lt;author&gt;Pratt, M.&lt;/author&gt;&lt;author&gt;The IPS Group,&amp;#x9;&lt;/author&gt;&lt;/authors&gt;&lt;/contributors&gt;&lt;titles&gt;&lt;title&gt;The International Prevalence Study on Physical Activity: results from 20 countries&lt;/title&gt;&lt;secondary-title&gt;International Journal of Behavioral Nutrition and Physical Activity , &lt;/secondary-title&gt;&lt;/titles&gt;&lt;periodical&gt;&lt;full-title&gt;International Journal of Behavioral Nutrition and Physical Activity ,&lt;/full-title&gt;&lt;/periodical&gt;&lt;pages&gt;6-21&lt;/pages&gt;&lt;dates&gt;&lt;year&gt;2009&lt;/year&gt;&lt;/dates&gt;&lt;urls&gt;&lt;/urls&gt;&lt;/record&gt;&lt;/Cite&gt;&lt;Cite&gt;&lt;Author&gt;Blair&lt;/Author&gt;&lt;Year&gt;2001&lt;/Year&gt;&lt;RecNum&gt;173&lt;/RecNum&gt;&lt;record&gt;&lt;rec-number&gt;173&lt;/rec-number&gt;&lt;foreign-keys&gt;&lt;key app="EN" db-id="dp0x5dweyf5fpve0aecvexej50xdfspe0wdp"&gt;173&lt;/key&gt;&lt;/foreign-keys&gt;&lt;ref-type name="Journal Article"&gt;17&lt;/ref-type&gt;&lt;contributors&gt;&lt;authors&gt;&lt;author&gt;Blair, S. &lt;/author&gt;&lt;author&gt;Cheng, Y.&lt;/author&gt;&lt;author&gt;Holder, S.&lt;/author&gt;&lt;/authors&gt;&lt;/contributors&gt;&lt;titles&gt;&lt;title&gt;Is physical activity or physical fitness more important in defining health benefits?&lt;/title&gt;&lt;secondary-title&gt;Medicine &amp;amp; Science in Sports &amp;amp; Exercise&lt;/secondary-title&gt;&lt;/titles&gt;&lt;periodical&gt;&lt;full-title&gt;Medicine &amp;amp; Science in Sports &amp;amp; Exercise&lt;/full-title&gt;&lt;/periodical&gt;&lt;pages&gt;S379 –S399&lt;/pages&gt;&lt;volume&gt;33&lt;/volume&gt;&lt;number&gt;6, Suppl.&lt;/number&gt;&lt;dates&gt;&lt;year&gt;2001&lt;/year&gt;&lt;/dates&gt;&lt;urls&gt;&lt;/urls&gt;&lt;/record&gt;&lt;/Cite&gt;&lt;/EndNote&gt;</w:instrText>
      </w:r>
      <w:r w:rsidRPr="000942E3">
        <w:fldChar w:fldCharType="separate"/>
      </w:r>
      <w:r w:rsidRPr="000942E3">
        <w:rPr>
          <w:noProof/>
        </w:rPr>
        <w:t>(</w:t>
      </w:r>
      <w:hyperlink w:anchor="_ENREF_4" w:tooltip="Blair, 2001 #173" w:history="1">
        <w:r w:rsidR="00DD02A3" w:rsidRPr="000942E3">
          <w:rPr>
            <w:noProof/>
          </w:rPr>
          <w:t>Blair, Cheng et al. 2001</w:t>
        </w:r>
      </w:hyperlink>
      <w:r w:rsidRPr="000942E3">
        <w:rPr>
          <w:noProof/>
        </w:rPr>
        <w:t xml:space="preserve">, </w:t>
      </w:r>
      <w:hyperlink w:anchor="_ENREF_2" w:tooltip="Bauman, 2009 #127" w:history="1">
        <w:r w:rsidR="00DD02A3" w:rsidRPr="000942E3">
          <w:rPr>
            <w:noProof/>
          </w:rPr>
          <w:t>Bauman, Bull et al. 2009</w:t>
        </w:r>
      </w:hyperlink>
      <w:r w:rsidRPr="000942E3">
        <w:rPr>
          <w:noProof/>
        </w:rPr>
        <w:t>)</w:t>
      </w:r>
      <w:r w:rsidRPr="000942E3">
        <w:fldChar w:fldCharType="end"/>
      </w:r>
      <w:r w:rsidRPr="000942E3">
        <w:t xml:space="preserve">. </w:t>
      </w:r>
    </w:p>
    <w:p w14:paraId="33E6EE3B" w14:textId="77777777" w:rsidR="00E56ABB" w:rsidRPr="000942E3" w:rsidRDefault="0079293B" w:rsidP="00D83242">
      <w:pPr>
        <w:pStyle w:val="MediumGrid21"/>
        <w:spacing w:before="120" w:after="120" w:line="480" w:lineRule="auto"/>
        <w:rPr>
          <w:rFonts w:ascii="Times New Roman" w:hAnsi="Times New Roman"/>
          <w:b/>
          <w:sz w:val="28"/>
          <w:szCs w:val="28"/>
        </w:rPr>
      </w:pPr>
      <w:r w:rsidRPr="000942E3">
        <w:rPr>
          <w:rFonts w:ascii="Times New Roman" w:hAnsi="Times New Roman"/>
          <w:b/>
          <w:sz w:val="28"/>
          <w:szCs w:val="28"/>
        </w:rPr>
        <w:t xml:space="preserve">Neighbourhood </w:t>
      </w:r>
      <w:r w:rsidR="00566E7E" w:rsidRPr="000942E3">
        <w:rPr>
          <w:rFonts w:ascii="Times New Roman" w:hAnsi="Times New Roman"/>
          <w:b/>
          <w:sz w:val="28"/>
          <w:szCs w:val="28"/>
        </w:rPr>
        <w:t>walkability</w:t>
      </w:r>
    </w:p>
    <w:p w14:paraId="3D4E0CF9" w14:textId="10DAB01E" w:rsidR="00F85A9F" w:rsidRPr="00CB3D47" w:rsidRDefault="00E56ABB" w:rsidP="00BD5C9A">
      <w:pPr>
        <w:pStyle w:val="MediumGrid21"/>
        <w:spacing w:before="120" w:after="120" w:line="480" w:lineRule="auto"/>
        <w:ind w:firstLine="709"/>
        <w:rPr>
          <w:rFonts w:ascii="Times New Roman" w:hAnsi="Times New Roman"/>
          <w:sz w:val="24"/>
          <w:szCs w:val="24"/>
        </w:rPr>
      </w:pPr>
      <w:r w:rsidRPr="00D83242">
        <w:rPr>
          <w:rFonts w:ascii="Times New Roman" w:hAnsi="Times New Roman"/>
          <w:sz w:val="24"/>
          <w:szCs w:val="24"/>
        </w:rPr>
        <w:t xml:space="preserve">The </w:t>
      </w:r>
      <w:r w:rsidR="00DC05D5" w:rsidRPr="00CB3D47">
        <w:rPr>
          <w:rFonts w:ascii="Times New Roman" w:hAnsi="Times New Roman"/>
          <w:sz w:val="24"/>
          <w:szCs w:val="24"/>
        </w:rPr>
        <w:t>Walk Score®</w:t>
      </w:r>
      <w:r w:rsidRPr="00CB3D47">
        <w:rPr>
          <w:rFonts w:ascii="Times New Roman" w:hAnsi="Times New Roman"/>
          <w:sz w:val="24"/>
          <w:szCs w:val="24"/>
        </w:rPr>
        <w:t xml:space="preserve"> has demonstrated very strong explanatory capacity for utilitarian walking </w:t>
      </w:r>
      <w:r w:rsidRPr="00CB3D47">
        <w:rPr>
          <w:rFonts w:ascii="Times New Roman" w:hAnsi="Times New Roman"/>
          <w:sz w:val="24"/>
          <w:szCs w:val="24"/>
        </w:rPr>
        <w:fldChar w:fldCharType="begin"/>
      </w:r>
      <w:r w:rsidR="00FB121F" w:rsidRPr="00CB3D47">
        <w:rPr>
          <w:rFonts w:ascii="Times New Roman" w:hAnsi="Times New Roman"/>
          <w:sz w:val="24"/>
          <w:szCs w:val="24"/>
        </w:rPr>
        <w:instrText xml:space="preserve"> ADDIN EN.CITE &lt;EndNote&gt;&lt;Cite&gt;&lt;Author&gt;Manaugh&lt;/Author&gt;&lt;Year&gt;2011&lt;/Year&gt;&lt;RecNum&gt;107&lt;/RecNum&gt;&lt;DisplayText&gt;(Manaugh and El-Geneidy 2011)&lt;/DisplayText&gt;&lt;record&gt;&lt;rec-number&gt;107&lt;/rec-number&gt;&lt;foreign-keys&gt;&lt;key app="EN" db-id="dp0x5dweyf5fpve0aecvexej50xdfspe0wdp"&gt;107&lt;/key&gt;&lt;/foreign-keys&gt;&lt;ref-type name="Journal Article"&gt;17&lt;/ref-type&gt;&lt;contributors&gt;&lt;authors&gt;&lt;author&gt;Manaugh, K.&lt;/author&gt;&lt;author&gt;El-Geneidy, A.&lt;/author&gt;&lt;/authors&gt;&lt;/contributors&gt;&lt;titles&gt;&lt;title&gt;Validating walkability indices: How do different households respond to the walkability of their neighbourhood?&lt;/title&gt;&lt;secondary-title&gt;Transportation research Part D: Transport and Environment&lt;/secondary-title&gt;&lt;/titles&gt;&lt;periodical&gt;&lt;full-title&gt;Transportation research Part D: Transport and Environment&lt;/full-title&gt;&lt;/periodical&gt;&lt;pages&gt;309-315&lt;/pages&gt;&lt;volume&gt;16&lt;/volume&gt;&lt;number&gt;4&lt;/number&gt;&lt;dates&gt;&lt;year&gt;2011&lt;/year&gt;&lt;/dates&gt;&lt;urls&gt;&lt;/urls&gt;&lt;/record&gt;&lt;/Cite&gt;&lt;/EndNote&gt;</w:instrText>
      </w:r>
      <w:r w:rsidRPr="00CB3D47">
        <w:rPr>
          <w:rFonts w:ascii="Times New Roman" w:hAnsi="Times New Roman"/>
          <w:sz w:val="24"/>
          <w:szCs w:val="24"/>
        </w:rPr>
        <w:fldChar w:fldCharType="separate"/>
      </w:r>
      <w:r w:rsidRPr="00CB3D47">
        <w:rPr>
          <w:rFonts w:ascii="Times New Roman" w:hAnsi="Times New Roman"/>
          <w:noProof/>
          <w:sz w:val="24"/>
          <w:szCs w:val="24"/>
        </w:rPr>
        <w:t>(</w:t>
      </w:r>
      <w:hyperlink w:anchor="_ENREF_26" w:tooltip="Manaugh, 2011 #107" w:history="1">
        <w:r w:rsidR="00DD02A3" w:rsidRPr="00CB3D47">
          <w:rPr>
            <w:rFonts w:ascii="Times New Roman" w:hAnsi="Times New Roman"/>
            <w:noProof/>
            <w:sz w:val="24"/>
            <w:szCs w:val="24"/>
          </w:rPr>
          <w:t>Manaugh and El-Geneidy 2011</w:t>
        </w:r>
      </w:hyperlink>
      <w:r w:rsidRPr="00CB3D47">
        <w:rPr>
          <w:rFonts w:ascii="Times New Roman" w:hAnsi="Times New Roman"/>
          <w:noProof/>
          <w:sz w:val="24"/>
          <w:szCs w:val="24"/>
        </w:rPr>
        <w:t>)</w:t>
      </w:r>
      <w:r w:rsidRPr="00CB3D47">
        <w:rPr>
          <w:rFonts w:ascii="Times New Roman" w:hAnsi="Times New Roman"/>
          <w:sz w:val="24"/>
          <w:szCs w:val="24"/>
        </w:rPr>
        <w:fldChar w:fldCharType="end"/>
      </w:r>
      <w:r w:rsidRPr="00CB3D47">
        <w:rPr>
          <w:rFonts w:ascii="Times New Roman" w:hAnsi="Times New Roman"/>
          <w:sz w:val="24"/>
          <w:szCs w:val="24"/>
        </w:rPr>
        <w:t xml:space="preserve"> and it was our primary exposure of interest. The </w:t>
      </w:r>
      <w:r w:rsidR="00DC05D5" w:rsidRPr="00CB3D47">
        <w:rPr>
          <w:rFonts w:ascii="Times New Roman" w:hAnsi="Times New Roman"/>
          <w:sz w:val="24"/>
          <w:szCs w:val="24"/>
        </w:rPr>
        <w:t>Walk Score®</w:t>
      </w:r>
      <w:r w:rsidRPr="00CB3D47">
        <w:rPr>
          <w:rFonts w:ascii="Times New Roman" w:hAnsi="Times New Roman"/>
          <w:sz w:val="24"/>
          <w:szCs w:val="24"/>
        </w:rPr>
        <w:t xml:space="preserve"> is based on distances to various weighted amenities (e.g. shopping, schools, parks and restaurants) and scores range from 0 to 100. </w:t>
      </w:r>
      <w:r w:rsidR="00DC05D5" w:rsidRPr="00CB3D47">
        <w:rPr>
          <w:rFonts w:ascii="Times New Roman" w:hAnsi="Times New Roman"/>
          <w:sz w:val="24"/>
          <w:szCs w:val="24"/>
        </w:rPr>
        <w:t>We used the 2012 Walk Score®</w:t>
      </w:r>
      <w:r w:rsidR="00482076" w:rsidRPr="00CB3D47">
        <w:rPr>
          <w:rFonts w:ascii="Times New Roman" w:hAnsi="Times New Roman"/>
          <w:sz w:val="24"/>
          <w:szCs w:val="24"/>
        </w:rPr>
        <w:t xml:space="preserve"> in the analys</w:t>
      </w:r>
      <w:r w:rsidR="00C67433" w:rsidRPr="00CB3D47">
        <w:rPr>
          <w:rFonts w:ascii="Times New Roman" w:hAnsi="Times New Roman"/>
          <w:sz w:val="24"/>
          <w:szCs w:val="24"/>
        </w:rPr>
        <w:t>e</w:t>
      </w:r>
      <w:r w:rsidR="00482076" w:rsidRPr="00CB3D47">
        <w:rPr>
          <w:rFonts w:ascii="Times New Roman" w:hAnsi="Times New Roman"/>
          <w:sz w:val="24"/>
          <w:szCs w:val="24"/>
        </w:rPr>
        <w:t xml:space="preserve">s. </w:t>
      </w:r>
      <w:r w:rsidRPr="00CB3D47">
        <w:rPr>
          <w:rFonts w:ascii="Times New Roman" w:hAnsi="Times New Roman"/>
          <w:sz w:val="24"/>
          <w:szCs w:val="24"/>
        </w:rPr>
        <w:t xml:space="preserve">We divided the </w:t>
      </w:r>
      <w:r w:rsidR="00DC05D5" w:rsidRPr="00CB3D47">
        <w:rPr>
          <w:rFonts w:ascii="Times New Roman" w:hAnsi="Times New Roman"/>
          <w:sz w:val="24"/>
          <w:szCs w:val="24"/>
        </w:rPr>
        <w:t>Walk Score®</w:t>
      </w:r>
      <w:r w:rsidRPr="00CB3D47">
        <w:rPr>
          <w:rFonts w:ascii="Times New Roman" w:hAnsi="Times New Roman"/>
          <w:sz w:val="24"/>
          <w:szCs w:val="24"/>
        </w:rPr>
        <w:t xml:space="preserve"> into four quartiles as follows: Low walkable neighbourhoods 0 to 39; Low-medium walkable neighbourhooods 40 to 55; Medium-high walkable neighbourhoods 56 to 69; and highly walkable neighbourhoods 70 to 100. We computed cumulative exposure</w:t>
      </w:r>
      <w:r w:rsidR="009F7B00" w:rsidRPr="00CB3D47">
        <w:rPr>
          <w:rFonts w:ascii="Times New Roman" w:hAnsi="Times New Roman"/>
          <w:sz w:val="24"/>
          <w:szCs w:val="24"/>
        </w:rPr>
        <w:t xml:space="preserve"> </w:t>
      </w:r>
      <w:r w:rsidRPr="00CB3D47">
        <w:rPr>
          <w:rFonts w:ascii="Times New Roman" w:hAnsi="Times New Roman"/>
          <w:sz w:val="24"/>
          <w:szCs w:val="24"/>
        </w:rPr>
        <w:t xml:space="preserve">to each </w:t>
      </w:r>
      <w:r w:rsidR="00DC05D5" w:rsidRPr="00CB3D47">
        <w:rPr>
          <w:rFonts w:ascii="Times New Roman" w:hAnsi="Times New Roman"/>
          <w:sz w:val="24"/>
          <w:szCs w:val="24"/>
        </w:rPr>
        <w:t>Walk Score®</w:t>
      </w:r>
      <w:r w:rsidRPr="00CB3D47">
        <w:rPr>
          <w:rFonts w:ascii="Times New Roman" w:hAnsi="Times New Roman"/>
          <w:sz w:val="24"/>
          <w:szCs w:val="24"/>
        </w:rPr>
        <w:t xml:space="preserve"> quartile</w:t>
      </w:r>
      <w:r w:rsidR="007841B5" w:rsidRPr="00CB3D47">
        <w:rPr>
          <w:rFonts w:ascii="Times New Roman" w:hAnsi="Times New Roman"/>
          <w:sz w:val="24"/>
          <w:szCs w:val="24"/>
        </w:rPr>
        <w:t xml:space="preserve"> (WSQ) </w:t>
      </w:r>
      <w:r w:rsidR="005C0794" w:rsidRPr="00CB3D47">
        <w:rPr>
          <w:rFonts w:ascii="Times New Roman" w:hAnsi="Times New Roman"/>
          <w:sz w:val="24"/>
          <w:szCs w:val="24"/>
        </w:rPr>
        <w:t xml:space="preserve">for all </w:t>
      </w:r>
      <w:r w:rsidR="00BD5C9A" w:rsidRPr="00CB3D47">
        <w:rPr>
          <w:rFonts w:ascii="Times New Roman" w:hAnsi="Times New Roman"/>
          <w:sz w:val="24"/>
          <w:szCs w:val="24"/>
        </w:rPr>
        <w:t>respondents</w:t>
      </w:r>
      <w:r w:rsidRPr="00CB3D47" w:rsidDel="00794D8F">
        <w:rPr>
          <w:rFonts w:ascii="Times New Roman" w:hAnsi="Times New Roman"/>
          <w:sz w:val="24"/>
          <w:szCs w:val="24"/>
        </w:rPr>
        <w:t xml:space="preserve"> </w:t>
      </w:r>
      <w:r w:rsidRPr="00CB3D47">
        <w:rPr>
          <w:rFonts w:ascii="Times New Roman" w:hAnsi="Times New Roman"/>
          <w:sz w:val="24"/>
          <w:szCs w:val="24"/>
        </w:rPr>
        <w:t xml:space="preserve">based on the biannual reported residential locations and year of moving to a new residential neighbourhood, captured </w:t>
      </w:r>
      <w:r w:rsidR="005C0794" w:rsidRPr="00CB3D47">
        <w:rPr>
          <w:rFonts w:ascii="Times New Roman" w:hAnsi="Times New Roman"/>
          <w:sz w:val="24"/>
          <w:szCs w:val="24"/>
        </w:rPr>
        <w:t>for every respondent</w:t>
      </w:r>
      <w:r w:rsidR="00BD5C9A" w:rsidRPr="00CB3D47">
        <w:rPr>
          <w:rFonts w:ascii="Times New Roman" w:hAnsi="Times New Roman"/>
          <w:sz w:val="24"/>
          <w:szCs w:val="24"/>
        </w:rPr>
        <w:t xml:space="preserve"> </w:t>
      </w:r>
      <w:r w:rsidRPr="00CB3D47">
        <w:rPr>
          <w:rFonts w:ascii="Times New Roman" w:hAnsi="Times New Roman"/>
          <w:sz w:val="24"/>
          <w:szCs w:val="24"/>
        </w:rPr>
        <w:t xml:space="preserve">as follows: </w:t>
      </w:r>
      <w:r w:rsidR="00BD5C9A" w:rsidRPr="00CB3D47">
        <w:rPr>
          <w:rFonts w:ascii="Times New Roman" w:hAnsi="Times New Roman"/>
          <w:i/>
          <w:sz w:val="24"/>
          <w:szCs w:val="24"/>
        </w:rPr>
        <w:t>P</w:t>
      </w:r>
      <w:r w:rsidR="007841B5" w:rsidRPr="00CB3D47">
        <w:rPr>
          <w:rFonts w:ascii="Times New Roman" w:hAnsi="Times New Roman"/>
          <w:i/>
          <w:sz w:val="24"/>
          <w:szCs w:val="24"/>
        </w:rPr>
        <w:t>roportion</w:t>
      </w:r>
      <w:r w:rsidR="00F85A9F" w:rsidRPr="00CB3D47">
        <w:rPr>
          <w:rFonts w:ascii="Times New Roman" w:hAnsi="Times New Roman"/>
          <w:i/>
          <w:sz w:val="24"/>
          <w:szCs w:val="24"/>
        </w:rPr>
        <w:t xml:space="preserve"> </w:t>
      </w:r>
      <w:r w:rsidRPr="00CB3D47">
        <w:rPr>
          <w:rFonts w:ascii="Times New Roman" w:hAnsi="Times New Roman"/>
          <w:i/>
          <w:sz w:val="24"/>
          <w:szCs w:val="24"/>
        </w:rPr>
        <w:t xml:space="preserve">of cumulative exposure time </w:t>
      </w:r>
      <w:r w:rsidR="009F7B00" w:rsidRPr="00CB3D47">
        <w:rPr>
          <w:rFonts w:ascii="Times New Roman" w:hAnsi="Times New Roman"/>
          <w:i/>
          <w:sz w:val="24"/>
          <w:szCs w:val="24"/>
        </w:rPr>
        <w:t>(PCET)</w:t>
      </w:r>
      <w:r w:rsidR="000E3C81" w:rsidRPr="00CB3D47">
        <w:rPr>
          <w:rFonts w:ascii="Times New Roman" w:hAnsi="Times New Roman"/>
          <w:i/>
          <w:sz w:val="24"/>
          <w:szCs w:val="24"/>
        </w:rPr>
        <w:t xml:space="preserve"> of respondent </w:t>
      </w:r>
      <w:r w:rsidR="00BF620E" w:rsidRPr="00CB3D47">
        <w:rPr>
          <w:rFonts w:ascii="Times New Roman" w:hAnsi="Times New Roman"/>
          <w:i/>
          <w:sz w:val="24"/>
          <w:szCs w:val="24"/>
        </w:rPr>
        <w:t>X</w:t>
      </w:r>
      <w:r w:rsidR="00D83242" w:rsidRPr="00CB3D47">
        <w:rPr>
          <w:rFonts w:ascii="Times New Roman" w:hAnsi="Times New Roman"/>
          <w:i/>
          <w:sz w:val="24"/>
          <w:szCs w:val="24"/>
        </w:rPr>
        <w:t xml:space="preserve"> to</w:t>
      </w:r>
      <w:r w:rsidRPr="00CB3D47">
        <w:rPr>
          <w:rFonts w:ascii="Times New Roman" w:hAnsi="Times New Roman"/>
          <w:i/>
          <w:sz w:val="24"/>
          <w:szCs w:val="24"/>
        </w:rPr>
        <w:t xml:space="preserve"> </w:t>
      </w:r>
      <w:r w:rsidR="00DC05D5" w:rsidRPr="00CB3D47">
        <w:rPr>
          <w:rFonts w:ascii="Times New Roman" w:hAnsi="Times New Roman"/>
          <w:sz w:val="24"/>
          <w:szCs w:val="24"/>
        </w:rPr>
        <w:t>Walk Score®</w:t>
      </w:r>
      <w:r w:rsidRPr="00CB3D47">
        <w:rPr>
          <w:rFonts w:ascii="Times New Roman" w:hAnsi="Times New Roman"/>
          <w:i/>
          <w:sz w:val="24"/>
          <w:szCs w:val="24"/>
          <w:vertAlign w:val="subscript"/>
        </w:rPr>
        <w:t xml:space="preserve"> </w:t>
      </w:r>
      <w:r w:rsidRPr="00CB3D47">
        <w:rPr>
          <w:rFonts w:ascii="Times New Roman" w:hAnsi="Times New Roman"/>
          <w:i/>
          <w:sz w:val="24"/>
          <w:szCs w:val="24"/>
        </w:rPr>
        <w:t xml:space="preserve">in quartile </w:t>
      </w:r>
      <w:r w:rsidR="00BF620E" w:rsidRPr="00CB3D47">
        <w:rPr>
          <w:rFonts w:ascii="Times New Roman" w:hAnsi="Times New Roman"/>
          <w:i/>
          <w:sz w:val="24"/>
          <w:szCs w:val="24"/>
        </w:rPr>
        <w:t xml:space="preserve">I </w:t>
      </w:r>
      <w:r w:rsidRPr="00CB3D47">
        <w:rPr>
          <w:rFonts w:ascii="Times New Roman" w:hAnsi="Times New Roman"/>
          <w:i/>
          <w:sz w:val="24"/>
          <w:szCs w:val="24"/>
        </w:rPr>
        <w:t xml:space="preserve">after </w:t>
      </w:r>
      <w:r w:rsidR="00D83242" w:rsidRPr="00CB3D47">
        <w:rPr>
          <w:rFonts w:ascii="Times New Roman" w:hAnsi="Times New Roman"/>
          <w:i/>
          <w:sz w:val="24"/>
          <w:szCs w:val="24"/>
        </w:rPr>
        <w:t xml:space="preserve">T </w:t>
      </w:r>
      <w:r w:rsidRPr="00CB3D47">
        <w:rPr>
          <w:rFonts w:ascii="Times New Roman" w:hAnsi="Times New Roman"/>
          <w:i/>
          <w:sz w:val="24"/>
          <w:szCs w:val="24"/>
        </w:rPr>
        <w:t xml:space="preserve">survey years = (No. of total years in </w:t>
      </w:r>
      <w:r w:rsidR="00BF620E" w:rsidRPr="00CB3D47">
        <w:rPr>
          <w:rFonts w:ascii="Times New Roman" w:hAnsi="Times New Roman"/>
          <w:i/>
          <w:sz w:val="24"/>
          <w:szCs w:val="24"/>
        </w:rPr>
        <w:t>WSQI</w:t>
      </w:r>
      <w:r w:rsidRPr="00CB3D47">
        <w:rPr>
          <w:rFonts w:ascii="Times New Roman" w:hAnsi="Times New Roman"/>
          <w:i/>
          <w:sz w:val="24"/>
          <w:szCs w:val="24"/>
        </w:rPr>
        <w:t>)/</w:t>
      </w:r>
      <w:r w:rsidR="00D83242" w:rsidRPr="00CB3D47">
        <w:rPr>
          <w:rFonts w:ascii="Times New Roman" w:hAnsi="Times New Roman"/>
          <w:i/>
          <w:sz w:val="24"/>
          <w:szCs w:val="24"/>
        </w:rPr>
        <w:t>T</w:t>
      </w:r>
      <w:r w:rsidRPr="00CB3D47">
        <w:rPr>
          <w:rFonts w:ascii="Times New Roman" w:hAnsi="Times New Roman"/>
          <w:i/>
          <w:sz w:val="24"/>
          <w:szCs w:val="24"/>
        </w:rPr>
        <w:t xml:space="preserve">. </w:t>
      </w:r>
      <w:r w:rsidRPr="00CB3D47">
        <w:rPr>
          <w:rFonts w:ascii="Times New Roman" w:hAnsi="Times New Roman"/>
          <w:sz w:val="24"/>
          <w:szCs w:val="24"/>
        </w:rPr>
        <w:t>In our analysis I ranged from 1 to 4</w:t>
      </w:r>
      <w:r w:rsidR="009F7B00" w:rsidRPr="00CB3D47">
        <w:rPr>
          <w:rFonts w:ascii="Times New Roman" w:hAnsi="Times New Roman"/>
          <w:sz w:val="24"/>
          <w:szCs w:val="24"/>
        </w:rPr>
        <w:t>, indicating the four Walk Score</w:t>
      </w:r>
      <w:r w:rsidR="000E3C81" w:rsidRPr="00CB3D47">
        <w:rPr>
          <w:rFonts w:ascii="Times New Roman" w:hAnsi="Times New Roman"/>
          <w:sz w:val="24"/>
          <w:szCs w:val="24"/>
        </w:rPr>
        <w:t>®</w:t>
      </w:r>
      <w:r w:rsidR="009F7B00" w:rsidRPr="00CB3D47">
        <w:rPr>
          <w:rFonts w:ascii="Times New Roman" w:hAnsi="Times New Roman"/>
          <w:sz w:val="24"/>
          <w:szCs w:val="24"/>
        </w:rPr>
        <w:t xml:space="preserve"> quartiles</w:t>
      </w:r>
      <w:r w:rsidRPr="00CB3D47">
        <w:rPr>
          <w:rFonts w:ascii="Times New Roman" w:hAnsi="Times New Roman"/>
          <w:sz w:val="24"/>
          <w:szCs w:val="24"/>
        </w:rPr>
        <w:t xml:space="preserve"> and </w:t>
      </w:r>
      <w:r w:rsidR="00D83242" w:rsidRPr="00CB3D47">
        <w:rPr>
          <w:rFonts w:ascii="Times New Roman" w:hAnsi="Times New Roman"/>
          <w:sz w:val="24"/>
          <w:szCs w:val="24"/>
        </w:rPr>
        <w:t xml:space="preserve">T </w:t>
      </w:r>
      <w:r w:rsidRPr="00CB3D47">
        <w:rPr>
          <w:rFonts w:ascii="Times New Roman" w:hAnsi="Times New Roman"/>
          <w:sz w:val="24"/>
          <w:szCs w:val="24"/>
        </w:rPr>
        <w:t xml:space="preserve">ranged </w:t>
      </w:r>
      <w:r w:rsidRPr="00CB3D47">
        <w:rPr>
          <w:rFonts w:ascii="Times New Roman" w:hAnsi="Times New Roman"/>
          <w:sz w:val="24"/>
          <w:szCs w:val="24"/>
        </w:rPr>
        <w:lastRenderedPageBreak/>
        <w:t>from 2-12 (in multiples of 2)</w:t>
      </w:r>
      <w:r w:rsidR="009F7B00" w:rsidRPr="00CB3D47">
        <w:rPr>
          <w:rFonts w:ascii="Times New Roman" w:hAnsi="Times New Roman"/>
          <w:sz w:val="24"/>
          <w:szCs w:val="24"/>
        </w:rPr>
        <w:t xml:space="preserve">, </w:t>
      </w:r>
      <w:r w:rsidR="000E3C81" w:rsidRPr="00CB3D47">
        <w:rPr>
          <w:rFonts w:ascii="Times New Roman" w:hAnsi="Times New Roman"/>
          <w:sz w:val="24"/>
          <w:szCs w:val="24"/>
        </w:rPr>
        <w:t>representing</w:t>
      </w:r>
      <w:r w:rsidR="009F7B00" w:rsidRPr="00CB3D47">
        <w:rPr>
          <w:rFonts w:ascii="Times New Roman" w:hAnsi="Times New Roman"/>
          <w:sz w:val="24"/>
          <w:szCs w:val="24"/>
        </w:rPr>
        <w:t xml:space="preserve"> the time spent in each neighbourhood quartile level. </w:t>
      </w:r>
      <w:r w:rsidR="00DC05D5" w:rsidRPr="00CB3D47">
        <w:rPr>
          <w:rFonts w:ascii="Times New Roman" w:hAnsi="Times New Roman"/>
          <w:sz w:val="24"/>
          <w:szCs w:val="24"/>
        </w:rPr>
        <w:t xml:space="preserve"> </w:t>
      </w:r>
      <w:r w:rsidR="00BD5C9A" w:rsidRPr="00CB3D47">
        <w:rPr>
          <w:rFonts w:ascii="Times New Roman" w:hAnsi="Times New Roman"/>
          <w:sz w:val="24"/>
          <w:szCs w:val="24"/>
        </w:rPr>
        <w:t xml:space="preserve">Table 1 demonstrates an example of </w:t>
      </w:r>
      <w:r w:rsidR="007841B5" w:rsidRPr="00CB3D47">
        <w:rPr>
          <w:rFonts w:ascii="Times New Roman" w:hAnsi="Times New Roman"/>
          <w:sz w:val="24"/>
          <w:szCs w:val="24"/>
        </w:rPr>
        <w:t>an individual (x)</w:t>
      </w:r>
      <w:r w:rsidR="009F7B00" w:rsidRPr="00CB3D47">
        <w:rPr>
          <w:rFonts w:ascii="Times New Roman" w:hAnsi="Times New Roman"/>
          <w:sz w:val="24"/>
          <w:szCs w:val="24"/>
        </w:rPr>
        <w:t xml:space="preserve"> </w:t>
      </w:r>
      <w:r w:rsidR="00BD5C9A" w:rsidRPr="00CB3D47">
        <w:rPr>
          <w:rFonts w:ascii="Times New Roman" w:hAnsi="Times New Roman"/>
          <w:sz w:val="24"/>
          <w:szCs w:val="24"/>
        </w:rPr>
        <w:t xml:space="preserve">who </w:t>
      </w:r>
      <w:r w:rsidR="005C0794" w:rsidRPr="00CB3D47">
        <w:rPr>
          <w:rFonts w:ascii="Times New Roman" w:hAnsi="Times New Roman"/>
          <w:sz w:val="24"/>
          <w:szCs w:val="24"/>
        </w:rPr>
        <w:t>moved from</w:t>
      </w:r>
      <w:r w:rsidR="009F7B00" w:rsidRPr="00CB3D47">
        <w:rPr>
          <w:rFonts w:ascii="Times New Roman" w:hAnsi="Times New Roman"/>
          <w:sz w:val="24"/>
          <w:szCs w:val="24"/>
        </w:rPr>
        <w:t xml:space="preserve"> a low-medium walkable neighbourhoood (WSQ2</w:t>
      </w:r>
      <w:r w:rsidR="00BD5C9A" w:rsidRPr="00CB3D47">
        <w:rPr>
          <w:rFonts w:ascii="Times New Roman" w:hAnsi="Times New Roman"/>
          <w:sz w:val="24"/>
          <w:szCs w:val="24"/>
        </w:rPr>
        <w:t>) to a high walkable neighbourhood (WSQ4) 6 years</w:t>
      </w:r>
      <w:r w:rsidR="00B42094" w:rsidRPr="00CB3D47">
        <w:rPr>
          <w:rFonts w:ascii="Times New Roman" w:hAnsi="Times New Roman"/>
          <w:sz w:val="24"/>
          <w:szCs w:val="24"/>
        </w:rPr>
        <w:t xml:space="preserve"> from baseline.</w:t>
      </w:r>
      <w:r w:rsidR="007841B5" w:rsidRPr="00CB3D47">
        <w:rPr>
          <w:rFonts w:ascii="Times New Roman" w:hAnsi="Times New Roman"/>
          <w:sz w:val="24"/>
          <w:szCs w:val="24"/>
        </w:rPr>
        <w:t xml:space="preserve"> The table shows the cumulative exposure time (CET) spent in each neighbourhood</w:t>
      </w:r>
      <w:r w:rsidR="00E36C5D" w:rsidRPr="00CB3D47">
        <w:rPr>
          <w:rFonts w:ascii="Times New Roman" w:hAnsi="Times New Roman"/>
          <w:sz w:val="24"/>
          <w:szCs w:val="24"/>
        </w:rPr>
        <w:t xml:space="preserve"> </w:t>
      </w:r>
      <w:r w:rsidR="008C46B7" w:rsidRPr="00CB3D47">
        <w:rPr>
          <w:rFonts w:ascii="Times New Roman" w:hAnsi="Times New Roman"/>
          <w:sz w:val="24"/>
          <w:szCs w:val="24"/>
        </w:rPr>
        <w:t xml:space="preserve">type </w:t>
      </w:r>
      <w:r w:rsidR="007841B5" w:rsidRPr="00CB3D47">
        <w:rPr>
          <w:rFonts w:ascii="Times New Roman" w:hAnsi="Times New Roman"/>
          <w:sz w:val="24"/>
          <w:szCs w:val="24"/>
        </w:rPr>
        <w:t>at each cycle of the survey (from 1994 to 2006), and the proportion of cumulative exposure time (PCET) to these neighbourhoods at each cycle.</w:t>
      </w:r>
    </w:p>
    <w:p w14:paraId="7654877E" w14:textId="77777777" w:rsidR="00DE2957" w:rsidRPr="00CB3D47" w:rsidRDefault="00DE2957" w:rsidP="00DE2957">
      <w:pPr>
        <w:pStyle w:val="MediumGrid21"/>
        <w:spacing w:before="120" w:after="120"/>
        <w:rPr>
          <w:rFonts w:ascii="Times New Roman" w:hAnsi="Times New Roman"/>
          <w:sz w:val="24"/>
          <w:szCs w:val="24"/>
        </w:rPr>
      </w:pPr>
      <w:r w:rsidRPr="00CB3D47">
        <w:rPr>
          <w:rFonts w:ascii="Times New Roman" w:hAnsi="Times New Roman"/>
          <w:b/>
          <w:sz w:val="24"/>
          <w:szCs w:val="24"/>
        </w:rPr>
        <w:t>Table 1:</w:t>
      </w:r>
      <w:r w:rsidRPr="00CB3D47">
        <w:rPr>
          <w:rFonts w:ascii="Times New Roman" w:hAnsi="Times New Roman"/>
          <w:sz w:val="24"/>
          <w:szCs w:val="24"/>
        </w:rPr>
        <w:t xml:space="preserve"> Demonstration of </w:t>
      </w:r>
      <w:r w:rsidR="009C6CFE" w:rsidRPr="00CB3D47">
        <w:rPr>
          <w:rFonts w:ascii="Times New Roman" w:hAnsi="Times New Roman"/>
          <w:sz w:val="24"/>
          <w:szCs w:val="24"/>
        </w:rPr>
        <w:t xml:space="preserve">neighbourhood </w:t>
      </w:r>
      <w:r w:rsidR="003B00AE" w:rsidRPr="00CB3D47">
        <w:rPr>
          <w:rFonts w:ascii="Times New Roman" w:hAnsi="Times New Roman"/>
          <w:sz w:val="24"/>
          <w:szCs w:val="24"/>
        </w:rPr>
        <w:t xml:space="preserve">walkability </w:t>
      </w:r>
      <w:r w:rsidRPr="00CB3D47">
        <w:rPr>
          <w:rFonts w:ascii="Times New Roman" w:hAnsi="Times New Roman"/>
          <w:sz w:val="24"/>
          <w:szCs w:val="24"/>
        </w:rPr>
        <w:t>c</w:t>
      </w:r>
      <w:r w:rsidR="003B00AE" w:rsidRPr="00CB3D47">
        <w:rPr>
          <w:rFonts w:ascii="Times New Roman" w:hAnsi="Times New Roman"/>
          <w:sz w:val="24"/>
          <w:szCs w:val="24"/>
        </w:rPr>
        <w:t>umulative exposure variable</w:t>
      </w:r>
    </w:p>
    <w:tbl>
      <w:tblPr>
        <w:tblStyle w:val="TableGrid"/>
        <w:tblW w:w="10456" w:type="dxa"/>
        <w:tblLayout w:type="fixed"/>
        <w:tblLook w:val="04A0" w:firstRow="1" w:lastRow="0" w:firstColumn="1" w:lastColumn="0" w:noHBand="0" w:noVBand="1"/>
      </w:tblPr>
      <w:tblGrid>
        <w:gridCol w:w="817"/>
        <w:gridCol w:w="709"/>
        <w:gridCol w:w="1134"/>
        <w:gridCol w:w="850"/>
        <w:gridCol w:w="851"/>
        <w:gridCol w:w="850"/>
        <w:gridCol w:w="851"/>
        <w:gridCol w:w="850"/>
        <w:gridCol w:w="993"/>
        <w:gridCol w:w="850"/>
        <w:gridCol w:w="851"/>
        <w:gridCol w:w="850"/>
      </w:tblGrid>
      <w:tr w:rsidR="00DE2957" w:rsidRPr="00CB3D47" w14:paraId="6AE52F3A" w14:textId="77777777" w:rsidTr="00253DE9">
        <w:trPr>
          <w:trHeight w:val="1325"/>
        </w:trPr>
        <w:tc>
          <w:tcPr>
            <w:tcW w:w="817" w:type="dxa"/>
            <w:tcBorders>
              <w:top w:val="single" w:sz="12" w:space="0" w:color="000000"/>
              <w:left w:val="nil"/>
              <w:bottom w:val="single" w:sz="12" w:space="0" w:color="000000"/>
              <w:right w:val="nil"/>
            </w:tcBorders>
            <w:hideMark/>
          </w:tcPr>
          <w:p w14:paraId="23DEE137" w14:textId="77777777" w:rsidR="00DE2957" w:rsidRPr="00CB3D47" w:rsidRDefault="00DE2957" w:rsidP="00DE2957">
            <w:pPr>
              <w:pStyle w:val="NormalWeb"/>
              <w:spacing w:before="0" w:beforeAutospacing="0" w:after="0" w:afterAutospacing="0"/>
              <w:jc w:val="center"/>
              <w:rPr>
                <w:sz w:val="22"/>
                <w:szCs w:val="22"/>
              </w:rPr>
            </w:pPr>
            <w:r w:rsidRPr="00CB3D47">
              <w:rPr>
                <w:bCs/>
                <w:kern w:val="24"/>
                <w:sz w:val="22"/>
                <w:szCs w:val="22"/>
                <w:lang w:val="en-US"/>
              </w:rPr>
              <w:t>Year</w:t>
            </w:r>
          </w:p>
        </w:tc>
        <w:tc>
          <w:tcPr>
            <w:tcW w:w="709" w:type="dxa"/>
            <w:tcBorders>
              <w:top w:val="single" w:sz="12" w:space="0" w:color="000000"/>
              <w:left w:val="nil"/>
              <w:bottom w:val="single" w:sz="12" w:space="0" w:color="000000"/>
              <w:right w:val="nil"/>
            </w:tcBorders>
          </w:tcPr>
          <w:p w14:paraId="3872B8CC" w14:textId="77777777" w:rsidR="00DE2957" w:rsidRPr="00CB3D47" w:rsidRDefault="00DE2957" w:rsidP="00BF620E">
            <w:pPr>
              <w:pStyle w:val="NormalWeb"/>
              <w:spacing w:before="0" w:beforeAutospacing="0" w:after="0" w:afterAutospacing="0"/>
              <w:jc w:val="center"/>
              <w:rPr>
                <w:bCs/>
                <w:kern w:val="24"/>
                <w:sz w:val="22"/>
                <w:szCs w:val="22"/>
                <w:lang w:val="en-US"/>
              </w:rPr>
            </w:pPr>
            <w:r w:rsidRPr="00CB3D47">
              <w:rPr>
                <w:bCs/>
                <w:kern w:val="24"/>
                <w:sz w:val="22"/>
                <w:szCs w:val="22"/>
                <w:lang w:val="en-US"/>
              </w:rPr>
              <w:t>Time (</w:t>
            </w:r>
            <w:r w:rsidR="00BF620E" w:rsidRPr="00CB3D47">
              <w:rPr>
                <w:bCs/>
                <w:kern w:val="24"/>
                <w:sz w:val="22"/>
                <w:szCs w:val="22"/>
                <w:lang w:val="en-US"/>
              </w:rPr>
              <w:t>T</w:t>
            </w:r>
            <w:r w:rsidRPr="00CB3D47">
              <w:rPr>
                <w:bCs/>
                <w:kern w:val="24"/>
                <w:sz w:val="22"/>
                <w:szCs w:val="22"/>
                <w:lang w:val="en-US"/>
              </w:rPr>
              <w:t>)</w:t>
            </w:r>
          </w:p>
        </w:tc>
        <w:tc>
          <w:tcPr>
            <w:tcW w:w="1134" w:type="dxa"/>
            <w:tcBorders>
              <w:top w:val="single" w:sz="12" w:space="0" w:color="000000"/>
              <w:left w:val="nil"/>
              <w:bottom w:val="single" w:sz="12" w:space="0" w:color="000000"/>
              <w:right w:val="nil"/>
            </w:tcBorders>
            <w:hideMark/>
          </w:tcPr>
          <w:p w14:paraId="24283E55" w14:textId="77777777" w:rsidR="00DE2957" w:rsidRPr="00CB3D47" w:rsidRDefault="00DE2957" w:rsidP="00BF620E">
            <w:pPr>
              <w:pStyle w:val="NormalWeb"/>
              <w:spacing w:before="0" w:beforeAutospacing="0" w:after="0" w:afterAutospacing="0"/>
              <w:jc w:val="center"/>
              <w:rPr>
                <w:sz w:val="22"/>
                <w:szCs w:val="22"/>
              </w:rPr>
            </w:pPr>
            <w:r w:rsidRPr="00CB3D47">
              <w:rPr>
                <w:bCs/>
                <w:kern w:val="24"/>
                <w:sz w:val="22"/>
                <w:szCs w:val="22"/>
                <w:lang w:val="en-US"/>
              </w:rPr>
              <w:t>Individual ID (</w:t>
            </w:r>
            <w:r w:rsidR="00BF620E" w:rsidRPr="00CB3D47">
              <w:rPr>
                <w:bCs/>
                <w:kern w:val="24"/>
                <w:sz w:val="22"/>
                <w:szCs w:val="22"/>
                <w:lang w:val="en-US"/>
              </w:rPr>
              <w:t>X</w:t>
            </w:r>
            <w:r w:rsidRPr="00CB3D47">
              <w:rPr>
                <w:bCs/>
                <w:kern w:val="24"/>
                <w:sz w:val="22"/>
                <w:szCs w:val="22"/>
                <w:lang w:val="en-US"/>
              </w:rPr>
              <w:t>)</w:t>
            </w:r>
          </w:p>
        </w:tc>
        <w:tc>
          <w:tcPr>
            <w:tcW w:w="850" w:type="dxa"/>
            <w:tcBorders>
              <w:top w:val="single" w:sz="12" w:space="0" w:color="000000"/>
              <w:left w:val="nil"/>
              <w:bottom w:val="single" w:sz="12" w:space="0" w:color="000000"/>
              <w:right w:val="nil"/>
            </w:tcBorders>
            <w:hideMark/>
          </w:tcPr>
          <w:p w14:paraId="36EBFCA6" w14:textId="77777777" w:rsidR="00DE2957" w:rsidRPr="00CB3D47" w:rsidRDefault="00DE2957" w:rsidP="00DE2957">
            <w:pPr>
              <w:pStyle w:val="NormalWeb"/>
              <w:spacing w:before="0" w:beforeAutospacing="0" w:after="0" w:afterAutospacing="0"/>
              <w:jc w:val="center"/>
              <w:rPr>
                <w:bCs/>
                <w:kern w:val="24"/>
                <w:sz w:val="22"/>
                <w:szCs w:val="22"/>
                <w:lang w:val="en-US"/>
              </w:rPr>
            </w:pPr>
            <w:r w:rsidRPr="00CB3D47">
              <w:rPr>
                <w:bCs/>
                <w:kern w:val="24"/>
                <w:sz w:val="22"/>
                <w:szCs w:val="22"/>
                <w:lang w:val="en-US"/>
              </w:rPr>
              <w:t>WSQ</w:t>
            </w:r>
          </w:p>
          <w:p w14:paraId="164847DF" w14:textId="77777777" w:rsidR="00DE2957" w:rsidRPr="00CB3D47" w:rsidRDefault="00DE2957" w:rsidP="00DE2957">
            <w:pPr>
              <w:pStyle w:val="NormalWeb"/>
              <w:spacing w:before="0" w:beforeAutospacing="0" w:after="0" w:afterAutospacing="0"/>
              <w:jc w:val="center"/>
              <w:rPr>
                <w:sz w:val="22"/>
                <w:szCs w:val="22"/>
              </w:rPr>
            </w:pPr>
            <w:r w:rsidRPr="00CB3D47">
              <w:rPr>
                <w:bCs/>
                <w:kern w:val="24"/>
                <w:sz w:val="22"/>
                <w:szCs w:val="22"/>
                <w:lang w:val="en-US"/>
              </w:rPr>
              <w:t>(I)</w:t>
            </w:r>
          </w:p>
        </w:tc>
        <w:tc>
          <w:tcPr>
            <w:tcW w:w="851" w:type="dxa"/>
            <w:tcBorders>
              <w:top w:val="single" w:sz="12" w:space="0" w:color="000000"/>
              <w:left w:val="nil"/>
              <w:bottom w:val="single" w:sz="12" w:space="0" w:color="000000"/>
              <w:right w:val="nil"/>
            </w:tcBorders>
            <w:hideMark/>
          </w:tcPr>
          <w:p w14:paraId="6DF9E823" w14:textId="6E559B73" w:rsidR="00DE2957" w:rsidRPr="00CB3D47" w:rsidRDefault="00EF1A46" w:rsidP="00DE2957">
            <w:pPr>
              <w:pStyle w:val="NormalWeb"/>
              <w:spacing w:before="0" w:beforeAutospacing="0" w:after="0" w:afterAutospacing="0"/>
              <w:jc w:val="center"/>
              <w:rPr>
                <w:bCs/>
                <w:kern w:val="24"/>
                <w:sz w:val="22"/>
                <w:szCs w:val="22"/>
                <w:lang w:val="en-US"/>
              </w:rPr>
            </w:pPr>
            <w:r w:rsidRPr="00CB3D47">
              <w:rPr>
                <w:bCs/>
                <w:kern w:val="24"/>
                <w:sz w:val="22"/>
                <w:szCs w:val="22"/>
                <w:lang w:val="en-US"/>
              </w:rPr>
              <w:t>*</w:t>
            </w:r>
            <w:r w:rsidR="00DE2957" w:rsidRPr="00CB3D47">
              <w:rPr>
                <w:bCs/>
                <w:kern w:val="24"/>
                <w:sz w:val="22"/>
                <w:szCs w:val="22"/>
                <w:lang w:val="en-US"/>
              </w:rPr>
              <w:t>CET to</w:t>
            </w:r>
          </w:p>
          <w:p w14:paraId="274B7469" w14:textId="77777777" w:rsidR="00DE2957" w:rsidRPr="00CB3D47" w:rsidRDefault="00DE2957" w:rsidP="00DE2957">
            <w:pPr>
              <w:pStyle w:val="NormalWeb"/>
              <w:spacing w:before="0" w:beforeAutospacing="0" w:after="0" w:afterAutospacing="0"/>
              <w:jc w:val="center"/>
              <w:rPr>
                <w:sz w:val="22"/>
                <w:szCs w:val="22"/>
              </w:rPr>
            </w:pPr>
            <w:r w:rsidRPr="00CB3D47">
              <w:rPr>
                <w:bCs/>
                <w:kern w:val="24"/>
                <w:sz w:val="22"/>
                <w:szCs w:val="22"/>
                <w:lang w:val="en-US"/>
              </w:rPr>
              <w:t>WSQ1 in years</w:t>
            </w:r>
          </w:p>
        </w:tc>
        <w:tc>
          <w:tcPr>
            <w:tcW w:w="850" w:type="dxa"/>
            <w:tcBorders>
              <w:top w:val="single" w:sz="12" w:space="0" w:color="000000"/>
              <w:left w:val="nil"/>
              <w:bottom w:val="single" w:sz="12" w:space="0" w:color="000000"/>
              <w:right w:val="nil"/>
            </w:tcBorders>
            <w:hideMark/>
          </w:tcPr>
          <w:p w14:paraId="14BDB6FD" w14:textId="77777777" w:rsidR="00DE2957" w:rsidRPr="00CB3D47" w:rsidRDefault="00DE2957" w:rsidP="00DE2957">
            <w:pPr>
              <w:pStyle w:val="NormalWeb"/>
              <w:spacing w:before="0" w:beforeAutospacing="0" w:after="0" w:afterAutospacing="0"/>
              <w:jc w:val="center"/>
              <w:rPr>
                <w:sz w:val="22"/>
                <w:szCs w:val="22"/>
              </w:rPr>
            </w:pPr>
            <w:r w:rsidRPr="00CB3D47">
              <w:rPr>
                <w:bCs/>
                <w:kern w:val="24"/>
                <w:sz w:val="22"/>
                <w:szCs w:val="22"/>
                <w:lang w:val="en-US"/>
              </w:rPr>
              <w:t>CET to</w:t>
            </w:r>
          </w:p>
          <w:p w14:paraId="4D21CF64" w14:textId="77777777" w:rsidR="00DE2957" w:rsidRPr="00CB3D47" w:rsidRDefault="00DE2957" w:rsidP="00DE2957">
            <w:pPr>
              <w:pStyle w:val="NormalWeb"/>
              <w:spacing w:before="0" w:beforeAutospacing="0" w:after="0" w:afterAutospacing="0"/>
              <w:jc w:val="center"/>
              <w:rPr>
                <w:bCs/>
                <w:kern w:val="24"/>
                <w:sz w:val="22"/>
                <w:szCs w:val="22"/>
                <w:lang w:val="en-US"/>
              </w:rPr>
            </w:pPr>
            <w:r w:rsidRPr="00CB3D47">
              <w:rPr>
                <w:bCs/>
                <w:kern w:val="24"/>
                <w:sz w:val="22"/>
                <w:szCs w:val="22"/>
                <w:lang w:val="en-US"/>
              </w:rPr>
              <w:t>WSQ2 in years</w:t>
            </w:r>
          </w:p>
        </w:tc>
        <w:tc>
          <w:tcPr>
            <w:tcW w:w="851" w:type="dxa"/>
            <w:tcBorders>
              <w:top w:val="single" w:sz="12" w:space="0" w:color="000000"/>
              <w:left w:val="nil"/>
              <w:bottom w:val="single" w:sz="12" w:space="0" w:color="000000"/>
              <w:right w:val="nil"/>
            </w:tcBorders>
          </w:tcPr>
          <w:p w14:paraId="251E141C" w14:textId="77777777" w:rsidR="00DE2957" w:rsidRPr="00CB3D47" w:rsidRDefault="00DE2957" w:rsidP="00DE2957">
            <w:pPr>
              <w:pStyle w:val="NormalWeb"/>
              <w:spacing w:before="0" w:beforeAutospacing="0" w:after="0" w:afterAutospacing="0"/>
              <w:jc w:val="center"/>
              <w:rPr>
                <w:bCs/>
                <w:kern w:val="24"/>
                <w:sz w:val="22"/>
                <w:szCs w:val="22"/>
                <w:lang w:val="en-US"/>
              </w:rPr>
            </w:pPr>
            <w:r w:rsidRPr="00CB3D47">
              <w:rPr>
                <w:bCs/>
                <w:kern w:val="24"/>
                <w:sz w:val="22"/>
                <w:szCs w:val="22"/>
                <w:lang w:val="en-US"/>
              </w:rPr>
              <w:t>CET to</w:t>
            </w:r>
          </w:p>
          <w:p w14:paraId="0DF6356A" w14:textId="77777777" w:rsidR="00DE2957" w:rsidRPr="00CB3D47" w:rsidRDefault="00DE2957" w:rsidP="00DE2957">
            <w:pPr>
              <w:pStyle w:val="NormalWeb"/>
              <w:spacing w:before="0" w:beforeAutospacing="0" w:after="0" w:afterAutospacing="0"/>
              <w:jc w:val="center"/>
              <w:rPr>
                <w:sz w:val="22"/>
                <w:szCs w:val="22"/>
              </w:rPr>
            </w:pPr>
            <w:r w:rsidRPr="00CB3D47">
              <w:rPr>
                <w:bCs/>
                <w:kern w:val="24"/>
                <w:sz w:val="22"/>
                <w:szCs w:val="22"/>
                <w:lang w:val="en-US"/>
              </w:rPr>
              <w:t>WSQ3 in years</w:t>
            </w:r>
          </w:p>
        </w:tc>
        <w:tc>
          <w:tcPr>
            <w:tcW w:w="850" w:type="dxa"/>
            <w:tcBorders>
              <w:top w:val="single" w:sz="12" w:space="0" w:color="000000"/>
              <w:left w:val="nil"/>
              <w:bottom w:val="single" w:sz="12" w:space="0" w:color="000000"/>
              <w:right w:val="nil"/>
            </w:tcBorders>
          </w:tcPr>
          <w:p w14:paraId="396BE2AC" w14:textId="77777777" w:rsidR="00DE2957" w:rsidRPr="00CB3D47" w:rsidRDefault="00DE2957" w:rsidP="00DE2957">
            <w:pPr>
              <w:pStyle w:val="NormalWeb"/>
              <w:spacing w:before="0" w:beforeAutospacing="0" w:after="0" w:afterAutospacing="0"/>
              <w:jc w:val="center"/>
              <w:rPr>
                <w:sz w:val="22"/>
                <w:szCs w:val="22"/>
              </w:rPr>
            </w:pPr>
            <w:r w:rsidRPr="00CB3D47">
              <w:rPr>
                <w:bCs/>
                <w:kern w:val="24"/>
                <w:sz w:val="22"/>
                <w:szCs w:val="22"/>
                <w:lang w:val="en-US"/>
              </w:rPr>
              <w:t>CET to</w:t>
            </w:r>
          </w:p>
          <w:p w14:paraId="7AE3BF0A" w14:textId="77777777" w:rsidR="00DE2957" w:rsidRPr="00CB3D47" w:rsidRDefault="00DE2957" w:rsidP="00DE2957">
            <w:pPr>
              <w:pStyle w:val="NormalWeb"/>
              <w:spacing w:before="0" w:beforeAutospacing="0" w:after="0" w:afterAutospacing="0"/>
              <w:jc w:val="center"/>
              <w:rPr>
                <w:sz w:val="22"/>
                <w:szCs w:val="22"/>
              </w:rPr>
            </w:pPr>
            <w:r w:rsidRPr="00CB3D47">
              <w:rPr>
                <w:bCs/>
                <w:kern w:val="24"/>
                <w:sz w:val="22"/>
                <w:szCs w:val="22"/>
                <w:lang w:val="en-US"/>
              </w:rPr>
              <w:t>WSQ4 in years</w:t>
            </w:r>
          </w:p>
        </w:tc>
        <w:tc>
          <w:tcPr>
            <w:tcW w:w="993" w:type="dxa"/>
            <w:tcBorders>
              <w:top w:val="single" w:sz="12" w:space="0" w:color="000000"/>
              <w:left w:val="nil"/>
              <w:bottom w:val="single" w:sz="12" w:space="0" w:color="000000"/>
              <w:right w:val="nil"/>
            </w:tcBorders>
            <w:hideMark/>
          </w:tcPr>
          <w:p w14:paraId="105A7C79" w14:textId="30FC3734" w:rsidR="00394C30" w:rsidRPr="00CB3D47" w:rsidRDefault="00EF1A46" w:rsidP="00253DE9">
            <w:pPr>
              <w:pStyle w:val="NormalWeb"/>
              <w:spacing w:before="0" w:beforeAutospacing="0" w:after="0" w:afterAutospacing="0"/>
              <w:jc w:val="center"/>
              <w:rPr>
                <w:bCs/>
                <w:kern w:val="24"/>
                <w:sz w:val="22"/>
                <w:szCs w:val="22"/>
                <w:lang w:val="en-US"/>
              </w:rPr>
            </w:pPr>
            <w:r w:rsidRPr="00CB3D47">
              <w:rPr>
                <w:bCs/>
                <w:kern w:val="24"/>
                <w:sz w:val="22"/>
                <w:szCs w:val="22"/>
                <w:lang w:val="en-US"/>
              </w:rPr>
              <w:t>**</w:t>
            </w:r>
            <w:r w:rsidR="00DE2957" w:rsidRPr="00CB3D47">
              <w:rPr>
                <w:bCs/>
                <w:kern w:val="24"/>
                <w:sz w:val="22"/>
                <w:szCs w:val="22"/>
                <w:lang w:val="en-US"/>
              </w:rPr>
              <w:t>PCE</w:t>
            </w:r>
            <w:r w:rsidR="00394C30" w:rsidRPr="00CB3D47">
              <w:rPr>
                <w:bCs/>
                <w:kern w:val="24"/>
                <w:sz w:val="22"/>
                <w:szCs w:val="22"/>
                <w:lang w:val="en-US"/>
              </w:rPr>
              <w:t>T</w:t>
            </w:r>
          </w:p>
          <w:p w14:paraId="0E24EBAE" w14:textId="2415E152" w:rsidR="00DE2957" w:rsidRPr="00CB3D47" w:rsidRDefault="00DE2957" w:rsidP="00253DE9">
            <w:pPr>
              <w:pStyle w:val="NormalWeb"/>
              <w:spacing w:before="0" w:beforeAutospacing="0" w:after="0" w:afterAutospacing="0"/>
              <w:jc w:val="center"/>
              <w:rPr>
                <w:sz w:val="22"/>
                <w:szCs w:val="22"/>
              </w:rPr>
            </w:pPr>
            <w:r w:rsidRPr="00CB3D47">
              <w:rPr>
                <w:bCs/>
                <w:kern w:val="24"/>
                <w:sz w:val="22"/>
                <w:szCs w:val="22"/>
                <w:lang w:val="en-US"/>
              </w:rPr>
              <w:t>to WSQ1</w:t>
            </w:r>
          </w:p>
        </w:tc>
        <w:tc>
          <w:tcPr>
            <w:tcW w:w="850" w:type="dxa"/>
            <w:tcBorders>
              <w:top w:val="single" w:sz="12" w:space="0" w:color="000000"/>
              <w:left w:val="nil"/>
              <w:bottom w:val="single" w:sz="12" w:space="0" w:color="000000"/>
              <w:right w:val="nil"/>
            </w:tcBorders>
            <w:hideMark/>
          </w:tcPr>
          <w:p w14:paraId="39722E3B" w14:textId="77777777" w:rsidR="00DE2957" w:rsidRPr="00CB3D47" w:rsidRDefault="00DE2957" w:rsidP="00DE2957">
            <w:pPr>
              <w:pStyle w:val="NormalWeb"/>
              <w:spacing w:before="0" w:beforeAutospacing="0" w:after="0" w:afterAutospacing="0"/>
              <w:jc w:val="center"/>
              <w:rPr>
                <w:sz w:val="22"/>
                <w:szCs w:val="22"/>
              </w:rPr>
            </w:pPr>
            <w:r w:rsidRPr="00CB3D47">
              <w:rPr>
                <w:bCs/>
                <w:kern w:val="24"/>
                <w:sz w:val="22"/>
                <w:szCs w:val="22"/>
                <w:lang w:val="en-US"/>
              </w:rPr>
              <w:t>PCET to WSQ2</w:t>
            </w:r>
          </w:p>
        </w:tc>
        <w:tc>
          <w:tcPr>
            <w:tcW w:w="851" w:type="dxa"/>
            <w:tcBorders>
              <w:top w:val="single" w:sz="12" w:space="0" w:color="000000"/>
              <w:left w:val="nil"/>
              <w:bottom w:val="single" w:sz="12" w:space="0" w:color="000000"/>
              <w:right w:val="nil"/>
            </w:tcBorders>
            <w:hideMark/>
          </w:tcPr>
          <w:p w14:paraId="6C6453DD" w14:textId="77777777" w:rsidR="00DE2957" w:rsidRPr="00CB3D47" w:rsidRDefault="00DE2957" w:rsidP="00DE2957">
            <w:pPr>
              <w:pStyle w:val="NormalWeb"/>
              <w:spacing w:before="0" w:beforeAutospacing="0" w:after="0" w:afterAutospacing="0"/>
              <w:jc w:val="center"/>
              <w:rPr>
                <w:sz w:val="22"/>
                <w:szCs w:val="22"/>
              </w:rPr>
            </w:pPr>
            <w:r w:rsidRPr="00CB3D47">
              <w:rPr>
                <w:bCs/>
                <w:kern w:val="24"/>
                <w:sz w:val="22"/>
                <w:szCs w:val="22"/>
                <w:lang w:val="en-US"/>
              </w:rPr>
              <w:t>PCET to WSQ3</w:t>
            </w:r>
          </w:p>
        </w:tc>
        <w:tc>
          <w:tcPr>
            <w:tcW w:w="850" w:type="dxa"/>
            <w:tcBorders>
              <w:top w:val="single" w:sz="12" w:space="0" w:color="000000"/>
              <w:left w:val="nil"/>
              <w:bottom w:val="single" w:sz="12" w:space="0" w:color="000000"/>
              <w:right w:val="nil"/>
            </w:tcBorders>
            <w:hideMark/>
          </w:tcPr>
          <w:p w14:paraId="5FF23B98" w14:textId="77777777" w:rsidR="00DE2957" w:rsidRPr="00CB3D47" w:rsidRDefault="00DE2957" w:rsidP="00DE2957">
            <w:pPr>
              <w:pStyle w:val="NormalWeb"/>
              <w:spacing w:before="0" w:beforeAutospacing="0" w:after="0" w:afterAutospacing="0"/>
              <w:jc w:val="center"/>
              <w:rPr>
                <w:sz w:val="22"/>
                <w:szCs w:val="22"/>
              </w:rPr>
            </w:pPr>
            <w:r w:rsidRPr="00CB3D47">
              <w:rPr>
                <w:bCs/>
                <w:kern w:val="24"/>
                <w:sz w:val="22"/>
                <w:szCs w:val="22"/>
                <w:lang w:val="en-US"/>
              </w:rPr>
              <w:t>PCET to WSQ4</w:t>
            </w:r>
          </w:p>
        </w:tc>
      </w:tr>
      <w:tr w:rsidR="00DE2957" w:rsidRPr="00CB3D47" w14:paraId="53391B7C" w14:textId="77777777" w:rsidTr="00253DE9">
        <w:trPr>
          <w:trHeight w:hRule="exact" w:val="340"/>
        </w:trPr>
        <w:tc>
          <w:tcPr>
            <w:tcW w:w="817" w:type="dxa"/>
            <w:tcBorders>
              <w:top w:val="single" w:sz="12" w:space="0" w:color="000000"/>
              <w:left w:val="nil"/>
              <w:bottom w:val="nil"/>
              <w:right w:val="nil"/>
            </w:tcBorders>
            <w:hideMark/>
          </w:tcPr>
          <w:p w14:paraId="7551AB52" w14:textId="77777777" w:rsidR="00DE2957" w:rsidRPr="00CB3D47" w:rsidRDefault="00DE2957" w:rsidP="00DE2957">
            <w:pPr>
              <w:pStyle w:val="NormalWeb"/>
              <w:spacing w:before="0" w:beforeAutospacing="0" w:after="0" w:afterAutospacing="0"/>
              <w:jc w:val="center"/>
              <w:rPr>
                <w:sz w:val="22"/>
                <w:szCs w:val="22"/>
              </w:rPr>
            </w:pPr>
            <w:r w:rsidRPr="00CB3D47">
              <w:rPr>
                <w:bCs/>
                <w:kern w:val="24"/>
                <w:sz w:val="22"/>
                <w:szCs w:val="22"/>
                <w:lang w:val="en-US"/>
              </w:rPr>
              <w:t>1994</w:t>
            </w:r>
          </w:p>
        </w:tc>
        <w:tc>
          <w:tcPr>
            <w:tcW w:w="709" w:type="dxa"/>
            <w:tcBorders>
              <w:top w:val="single" w:sz="12" w:space="0" w:color="000000"/>
              <w:left w:val="nil"/>
              <w:bottom w:val="nil"/>
              <w:right w:val="nil"/>
            </w:tcBorders>
          </w:tcPr>
          <w:p w14:paraId="59264E2A" w14:textId="77777777" w:rsidR="00DE2957" w:rsidRPr="00CB3D47" w:rsidRDefault="00DE2957" w:rsidP="00DE2957">
            <w:pPr>
              <w:pStyle w:val="NormalWeb"/>
              <w:spacing w:before="0" w:beforeAutospacing="0" w:after="0" w:afterAutospacing="0"/>
              <w:jc w:val="center"/>
              <w:rPr>
                <w:kern w:val="24"/>
                <w:sz w:val="22"/>
                <w:szCs w:val="22"/>
                <w:lang w:val="en-US"/>
              </w:rPr>
            </w:pPr>
            <w:r w:rsidRPr="00CB3D47">
              <w:rPr>
                <w:kern w:val="24"/>
                <w:sz w:val="22"/>
                <w:szCs w:val="22"/>
                <w:lang w:val="en-US"/>
              </w:rPr>
              <w:t>0</w:t>
            </w:r>
          </w:p>
        </w:tc>
        <w:tc>
          <w:tcPr>
            <w:tcW w:w="1134" w:type="dxa"/>
            <w:tcBorders>
              <w:top w:val="single" w:sz="12" w:space="0" w:color="000000"/>
              <w:left w:val="nil"/>
              <w:bottom w:val="nil"/>
              <w:right w:val="nil"/>
            </w:tcBorders>
            <w:hideMark/>
          </w:tcPr>
          <w:p w14:paraId="2D919852" w14:textId="77777777" w:rsidR="00DE2957" w:rsidRPr="00CB3D47" w:rsidRDefault="00BF620E" w:rsidP="00BF620E">
            <w:pPr>
              <w:pStyle w:val="NormalWeb"/>
              <w:spacing w:before="0" w:beforeAutospacing="0" w:after="0" w:afterAutospacing="0"/>
              <w:jc w:val="center"/>
              <w:rPr>
                <w:sz w:val="22"/>
                <w:szCs w:val="22"/>
              </w:rPr>
            </w:pPr>
            <w:r w:rsidRPr="00CB3D47">
              <w:rPr>
                <w:kern w:val="24"/>
                <w:sz w:val="22"/>
                <w:szCs w:val="22"/>
                <w:lang w:val="en-US"/>
              </w:rPr>
              <w:t>x</w:t>
            </w:r>
          </w:p>
        </w:tc>
        <w:tc>
          <w:tcPr>
            <w:tcW w:w="850" w:type="dxa"/>
            <w:tcBorders>
              <w:top w:val="single" w:sz="12" w:space="0" w:color="000000"/>
              <w:left w:val="nil"/>
              <w:bottom w:val="nil"/>
              <w:right w:val="nil"/>
            </w:tcBorders>
            <w:hideMark/>
          </w:tcPr>
          <w:p w14:paraId="458D4D51"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2</w:t>
            </w:r>
          </w:p>
        </w:tc>
        <w:tc>
          <w:tcPr>
            <w:tcW w:w="851" w:type="dxa"/>
            <w:tcBorders>
              <w:top w:val="single" w:sz="12" w:space="0" w:color="000000"/>
              <w:left w:val="nil"/>
              <w:bottom w:val="nil"/>
              <w:right w:val="nil"/>
            </w:tcBorders>
            <w:hideMark/>
          </w:tcPr>
          <w:p w14:paraId="58DBF9DC"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single" w:sz="12" w:space="0" w:color="000000"/>
              <w:left w:val="nil"/>
              <w:bottom w:val="nil"/>
              <w:right w:val="nil"/>
            </w:tcBorders>
            <w:hideMark/>
          </w:tcPr>
          <w:p w14:paraId="0A0D5A2C"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1" w:type="dxa"/>
            <w:tcBorders>
              <w:top w:val="single" w:sz="12" w:space="0" w:color="000000"/>
              <w:left w:val="nil"/>
              <w:bottom w:val="nil"/>
              <w:right w:val="nil"/>
            </w:tcBorders>
            <w:hideMark/>
          </w:tcPr>
          <w:p w14:paraId="3D48F704"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single" w:sz="12" w:space="0" w:color="000000"/>
              <w:left w:val="nil"/>
              <w:bottom w:val="nil"/>
              <w:right w:val="nil"/>
            </w:tcBorders>
            <w:hideMark/>
          </w:tcPr>
          <w:p w14:paraId="333934AA"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993" w:type="dxa"/>
            <w:tcBorders>
              <w:top w:val="single" w:sz="12" w:space="0" w:color="000000"/>
              <w:left w:val="nil"/>
              <w:bottom w:val="nil"/>
              <w:right w:val="nil"/>
            </w:tcBorders>
            <w:hideMark/>
          </w:tcPr>
          <w:p w14:paraId="34A619ED"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single" w:sz="12" w:space="0" w:color="000000"/>
              <w:left w:val="nil"/>
              <w:bottom w:val="nil"/>
              <w:right w:val="nil"/>
            </w:tcBorders>
            <w:hideMark/>
          </w:tcPr>
          <w:p w14:paraId="633D6D77"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1" w:type="dxa"/>
            <w:tcBorders>
              <w:top w:val="single" w:sz="12" w:space="0" w:color="000000"/>
              <w:left w:val="nil"/>
              <w:bottom w:val="nil"/>
              <w:right w:val="nil"/>
            </w:tcBorders>
            <w:hideMark/>
          </w:tcPr>
          <w:p w14:paraId="469D5C4D"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single" w:sz="12" w:space="0" w:color="000000"/>
              <w:left w:val="nil"/>
              <w:bottom w:val="nil"/>
              <w:right w:val="nil"/>
            </w:tcBorders>
            <w:hideMark/>
          </w:tcPr>
          <w:p w14:paraId="1DEAC94C"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r>
      <w:tr w:rsidR="00DE2957" w:rsidRPr="00CB3D47" w14:paraId="33EBCCB1" w14:textId="77777777" w:rsidTr="00253DE9">
        <w:trPr>
          <w:trHeight w:hRule="exact" w:val="340"/>
        </w:trPr>
        <w:tc>
          <w:tcPr>
            <w:tcW w:w="817" w:type="dxa"/>
            <w:tcBorders>
              <w:top w:val="nil"/>
              <w:left w:val="nil"/>
              <w:bottom w:val="nil"/>
              <w:right w:val="nil"/>
            </w:tcBorders>
            <w:hideMark/>
          </w:tcPr>
          <w:p w14:paraId="50E04AB3" w14:textId="77777777" w:rsidR="00DE2957" w:rsidRPr="00CB3D47" w:rsidRDefault="00DE2957" w:rsidP="00DE2957">
            <w:pPr>
              <w:pStyle w:val="NormalWeb"/>
              <w:spacing w:before="0" w:beforeAutospacing="0" w:after="0" w:afterAutospacing="0"/>
              <w:jc w:val="center"/>
              <w:rPr>
                <w:sz w:val="22"/>
                <w:szCs w:val="22"/>
              </w:rPr>
            </w:pPr>
            <w:r w:rsidRPr="00CB3D47">
              <w:rPr>
                <w:bCs/>
                <w:kern w:val="24"/>
                <w:sz w:val="22"/>
                <w:szCs w:val="22"/>
                <w:lang w:val="en-US"/>
              </w:rPr>
              <w:t>1996</w:t>
            </w:r>
          </w:p>
        </w:tc>
        <w:tc>
          <w:tcPr>
            <w:tcW w:w="709" w:type="dxa"/>
            <w:tcBorders>
              <w:top w:val="nil"/>
              <w:left w:val="nil"/>
              <w:bottom w:val="nil"/>
              <w:right w:val="nil"/>
            </w:tcBorders>
          </w:tcPr>
          <w:p w14:paraId="479E8906" w14:textId="77777777" w:rsidR="00DE2957" w:rsidRPr="00CB3D47" w:rsidRDefault="00DE2957" w:rsidP="00DE2957">
            <w:pPr>
              <w:pStyle w:val="NormalWeb"/>
              <w:spacing w:before="0" w:beforeAutospacing="0" w:after="0" w:afterAutospacing="0"/>
              <w:jc w:val="center"/>
              <w:rPr>
                <w:kern w:val="24"/>
                <w:sz w:val="22"/>
                <w:szCs w:val="22"/>
                <w:lang w:val="en-US"/>
              </w:rPr>
            </w:pPr>
            <w:r w:rsidRPr="00CB3D47">
              <w:rPr>
                <w:kern w:val="24"/>
                <w:sz w:val="22"/>
                <w:szCs w:val="22"/>
                <w:lang w:val="en-US"/>
              </w:rPr>
              <w:t>2</w:t>
            </w:r>
          </w:p>
        </w:tc>
        <w:tc>
          <w:tcPr>
            <w:tcW w:w="1134" w:type="dxa"/>
            <w:tcBorders>
              <w:top w:val="nil"/>
              <w:left w:val="nil"/>
              <w:bottom w:val="nil"/>
              <w:right w:val="nil"/>
            </w:tcBorders>
            <w:hideMark/>
          </w:tcPr>
          <w:p w14:paraId="27FB7669"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x</w:t>
            </w:r>
          </w:p>
        </w:tc>
        <w:tc>
          <w:tcPr>
            <w:tcW w:w="850" w:type="dxa"/>
            <w:tcBorders>
              <w:top w:val="nil"/>
              <w:left w:val="nil"/>
              <w:bottom w:val="nil"/>
              <w:right w:val="nil"/>
            </w:tcBorders>
            <w:hideMark/>
          </w:tcPr>
          <w:p w14:paraId="74FA5BB4"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2</w:t>
            </w:r>
          </w:p>
        </w:tc>
        <w:tc>
          <w:tcPr>
            <w:tcW w:w="851" w:type="dxa"/>
            <w:tcBorders>
              <w:top w:val="nil"/>
              <w:left w:val="nil"/>
              <w:bottom w:val="nil"/>
              <w:right w:val="nil"/>
            </w:tcBorders>
            <w:hideMark/>
          </w:tcPr>
          <w:p w14:paraId="439D061F"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nil"/>
              <w:left w:val="nil"/>
              <w:bottom w:val="nil"/>
              <w:right w:val="nil"/>
            </w:tcBorders>
            <w:hideMark/>
          </w:tcPr>
          <w:p w14:paraId="7A00A528"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2</w:t>
            </w:r>
          </w:p>
        </w:tc>
        <w:tc>
          <w:tcPr>
            <w:tcW w:w="851" w:type="dxa"/>
            <w:tcBorders>
              <w:top w:val="nil"/>
              <w:left w:val="nil"/>
              <w:bottom w:val="nil"/>
              <w:right w:val="nil"/>
            </w:tcBorders>
            <w:hideMark/>
          </w:tcPr>
          <w:p w14:paraId="05CCDDD4"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nil"/>
              <w:left w:val="nil"/>
              <w:bottom w:val="nil"/>
              <w:right w:val="nil"/>
            </w:tcBorders>
            <w:hideMark/>
          </w:tcPr>
          <w:p w14:paraId="1F66CFE1"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993" w:type="dxa"/>
            <w:tcBorders>
              <w:top w:val="nil"/>
              <w:left w:val="nil"/>
              <w:bottom w:val="nil"/>
              <w:right w:val="nil"/>
            </w:tcBorders>
            <w:hideMark/>
          </w:tcPr>
          <w:p w14:paraId="4641B79D"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nil"/>
              <w:left w:val="nil"/>
              <w:bottom w:val="nil"/>
              <w:right w:val="nil"/>
            </w:tcBorders>
            <w:hideMark/>
          </w:tcPr>
          <w:p w14:paraId="622DE9CF"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2/2</w:t>
            </w:r>
          </w:p>
        </w:tc>
        <w:tc>
          <w:tcPr>
            <w:tcW w:w="851" w:type="dxa"/>
            <w:tcBorders>
              <w:top w:val="nil"/>
              <w:left w:val="nil"/>
              <w:bottom w:val="nil"/>
              <w:right w:val="nil"/>
            </w:tcBorders>
            <w:hideMark/>
          </w:tcPr>
          <w:p w14:paraId="166F99FF"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nil"/>
              <w:left w:val="nil"/>
              <w:bottom w:val="nil"/>
              <w:right w:val="nil"/>
            </w:tcBorders>
            <w:hideMark/>
          </w:tcPr>
          <w:p w14:paraId="52737F69"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r>
      <w:tr w:rsidR="00DE2957" w:rsidRPr="00CB3D47" w14:paraId="22330EFE" w14:textId="77777777" w:rsidTr="00253DE9">
        <w:trPr>
          <w:trHeight w:hRule="exact" w:val="340"/>
        </w:trPr>
        <w:tc>
          <w:tcPr>
            <w:tcW w:w="817" w:type="dxa"/>
            <w:tcBorders>
              <w:top w:val="nil"/>
              <w:left w:val="nil"/>
              <w:bottom w:val="nil"/>
              <w:right w:val="nil"/>
            </w:tcBorders>
            <w:hideMark/>
          </w:tcPr>
          <w:p w14:paraId="78186B34" w14:textId="77777777" w:rsidR="00DE2957" w:rsidRPr="00CB3D47" w:rsidRDefault="00DE2957" w:rsidP="00DE2957">
            <w:pPr>
              <w:pStyle w:val="NormalWeb"/>
              <w:spacing w:before="0" w:beforeAutospacing="0" w:after="0" w:afterAutospacing="0"/>
              <w:jc w:val="center"/>
              <w:rPr>
                <w:sz w:val="22"/>
                <w:szCs w:val="22"/>
              </w:rPr>
            </w:pPr>
            <w:r w:rsidRPr="00CB3D47">
              <w:rPr>
                <w:bCs/>
                <w:kern w:val="24"/>
                <w:sz w:val="22"/>
                <w:szCs w:val="22"/>
                <w:lang w:val="en-US"/>
              </w:rPr>
              <w:t>1998</w:t>
            </w:r>
          </w:p>
        </w:tc>
        <w:tc>
          <w:tcPr>
            <w:tcW w:w="709" w:type="dxa"/>
            <w:tcBorders>
              <w:top w:val="nil"/>
              <w:left w:val="nil"/>
              <w:bottom w:val="nil"/>
              <w:right w:val="nil"/>
            </w:tcBorders>
          </w:tcPr>
          <w:p w14:paraId="5BD59FFA" w14:textId="77777777" w:rsidR="00DE2957" w:rsidRPr="00CB3D47" w:rsidRDefault="00DE2957" w:rsidP="00DE2957">
            <w:pPr>
              <w:pStyle w:val="NormalWeb"/>
              <w:spacing w:before="0" w:beforeAutospacing="0" w:after="0" w:afterAutospacing="0"/>
              <w:jc w:val="center"/>
              <w:rPr>
                <w:kern w:val="24"/>
                <w:sz w:val="22"/>
                <w:szCs w:val="22"/>
                <w:lang w:val="en-US"/>
              </w:rPr>
            </w:pPr>
            <w:r w:rsidRPr="00CB3D47">
              <w:rPr>
                <w:kern w:val="24"/>
                <w:sz w:val="22"/>
                <w:szCs w:val="22"/>
                <w:lang w:val="en-US"/>
              </w:rPr>
              <w:t>4</w:t>
            </w:r>
          </w:p>
        </w:tc>
        <w:tc>
          <w:tcPr>
            <w:tcW w:w="1134" w:type="dxa"/>
            <w:tcBorders>
              <w:top w:val="nil"/>
              <w:left w:val="nil"/>
              <w:bottom w:val="nil"/>
              <w:right w:val="nil"/>
            </w:tcBorders>
            <w:hideMark/>
          </w:tcPr>
          <w:p w14:paraId="2D671DDA"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x</w:t>
            </w:r>
          </w:p>
        </w:tc>
        <w:tc>
          <w:tcPr>
            <w:tcW w:w="850" w:type="dxa"/>
            <w:tcBorders>
              <w:top w:val="nil"/>
              <w:left w:val="nil"/>
              <w:bottom w:val="nil"/>
              <w:right w:val="nil"/>
            </w:tcBorders>
            <w:hideMark/>
          </w:tcPr>
          <w:p w14:paraId="67F0FA7A"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2</w:t>
            </w:r>
          </w:p>
        </w:tc>
        <w:tc>
          <w:tcPr>
            <w:tcW w:w="851" w:type="dxa"/>
            <w:tcBorders>
              <w:top w:val="nil"/>
              <w:left w:val="nil"/>
              <w:bottom w:val="nil"/>
              <w:right w:val="nil"/>
            </w:tcBorders>
            <w:hideMark/>
          </w:tcPr>
          <w:p w14:paraId="22C602B3"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nil"/>
              <w:left w:val="nil"/>
              <w:bottom w:val="nil"/>
              <w:right w:val="nil"/>
            </w:tcBorders>
            <w:hideMark/>
          </w:tcPr>
          <w:p w14:paraId="2162417B"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4</w:t>
            </w:r>
          </w:p>
        </w:tc>
        <w:tc>
          <w:tcPr>
            <w:tcW w:w="851" w:type="dxa"/>
            <w:tcBorders>
              <w:top w:val="nil"/>
              <w:left w:val="nil"/>
              <w:bottom w:val="nil"/>
              <w:right w:val="nil"/>
            </w:tcBorders>
            <w:hideMark/>
          </w:tcPr>
          <w:p w14:paraId="5176C4DA"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nil"/>
              <w:left w:val="nil"/>
              <w:bottom w:val="nil"/>
              <w:right w:val="nil"/>
            </w:tcBorders>
            <w:hideMark/>
          </w:tcPr>
          <w:p w14:paraId="546ACFBD"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993" w:type="dxa"/>
            <w:tcBorders>
              <w:top w:val="nil"/>
              <w:left w:val="nil"/>
              <w:bottom w:val="nil"/>
              <w:right w:val="nil"/>
            </w:tcBorders>
            <w:hideMark/>
          </w:tcPr>
          <w:p w14:paraId="20B058C2"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nil"/>
              <w:left w:val="nil"/>
              <w:bottom w:val="nil"/>
              <w:right w:val="nil"/>
            </w:tcBorders>
            <w:hideMark/>
          </w:tcPr>
          <w:p w14:paraId="2849CED0"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4/4</w:t>
            </w:r>
          </w:p>
        </w:tc>
        <w:tc>
          <w:tcPr>
            <w:tcW w:w="851" w:type="dxa"/>
            <w:tcBorders>
              <w:top w:val="nil"/>
              <w:left w:val="nil"/>
              <w:bottom w:val="nil"/>
              <w:right w:val="nil"/>
            </w:tcBorders>
            <w:hideMark/>
          </w:tcPr>
          <w:p w14:paraId="328FCE37"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nil"/>
              <w:left w:val="nil"/>
              <w:bottom w:val="nil"/>
              <w:right w:val="nil"/>
            </w:tcBorders>
            <w:hideMark/>
          </w:tcPr>
          <w:p w14:paraId="51E6E6DA"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r>
      <w:tr w:rsidR="00DE2957" w:rsidRPr="00CB3D47" w14:paraId="279291FD" w14:textId="77777777" w:rsidTr="00253DE9">
        <w:trPr>
          <w:trHeight w:hRule="exact" w:val="340"/>
        </w:trPr>
        <w:tc>
          <w:tcPr>
            <w:tcW w:w="817" w:type="dxa"/>
            <w:tcBorders>
              <w:top w:val="nil"/>
              <w:left w:val="nil"/>
              <w:bottom w:val="nil"/>
              <w:right w:val="nil"/>
            </w:tcBorders>
            <w:hideMark/>
          </w:tcPr>
          <w:p w14:paraId="1BD2D8ED" w14:textId="77777777" w:rsidR="00DE2957" w:rsidRPr="00CB3D47" w:rsidRDefault="00DE2957" w:rsidP="00DE2957">
            <w:pPr>
              <w:pStyle w:val="NormalWeb"/>
              <w:spacing w:before="0" w:beforeAutospacing="0" w:after="0" w:afterAutospacing="0"/>
              <w:jc w:val="center"/>
              <w:rPr>
                <w:sz w:val="22"/>
                <w:szCs w:val="22"/>
              </w:rPr>
            </w:pPr>
            <w:r w:rsidRPr="00CB3D47">
              <w:rPr>
                <w:bCs/>
                <w:kern w:val="24"/>
                <w:sz w:val="22"/>
                <w:szCs w:val="22"/>
                <w:lang w:val="en-US"/>
              </w:rPr>
              <w:t>2000</w:t>
            </w:r>
          </w:p>
        </w:tc>
        <w:tc>
          <w:tcPr>
            <w:tcW w:w="709" w:type="dxa"/>
            <w:tcBorders>
              <w:top w:val="nil"/>
              <w:left w:val="nil"/>
              <w:bottom w:val="nil"/>
              <w:right w:val="nil"/>
            </w:tcBorders>
          </w:tcPr>
          <w:p w14:paraId="02D8CDD9" w14:textId="77777777" w:rsidR="00DE2957" w:rsidRPr="00CB3D47" w:rsidRDefault="00DE2957" w:rsidP="00DE2957">
            <w:pPr>
              <w:pStyle w:val="NormalWeb"/>
              <w:spacing w:before="0" w:beforeAutospacing="0" w:after="0" w:afterAutospacing="0"/>
              <w:jc w:val="center"/>
              <w:rPr>
                <w:kern w:val="24"/>
                <w:sz w:val="22"/>
                <w:szCs w:val="22"/>
                <w:lang w:val="en-US"/>
              </w:rPr>
            </w:pPr>
            <w:r w:rsidRPr="00CB3D47">
              <w:rPr>
                <w:kern w:val="24"/>
                <w:sz w:val="22"/>
                <w:szCs w:val="22"/>
                <w:lang w:val="en-US"/>
              </w:rPr>
              <w:t>6</w:t>
            </w:r>
          </w:p>
        </w:tc>
        <w:tc>
          <w:tcPr>
            <w:tcW w:w="1134" w:type="dxa"/>
            <w:tcBorders>
              <w:top w:val="nil"/>
              <w:left w:val="nil"/>
              <w:bottom w:val="nil"/>
              <w:right w:val="nil"/>
            </w:tcBorders>
            <w:hideMark/>
          </w:tcPr>
          <w:p w14:paraId="525DB7D3"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x</w:t>
            </w:r>
          </w:p>
        </w:tc>
        <w:tc>
          <w:tcPr>
            <w:tcW w:w="850" w:type="dxa"/>
            <w:tcBorders>
              <w:top w:val="nil"/>
              <w:left w:val="nil"/>
              <w:bottom w:val="nil"/>
              <w:right w:val="nil"/>
            </w:tcBorders>
            <w:hideMark/>
          </w:tcPr>
          <w:p w14:paraId="70620A1F"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4</w:t>
            </w:r>
          </w:p>
        </w:tc>
        <w:tc>
          <w:tcPr>
            <w:tcW w:w="851" w:type="dxa"/>
            <w:tcBorders>
              <w:top w:val="nil"/>
              <w:left w:val="nil"/>
              <w:bottom w:val="nil"/>
              <w:right w:val="nil"/>
            </w:tcBorders>
            <w:hideMark/>
          </w:tcPr>
          <w:p w14:paraId="7C2B2A63"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nil"/>
              <w:left w:val="nil"/>
              <w:bottom w:val="nil"/>
              <w:right w:val="nil"/>
            </w:tcBorders>
            <w:hideMark/>
          </w:tcPr>
          <w:p w14:paraId="1F062428"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6</w:t>
            </w:r>
          </w:p>
        </w:tc>
        <w:tc>
          <w:tcPr>
            <w:tcW w:w="851" w:type="dxa"/>
            <w:tcBorders>
              <w:top w:val="nil"/>
              <w:left w:val="nil"/>
              <w:bottom w:val="nil"/>
              <w:right w:val="nil"/>
            </w:tcBorders>
            <w:hideMark/>
          </w:tcPr>
          <w:p w14:paraId="49A5E6AD"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nil"/>
              <w:left w:val="nil"/>
              <w:bottom w:val="nil"/>
              <w:right w:val="nil"/>
            </w:tcBorders>
            <w:hideMark/>
          </w:tcPr>
          <w:p w14:paraId="7C8F5402"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993" w:type="dxa"/>
            <w:tcBorders>
              <w:top w:val="nil"/>
              <w:left w:val="nil"/>
              <w:bottom w:val="nil"/>
              <w:right w:val="nil"/>
            </w:tcBorders>
            <w:hideMark/>
          </w:tcPr>
          <w:p w14:paraId="2196D6C7"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nil"/>
              <w:left w:val="nil"/>
              <w:bottom w:val="nil"/>
              <w:right w:val="nil"/>
            </w:tcBorders>
            <w:hideMark/>
          </w:tcPr>
          <w:p w14:paraId="32BA421F"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6/6</w:t>
            </w:r>
          </w:p>
        </w:tc>
        <w:tc>
          <w:tcPr>
            <w:tcW w:w="851" w:type="dxa"/>
            <w:tcBorders>
              <w:top w:val="nil"/>
              <w:left w:val="nil"/>
              <w:bottom w:val="nil"/>
              <w:right w:val="nil"/>
            </w:tcBorders>
            <w:hideMark/>
          </w:tcPr>
          <w:p w14:paraId="2E877116"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nil"/>
              <w:left w:val="nil"/>
              <w:bottom w:val="nil"/>
              <w:right w:val="nil"/>
            </w:tcBorders>
            <w:hideMark/>
          </w:tcPr>
          <w:p w14:paraId="1D0A19F5"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r>
      <w:tr w:rsidR="00DE2957" w:rsidRPr="00CB3D47" w14:paraId="36F4373F" w14:textId="77777777" w:rsidTr="00253DE9">
        <w:trPr>
          <w:trHeight w:hRule="exact" w:val="340"/>
        </w:trPr>
        <w:tc>
          <w:tcPr>
            <w:tcW w:w="817" w:type="dxa"/>
            <w:tcBorders>
              <w:top w:val="nil"/>
              <w:left w:val="nil"/>
              <w:bottom w:val="nil"/>
              <w:right w:val="nil"/>
            </w:tcBorders>
            <w:hideMark/>
          </w:tcPr>
          <w:p w14:paraId="3CF7636A" w14:textId="77777777" w:rsidR="00DE2957" w:rsidRPr="00CB3D47" w:rsidRDefault="00DE2957" w:rsidP="00DE2957">
            <w:pPr>
              <w:pStyle w:val="NormalWeb"/>
              <w:spacing w:before="0" w:beforeAutospacing="0" w:after="0" w:afterAutospacing="0"/>
              <w:jc w:val="center"/>
              <w:rPr>
                <w:sz w:val="22"/>
                <w:szCs w:val="22"/>
              </w:rPr>
            </w:pPr>
            <w:r w:rsidRPr="00CB3D47">
              <w:rPr>
                <w:bCs/>
                <w:kern w:val="24"/>
                <w:sz w:val="22"/>
                <w:szCs w:val="22"/>
                <w:lang w:val="en-US"/>
              </w:rPr>
              <w:t>2002</w:t>
            </w:r>
          </w:p>
        </w:tc>
        <w:tc>
          <w:tcPr>
            <w:tcW w:w="709" w:type="dxa"/>
            <w:tcBorders>
              <w:top w:val="nil"/>
              <w:left w:val="nil"/>
              <w:bottom w:val="nil"/>
              <w:right w:val="nil"/>
            </w:tcBorders>
          </w:tcPr>
          <w:p w14:paraId="79AD9E70" w14:textId="77777777" w:rsidR="00DE2957" w:rsidRPr="00CB3D47" w:rsidRDefault="00DE2957" w:rsidP="00DE2957">
            <w:pPr>
              <w:pStyle w:val="NormalWeb"/>
              <w:spacing w:before="0" w:beforeAutospacing="0" w:after="0" w:afterAutospacing="0"/>
              <w:jc w:val="center"/>
              <w:rPr>
                <w:kern w:val="24"/>
                <w:sz w:val="22"/>
                <w:szCs w:val="22"/>
                <w:lang w:val="en-US"/>
              </w:rPr>
            </w:pPr>
            <w:r w:rsidRPr="00CB3D47">
              <w:rPr>
                <w:kern w:val="24"/>
                <w:sz w:val="22"/>
                <w:szCs w:val="22"/>
                <w:lang w:val="en-US"/>
              </w:rPr>
              <w:t>8</w:t>
            </w:r>
          </w:p>
        </w:tc>
        <w:tc>
          <w:tcPr>
            <w:tcW w:w="1134" w:type="dxa"/>
            <w:tcBorders>
              <w:top w:val="nil"/>
              <w:left w:val="nil"/>
              <w:bottom w:val="nil"/>
              <w:right w:val="nil"/>
            </w:tcBorders>
            <w:hideMark/>
          </w:tcPr>
          <w:p w14:paraId="14A43317"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x</w:t>
            </w:r>
          </w:p>
        </w:tc>
        <w:tc>
          <w:tcPr>
            <w:tcW w:w="850" w:type="dxa"/>
            <w:tcBorders>
              <w:top w:val="nil"/>
              <w:left w:val="nil"/>
              <w:bottom w:val="nil"/>
              <w:right w:val="nil"/>
            </w:tcBorders>
            <w:hideMark/>
          </w:tcPr>
          <w:p w14:paraId="7A48AB54"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4</w:t>
            </w:r>
          </w:p>
        </w:tc>
        <w:tc>
          <w:tcPr>
            <w:tcW w:w="851" w:type="dxa"/>
            <w:tcBorders>
              <w:top w:val="nil"/>
              <w:left w:val="nil"/>
              <w:bottom w:val="nil"/>
              <w:right w:val="nil"/>
            </w:tcBorders>
            <w:hideMark/>
          </w:tcPr>
          <w:p w14:paraId="50E1BBA3"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nil"/>
              <w:left w:val="nil"/>
              <w:bottom w:val="nil"/>
              <w:right w:val="nil"/>
            </w:tcBorders>
            <w:hideMark/>
          </w:tcPr>
          <w:p w14:paraId="7EE83B4C"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6</w:t>
            </w:r>
          </w:p>
        </w:tc>
        <w:tc>
          <w:tcPr>
            <w:tcW w:w="851" w:type="dxa"/>
            <w:tcBorders>
              <w:top w:val="nil"/>
              <w:left w:val="nil"/>
              <w:bottom w:val="nil"/>
              <w:right w:val="nil"/>
            </w:tcBorders>
            <w:hideMark/>
          </w:tcPr>
          <w:p w14:paraId="2E37BFB5"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nil"/>
              <w:left w:val="nil"/>
              <w:bottom w:val="nil"/>
              <w:right w:val="nil"/>
            </w:tcBorders>
            <w:hideMark/>
          </w:tcPr>
          <w:p w14:paraId="2BC24837"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2</w:t>
            </w:r>
          </w:p>
        </w:tc>
        <w:tc>
          <w:tcPr>
            <w:tcW w:w="993" w:type="dxa"/>
            <w:tcBorders>
              <w:top w:val="nil"/>
              <w:left w:val="nil"/>
              <w:bottom w:val="nil"/>
              <w:right w:val="nil"/>
            </w:tcBorders>
            <w:hideMark/>
          </w:tcPr>
          <w:p w14:paraId="57592811"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nil"/>
              <w:left w:val="nil"/>
              <w:bottom w:val="nil"/>
              <w:right w:val="nil"/>
            </w:tcBorders>
            <w:hideMark/>
          </w:tcPr>
          <w:p w14:paraId="1262F5F6"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6/8</w:t>
            </w:r>
          </w:p>
        </w:tc>
        <w:tc>
          <w:tcPr>
            <w:tcW w:w="851" w:type="dxa"/>
            <w:tcBorders>
              <w:top w:val="nil"/>
              <w:left w:val="nil"/>
              <w:bottom w:val="nil"/>
              <w:right w:val="nil"/>
            </w:tcBorders>
            <w:hideMark/>
          </w:tcPr>
          <w:p w14:paraId="7982936A"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nil"/>
              <w:left w:val="nil"/>
              <w:bottom w:val="nil"/>
              <w:right w:val="nil"/>
            </w:tcBorders>
            <w:hideMark/>
          </w:tcPr>
          <w:p w14:paraId="215E3A6D"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2/8</w:t>
            </w:r>
          </w:p>
        </w:tc>
      </w:tr>
      <w:tr w:rsidR="00DE2957" w:rsidRPr="00CB3D47" w14:paraId="741EDE54" w14:textId="77777777" w:rsidTr="00253DE9">
        <w:trPr>
          <w:trHeight w:hRule="exact" w:val="340"/>
        </w:trPr>
        <w:tc>
          <w:tcPr>
            <w:tcW w:w="817" w:type="dxa"/>
            <w:tcBorders>
              <w:top w:val="nil"/>
              <w:left w:val="nil"/>
              <w:bottom w:val="nil"/>
              <w:right w:val="nil"/>
            </w:tcBorders>
            <w:hideMark/>
          </w:tcPr>
          <w:p w14:paraId="51F848F2" w14:textId="77777777" w:rsidR="00DE2957" w:rsidRPr="00CB3D47" w:rsidRDefault="00DE2957" w:rsidP="00DE2957">
            <w:pPr>
              <w:pStyle w:val="NormalWeb"/>
              <w:spacing w:before="0" w:beforeAutospacing="0" w:after="0" w:afterAutospacing="0"/>
              <w:jc w:val="center"/>
              <w:rPr>
                <w:sz w:val="22"/>
                <w:szCs w:val="22"/>
              </w:rPr>
            </w:pPr>
            <w:r w:rsidRPr="00CB3D47">
              <w:rPr>
                <w:bCs/>
                <w:kern w:val="24"/>
                <w:sz w:val="22"/>
                <w:szCs w:val="22"/>
                <w:lang w:val="en-US"/>
              </w:rPr>
              <w:t>2004</w:t>
            </w:r>
          </w:p>
        </w:tc>
        <w:tc>
          <w:tcPr>
            <w:tcW w:w="709" w:type="dxa"/>
            <w:tcBorders>
              <w:top w:val="nil"/>
              <w:left w:val="nil"/>
              <w:bottom w:val="nil"/>
              <w:right w:val="nil"/>
            </w:tcBorders>
          </w:tcPr>
          <w:p w14:paraId="3D135CAF" w14:textId="77777777" w:rsidR="00DE2957" w:rsidRPr="00CB3D47" w:rsidRDefault="00DE2957" w:rsidP="00DE2957">
            <w:pPr>
              <w:pStyle w:val="NormalWeb"/>
              <w:spacing w:before="0" w:beforeAutospacing="0" w:after="0" w:afterAutospacing="0"/>
              <w:jc w:val="center"/>
              <w:rPr>
                <w:kern w:val="24"/>
                <w:sz w:val="22"/>
                <w:szCs w:val="22"/>
                <w:lang w:val="en-US"/>
              </w:rPr>
            </w:pPr>
            <w:r w:rsidRPr="00CB3D47">
              <w:rPr>
                <w:kern w:val="24"/>
                <w:sz w:val="22"/>
                <w:szCs w:val="22"/>
                <w:lang w:val="en-US"/>
              </w:rPr>
              <w:t>10</w:t>
            </w:r>
          </w:p>
        </w:tc>
        <w:tc>
          <w:tcPr>
            <w:tcW w:w="1134" w:type="dxa"/>
            <w:tcBorders>
              <w:top w:val="nil"/>
              <w:left w:val="nil"/>
              <w:bottom w:val="nil"/>
              <w:right w:val="nil"/>
            </w:tcBorders>
            <w:hideMark/>
          </w:tcPr>
          <w:p w14:paraId="2AD76737"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x</w:t>
            </w:r>
          </w:p>
        </w:tc>
        <w:tc>
          <w:tcPr>
            <w:tcW w:w="850" w:type="dxa"/>
            <w:tcBorders>
              <w:top w:val="nil"/>
              <w:left w:val="nil"/>
              <w:bottom w:val="nil"/>
              <w:right w:val="nil"/>
            </w:tcBorders>
            <w:hideMark/>
          </w:tcPr>
          <w:p w14:paraId="249F60F4"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4</w:t>
            </w:r>
          </w:p>
        </w:tc>
        <w:tc>
          <w:tcPr>
            <w:tcW w:w="851" w:type="dxa"/>
            <w:tcBorders>
              <w:top w:val="nil"/>
              <w:left w:val="nil"/>
              <w:bottom w:val="nil"/>
              <w:right w:val="nil"/>
            </w:tcBorders>
            <w:hideMark/>
          </w:tcPr>
          <w:p w14:paraId="11573E6B"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nil"/>
              <w:left w:val="nil"/>
              <w:bottom w:val="nil"/>
              <w:right w:val="nil"/>
            </w:tcBorders>
            <w:hideMark/>
          </w:tcPr>
          <w:p w14:paraId="5B02572D"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6</w:t>
            </w:r>
          </w:p>
        </w:tc>
        <w:tc>
          <w:tcPr>
            <w:tcW w:w="851" w:type="dxa"/>
            <w:tcBorders>
              <w:top w:val="nil"/>
              <w:left w:val="nil"/>
              <w:bottom w:val="nil"/>
              <w:right w:val="nil"/>
            </w:tcBorders>
            <w:hideMark/>
          </w:tcPr>
          <w:p w14:paraId="03D73E0E"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nil"/>
              <w:left w:val="nil"/>
              <w:bottom w:val="nil"/>
              <w:right w:val="nil"/>
            </w:tcBorders>
            <w:hideMark/>
          </w:tcPr>
          <w:p w14:paraId="7374575B"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4</w:t>
            </w:r>
          </w:p>
        </w:tc>
        <w:tc>
          <w:tcPr>
            <w:tcW w:w="993" w:type="dxa"/>
            <w:tcBorders>
              <w:top w:val="nil"/>
              <w:left w:val="nil"/>
              <w:bottom w:val="nil"/>
              <w:right w:val="nil"/>
            </w:tcBorders>
            <w:hideMark/>
          </w:tcPr>
          <w:p w14:paraId="514827B5"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nil"/>
              <w:left w:val="nil"/>
              <w:bottom w:val="nil"/>
              <w:right w:val="nil"/>
            </w:tcBorders>
            <w:hideMark/>
          </w:tcPr>
          <w:p w14:paraId="582828F0"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6/10</w:t>
            </w:r>
          </w:p>
        </w:tc>
        <w:tc>
          <w:tcPr>
            <w:tcW w:w="851" w:type="dxa"/>
            <w:tcBorders>
              <w:top w:val="nil"/>
              <w:left w:val="nil"/>
              <w:bottom w:val="nil"/>
              <w:right w:val="nil"/>
            </w:tcBorders>
            <w:hideMark/>
          </w:tcPr>
          <w:p w14:paraId="17B76564"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nil"/>
              <w:left w:val="nil"/>
              <w:bottom w:val="nil"/>
              <w:right w:val="nil"/>
            </w:tcBorders>
            <w:hideMark/>
          </w:tcPr>
          <w:p w14:paraId="71B97DE0"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4/10</w:t>
            </w:r>
          </w:p>
        </w:tc>
      </w:tr>
      <w:tr w:rsidR="00DE2957" w:rsidRPr="00CB3D47" w14:paraId="7956BD2A" w14:textId="77777777" w:rsidTr="00253DE9">
        <w:trPr>
          <w:trHeight w:hRule="exact" w:val="340"/>
        </w:trPr>
        <w:tc>
          <w:tcPr>
            <w:tcW w:w="817" w:type="dxa"/>
            <w:tcBorders>
              <w:top w:val="nil"/>
              <w:left w:val="nil"/>
              <w:bottom w:val="single" w:sz="12" w:space="0" w:color="000000"/>
              <w:right w:val="nil"/>
            </w:tcBorders>
            <w:hideMark/>
          </w:tcPr>
          <w:p w14:paraId="5F442231" w14:textId="77777777" w:rsidR="00DE2957" w:rsidRPr="00CB3D47" w:rsidRDefault="00DE2957" w:rsidP="00DE2957">
            <w:pPr>
              <w:pStyle w:val="NormalWeb"/>
              <w:spacing w:before="0" w:beforeAutospacing="0" w:after="0" w:afterAutospacing="0"/>
              <w:jc w:val="center"/>
              <w:rPr>
                <w:sz w:val="22"/>
                <w:szCs w:val="22"/>
              </w:rPr>
            </w:pPr>
            <w:r w:rsidRPr="00CB3D47">
              <w:rPr>
                <w:sz w:val="22"/>
                <w:szCs w:val="22"/>
              </w:rPr>
              <w:t>2006</w:t>
            </w:r>
          </w:p>
        </w:tc>
        <w:tc>
          <w:tcPr>
            <w:tcW w:w="709" w:type="dxa"/>
            <w:tcBorders>
              <w:top w:val="nil"/>
              <w:left w:val="nil"/>
              <w:bottom w:val="single" w:sz="12" w:space="0" w:color="000000"/>
              <w:right w:val="nil"/>
            </w:tcBorders>
          </w:tcPr>
          <w:p w14:paraId="53E09E5F" w14:textId="77777777" w:rsidR="00DE2957" w:rsidRPr="00CB3D47" w:rsidRDefault="00DE2957" w:rsidP="00DE2957">
            <w:pPr>
              <w:pStyle w:val="NormalWeb"/>
              <w:spacing w:before="0" w:beforeAutospacing="0" w:after="0" w:afterAutospacing="0"/>
              <w:jc w:val="center"/>
              <w:rPr>
                <w:kern w:val="24"/>
                <w:sz w:val="22"/>
                <w:szCs w:val="22"/>
                <w:lang w:val="en-US"/>
              </w:rPr>
            </w:pPr>
            <w:r w:rsidRPr="00CB3D47">
              <w:rPr>
                <w:kern w:val="24"/>
                <w:sz w:val="22"/>
                <w:szCs w:val="22"/>
                <w:lang w:val="en-US"/>
              </w:rPr>
              <w:t>12</w:t>
            </w:r>
          </w:p>
        </w:tc>
        <w:tc>
          <w:tcPr>
            <w:tcW w:w="1134" w:type="dxa"/>
            <w:tcBorders>
              <w:top w:val="nil"/>
              <w:left w:val="nil"/>
              <w:bottom w:val="single" w:sz="12" w:space="0" w:color="000000"/>
              <w:right w:val="nil"/>
            </w:tcBorders>
            <w:hideMark/>
          </w:tcPr>
          <w:p w14:paraId="6B2883EB"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x</w:t>
            </w:r>
          </w:p>
        </w:tc>
        <w:tc>
          <w:tcPr>
            <w:tcW w:w="850" w:type="dxa"/>
            <w:tcBorders>
              <w:top w:val="nil"/>
              <w:left w:val="nil"/>
              <w:bottom w:val="single" w:sz="12" w:space="0" w:color="000000"/>
              <w:right w:val="nil"/>
            </w:tcBorders>
            <w:hideMark/>
          </w:tcPr>
          <w:p w14:paraId="0C59AD4F"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4</w:t>
            </w:r>
          </w:p>
        </w:tc>
        <w:tc>
          <w:tcPr>
            <w:tcW w:w="851" w:type="dxa"/>
            <w:tcBorders>
              <w:top w:val="nil"/>
              <w:left w:val="nil"/>
              <w:bottom w:val="single" w:sz="12" w:space="0" w:color="000000"/>
              <w:right w:val="nil"/>
            </w:tcBorders>
            <w:hideMark/>
          </w:tcPr>
          <w:p w14:paraId="675A6891"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nil"/>
              <w:left w:val="nil"/>
              <w:bottom w:val="single" w:sz="12" w:space="0" w:color="000000"/>
              <w:right w:val="nil"/>
            </w:tcBorders>
            <w:hideMark/>
          </w:tcPr>
          <w:p w14:paraId="126A7DB6"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6</w:t>
            </w:r>
          </w:p>
        </w:tc>
        <w:tc>
          <w:tcPr>
            <w:tcW w:w="851" w:type="dxa"/>
            <w:tcBorders>
              <w:top w:val="nil"/>
              <w:left w:val="nil"/>
              <w:bottom w:val="single" w:sz="12" w:space="0" w:color="000000"/>
              <w:right w:val="nil"/>
            </w:tcBorders>
            <w:hideMark/>
          </w:tcPr>
          <w:p w14:paraId="1A656C56"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nil"/>
              <w:left w:val="nil"/>
              <w:bottom w:val="single" w:sz="12" w:space="0" w:color="000000"/>
              <w:right w:val="nil"/>
            </w:tcBorders>
            <w:hideMark/>
          </w:tcPr>
          <w:p w14:paraId="3FF9E214"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6</w:t>
            </w:r>
          </w:p>
        </w:tc>
        <w:tc>
          <w:tcPr>
            <w:tcW w:w="993" w:type="dxa"/>
            <w:tcBorders>
              <w:top w:val="nil"/>
              <w:left w:val="nil"/>
              <w:bottom w:val="single" w:sz="12" w:space="0" w:color="000000"/>
              <w:right w:val="nil"/>
            </w:tcBorders>
            <w:hideMark/>
          </w:tcPr>
          <w:p w14:paraId="7062F400"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nil"/>
              <w:left w:val="nil"/>
              <w:bottom w:val="single" w:sz="12" w:space="0" w:color="000000"/>
              <w:right w:val="nil"/>
            </w:tcBorders>
            <w:hideMark/>
          </w:tcPr>
          <w:p w14:paraId="1F37A2EE"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6/12</w:t>
            </w:r>
          </w:p>
        </w:tc>
        <w:tc>
          <w:tcPr>
            <w:tcW w:w="851" w:type="dxa"/>
            <w:tcBorders>
              <w:top w:val="nil"/>
              <w:left w:val="nil"/>
              <w:bottom w:val="single" w:sz="12" w:space="0" w:color="000000"/>
              <w:right w:val="nil"/>
            </w:tcBorders>
            <w:hideMark/>
          </w:tcPr>
          <w:p w14:paraId="347252C3"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0</w:t>
            </w:r>
          </w:p>
        </w:tc>
        <w:tc>
          <w:tcPr>
            <w:tcW w:w="850" w:type="dxa"/>
            <w:tcBorders>
              <w:top w:val="nil"/>
              <w:left w:val="nil"/>
              <w:bottom w:val="single" w:sz="12" w:space="0" w:color="000000"/>
              <w:right w:val="nil"/>
            </w:tcBorders>
            <w:hideMark/>
          </w:tcPr>
          <w:p w14:paraId="20DDD590" w14:textId="77777777" w:rsidR="00DE2957" w:rsidRPr="00CB3D47" w:rsidRDefault="00DE2957" w:rsidP="00DE2957">
            <w:pPr>
              <w:pStyle w:val="NormalWeb"/>
              <w:spacing w:before="0" w:beforeAutospacing="0" w:after="0" w:afterAutospacing="0"/>
              <w:jc w:val="center"/>
              <w:rPr>
                <w:sz w:val="22"/>
                <w:szCs w:val="22"/>
              </w:rPr>
            </w:pPr>
            <w:r w:rsidRPr="00CB3D47">
              <w:rPr>
                <w:kern w:val="24"/>
                <w:sz w:val="22"/>
                <w:szCs w:val="22"/>
                <w:lang w:val="en-US"/>
              </w:rPr>
              <w:t>6/12</w:t>
            </w:r>
          </w:p>
        </w:tc>
      </w:tr>
    </w:tbl>
    <w:p w14:paraId="0FA3FBE2" w14:textId="7671D7A2" w:rsidR="00DE2957" w:rsidRPr="00CB3D47" w:rsidRDefault="00EF1A46" w:rsidP="00D83242">
      <w:pPr>
        <w:pStyle w:val="MediumGrid21"/>
        <w:spacing w:line="480" w:lineRule="auto"/>
        <w:rPr>
          <w:rFonts w:ascii="Times New Roman" w:hAnsi="Times New Roman"/>
          <w:sz w:val="20"/>
          <w:szCs w:val="20"/>
        </w:rPr>
      </w:pPr>
      <w:r w:rsidRPr="00CB3D47">
        <w:rPr>
          <w:rFonts w:ascii="Times New Roman" w:hAnsi="Times New Roman"/>
          <w:sz w:val="20"/>
          <w:szCs w:val="20"/>
        </w:rPr>
        <w:t>*</w:t>
      </w:r>
      <w:r w:rsidR="00CE78EA" w:rsidRPr="00CB3D47">
        <w:rPr>
          <w:rFonts w:ascii="Times New Roman" w:hAnsi="Times New Roman"/>
          <w:sz w:val="20"/>
          <w:szCs w:val="20"/>
        </w:rPr>
        <w:t xml:space="preserve">CET: Cumulative exposure time                            </w:t>
      </w:r>
      <w:r w:rsidRPr="00CB3D47">
        <w:rPr>
          <w:rFonts w:ascii="Times New Roman" w:hAnsi="Times New Roman"/>
          <w:sz w:val="20"/>
          <w:szCs w:val="20"/>
        </w:rPr>
        <w:t xml:space="preserve">                                  </w:t>
      </w:r>
      <w:r w:rsidR="00CE78EA" w:rsidRPr="00CB3D47">
        <w:rPr>
          <w:rFonts w:ascii="Times New Roman" w:hAnsi="Times New Roman"/>
          <w:sz w:val="20"/>
          <w:szCs w:val="20"/>
        </w:rPr>
        <w:t xml:space="preserve">     </w:t>
      </w:r>
      <w:r w:rsidRPr="00CB3D47">
        <w:rPr>
          <w:rFonts w:ascii="Times New Roman" w:hAnsi="Times New Roman"/>
          <w:sz w:val="20"/>
          <w:szCs w:val="20"/>
        </w:rPr>
        <w:t>**</w:t>
      </w:r>
      <w:r w:rsidR="00CE78EA" w:rsidRPr="00CB3D47">
        <w:rPr>
          <w:rFonts w:ascii="Times New Roman" w:hAnsi="Times New Roman"/>
          <w:sz w:val="20"/>
          <w:szCs w:val="20"/>
        </w:rPr>
        <w:t xml:space="preserve">PCET: Proportion of cumulative exposure time </w:t>
      </w:r>
    </w:p>
    <w:p w14:paraId="072235FC" w14:textId="59A92D9D" w:rsidR="00DE2957" w:rsidRPr="00CB3D47" w:rsidRDefault="00482076" w:rsidP="00CE78EA">
      <w:pPr>
        <w:pStyle w:val="MediumGrid21"/>
        <w:spacing w:before="120" w:after="120" w:line="480" w:lineRule="auto"/>
        <w:ind w:firstLine="720"/>
        <w:rPr>
          <w:rFonts w:ascii="Times New Roman" w:hAnsi="Times New Roman"/>
          <w:sz w:val="24"/>
          <w:szCs w:val="24"/>
        </w:rPr>
      </w:pPr>
      <w:r w:rsidRPr="00CB3D47">
        <w:rPr>
          <w:rFonts w:ascii="Times New Roman" w:hAnsi="Times New Roman"/>
          <w:sz w:val="24"/>
          <w:szCs w:val="24"/>
        </w:rPr>
        <w:t xml:space="preserve">NPHS respondents who moved over the follow-up period were particularly interesting as </w:t>
      </w:r>
      <w:r w:rsidR="00B42094" w:rsidRPr="00CB3D47">
        <w:rPr>
          <w:rFonts w:ascii="Times New Roman" w:hAnsi="Times New Roman"/>
          <w:sz w:val="24"/>
          <w:szCs w:val="24"/>
        </w:rPr>
        <w:t>they</w:t>
      </w:r>
      <w:r w:rsidRPr="00CB3D47">
        <w:rPr>
          <w:rFonts w:ascii="Times New Roman" w:hAnsi="Times New Roman"/>
          <w:sz w:val="24"/>
          <w:szCs w:val="24"/>
        </w:rPr>
        <w:t xml:space="preserve"> </w:t>
      </w:r>
      <w:r w:rsidR="00B42094" w:rsidRPr="00CB3D47">
        <w:rPr>
          <w:rFonts w:ascii="Times New Roman" w:hAnsi="Times New Roman"/>
          <w:sz w:val="24"/>
          <w:szCs w:val="24"/>
        </w:rPr>
        <w:t>provided</w:t>
      </w:r>
      <w:r w:rsidRPr="00CB3D47">
        <w:rPr>
          <w:rFonts w:ascii="Times New Roman" w:hAnsi="Times New Roman"/>
          <w:sz w:val="24"/>
          <w:szCs w:val="24"/>
        </w:rPr>
        <w:t xml:space="preserve"> a quasi-experiment of changes in utilitarian walking associated with changes in exposures to different levels of walkability.</w:t>
      </w:r>
      <w:r w:rsidRPr="00CB3D47">
        <w:rPr>
          <w:rFonts w:ascii="Times New Roman" w:hAnsi="Times New Roman"/>
        </w:rPr>
        <w:t xml:space="preserve"> </w:t>
      </w:r>
      <w:r w:rsidR="00E56ABB" w:rsidRPr="00CB3D47">
        <w:rPr>
          <w:rFonts w:ascii="Times New Roman" w:hAnsi="Times New Roman"/>
          <w:sz w:val="24"/>
          <w:szCs w:val="24"/>
        </w:rPr>
        <w:t xml:space="preserve">To determine the effect of moving between neighbourhoods with different walkability levels, we centered the </w:t>
      </w:r>
      <w:r w:rsidR="00DC05D5" w:rsidRPr="00CB3D47">
        <w:rPr>
          <w:rFonts w:ascii="Times New Roman" w:hAnsi="Times New Roman"/>
          <w:sz w:val="24"/>
          <w:szCs w:val="24"/>
        </w:rPr>
        <w:t>Walk Score®</w:t>
      </w:r>
      <w:r w:rsidR="00E56ABB" w:rsidRPr="00CB3D47">
        <w:rPr>
          <w:rFonts w:ascii="Times New Roman" w:hAnsi="Times New Roman"/>
          <w:sz w:val="24"/>
          <w:szCs w:val="24"/>
        </w:rPr>
        <w:t xml:space="preserve"> quartile (</w:t>
      </w:r>
      <w:r w:rsidR="00E56ABB" w:rsidRPr="00CB3D47">
        <w:rPr>
          <w:rFonts w:ascii="Times New Roman" w:hAnsi="Times New Roman"/>
          <w:i/>
          <w:sz w:val="24"/>
          <w:szCs w:val="24"/>
        </w:rPr>
        <w:t xml:space="preserve">WSQ) </w:t>
      </w:r>
      <w:r w:rsidR="00E56ABB" w:rsidRPr="00CB3D47">
        <w:rPr>
          <w:rFonts w:ascii="Times New Roman" w:hAnsi="Times New Roman"/>
          <w:sz w:val="24"/>
          <w:szCs w:val="24"/>
        </w:rPr>
        <w:t xml:space="preserve">variable for each survey respondent </w:t>
      </w:r>
      <w:r w:rsidRPr="00CB3D47">
        <w:rPr>
          <w:rFonts w:ascii="Times New Roman" w:hAnsi="Times New Roman"/>
          <w:sz w:val="24"/>
          <w:szCs w:val="24"/>
        </w:rPr>
        <w:t xml:space="preserve">around </w:t>
      </w:r>
      <w:r w:rsidR="00E56ABB" w:rsidRPr="00CB3D47">
        <w:rPr>
          <w:rFonts w:ascii="Times New Roman" w:hAnsi="Times New Roman"/>
          <w:sz w:val="24"/>
          <w:szCs w:val="24"/>
        </w:rPr>
        <w:t xml:space="preserve">their baseline </w:t>
      </w:r>
      <w:r w:rsidR="00DC05D5" w:rsidRPr="00CB3D47">
        <w:rPr>
          <w:rFonts w:ascii="Times New Roman" w:hAnsi="Times New Roman"/>
          <w:sz w:val="24"/>
          <w:szCs w:val="24"/>
        </w:rPr>
        <w:t>Walk Score®</w:t>
      </w:r>
      <w:r w:rsidR="00E56ABB" w:rsidRPr="00CB3D47">
        <w:rPr>
          <w:rFonts w:ascii="Times New Roman" w:hAnsi="Times New Roman"/>
          <w:sz w:val="24"/>
          <w:szCs w:val="24"/>
        </w:rPr>
        <w:t xml:space="preserve"> quartile. Centering variables around initial status is a common practice in longitudinal analysis to detect change </w:t>
      </w:r>
      <w:r w:rsidR="00E56ABB" w:rsidRPr="00CB3D47">
        <w:rPr>
          <w:rFonts w:ascii="Times New Roman" w:hAnsi="Times New Roman"/>
          <w:sz w:val="24"/>
          <w:szCs w:val="24"/>
        </w:rPr>
        <w:fldChar w:fldCharType="begin"/>
      </w:r>
      <w:r w:rsidR="000F1152" w:rsidRPr="00CB3D47">
        <w:rPr>
          <w:rFonts w:ascii="Times New Roman" w:hAnsi="Times New Roman"/>
          <w:sz w:val="24"/>
          <w:szCs w:val="24"/>
        </w:rPr>
        <w:instrText xml:space="preserve"> ADDIN EN.CITE &lt;EndNote&gt;&lt;Cite&gt;&lt;Author&gt;Singer&lt;/Author&gt;&lt;Year&gt;2003&lt;/Year&gt;&lt;RecNum&gt;41&lt;/RecNum&gt;&lt;DisplayText&gt;(Singer and Willet 2003)&lt;/DisplayText&gt;&lt;record&gt;&lt;rec-number&gt;41&lt;/rec-number&gt;&lt;foreign-keys&gt;&lt;key app="EN" db-id="dp0x5dweyf5fpve0aecvexej50xdfspe0wdp"&gt;41&lt;/key&gt;&lt;/foreign-keys&gt;&lt;ref-type name="Book"&gt;6&lt;/ref-type&gt;&lt;contributors&gt;&lt;authors&gt;&lt;author&gt;Singer, J.&lt;/author&gt;&lt;author&gt;Willet, J.&lt;/author&gt;&lt;/authors&gt;&lt;/contributors&gt;&lt;titles&gt;&lt;title&gt;Applied Longitudinal data analysis: Modelling change and event occurrence&lt;/title&gt;&lt;/titles&gt;&lt;dates&gt;&lt;year&gt;2003&lt;/year&gt;&lt;/dates&gt;&lt;pub-location&gt;New York&lt;/pub-location&gt;&lt;publisher&gt;Oxford University Press, Inc&lt;/publisher&gt;&lt;urls&gt;&lt;/urls&gt;&lt;/record&gt;&lt;/Cite&gt;&lt;/EndNote&gt;</w:instrText>
      </w:r>
      <w:r w:rsidR="00E56ABB" w:rsidRPr="00CB3D47">
        <w:rPr>
          <w:rFonts w:ascii="Times New Roman" w:hAnsi="Times New Roman"/>
          <w:sz w:val="24"/>
          <w:szCs w:val="24"/>
        </w:rPr>
        <w:fldChar w:fldCharType="separate"/>
      </w:r>
      <w:r w:rsidR="00E56ABB" w:rsidRPr="00CB3D47">
        <w:rPr>
          <w:rFonts w:ascii="Times New Roman" w:hAnsi="Times New Roman"/>
          <w:noProof/>
          <w:sz w:val="24"/>
          <w:szCs w:val="24"/>
        </w:rPr>
        <w:t>(</w:t>
      </w:r>
      <w:hyperlink w:anchor="_ENREF_28" w:tooltip="Singer, 2003 #41" w:history="1">
        <w:r w:rsidR="00DD02A3" w:rsidRPr="00CB3D47">
          <w:rPr>
            <w:rFonts w:ascii="Times New Roman" w:hAnsi="Times New Roman"/>
            <w:noProof/>
            <w:sz w:val="24"/>
            <w:szCs w:val="24"/>
          </w:rPr>
          <w:t>Singer and Willet 2003</w:t>
        </w:r>
      </w:hyperlink>
      <w:r w:rsidR="00E56ABB" w:rsidRPr="00CB3D47">
        <w:rPr>
          <w:rFonts w:ascii="Times New Roman" w:hAnsi="Times New Roman"/>
          <w:noProof/>
          <w:sz w:val="24"/>
          <w:szCs w:val="24"/>
        </w:rPr>
        <w:t>)</w:t>
      </w:r>
      <w:r w:rsidR="00E56ABB" w:rsidRPr="00CB3D47">
        <w:rPr>
          <w:rFonts w:ascii="Times New Roman" w:hAnsi="Times New Roman"/>
          <w:sz w:val="24"/>
          <w:szCs w:val="24"/>
        </w:rPr>
        <w:fldChar w:fldCharType="end"/>
      </w:r>
      <w:r w:rsidR="00E56ABB" w:rsidRPr="00CB3D47">
        <w:rPr>
          <w:rFonts w:ascii="Times New Roman" w:hAnsi="Times New Roman"/>
          <w:sz w:val="24"/>
          <w:szCs w:val="24"/>
        </w:rPr>
        <w:t xml:space="preserve">. From the centered </w:t>
      </w:r>
      <w:r w:rsidR="00DC05D5" w:rsidRPr="00CB3D47">
        <w:rPr>
          <w:rFonts w:ascii="Times New Roman" w:hAnsi="Times New Roman"/>
          <w:sz w:val="24"/>
          <w:szCs w:val="24"/>
        </w:rPr>
        <w:t>Walk Score®</w:t>
      </w:r>
      <w:r w:rsidR="00E56ABB" w:rsidRPr="00CB3D47">
        <w:rPr>
          <w:rFonts w:ascii="Times New Roman" w:hAnsi="Times New Roman"/>
          <w:sz w:val="24"/>
          <w:szCs w:val="24"/>
        </w:rPr>
        <w:t xml:space="preserve"> quartile variable, we</w:t>
      </w:r>
      <w:r w:rsidR="00E56ABB" w:rsidRPr="00CB3D47">
        <w:rPr>
          <w:rFonts w:ascii="Times New Roman" w:hAnsi="Times New Roman"/>
          <w:i/>
          <w:sz w:val="24"/>
          <w:szCs w:val="24"/>
        </w:rPr>
        <w:t xml:space="preserve"> </w:t>
      </w:r>
      <w:r w:rsidR="00E56ABB" w:rsidRPr="00CB3D47">
        <w:rPr>
          <w:rFonts w:ascii="Times New Roman" w:hAnsi="Times New Roman"/>
          <w:sz w:val="24"/>
          <w:szCs w:val="24"/>
        </w:rPr>
        <w:t xml:space="preserve">constructed two dummy variables that indicated whether the respondents “changed/ moved” two or more </w:t>
      </w:r>
      <w:r w:rsidR="00DC05D5" w:rsidRPr="00CB3D47">
        <w:rPr>
          <w:rFonts w:ascii="Times New Roman" w:hAnsi="Times New Roman"/>
          <w:sz w:val="24"/>
          <w:szCs w:val="24"/>
        </w:rPr>
        <w:t>Walk Score®</w:t>
      </w:r>
      <w:r w:rsidR="00E56ABB" w:rsidRPr="00CB3D47">
        <w:rPr>
          <w:rFonts w:ascii="Times New Roman" w:hAnsi="Times New Roman"/>
          <w:sz w:val="24"/>
          <w:szCs w:val="24"/>
        </w:rPr>
        <w:t xml:space="preserve"> quartiles (in either direction) after relocation</w:t>
      </w:r>
      <w:r w:rsidR="00E72B49" w:rsidRPr="00CB3D47">
        <w:rPr>
          <w:rFonts w:ascii="Times New Roman" w:hAnsi="Times New Roman"/>
          <w:sz w:val="24"/>
          <w:szCs w:val="24"/>
        </w:rPr>
        <w:t xml:space="preserve">. </w:t>
      </w:r>
      <w:r w:rsidR="00E72B49" w:rsidRPr="00CB3D47">
        <w:rPr>
          <w:rFonts w:ascii="Times New Roman" w:hAnsi="Times New Roman"/>
          <w:sz w:val="24"/>
          <w:szCs w:val="24"/>
        </w:rPr>
        <w:lastRenderedPageBreak/>
        <w:t>A positive change in Walk Score</w:t>
      </w:r>
      <w:r w:rsidR="00342580" w:rsidRPr="00CB3D47">
        <w:rPr>
          <w:rFonts w:ascii="Times New Roman" w:hAnsi="Times New Roman"/>
          <w:sz w:val="24"/>
          <w:szCs w:val="24"/>
        </w:rPr>
        <w:t xml:space="preserve">® </w:t>
      </w:r>
      <w:r w:rsidR="00E72B49" w:rsidRPr="00CB3D47">
        <w:rPr>
          <w:rFonts w:ascii="Times New Roman" w:hAnsi="Times New Roman"/>
          <w:sz w:val="24"/>
          <w:szCs w:val="24"/>
        </w:rPr>
        <w:t xml:space="preserve">quartile </w:t>
      </w:r>
      <w:r w:rsidR="003B00AE" w:rsidRPr="00CB3D47">
        <w:rPr>
          <w:rFonts w:ascii="Times New Roman" w:hAnsi="Times New Roman"/>
          <w:sz w:val="24"/>
          <w:szCs w:val="24"/>
        </w:rPr>
        <w:t xml:space="preserve">indicated </w:t>
      </w:r>
      <w:r w:rsidR="00E72B49" w:rsidRPr="00CB3D47">
        <w:rPr>
          <w:rFonts w:ascii="Times New Roman" w:hAnsi="Times New Roman"/>
          <w:sz w:val="24"/>
          <w:szCs w:val="24"/>
        </w:rPr>
        <w:t xml:space="preserve">an increase in walkability, and a negative change </w:t>
      </w:r>
      <w:r w:rsidR="003B00AE" w:rsidRPr="00CB3D47">
        <w:rPr>
          <w:rFonts w:ascii="Times New Roman" w:hAnsi="Times New Roman"/>
          <w:sz w:val="24"/>
          <w:szCs w:val="24"/>
        </w:rPr>
        <w:t xml:space="preserve">indicated </w:t>
      </w:r>
      <w:r w:rsidR="00E72B49" w:rsidRPr="00CB3D47">
        <w:rPr>
          <w:rFonts w:ascii="Times New Roman" w:hAnsi="Times New Roman"/>
          <w:sz w:val="24"/>
          <w:szCs w:val="24"/>
        </w:rPr>
        <w:t xml:space="preserve">a decrease in walkability. </w:t>
      </w:r>
    </w:p>
    <w:p w14:paraId="467DA691" w14:textId="77777777" w:rsidR="00E56ABB" w:rsidRPr="00CB3D47" w:rsidRDefault="00E56ABB" w:rsidP="00D83242">
      <w:pPr>
        <w:pStyle w:val="MediumGrid21"/>
        <w:spacing w:before="120" w:after="120" w:line="480" w:lineRule="auto"/>
        <w:rPr>
          <w:rFonts w:ascii="Times New Roman" w:hAnsi="Times New Roman"/>
          <w:b/>
          <w:sz w:val="28"/>
          <w:szCs w:val="28"/>
        </w:rPr>
      </w:pPr>
      <w:r w:rsidRPr="00CB3D47">
        <w:rPr>
          <w:rFonts w:ascii="Times New Roman" w:hAnsi="Times New Roman"/>
          <w:b/>
          <w:sz w:val="28"/>
          <w:szCs w:val="28"/>
        </w:rPr>
        <w:t>Other potential determinants of utilitarian walking</w:t>
      </w:r>
    </w:p>
    <w:p w14:paraId="5D6BDC5C" w14:textId="54B4D22F" w:rsidR="000942E3" w:rsidRPr="00CB3D47" w:rsidRDefault="000942E3" w:rsidP="009F3873">
      <w:pPr>
        <w:pStyle w:val="MediumGrid21"/>
        <w:spacing w:before="120" w:after="120" w:line="480" w:lineRule="auto"/>
        <w:ind w:firstLine="709"/>
        <w:rPr>
          <w:rFonts w:ascii="Times New Roman" w:hAnsi="Times New Roman"/>
          <w:b/>
          <w:sz w:val="28"/>
          <w:szCs w:val="28"/>
        </w:rPr>
      </w:pPr>
      <w:r w:rsidRPr="00CB3D47">
        <w:rPr>
          <w:rFonts w:ascii="Times New Roman" w:hAnsi="Times New Roman"/>
        </w:rPr>
        <w:t xml:space="preserve">The individual-level potential determinants of walking considered were age, sex, education, leisure time physical activity, and perceived health status. It has been suggested that </w:t>
      </w:r>
      <w:r w:rsidRPr="00CB3D47">
        <w:rPr>
          <w:rFonts w:ascii="Times New Roman" w:hAnsi="Times New Roman"/>
          <w:color w:val="000000"/>
        </w:rPr>
        <w:t xml:space="preserve">a </w:t>
      </w:r>
      <w:r w:rsidRPr="00CB3D47">
        <w:rPr>
          <w:rFonts w:ascii="Times New Roman" w:hAnsi="Times New Roman"/>
        </w:rPr>
        <w:t>supportive built environment is insufficient on its own to guarantee that people will be physically active; motivation and good health are important drivers of utilitarian walking</w:t>
      </w:r>
      <w:r w:rsidRPr="00CB3D47" w:rsidDel="006A54FB">
        <w:rPr>
          <w:rFonts w:ascii="Times New Roman" w:hAnsi="Times New Roman"/>
        </w:rPr>
        <w:t xml:space="preserve"> </w:t>
      </w:r>
      <w:r w:rsidRPr="00CB3D47">
        <w:rPr>
          <w:rFonts w:ascii="Times New Roman" w:hAnsi="Times New Roman"/>
        </w:rPr>
        <w:fldChar w:fldCharType="begin"/>
      </w:r>
      <w:r w:rsidR="00FB121F" w:rsidRPr="00CB3D47">
        <w:rPr>
          <w:rFonts w:ascii="Times New Roman" w:hAnsi="Times New Roman"/>
        </w:rPr>
        <w:instrText xml:space="preserve"> ADDIN EN.CITE &lt;EndNote&gt;&lt;Cite&gt;&lt;Author&gt;Handy&lt;/Author&gt;&lt;Year&gt;2005&lt;/Year&gt;&lt;RecNum&gt;174&lt;/RecNum&gt;&lt;DisplayText&gt;(Handy and Mokhtarian 2005)&lt;/DisplayText&gt;&lt;record&gt;&lt;rec-number&gt;174&lt;/rec-number&gt;&lt;foreign-keys&gt;&lt;key app="EN" db-id="dp0x5dweyf5fpve0aecvexej50xdfspe0wdp"&gt;174&lt;/key&gt;&lt;/foreign-keys&gt;&lt;ref-type name="Magazine Article"&gt;19&lt;/ref-type&gt;&lt;contributors&gt;&lt;authors&gt;&lt;author&gt;Handy, S.&lt;/author&gt;&lt;author&gt;Mokhtarian, P.&lt;/author&gt;&lt;/authors&gt;&lt;/contributors&gt;&lt;titles&gt;&lt;title&gt;Which Comes First: The Neighbourhood or The Walking?.  1(26), 16 - 21.  &lt;/title&gt;&lt;secondary-title&gt;ACCESS Magazine,&lt;/secondary-title&gt;&lt;/titles&gt;&lt;pages&gt;16-21&lt;/pages&gt;&lt;volume&gt;1&lt;/volume&gt;&lt;number&gt;26&lt;/number&gt;&lt;dates&gt;&lt;year&gt;2005&lt;/year&gt;&lt;/dates&gt;&lt;pub-location&gt;UC Berkeley&lt;/pub-location&gt;&lt;publisher&gt; University of California Transportation Center.&lt;/publisher&gt;&lt;urls&gt;&lt;related-urls&gt;&lt;url&gt;Retrieved from: https://escholarship.org/uc/item/3qz6x558&lt;/url&gt;&lt;/related-urls&gt;&lt;/urls&gt;&lt;/record&gt;&lt;/Cite&gt;&lt;/EndNote&gt;</w:instrText>
      </w:r>
      <w:r w:rsidRPr="00CB3D47">
        <w:rPr>
          <w:rFonts w:ascii="Times New Roman" w:hAnsi="Times New Roman"/>
        </w:rPr>
        <w:fldChar w:fldCharType="separate"/>
      </w:r>
      <w:r w:rsidRPr="00CB3D47">
        <w:rPr>
          <w:rFonts w:ascii="Times New Roman" w:hAnsi="Times New Roman"/>
          <w:noProof/>
        </w:rPr>
        <w:t>(</w:t>
      </w:r>
      <w:hyperlink w:anchor="_ENREF_19" w:tooltip="Handy, 2005 #174" w:history="1">
        <w:r w:rsidR="00DD02A3" w:rsidRPr="00CB3D47">
          <w:rPr>
            <w:rFonts w:ascii="Times New Roman" w:hAnsi="Times New Roman"/>
            <w:noProof/>
          </w:rPr>
          <w:t>Handy and Mokhtarian 2005</w:t>
        </w:r>
      </w:hyperlink>
      <w:r w:rsidRPr="00CB3D47">
        <w:rPr>
          <w:rFonts w:ascii="Times New Roman" w:hAnsi="Times New Roman"/>
          <w:noProof/>
        </w:rPr>
        <w:t>)</w:t>
      </w:r>
      <w:r w:rsidRPr="00CB3D47">
        <w:rPr>
          <w:rFonts w:ascii="Times New Roman" w:hAnsi="Times New Roman"/>
        </w:rPr>
        <w:fldChar w:fldCharType="end"/>
      </w:r>
      <w:r w:rsidRPr="00CB3D47">
        <w:rPr>
          <w:rFonts w:ascii="Times New Roman" w:hAnsi="Times New Roman"/>
        </w:rPr>
        <w:t xml:space="preserve">. Accounting for these factors allows for more precise estimates of the incremental influence of the built environment on utilitarian walking. A physical activity index calculated from leisure time physical activity </w:t>
      </w:r>
      <w:r w:rsidRPr="00CB3D47">
        <w:rPr>
          <w:rFonts w:ascii="Times New Roman" w:hAnsi="Times New Roman"/>
        </w:rPr>
        <w:fldChar w:fldCharType="begin"/>
      </w:r>
      <w:r w:rsidR="00FB121F" w:rsidRPr="00CB3D47">
        <w:rPr>
          <w:rFonts w:ascii="Times New Roman" w:hAnsi="Times New Roman"/>
        </w:rPr>
        <w:instrText xml:space="preserve"> ADDIN EN.CITE &lt;EndNote&gt;&lt;Cite&gt;&lt;Author&gt;Statistics Canada&lt;/Author&gt;&lt;Year&gt;2009&lt;/Year&gt;&lt;RecNum&gt;172&lt;/RecNum&gt;&lt;DisplayText&gt;(Statistics Canada 2009)&lt;/DisplayText&gt;&lt;record&gt;&lt;rec-number&gt;172&lt;/rec-number&gt;&lt;foreign-keys&gt;&lt;key app="EN" db-id="dp0x5dweyf5fpve0aecvexej50xdfspe0wdp"&gt;172&lt;/key&gt;&lt;/foreign-keys&gt;&lt;ref-type name="Government Document"&gt;46&lt;/ref-type&gt;&lt;contributors&gt;&lt;authors&gt;&lt;author&gt;Statistics Canada, &lt;/author&gt;&lt;/authors&gt;&lt;/contributors&gt;&lt;titles&gt;&lt;title&gt;National Population Health Survey. Household component documentation for the derived variables and the constant longitudinal variables (specifications). Cycles 1 to 7  (1994/1995 to 2006/2007) &lt;/title&gt;&lt;/titles&gt;&lt;dates&gt;&lt;year&gt;2009&lt;/year&gt;&lt;/dates&gt;&lt;pub-location&gt;Ottawa&lt;/pub-location&gt;&lt;publisher&gt;Statistics Canada&lt;/publisher&gt;&lt;urls&gt;&lt;related-urls&gt;&lt;url&gt;http://www23.statcan.gc.ca/imdb-bmdi/pub/document/3225_D10_T9_V3-eng.pdf&lt;/url&gt;&lt;/related-urls&gt;&lt;/urls&gt;&lt;/record&gt;&lt;/Cite&gt;&lt;/EndNote&gt;</w:instrText>
      </w:r>
      <w:r w:rsidRPr="00CB3D47">
        <w:rPr>
          <w:rFonts w:ascii="Times New Roman" w:hAnsi="Times New Roman"/>
        </w:rPr>
        <w:fldChar w:fldCharType="separate"/>
      </w:r>
      <w:r w:rsidRPr="00CB3D47">
        <w:rPr>
          <w:rFonts w:ascii="Times New Roman" w:hAnsi="Times New Roman"/>
          <w:noProof/>
        </w:rPr>
        <w:t>(</w:t>
      </w:r>
      <w:hyperlink w:anchor="_ENREF_30" w:tooltip="Statistics Canada, 2009 #172" w:history="1">
        <w:r w:rsidR="00DD02A3" w:rsidRPr="00CB3D47">
          <w:rPr>
            <w:rFonts w:ascii="Times New Roman" w:hAnsi="Times New Roman"/>
            <w:noProof/>
          </w:rPr>
          <w:t>Statistics Canada 2009</w:t>
        </w:r>
      </w:hyperlink>
      <w:r w:rsidRPr="00CB3D47">
        <w:rPr>
          <w:rFonts w:ascii="Times New Roman" w:hAnsi="Times New Roman"/>
          <w:noProof/>
        </w:rPr>
        <w:t>)</w:t>
      </w:r>
      <w:r w:rsidRPr="00CB3D47">
        <w:rPr>
          <w:rFonts w:ascii="Times New Roman" w:hAnsi="Times New Roman"/>
        </w:rPr>
        <w:fldChar w:fldCharType="end"/>
      </w:r>
      <w:r w:rsidRPr="00CB3D47">
        <w:rPr>
          <w:rFonts w:ascii="Times New Roman" w:hAnsi="Times New Roman"/>
        </w:rPr>
        <w:t xml:space="preserve"> was classified as inactive (energy expenditure (EE) less than 1.5 kcal/kg/day), and moderately active (combined moderate (EE 1.5 to 2.9 kcal/kg/day) and active (EE greater than 3 kcal/kg/day), education level was classified as having a post-secondary education, yes/no) and perceived health was classified as unhealthy (poor or fair) versus healthy (good, very good, or excellent).</w:t>
      </w:r>
    </w:p>
    <w:p w14:paraId="0DF1A239" w14:textId="77777777" w:rsidR="00752723" w:rsidRPr="00CB3D47" w:rsidRDefault="00D605ED" w:rsidP="00D83242">
      <w:pPr>
        <w:pStyle w:val="MediumGrid21"/>
        <w:tabs>
          <w:tab w:val="left" w:pos="709"/>
        </w:tabs>
        <w:spacing w:before="120" w:after="120" w:line="480" w:lineRule="auto"/>
        <w:rPr>
          <w:rFonts w:ascii="Times New Roman" w:hAnsi="Times New Roman"/>
          <w:b/>
          <w:sz w:val="28"/>
          <w:szCs w:val="28"/>
        </w:rPr>
      </w:pPr>
      <w:r w:rsidRPr="00CB3D47">
        <w:rPr>
          <w:rFonts w:ascii="Times New Roman" w:hAnsi="Times New Roman"/>
          <w:b/>
          <w:sz w:val="28"/>
          <w:szCs w:val="28"/>
        </w:rPr>
        <w:t>Statistical analysis</w:t>
      </w:r>
    </w:p>
    <w:p w14:paraId="774BC77A" w14:textId="2C28879A" w:rsidR="006A2DB9" w:rsidRPr="00CB3D47" w:rsidRDefault="003B00AE" w:rsidP="006A2DB9">
      <w:pPr>
        <w:spacing w:before="120" w:after="120" w:line="480" w:lineRule="auto"/>
        <w:ind w:firstLine="720"/>
        <w:rPr>
          <w:lang w:eastAsia="en-CA"/>
        </w:rPr>
      </w:pPr>
      <w:r w:rsidRPr="00CB3D47">
        <w:t>At the outset</w:t>
      </w:r>
      <w:r w:rsidR="00CE78EA" w:rsidRPr="00CB3D47">
        <w:t>,</w:t>
      </w:r>
      <w:r w:rsidR="002729DB" w:rsidRPr="00CB3D47">
        <w:t xml:space="preserve"> we conducted an attrition analysis to </w:t>
      </w:r>
      <w:r w:rsidRPr="00CB3D47">
        <w:t>ensure that the remaining sample reflected similar characteristics to the original cohort.</w:t>
      </w:r>
      <w:r w:rsidR="002729DB" w:rsidRPr="00CB3D47">
        <w:t xml:space="preserve"> Attrition (i.e., the loss of participants over time) can be a methodological problem for longitudinal studies if participants do not drop out at random</w:t>
      </w:r>
      <w:r w:rsidR="00461C21" w:rsidRPr="00CB3D47">
        <w:t xml:space="preserve">, </w:t>
      </w:r>
      <w:r w:rsidR="00DB274F" w:rsidRPr="00CB3D47">
        <w:rPr>
          <w:lang w:val="en-GB"/>
        </w:rPr>
        <w:fldChar w:fldCharType="begin"/>
      </w:r>
      <w:r w:rsidR="00FB121F" w:rsidRPr="00CB3D47">
        <w:rPr>
          <w:lang w:val="en-GB"/>
        </w:rPr>
        <w:instrText xml:space="preserve"> ADDIN EN.CITE &lt;EndNote&gt;&lt;Cite&gt;&lt;Author&gt;Little&lt;/Author&gt;&lt;Year&gt;2002&lt;/Year&gt;&lt;RecNum&gt;175&lt;/RecNum&gt;&lt;DisplayText&gt;(Little and Rubin 2002)&lt;/DisplayText&gt;&lt;record&gt;&lt;rec-number&gt;175&lt;/rec-number&gt;&lt;foreign-keys&gt;&lt;key app="EN" db-id="dp0x5dweyf5fpve0aecvexej50xdfspe0wdp"&gt;175&lt;/key&gt;&lt;/foreign-keys&gt;&lt;ref-type name="Book"&gt;6&lt;/ref-type&gt;&lt;contributors&gt;&lt;authors&gt;&lt;author&gt;Little, R.&lt;/author&gt;&lt;author&gt;Rubin, D. &lt;/author&gt;&lt;/authors&gt;&lt;/contributors&gt;&lt;titles&gt;&lt;title&gt;Statistical analysis with missing data&lt;/title&gt;&lt;/titles&gt;&lt;edition&gt;Second&lt;/edition&gt;&lt;dates&gt;&lt;year&gt;2002&lt;/year&gt;&lt;/dates&gt;&lt;pub-location&gt;Hoboken, New Jersey&lt;/pub-location&gt;&lt;publisher&gt;John Wiley &amp;amp; Sons, Inc&lt;/publisher&gt;&lt;urls&gt;&lt;/urls&gt;&lt;/record&gt;&lt;/Cite&gt;&lt;/EndNote&gt;</w:instrText>
      </w:r>
      <w:r w:rsidR="00DB274F" w:rsidRPr="00CB3D47">
        <w:rPr>
          <w:lang w:val="en-GB"/>
        </w:rPr>
        <w:fldChar w:fldCharType="separate"/>
      </w:r>
      <w:r w:rsidR="002729DB" w:rsidRPr="00CB3D47">
        <w:rPr>
          <w:noProof/>
          <w:lang w:val="en-GB"/>
        </w:rPr>
        <w:t>(</w:t>
      </w:r>
      <w:hyperlink w:anchor="_ENREF_25" w:tooltip="Little, 2002 #175" w:history="1">
        <w:r w:rsidR="00DD02A3" w:rsidRPr="00CB3D47">
          <w:rPr>
            <w:noProof/>
            <w:lang w:val="en-GB"/>
          </w:rPr>
          <w:t>Little and Rubin 2002</w:t>
        </w:r>
      </w:hyperlink>
      <w:r w:rsidR="002729DB" w:rsidRPr="00CB3D47">
        <w:rPr>
          <w:noProof/>
          <w:lang w:val="en-GB"/>
        </w:rPr>
        <w:t>)</w:t>
      </w:r>
      <w:r w:rsidR="00DB274F" w:rsidRPr="00CB3D47">
        <w:rPr>
          <w:lang w:val="en-GB"/>
        </w:rPr>
        <w:fldChar w:fldCharType="end"/>
      </w:r>
      <w:r w:rsidR="002729DB" w:rsidRPr="000942E3">
        <w:rPr>
          <w:lang w:val="en-GB"/>
        </w:rPr>
        <w:t>.</w:t>
      </w:r>
      <w:r w:rsidR="00E56ABB" w:rsidRPr="000942E3">
        <w:rPr>
          <w:lang w:val="en-GB"/>
        </w:rPr>
        <w:t xml:space="preserve"> </w:t>
      </w:r>
      <w:r>
        <w:rPr>
          <w:lang w:val="en-GB"/>
        </w:rPr>
        <w:t xml:space="preserve">We then </w:t>
      </w:r>
      <w:r w:rsidR="00820DCC" w:rsidRPr="000942E3">
        <w:t>used</w:t>
      </w:r>
      <w:r w:rsidR="001F4B65" w:rsidRPr="000942E3">
        <w:t xml:space="preserve"> a mixed effects ordered logistic regression</w:t>
      </w:r>
      <w:r w:rsidR="009B0604" w:rsidRPr="000942E3">
        <w:t xml:space="preserve"> to model levels of utilitarian walking</w:t>
      </w:r>
      <w:r w:rsidR="00973EC6" w:rsidRPr="000942E3">
        <w:t xml:space="preserve"> in order to take full account of the range </w:t>
      </w:r>
      <w:r w:rsidR="00FD6E18" w:rsidRPr="000942E3">
        <w:t>of ordered</w:t>
      </w:r>
      <w:r w:rsidR="00973EC6" w:rsidRPr="000942E3">
        <w:t xml:space="preserve"> responses to</w:t>
      </w:r>
      <w:r w:rsidR="00020F3A" w:rsidRPr="000942E3">
        <w:t xml:space="preserve"> the utilitarian walking question</w:t>
      </w:r>
      <w:r w:rsidR="00FD6E18" w:rsidRPr="000942E3">
        <w:t>.</w:t>
      </w:r>
      <w:r w:rsidR="00020F3A" w:rsidRPr="000942E3">
        <w:t xml:space="preserve">  Our </w:t>
      </w:r>
      <w:r w:rsidR="00A7528B" w:rsidRPr="000942E3">
        <w:t>models did not violate the proportionality</w:t>
      </w:r>
      <w:r w:rsidR="00A7528B" w:rsidRPr="00C94226">
        <w:t xml:space="preserve"> assumption of ordered </w:t>
      </w:r>
      <w:r w:rsidR="001F4B65" w:rsidRPr="006B79C8">
        <w:t>logi</w:t>
      </w:r>
      <w:r w:rsidR="00020F3A">
        <w:t xml:space="preserve">t. </w:t>
      </w:r>
      <w:r w:rsidR="001F4B65" w:rsidRPr="006B79C8">
        <w:t>M</w:t>
      </w:r>
      <w:r w:rsidR="00F435D4" w:rsidRPr="006B79C8">
        <w:t xml:space="preserve">arginal effects for each category of the dependent </w:t>
      </w:r>
      <w:r w:rsidR="006E46B2" w:rsidRPr="006B79C8">
        <w:t xml:space="preserve">variable </w:t>
      </w:r>
      <w:r w:rsidR="001F4B65" w:rsidRPr="006B79C8">
        <w:t>were</w:t>
      </w:r>
      <w:r w:rsidR="00F435D4" w:rsidRPr="006B79C8">
        <w:t xml:space="preserve"> computed</w:t>
      </w:r>
      <w:r w:rsidR="00A7528B" w:rsidRPr="005F7983">
        <w:t xml:space="preserve">. </w:t>
      </w:r>
      <w:r w:rsidR="0080300B" w:rsidRPr="004804E7">
        <w:t xml:space="preserve">Marginal effects present the change in probability of a particular alternative as a function of a </w:t>
      </w:r>
      <w:r w:rsidR="00A66348" w:rsidRPr="004804E7">
        <w:t>unit</w:t>
      </w:r>
      <w:r w:rsidR="0080300B" w:rsidRPr="004804E7">
        <w:t xml:space="preserve"> change in the </w:t>
      </w:r>
      <w:r w:rsidR="006E46B2" w:rsidRPr="004804E7">
        <w:t xml:space="preserve">independent </w:t>
      </w:r>
      <w:r w:rsidR="0080300B" w:rsidRPr="004804E7">
        <w:t>variable (see</w:t>
      </w:r>
      <w:r w:rsidR="00B27D05">
        <w:t xml:space="preserve"> </w:t>
      </w:r>
      <w:r w:rsidR="00DB274F" w:rsidRPr="006B79C8">
        <w:fldChar w:fldCharType="begin"/>
      </w:r>
      <w:r w:rsidR="00FB121F">
        <w:instrText xml:space="preserve"> ADDIN EN.CITE &lt;EndNote&gt;&lt;Cite&gt;&lt;Author&gt;Eluru&lt;/Author&gt;&lt;Year&gt;2008&lt;/Year&gt;&lt;RecNum&gt;176&lt;/RecNum&gt;&lt;DisplayText&gt;(Eluru, Bhat et al. 2008)&lt;/DisplayText&gt;&lt;record&gt;&lt;rec-number&gt;176&lt;/rec-number&gt;&lt;foreign-keys&gt;&lt;key app="EN" db-id="dp0x5dweyf5fpve0aecvexej50xdfspe0wdp"&gt;176&lt;/key&gt;&lt;/foreign-keys&gt;&lt;ref-type name="Journal Article"&gt;17&lt;/ref-type&gt;&lt;contributors&gt;&lt;authors&gt;&lt;author&gt;Eluru, N., &lt;/author&gt;&lt;author&gt;Bhat, C.&lt;/author&gt;&lt;author&gt;Hensher, D.&lt;/author&gt;&lt;/authors&gt;&lt;/contributors&gt;&lt;titles&gt;&lt;title&gt;A Mixed Generalized Ordered Response Model for Examining Pedestrian and Bicyclist Injury Severity Level in Traffic Crashes&lt;/title&gt;&lt;secondary-title&gt;Accident Analysis &amp;amp; Prevention&lt;/secondary-title&gt;&lt;/titles&gt;&lt;periodical&gt;&lt;full-title&gt;Accident Analysis &amp;amp; Prevention&lt;/full-title&gt;&lt;/periodical&gt;&lt;pages&gt;1033-1054&lt;/pages&gt;&lt;volume&gt;40&lt;/volume&gt;&lt;number&gt;3&lt;/number&gt;&lt;dates&gt;&lt;year&gt;2008&lt;/year&gt;&lt;/dates&gt;&lt;urls&gt;&lt;/urls&gt;&lt;/record&gt;&lt;/Cite&gt;&lt;/EndNote&gt;</w:instrText>
      </w:r>
      <w:r w:rsidR="00DB274F" w:rsidRPr="006B79C8">
        <w:fldChar w:fldCharType="separate"/>
      </w:r>
      <w:r w:rsidR="00752723">
        <w:rPr>
          <w:noProof/>
        </w:rPr>
        <w:t>(</w:t>
      </w:r>
      <w:hyperlink w:anchor="_ENREF_7" w:tooltip="Eluru, 2008 #176" w:history="1">
        <w:r w:rsidR="00DD02A3">
          <w:rPr>
            <w:noProof/>
          </w:rPr>
          <w:t>Eluru, Bhat et al. 2008</w:t>
        </w:r>
      </w:hyperlink>
      <w:r w:rsidR="00752723">
        <w:rPr>
          <w:noProof/>
        </w:rPr>
        <w:t>)</w:t>
      </w:r>
      <w:r w:rsidR="00DB274F" w:rsidRPr="006B79C8">
        <w:fldChar w:fldCharType="end"/>
      </w:r>
      <w:r w:rsidR="0080300B" w:rsidRPr="006B79C8">
        <w:t xml:space="preserve"> for a more detailed discussion).</w:t>
      </w:r>
      <w:r w:rsidR="006B79C8">
        <w:t xml:space="preserve"> </w:t>
      </w:r>
      <w:r w:rsidR="00513841" w:rsidRPr="006B79C8">
        <w:t>The</w:t>
      </w:r>
      <w:r w:rsidR="00A7528B" w:rsidRPr="006B79C8">
        <w:t xml:space="preserve"> mixed effect</w:t>
      </w:r>
      <w:r w:rsidR="009F72E0" w:rsidRPr="006B79C8">
        <w:t>s</w:t>
      </w:r>
      <w:r w:rsidR="00A7528B" w:rsidRPr="006B79C8">
        <w:t xml:space="preserve"> ordered logistic regression</w:t>
      </w:r>
      <w:r w:rsidR="00513841" w:rsidRPr="006B79C8">
        <w:t xml:space="preserve"> </w:t>
      </w:r>
      <w:r w:rsidR="00513841" w:rsidRPr="006B79C8">
        <w:lastRenderedPageBreak/>
        <w:t>was advantageous for</w:t>
      </w:r>
      <w:r w:rsidR="00A7528B" w:rsidRPr="006B79C8">
        <w:t xml:space="preserve"> accounting for multiple observations </w:t>
      </w:r>
      <w:r w:rsidR="009F72E0" w:rsidRPr="005F7983">
        <w:t>across</w:t>
      </w:r>
      <w:r w:rsidR="00A7528B" w:rsidRPr="004804E7">
        <w:t xml:space="preserve"> the seven cycles of the NPHS</w:t>
      </w:r>
      <w:r w:rsidR="00E963B4">
        <w:t xml:space="preserve">. </w:t>
      </w:r>
      <w:r w:rsidR="00327F80" w:rsidRPr="00C94226">
        <w:t xml:space="preserve">We also </w:t>
      </w:r>
      <w:r w:rsidR="00327F80">
        <w:t>estimated</w:t>
      </w:r>
      <w:r w:rsidR="00327F80" w:rsidRPr="00C94226">
        <w:t xml:space="preserve"> </w:t>
      </w:r>
      <w:r w:rsidR="00327F80">
        <w:t>a binary</w:t>
      </w:r>
      <w:r w:rsidR="00327F80" w:rsidRPr="00C94226">
        <w:t xml:space="preserve"> </w:t>
      </w:r>
      <w:r w:rsidR="00327F80">
        <w:t xml:space="preserve">fixed effects </w:t>
      </w:r>
      <w:r w:rsidR="00327F80" w:rsidRPr="00C94226">
        <w:t xml:space="preserve">logistic regression </w:t>
      </w:r>
      <w:r w:rsidR="00327F80">
        <w:t xml:space="preserve">model </w:t>
      </w:r>
      <w:r w:rsidR="00327F80" w:rsidRPr="00C94226">
        <w:t xml:space="preserve">for </w:t>
      </w:r>
      <w:r w:rsidR="00327F80">
        <w:t xml:space="preserve">those who moved over the study period </w:t>
      </w:r>
      <w:r w:rsidR="00327F80" w:rsidRPr="00C94226">
        <w:t>(i.</w:t>
      </w:r>
      <w:r w:rsidR="00327F80" w:rsidRPr="00CB3D47">
        <w:t>e., respondents who “</w:t>
      </w:r>
      <w:r w:rsidR="00D20D99" w:rsidRPr="00CB3D47">
        <w:t>changed</w:t>
      </w:r>
      <w:r w:rsidR="00B60544" w:rsidRPr="00CB3D47">
        <w:t>/ moved</w:t>
      </w:r>
      <w:r w:rsidR="00327F80" w:rsidRPr="00CB3D47">
        <w:t xml:space="preserve">” 2 or 3 </w:t>
      </w:r>
      <w:r w:rsidR="00DC05D5" w:rsidRPr="00CB3D47">
        <w:t>Walk Score®</w:t>
      </w:r>
      <w:r w:rsidR="00327F80" w:rsidRPr="00CB3D47">
        <w:t xml:space="preserve"> quartiles in either direction after relocation</w:t>
      </w:r>
      <w:r w:rsidR="007138D6" w:rsidRPr="00CB3D47">
        <w:t xml:space="preserve"> versus other movers</w:t>
      </w:r>
      <w:r w:rsidR="00327F80" w:rsidRPr="00CB3D47">
        <w:t>) to estimate the effect of moving on utilitarian walking.</w:t>
      </w:r>
      <w:r w:rsidR="00F00A80" w:rsidRPr="00CB3D47">
        <w:t xml:space="preserve"> </w:t>
      </w:r>
      <w:r w:rsidR="00AF3882" w:rsidRPr="00CB3D47">
        <w:rPr>
          <w:lang w:eastAsia="en-CA"/>
        </w:rPr>
        <w:t>The dependent variable was collapsed into two categories</w:t>
      </w:r>
      <w:r w:rsidR="00EB1130" w:rsidRPr="00CB3D47">
        <w:rPr>
          <w:lang w:eastAsia="en-CA"/>
        </w:rPr>
        <w:t xml:space="preserve"> for ease of interpretation</w:t>
      </w:r>
      <w:r w:rsidR="00AF3882" w:rsidRPr="00CB3D47">
        <w:rPr>
          <w:lang w:eastAsia="en-CA"/>
        </w:rPr>
        <w:t xml:space="preserve">: none or low utilitarian walking (the reference category), </w:t>
      </w:r>
      <w:r w:rsidR="006A2DB9" w:rsidRPr="00CB3D47">
        <w:rPr>
          <w:lang w:eastAsia="en-CA"/>
        </w:rPr>
        <w:t>versus</w:t>
      </w:r>
      <w:r w:rsidR="006A2DB9" w:rsidRPr="00CB3D47" w:rsidDel="006A2DB9">
        <w:rPr>
          <w:lang w:eastAsia="en-CA"/>
        </w:rPr>
        <w:t xml:space="preserve"> </w:t>
      </w:r>
      <w:r w:rsidR="00AF3882" w:rsidRPr="00CB3D47">
        <w:rPr>
          <w:lang w:eastAsia="en-CA"/>
        </w:rPr>
        <w:t xml:space="preserve">moderate or high utilitarian walking. </w:t>
      </w:r>
    </w:p>
    <w:p w14:paraId="4CD625D1" w14:textId="25A87222" w:rsidR="00501022" w:rsidRDefault="00B370B9" w:rsidP="001866E4">
      <w:pPr>
        <w:spacing w:before="120" w:after="120" w:line="480" w:lineRule="auto"/>
        <w:ind w:firstLine="720"/>
      </w:pPr>
      <w:r w:rsidRPr="00CB3D47">
        <w:t xml:space="preserve">Computing  </w:t>
      </w:r>
      <w:r w:rsidR="00832E9A" w:rsidRPr="00CB3D47">
        <w:t>f</w:t>
      </w:r>
      <w:r w:rsidR="00A7528B" w:rsidRPr="00CB3D47">
        <w:t>ixed effects</w:t>
      </w:r>
      <w:r w:rsidR="00832E9A" w:rsidRPr="00CB3D47">
        <w:t xml:space="preserve"> </w:t>
      </w:r>
      <w:r w:rsidRPr="00CB3D47">
        <w:t xml:space="preserve">estimates in the ordered and binary regression models </w:t>
      </w:r>
      <w:r w:rsidR="00020F3A" w:rsidRPr="00CB3D47">
        <w:t xml:space="preserve">allowed us to control for unobserved heterogeneity, which is a limitation </w:t>
      </w:r>
      <w:r w:rsidR="00973EC6" w:rsidRPr="00CB3D47">
        <w:t xml:space="preserve">of </w:t>
      </w:r>
      <w:r w:rsidR="00020F3A" w:rsidRPr="00CB3D47">
        <w:t xml:space="preserve">standard regression analyses (e.g. ordinary least squares or random effects models). </w:t>
      </w:r>
      <w:r w:rsidR="007138D6" w:rsidRPr="00CB3D47">
        <w:t xml:space="preserve">The fixed effects approach </w:t>
      </w:r>
      <w:r w:rsidR="009F72E0" w:rsidRPr="00CB3D47">
        <w:t xml:space="preserve">accounts </w:t>
      </w:r>
      <w:r w:rsidR="00832E9A" w:rsidRPr="00CB3D47">
        <w:t>for any unmeasured</w:t>
      </w:r>
      <w:r w:rsidR="00832E9A" w:rsidRPr="004804E7">
        <w:t xml:space="preserve"> confounding variables that </w:t>
      </w:r>
      <w:r w:rsidR="009F72E0" w:rsidRPr="00B67028">
        <w:t xml:space="preserve">are </w:t>
      </w:r>
      <w:r w:rsidR="00832E9A" w:rsidRPr="00B67028">
        <w:t>constant over time</w:t>
      </w:r>
      <w:r w:rsidR="00460CD8">
        <w:t xml:space="preserve"> (e.g., </w:t>
      </w:r>
      <w:r w:rsidR="008F2154">
        <w:t xml:space="preserve">time constant </w:t>
      </w:r>
      <w:r w:rsidR="00832E9A" w:rsidRPr="0052692D">
        <w:t>personal p</w:t>
      </w:r>
      <w:r w:rsidR="00832E9A" w:rsidRPr="0032538D">
        <w:t>references</w:t>
      </w:r>
      <w:r w:rsidR="00460CD8">
        <w:t>)</w:t>
      </w:r>
      <w:r w:rsidR="00973EC6">
        <w:t>, thereby reducing</w:t>
      </w:r>
      <w:r w:rsidR="007C3A2A" w:rsidRPr="00C94226">
        <w:t xml:space="preserve"> </w:t>
      </w:r>
      <w:r w:rsidR="00832E9A" w:rsidRPr="00C94226">
        <w:t xml:space="preserve"> </w:t>
      </w:r>
      <w:r w:rsidR="00832E9A" w:rsidRPr="00511182">
        <w:t xml:space="preserve">estimation biases </w:t>
      </w:r>
      <w:r w:rsidR="00DB274F" w:rsidRPr="00511182">
        <w:fldChar w:fldCharType="begin"/>
      </w:r>
      <w:r w:rsidR="00FB121F">
        <w:instrText xml:space="preserve"> ADDIN EN.CITE &lt;EndNote&gt;&lt;Cite&gt;&lt;Author&gt;Allison&lt;/Author&gt;&lt;Year&gt;2005&lt;/Year&gt;&lt;RecNum&gt;40&lt;/RecNum&gt;&lt;DisplayText&gt;(Frees 2004, Allison 2005)&lt;/DisplayText&gt;&lt;record&gt;&lt;rec-number&gt;40&lt;/rec-number&gt;&lt;foreign-keys&gt;&lt;key app="EN" db-id="v2aff2fs32ffzhepdayv000k9xppa0zvvdtw"&gt;40&lt;/key&gt;&lt;/foreign-keys&gt;&lt;ref-type name="Book"&gt;6&lt;/ref-type&gt;&lt;contributors&gt;&lt;authors&gt;&lt;author&gt;Allison, Paul D.&lt;/author&gt;&lt;/authors&gt;&lt;/contributors&gt;&lt;titles&gt;&lt;title&gt;Fixed effects regression methods for longitudinal data using SAS&lt;/title&gt;&lt;/titles&gt;&lt;dates&gt;&lt;year&gt;2005&lt;/year&gt;&lt;/dates&gt;&lt;pub-location&gt;Cary, NC&lt;/pub-location&gt;&lt;publisher&gt;SAS Institute, Inc&lt;/publisher&gt;&lt;urls&gt;&lt;/urls&gt;&lt;/record&gt;&lt;/Cite&gt;&lt;Cite&gt;&lt;Author&gt;Frees&lt;/Author&gt;&lt;Year&gt;2004&lt;/Year&gt;&lt;RecNum&gt;39&lt;/RecNum&gt;&lt;record&gt;&lt;rec-number&gt;39&lt;/rec-number&gt;&lt;foreign-keys&gt;&lt;key app="EN" db-id="dp0x5dweyf5fpve0aecvexej50xdfspe0wdp"&gt;39&lt;/key&gt;&lt;/foreign-keys&gt;&lt;ref-type name="Book"&gt;6&lt;/ref-type&gt;&lt;contributors&gt;&lt;authors&gt;&lt;author&gt;Frees, E.&lt;/author&gt;&lt;/authors&gt;&lt;/contributors&gt;&lt;titles&gt;&lt;title&gt;Longitudinal and panel data: Analysis and applications in the social sciences&lt;/title&gt;&lt;/titles&gt;&lt;dates&gt;&lt;year&gt;2004&lt;/year&gt;&lt;/dates&gt;&lt;pub-location&gt;New York&lt;/pub-location&gt;&lt;publisher&gt;Cambridge University Press&lt;/publisher&gt;&lt;urls&gt;&lt;/urls&gt;&lt;/record&gt;&lt;/Cite&gt;&lt;/EndNote&gt;</w:instrText>
      </w:r>
      <w:r w:rsidR="00DB274F" w:rsidRPr="00511182">
        <w:fldChar w:fldCharType="separate"/>
      </w:r>
      <w:r w:rsidR="00752723" w:rsidRPr="00511182">
        <w:rPr>
          <w:noProof/>
        </w:rPr>
        <w:t>(</w:t>
      </w:r>
      <w:hyperlink w:anchor="_ENREF_12" w:tooltip="Frees, 2004 #39" w:history="1">
        <w:r w:rsidR="00DD02A3" w:rsidRPr="00511182">
          <w:rPr>
            <w:noProof/>
          </w:rPr>
          <w:t>Frees 2004</w:t>
        </w:r>
      </w:hyperlink>
      <w:r w:rsidR="00752723" w:rsidRPr="00511182">
        <w:rPr>
          <w:noProof/>
        </w:rPr>
        <w:t xml:space="preserve">, </w:t>
      </w:r>
      <w:hyperlink w:anchor="_ENREF_1" w:tooltip="Allison, 2005 #40" w:history="1">
        <w:r w:rsidR="00DD02A3" w:rsidRPr="00511182">
          <w:rPr>
            <w:noProof/>
          </w:rPr>
          <w:t>Allison 2005</w:t>
        </w:r>
      </w:hyperlink>
      <w:r w:rsidR="00752723" w:rsidRPr="00511182">
        <w:rPr>
          <w:noProof/>
        </w:rPr>
        <w:t>)</w:t>
      </w:r>
      <w:r w:rsidR="00DB274F" w:rsidRPr="00511182">
        <w:fldChar w:fldCharType="end"/>
      </w:r>
      <w:r w:rsidR="00642CA1" w:rsidRPr="00511182">
        <w:t>.</w:t>
      </w:r>
      <w:r w:rsidR="005141B0" w:rsidRPr="00511182">
        <w:t xml:space="preserve"> To explain the methods behind the fixed effects estimators, in a simplified manner, </w:t>
      </w:r>
      <w:r w:rsidR="00973EC6">
        <w:t>let us</w:t>
      </w:r>
      <w:r w:rsidR="00327F80" w:rsidRPr="00511182">
        <w:t xml:space="preserve"> assume</w:t>
      </w:r>
      <w:r w:rsidR="005141B0" w:rsidRPr="00511182">
        <w:t xml:space="preserve"> that there is only one source of unobserved group heterogeneity </w:t>
      </w:r>
      <w:r w:rsidR="00327F80" w:rsidRPr="00511182">
        <w:t>(for</w:t>
      </w:r>
      <w:r w:rsidR="005141B0" w:rsidRPr="00511182">
        <w:t xml:space="preserve"> example, </w:t>
      </w:r>
      <w:r w:rsidR="005141B0" w:rsidRPr="003F59B4">
        <w:t>time constant personal preferences)</w:t>
      </w:r>
      <w:r w:rsidR="00B77585" w:rsidRPr="003F59B4">
        <w:t xml:space="preserve">. </w:t>
      </w:r>
      <w:r w:rsidR="005141B0" w:rsidRPr="003F59B4">
        <w:t xml:space="preserve"> </w:t>
      </w:r>
      <w:r w:rsidR="00973EC6">
        <w:t>In this case the</w:t>
      </w:r>
      <w:r w:rsidR="00D3664D">
        <w:t xml:space="preserve"> fixed </w:t>
      </w:r>
      <w:r w:rsidR="005141B0" w:rsidRPr="003F59B4">
        <w:t xml:space="preserve">effects estimator </w:t>
      </w:r>
      <w:r w:rsidRPr="003F59B4">
        <w:t xml:space="preserve">would be </w:t>
      </w:r>
      <w:r w:rsidR="005141B0" w:rsidRPr="003F59B4">
        <w:t>equivalent to de</w:t>
      </w:r>
      <w:r w:rsidR="00D3664D">
        <w:t>-</w:t>
      </w:r>
      <w:r w:rsidR="005141B0" w:rsidRPr="003F59B4">
        <w:t xml:space="preserve">meaning </w:t>
      </w:r>
      <w:r w:rsidR="00B77585" w:rsidRPr="003F59B4">
        <w:t xml:space="preserve">the </w:t>
      </w:r>
      <w:r w:rsidR="005141B0" w:rsidRPr="003F59B4">
        <w:t>dependent and independent variables with respect to the group (</w:t>
      </w:r>
      <w:r w:rsidR="00E963B4" w:rsidRPr="003F59B4">
        <w:t>i.e.</w:t>
      </w:r>
      <w:r w:rsidR="00D3664D">
        <w:t>,</w:t>
      </w:r>
      <w:r w:rsidR="00E963B4" w:rsidRPr="003F59B4">
        <w:t xml:space="preserve"> the person </w:t>
      </w:r>
      <w:r w:rsidR="005141B0" w:rsidRPr="003F59B4">
        <w:t xml:space="preserve">in </w:t>
      </w:r>
      <w:r w:rsidR="00B77585" w:rsidRPr="003F59B4">
        <w:t xml:space="preserve">the </w:t>
      </w:r>
      <w:r w:rsidR="005141B0" w:rsidRPr="003F59B4">
        <w:t xml:space="preserve">case of </w:t>
      </w:r>
      <w:r w:rsidR="00D3664D">
        <w:t>multiple observations of the same person in longitudinal</w:t>
      </w:r>
      <w:r w:rsidR="00D3664D" w:rsidRPr="003F59B4">
        <w:t xml:space="preserve"> </w:t>
      </w:r>
      <w:r w:rsidR="005141B0" w:rsidRPr="003F59B4">
        <w:t>data</w:t>
      </w:r>
      <w:r w:rsidR="00327F80" w:rsidRPr="003F59B4">
        <w:t>) and</w:t>
      </w:r>
      <w:r w:rsidR="005141B0" w:rsidRPr="003F59B4">
        <w:t xml:space="preserve"> then estimating the model using </w:t>
      </w:r>
      <w:r w:rsidR="008D4F89" w:rsidRPr="003F59B4">
        <w:t>ordinary least squares</w:t>
      </w:r>
      <w:r w:rsidR="005141B0" w:rsidRPr="003F59B4">
        <w:t xml:space="preserve">. </w:t>
      </w:r>
      <w:r w:rsidRPr="003F59B4">
        <w:t>This is why in binary fixed effects regression models, estimates of time constant control</w:t>
      </w:r>
      <w:r w:rsidR="00511182" w:rsidRPr="003F59B4">
        <w:t xml:space="preserve"> </w:t>
      </w:r>
      <w:r w:rsidR="00FD6E18" w:rsidRPr="003F59B4">
        <w:t xml:space="preserve">variables </w:t>
      </w:r>
      <w:r w:rsidR="00FD6E18">
        <w:t>(</w:t>
      </w:r>
      <w:r w:rsidR="00D3664D">
        <w:t>e.g., sex)</w:t>
      </w:r>
      <w:r w:rsidRPr="003F59B4">
        <w:t xml:space="preserve"> </w:t>
      </w:r>
      <w:r w:rsidR="00511182" w:rsidRPr="003F59B4">
        <w:t>are not computed</w:t>
      </w:r>
      <w:r w:rsidR="00EB1130">
        <w:t>. T</w:t>
      </w:r>
      <w:r w:rsidR="00E963B4" w:rsidRPr="003F59B4">
        <w:t>he</w:t>
      </w:r>
      <w:r w:rsidR="00D3664D">
        <w:t>y</w:t>
      </w:r>
      <w:r w:rsidR="00E963B4" w:rsidRPr="003F59B4">
        <w:t xml:space="preserve"> depend on within</w:t>
      </w:r>
      <w:r w:rsidR="00D3664D">
        <w:t>-</w:t>
      </w:r>
      <w:r w:rsidR="00E963B4" w:rsidRPr="003F59B4">
        <w:t>person changes</w:t>
      </w:r>
      <w:r w:rsidRPr="003F59B4">
        <w:t xml:space="preserve">. </w:t>
      </w:r>
      <w:r w:rsidR="00D3664D">
        <w:t>F</w:t>
      </w:r>
      <w:r w:rsidR="00511182" w:rsidRPr="003F59B4">
        <w:t xml:space="preserve">ixed effects </w:t>
      </w:r>
      <w:r w:rsidRPr="003F59B4">
        <w:t xml:space="preserve">give </w:t>
      </w:r>
      <w:r w:rsidR="008D4F89" w:rsidRPr="003F59B4">
        <w:t xml:space="preserve">us unbiased estimates for </w:t>
      </w:r>
      <w:r w:rsidR="00D3664D">
        <w:t xml:space="preserve">the main exposure of interest – in this case </w:t>
      </w:r>
      <w:r w:rsidR="008D4F89" w:rsidRPr="003F59B4">
        <w:t xml:space="preserve">the change in </w:t>
      </w:r>
      <w:r w:rsidR="00DC05D5">
        <w:t>Walk Score®</w:t>
      </w:r>
      <w:r w:rsidR="008D4F89" w:rsidRPr="003F59B4">
        <w:t xml:space="preserve"> quartiles as a result of moving</w:t>
      </w:r>
      <w:r w:rsidR="00D3664D">
        <w:t xml:space="preserve"> </w:t>
      </w:r>
      <w:r w:rsidR="003F59B4" w:rsidRPr="003F59B4">
        <w:t>from potential measured or unmeasured time constant confounders.</w:t>
      </w:r>
    </w:p>
    <w:p w14:paraId="4E75A335" w14:textId="77777777" w:rsidR="00B82FDE" w:rsidRDefault="002936F9" w:rsidP="00D83242">
      <w:pPr>
        <w:pStyle w:val="MediumGrid21"/>
        <w:spacing w:before="120" w:after="120" w:line="480" w:lineRule="auto"/>
        <w:rPr>
          <w:rFonts w:ascii="Times New Roman" w:hAnsi="Times New Roman"/>
          <w:b/>
          <w:sz w:val="32"/>
          <w:szCs w:val="32"/>
        </w:rPr>
      </w:pPr>
      <w:r w:rsidRPr="006B79C8">
        <w:rPr>
          <w:rFonts w:ascii="Times New Roman" w:hAnsi="Times New Roman"/>
          <w:b/>
          <w:sz w:val="32"/>
          <w:szCs w:val="32"/>
        </w:rPr>
        <w:t>R</w:t>
      </w:r>
      <w:r>
        <w:rPr>
          <w:rFonts w:ascii="Times New Roman" w:hAnsi="Times New Roman"/>
          <w:b/>
          <w:sz w:val="32"/>
          <w:szCs w:val="32"/>
        </w:rPr>
        <w:t>ESULTS</w:t>
      </w:r>
    </w:p>
    <w:p w14:paraId="120311C2" w14:textId="77777777" w:rsidR="006E04C0" w:rsidRPr="00836B7E" w:rsidRDefault="00BC7587" w:rsidP="00D83242">
      <w:pPr>
        <w:pStyle w:val="MediumGrid21"/>
        <w:spacing w:before="120" w:after="120" w:line="480" w:lineRule="auto"/>
        <w:rPr>
          <w:rFonts w:ascii="Times New Roman" w:hAnsi="Times New Roman"/>
          <w:b/>
          <w:iCs/>
          <w:color w:val="000000" w:themeColor="text1"/>
          <w:sz w:val="28"/>
          <w:szCs w:val="28"/>
        </w:rPr>
      </w:pPr>
      <w:r w:rsidRPr="00836B7E">
        <w:rPr>
          <w:rFonts w:ascii="Times New Roman" w:hAnsi="Times New Roman"/>
          <w:b/>
          <w:iCs/>
          <w:color w:val="000000" w:themeColor="text1"/>
          <w:sz w:val="28"/>
          <w:szCs w:val="28"/>
        </w:rPr>
        <w:t>Sample description</w:t>
      </w:r>
    </w:p>
    <w:p w14:paraId="1ACCE95D" w14:textId="77777777" w:rsidR="00501022" w:rsidRDefault="006E04C0" w:rsidP="00EC498B">
      <w:pPr>
        <w:spacing w:before="120" w:after="120" w:line="480" w:lineRule="auto"/>
        <w:rPr>
          <w:lang w:val="en-GB"/>
        </w:rPr>
      </w:pPr>
      <w:r w:rsidRPr="00B82FDE">
        <w:t xml:space="preserve">From the 17,276 members of the original NPHS cohort in cycle 1, there were </w:t>
      </w:r>
      <w:r w:rsidRPr="00B82FDE">
        <w:rPr>
          <w:color w:val="000000"/>
          <w:kern w:val="24"/>
        </w:rPr>
        <w:t xml:space="preserve">10,367 </w:t>
      </w:r>
      <w:r w:rsidRPr="00B82FDE">
        <w:t xml:space="preserve">adults living in urban areas, and </w:t>
      </w:r>
      <w:r w:rsidRPr="00B82FDE">
        <w:rPr>
          <w:color w:val="000000"/>
          <w:kern w:val="24"/>
        </w:rPr>
        <w:t xml:space="preserve">6,545 </w:t>
      </w:r>
      <w:r w:rsidRPr="00B82FDE">
        <w:t xml:space="preserve">of them were between the age of 18 and 55 years at baseline (i.e., by last follow-up they were still mainly working age adults). From the 6,545 respondents, </w:t>
      </w:r>
      <w:r w:rsidRPr="00B82FDE">
        <w:rPr>
          <w:color w:val="000000"/>
          <w:kern w:val="24"/>
        </w:rPr>
        <w:t xml:space="preserve">3,483 </w:t>
      </w:r>
      <w:r w:rsidRPr="00B82FDE">
        <w:t xml:space="preserve">did not change their residential locations, or moved once during the survey follow-up period. After exclusions of respondents with inconsistent answers, and people who were lost after the first cycle, we were left with a sample of </w:t>
      </w:r>
      <w:r w:rsidRPr="00B82FDE">
        <w:rPr>
          <w:color w:val="000000"/>
          <w:kern w:val="24"/>
        </w:rPr>
        <w:t xml:space="preserve">2,976 (Figure 1). </w:t>
      </w:r>
      <w:r w:rsidR="008379B6" w:rsidRPr="00752723">
        <w:rPr>
          <w:lang w:val="en-GB"/>
        </w:rPr>
        <w:t xml:space="preserve">Our attrition analysis showed no meaningful differences in health status or utilitarian walking for people who were lost compared to those who remained in the sample (data available upon request). </w:t>
      </w:r>
    </w:p>
    <w:p w14:paraId="42215CDE" w14:textId="77777777" w:rsidR="005E6356" w:rsidRDefault="005E6356" w:rsidP="005E6356">
      <w:pPr>
        <w:spacing w:before="120" w:after="120" w:line="480" w:lineRule="auto"/>
        <w:rPr>
          <w:b/>
        </w:rPr>
      </w:pPr>
      <w:r>
        <w:rPr>
          <w:b/>
          <w:noProof/>
        </w:rPr>
        <mc:AlternateContent>
          <mc:Choice Requires="wpg">
            <w:drawing>
              <wp:anchor distT="0" distB="0" distL="114300" distR="114300" simplePos="0" relativeHeight="251659264" behindDoc="0" locked="0" layoutInCell="1" allowOverlap="1" wp14:anchorId="5F9C335E" wp14:editId="066B98B6">
                <wp:simplePos x="0" y="0"/>
                <wp:positionH relativeFrom="column">
                  <wp:posOffset>511935</wp:posOffset>
                </wp:positionH>
                <wp:positionV relativeFrom="paragraph">
                  <wp:posOffset>40881</wp:posOffset>
                </wp:positionV>
                <wp:extent cx="4631690" cy="3320415"/>
                <wp:effectExtent l="0" t="0" r="16510" b="13335"/>
                <wp:wrapNone/>
                <wp:docPr id="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1690" cy="3320415"/>
                          <a:chOff x="1507" y="1303"/>
                          <a:chExt cx="7403" cy="5354"/>
                        </a:xfrm>
                      </wpg:grpSpPr>
                      <wps:wsp>
                        <wps:cNvPr id="7" name="TextBox 4"/>
                        <wps:cNvSpPr txBox="1">
                          <a:spLocks noChangeArrowheads="1"/>
                        </wps:cNvSpPr>
                        <wps:spPr bwMode="auto">
                          <a:xfrm>
                            <a:off x="1507" y="1303"/>
                            <a:ext cx="7371" cy="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C76CFA" w14:textId="77777777" w:rsidR="005A6957" w:rsidRDefault="005A6957" w:rsidP="005E6356">
                              <w:pPr>
                                <w:pStyle w:val="NormalWeb"/>
                                <w:spacing w:before="0" w:beforeAutospacing="0" w:after="0" w:afterAutospacing="0"/>
                                <w:jc w:val="center"/>
                              </w:pPr>
                              <w:r w:rsidRPr="00EA14A3">
                                <w:rPr>
                                  <w:color w:val="000000"/>
                                  <w:kern w:val="24"/>
                                </w:rPr>
                                <w:t>NPHS original cohort: (N=17,267)</w:t>
                              </w:r>
                            </w:p>
                          </w:txbxContent>
                        </wps:txbx>
                        <wps:bodyPr rot="0" vert="horz" wrap="square" lIns="91440" tIns="45720" rIns="91440" bIns="45720" anchor="t" anchorCtr="0" upright="1">
                          <a:noAutofit/>
                        </wps:bodyPr>
                      </wps:wsp>
                      <wps:wsp>
                        <wps:cNvPr id="9" name="TextBox 7"/>
                        <wps:cNvSpPr txBox="1">
                          <a:spLocks noChangeArrowheads="1"/>
                        </wps:cNvSpPr>
                        <wps:spPr bwMode="auto">
                          <a:xfrm>
                            <a:off x="1525" y="2639"/>
                            <a:ext cx="7385" cy="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FB0341" w14:textId="77777777" w:rsidR="005A6957" w:rsidRDefault="005A6957" w:rsidP="005E6356">
                              <w:pPr>
                                <w:pStyle w:val="NormalWeb"/>
                                <w:spacing w:before="0" w:beforeAutospacing="0" w:after="0" w:afterAutospacing="0"/>
                                <w:jc w:val="center"/>
                              </w:pPr>
                              <w:r w:rsidRPr="00EA14A3">
                                <w:rPr>
                                  <w:color w:val="000000"/>
                                  <w:kern w:val="24"/>
                                </w:rPr>
                                <w:t>Adults 18 years &amp; older at baseline living in urban areas: (</w:t>
                              </w:r>
                              <w:r>
                                <w:rPr>
                                  <w:color w:val="000000"/>
                                  <w:kern w:val="24"/>
                                </w:rPr>
                                <w:t>n</w:t>
                              </w:r>
                              <w:r w:rsidRPr="00EA14A3">
                                <w:rPr>
                                  <w:color w:val="000000"/>
                                  <w:kern w:val="24"/>
                                </w:rPr>
                                <w:t>=10,367)</w:t>
                              </w:r>
                            </w:p>
                          </w:txbxContent>
                        </wps:txbx>
                        <wps:bodyPr rot="0" vert="horz" wrap="square" lIns="91440" tIns="45720" rIns="91440" bIns="45720" anchor="t" anchorCtr="0" upright="1">
                          <a:noAutofit/>
                        </wps:bodyPr>
                      </wps:wsp>
                      <wps:wsp>
                        <wps:cNvPr id="10" name="TextBox 9"/>
                        <wps:cNvSpPr txBox="1">
                          <a:spLocks noChangeArrowheads="1"/>
                        </wps:cNvSpPr>
                        <wps:spPr bwMode="auto">
                          <a:xfrm>
                            <a:off x="1539" y="1979"/>
                            <a:ext cx="7371" cy="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38C3D4" w14:textId="77777777" w:rsidR="005A6957" w:rsidRDefault="005A6957" w:rsidP="005E6356">
                              <w:pPr>
                                <w:pStyle w:val="NormalWeb"/>
                                <w:spacing w:before="0" w:beforeAutospacing="0" w:after="0" w:afterAutospacing="0"/>
                                <w:jc w:val="center"/>
                              </w:pPr>
                              <w:r w:rsidRPr="00EA14A3">
                                <w:rPr>
                                  <w:color w:val="000000"/>
                                  <w:kern w:val="24"/>
                                </w:rPr>
                                <w:t>Adults 18 years &amp; older at baseline: (</w:t>
                              </w:r>
                              <w:r>
                                <w:rPr>
                                  <w:color w:val="000000"/>
                                  <w:kern w:val="24"/>
                                </w:rPr>
                                <w:t>n</w:t>
                              </w:r>
                              <w:r w:rsidRPr="00EA14A3">
                                <w:rPr>
                                  <w:color w:val="000000"/>
                                  <w:kern w:val="24"/>
                                </w:rPr>
                                <w:t>=14,172)</w:t>
                              </w:r>
                            </w:p>
                          </w:txbxContent>
                        </wps:txbx>
                        <wps:bodyPr rot="0" vert="horz" wrap="square" lIns="91440" tIns="45720" rIns="91440" bIns="45720" anchor="t" anchorCtr="0" upright="1">
                          <a:noAutofit/>
                        </wps:bodyPr>
                      </wps:wsp>
                      <wps:wsp>
                        <wps:cNvPr id="11" name="TextBox 10"/>
                        <wps:cNvSpPr txBox="1">
                          <a:spLocks noChangeArrowheads="1"/>
                        </wps:cNvSpPr>
                        <wps:spPr bwMode="auto">
                          <a:xfrm>
                            <a:off x="1539" y="3344"/>
                            <a:ext cx="7371" cy="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3536BD" w14:textId="77777777" w:rsidR="005A6957" w:rsidRDefault="005A6957" w:rsidP="005E6356">
                              <w:pPr>
                                <w:pStyle w:val="NormalWeb"/>
                                <w:spacing w:before="0" w:beforeAutospacing="0" w:after="0" w:afterAutospacing="0"/>
                                <w:jc w:val="center"/>
                              </w:pPr>
                              <w:r w:rsidRPr="00EA14A3">
                                <w:rPr>
                                  <w:color w:val="000000"/>
                                  <w:kern w:val="24"/>
                                </w:rPr>
                                <w:t>Adults (18 years to 55 at baseline) living in urban areas: (</w:t>
                              </w:r>
                              <w:r>
                                <w:rPr>
                                  <w:color w:val="000000"/>
                                  <w:kern w:val="24"/>
                                </w:rPr>
                                <w:t>n</w:t>
                              </w:r>
                              <w:r w:rsidRPr="00EA14A3">
                                <w:rPr>
                                  <w:color w:val="000000"/>
                                  <w:kern w:val="24"/>
                                </w:rPr>
                                <w:t>= 6,545)</w:t>
                              </w:r>
                            </w:p>
                          </w:txbxContent>
                        </wps:txbx>
                        <wps:bodyPr rot="0" vert="horz" wrap="square" lIns="91440" tIns="45720" rIns="91440" bIns="45720" anchor="t" anchorCtr="0" upright="1">
                          <a:noAutofit/>
                        </wps:bodyPr>
                      </wps:wsp>
                      <wps:wsp>
                        <wps:cNvPr id="12" name="TextBox 16"/>
                        <wps:cNvSpPr txBox="1">
                          <a:spLocks noChangeArrowheads="1"/>
                        </wps:cNvSpPr>
                        <wps:spPr bwMode="auto">
                          <a:xfrm>
                            <a:off x="1507" y="4073"/>
                            <a:ext cx="7403" cy="7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44BF83" w14:textId="77777777" w:rsidR="005A6957" w:rsidRDefault="005A6957" w:rsidP="005E6356">
                              <w:pPr>
                                <w:pStyle w:val="NormalWeb"/>
                                <w:spacing w:before="0" w:beforeAutospacing="0" w:after="0" w:afterAutospacing="0"/>
                                <w:jc w:val="center"/>
                              </w:pPr>
                              <w:r w:rsidRPr="00EA14A3">
                                <w:rPr>
                                  <w:color w:val="000000"/>
                                  <w:kern w:val="24"/>
                                </w:rPr>
                                <w:t>Adults (18 years to 55 at baseline) living in urban areas &amp; never moved or moved once: (</w:t>
                              </w:r>
                              <w:r>
                                <w:rPr>
                                  <w:color w:val="000000"/>
                                  <w:kern w:val="24"/>
                                </w:rPr>
                                <w:t>n</w:t>
                              </w:r>
                              <w:r w:rsidRPr="00EA14A3">
                                <w:rPr>
                                  <w:color w:val="000000"/>
                                  <w:kern w:val="24"/>
                                </w:rPr>
                                <w:t>=3483)</w:t>
                              </w:r>
                            </w:p>
                          </w:txbxContent>
                        </wps:txbx>
                        <wps:bodyPr rot="0" vert="horz" wrap="square" lIns="91440" tIns="45720" rIns="91440" bIns="45720" anchor="t" anchorCtr="0" upright="1">
                          <a:noAutofit/>
                        </wps:bodyPr>
                      </wps:wsp>
                      <wps:wsp>
                        <wps:cNvPr id="13" name="TextBox 20"/>
                        <wps:cNvSpPr txBox="1">
                          <a:spLocks noChangeArrowheads="1"/>
                        </wps:cNvSpPr>
                        <wps:spPr bwMode="auto">
                          <a:xfrm>
                            <a:off x="1523" y="5045"/>
                            <a:ext cx="7387" cy="9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4E2671" w14:textId="77777777" w:rsidR="005A6957" w:rsidRDefault="005A6957" w:rsidP="005E6356">
                              <w:pPr>
                                <w:pStyle w:val="NormalWeb"/>
                                <w:spacing w:before="0" w:beforeAutospacing="0" w:after="0" w:afterAutospacing="0"/>
                                <w:jc w:val="center"/>
                              </w:pPr>
                              <w:r w:rsidRPr="00EA14A3">
                                <w:rPr>
                                  <w:color w:val="000000"/>
                                  <w:kern w:val="24"/>
                                </w:rPr>
                                <w:t xml:space="preserve">Adults (18 years to 55 at baseline) living in urban areas &amp; never moved or moved once </w:t>
                              </w:r>
                              <w:r>
                                <w:rPr>
                                  <w:color w:val="000000"/>
                                  <w:kern w:val="24"/>
                                </w:rPr>
                                <w:t>excluding adults that</w:t>
                              </w:r>
                              <w:r w:rsidRPr="00EA14A3">
                                <w:rPr>
                                  <w:color w:val="000000"/>
                                  <w:kern w:val="24"/>
                                </w:rPr>
                                <w:t xml:space="preserve"> </w:t>
                              </w:r>
                              <w:r w:rsidRPr="00A12DF5">
                                <w:rPr>
                                  <w:color w:val="000000"/>
                                  <w:kern w:val="24"/>
                                </w:rPr>
                                <w:t xml:space="preserve">stopped answering the survey </w:t>
                              </w:r>
                              <w:r w:rsidRPr="00EA14A3">
                                <w:rPr>
                                  <w:color w:val="000000"/>
                                  <w:kern w:val="24"/>
                                </w:rPr>
                                <w:t xml:space="preserve"> </w:t>
                              </w:r>
                              <w:r>
                                <w:rPr>
                                  <w:color w:val="000000"/>
                                  <w:kern w:val="24"/>
                                </w:rPr>
                                <w:t>after</w:t>
                              </w:r>
                              <w:r w:rsidRPr="00EA14A3">
                                <w:rPr>
                                  <w:color w:val="000000"/>
                                  <w:kern w:val="24"/>
                                </w:rPr>
                                <w:t xml:space="preserve"> Cycle </w:t>
                              </w:r>
                              <w:r>
                                <w:rPr>
                                  <w:color w:val="000000"/>
                                  <w:kern w:val="24"/>
                                </w:rPr>
                                <w:t>1</w:t>
                              </w:r>
                              <w:r w:rsidRPr="00EA14A3">
                                <w:rPr>
                                  <w:color w:val="000000"/>
                                  <w:kern w:val="24"/>
                                </w:rPr>
                                <w:t>: (</w:t>
                              </w:r>
                              <w:r>
                                <w:rPr>
                                  <w:color w:val="000000"/>
                                  <w:kern w:val="24"/>
                                </w:rPr>
                                <w:t>n</w:t>
                              </w:r>
                              <w:r w:rsidRPr="00EA14A3">
                                <w:rPr>
                                  <w:color w:val="000000"/>
                                  <w:kern w:val="24"/>
                                </w:rPr>
                                <w:t>=</w:t>
                              </w:r>
                              <w:r>
                                <w:rPr>
                                  <w:color w:val="000000"/>
                                  <w:kern w:val="24"/>
                                </w:rPr>
                                <w:t>2976</w:t>
                              </w:r>
                              <w:r w:rsidRPr="00EA14A3">
                                <w:rPr>
                                  <w:color w:val="000000"/>
                                  <w:kern w:val="24"/>
                                </w:rPr>
                                <w:t>)</w:t>
                              </w:r>
                            </w:p>
                          </w:txbxContent>
                        </wps:txbx>
                        <wps:bodyPr rot="0" vert="horz" wrap="square" lIns="91440" tIns="45720" rIns="91440" bIns="45720" anchor="t" anchorCtr="0" upright="1">
                          <a:noAutofit/>
                        </wps:bodyPr>
                      </wps:wsp>
                      <wps:wsp>
                        <wps:cNvPr id="14" name="Down Arrow 17"/>
                        <wps:cNvSpPr>
                          <a:spLocks noChangeArrowheads="1"/>
                        </wps:cNvSpPr>
                        <wps:spPr bwMode="auto">
                          <a:xfrm>
                            <a:off x="5107" y="1739"/>
                            <a:ext cx="144" cy="240"/>
                          </a:xfrm>
                          <a:prstGeom prst="downArrow">
                            <a:avLst>
                              <a:gd name="adj1" fmla="val 50000"/>
                              <a:gd name="adj2" fmla="val 49931"/>
                            </a:avLst>
                          </a:prstGeom>
                          <a:solidFill>
                            <a:srgbClr val="EEECE1"/>
                          </a:solidFill>
                          <a:ln w="25400" algn="ctr">
                            <a:solidFill>
                              <a:srgbClr val="000000"/>
                            </a:solidFill>
                            <a:miter lim="800000"/>
                            <a:headEnd/>
                            <a:tailEnd/>
                          </a:ln>
                        </wps:spPr>
                        <wps:bodyPr rot="0" vert="horz" wrap="square" lIns="91440" tIns="45720" rIns="91440" bIns="45720" anchor="ctr" anchorCtr="0" upright="1">
                          <a:noAutofit/>
                        </wps:bodyPr>
                      </wps:wsp>
                      <wps:wsp>
                        <wps:cNvPr id="15" name="Down Arrow 22"/>
                        <wps:cNvSpPr>
                          <a:spLocks noChangeArrowheads="1"/>
                        </wps:cNvSpPr>
                        <wps:spPr bwMode="auto">
                          <a:xfrm>
                            <a:off x="5107" y="2422"/>
                            <a:ext cx="144" cy="240"/>
                          </a:xfrm>
                          <a:prstGeom prst="downArrow">
                            <a:avLst>
                              <a:gd name="adj1" fmla="val 50000"/>
                              <a:gd name="adj2" fmla="val 49931"/>
                            </a:avLst>
                          </a:prstGeom>
                          <a:solidFill>
                            <a:srgbClr val="EEECE1"/>
                          </a:solidFill>
                          <a:ln w="25400" algn="ctr">
                            <a:solidFill>
                              <a:srgbClr val="000000"/>
                            </a:solidFill>
                            <a:miter lim="800000"/>
                            <a:headEnd/>
                            <a:tailEnd/>
                          </a:ln>
                        </wps:spPr>
                        <wps:bodyPr rot="0" vert="horz" wrap="square" lIns="91440" tIns="45720" rIns="91440" bIns="45720" anchor="ctr" anchorCtr="0" upright="1">
                          <a:noAutofit/>
                        </wps:bodyPr>
                      </wps:wsp>
                      <wps:wsp>
                        <wps:cNvPr id="16" name="Down Arrow 23"/>
                        <wps:cNvSpPr>
                          <a:spLocks noChangeArrowheads="1"/>
                        </wps:cNvSpPr>
                        <wps:spPr bwMode="auto">
                          <a:xfrm>
                            <a:off x="5121" y="3104"/>
                            <a:ext cx="144" cy="240"/>
                          </a:xfrm>
                          <a:prstGeom prst="downArrow">
                            <a:avLst>
                              <a:gd name="adj1" fmla="val 50000"/>
                              <a:gd name="adj2" fmla="val 49931"/>
                            </a:avLst>
                          </a:prstGeom>
                          <a:solidFill>
                            <a:srgbClr val="EEECE1"/>
                          </a:solidFill>
                          <a:ln w="25400" algn="ctr">
                            <a:solidFill>
                              <a:srgbClr val="000000"/>
                            </a:solidFill>
                            <a:miter lim="800000"/>
                            <a:headEnd/>
                            <a:tailEnd/>
                          </a:ln>
                        </wps:spPr>
                        <wps:bodyPr rot="0" vert="horz" wrap="square" lIns="91440" tIns="45720" rIns="91440" bIns="45720" anchor="ctr" anchorCtr="0" upright="1">
                          <a:noAutofit/>
                        </wps:bodyPr>
                      </wps:wsp>
                      <wps:wsp>
                        <wps:cNvPr id="17" name="Down Arrow 24"/>
                        <wps:cNvSpPr>
                          <a:spLocks noChangeArrowheads="1"/>
                        </wps:cNvSpPr>
                        <wps:spPr bwMode="auto">
                          <a:xfrm>
                            <a:off x="5121" y="3801"/>
                            <a:ext cx="144" cy="240"/>
                          </a:xfrm>
                          <a:prstGeom prst="downArrow">
                            <a:avLst>
                              <a:gd name="adj1" fmla="val 50000"/>
                              <a:gd name="adj2" fmla="val 49931"/>
                            </a:avLst>
                          </a:prstGeom>
                          <a:solidFill>
                            <a:srgbClr val="EEECE1"/>
                          </a:solidFill>
                          <a:ln w="25400" algn="ctr">
                            <a:solidFill>
                              <a:srgbClr val="000000"/>
                            </a:solidFill>
                            <a:miter lim="800000"/>
                            <a:headEnd/>
                            <a:tailEnd/>
                          </a:ln>
                        </wps:spPr>
                        <wps:bodyPr rot="0" vert="horz" wrap="square" lIns="91440" tIns="45720" rIns="91440" bIns="45720" anchor="ctr" anchorCtr="0" upright="1">
                          <a:noAutofit/>
                        </wps:bodyPr>
                      </wps:wsp>
                      <wps:wsp>
                        <wps:cNvPr id="18" name="Down Arrow 30"/>
                        <wps:cNvSpPr>
                          <a:spLocks noChangeArrowheads="1"/>
                        </wps:cNvSpPr>
                        <wps:spPr bwMode="auto">
                          <a:xfrm>
                            <a:off x="5123" y="4805"/>
                            <a:ext cx="144" cy="240"/>
                          </a:xfrm>
                          <a:prstGeom prst="downArrow">
                            <a:avLst>
                              <a:gd name="adj1" fmla="val 50000"/>
                              <a:gd name="adj2" fmla="val 49931"/>
                            </a:avLst>
                          </a:prstGeom>
                          <a:solidFill>
                            <a:srgbClr val="EEECE1"/>
                          </a:solidFill>
                          <a:ln w="25400" algn="ctr">
                            <a:solidFill>
                              <a:srgbClr val="000000"/>
                            </a:solidFill>
                            <a:miter lim="800000"/>
                            <a:headEnd/>
                            <a:tailEnd/>
                          </a:ln>
                        </wps:spPr>
                        <wps:bodyPr rot="0" vert="horz" wrap="square" lIns="91440" tIns="45720" rIns="91440" bIns="45720" anchor="ctr" anchorCtr="0" upright="1">
                          <a:noAutofit/>
                        </wps:bodyPr>
                      </wps:wsp>
                      <wps:wsp>
                        <wps:cNvPr id="19" name="TextBox 35"/>
                        <wps:cNvSpPr txBox="1">
                          <a:spLocks noChangeArrowheads="1"/>
                        </wps:cNvSpPr>
                        <wps:spPr bwMode="auto">
                          <a:xfrm>
                            <a:off x="1535" y="6222"/>
                            <a:ext cx="3382" cy="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48786F" w14:textId="77777777" w:rsidR="005A6957" w:rsidRDefault="005A6957" w:rsidP="005E6356">
                              <w:pPr>
                                <w:pStyle w:val="NormalWeb"/>
                                <w:spacing w:before="0" w:beforeAutospacing="0" w:after="0" w:afterAutospacing="0"/>
                                <w:jc w:val="center"/>
                              </w:pPr>
                              <w:r w:rsidRPr="00EA14A3">
                                <w:rPr>
                                  <w:color w:val="000000"/>
                                  <w:kern w:val="24"/>
                                </w:rPr>
                                <w:t xml:space="preserve">Did not </w:t>
                              </w:r>
                              <w:r w:rsidRPr="00AF58DA">
                                <w:rPr>
                                  <w:color w:val="000000"/>
                                  <w:kern w:val="24"/>
                                </w:rPr>
                                <w:t xml:space="preserve">move (N= </w:t>
                              </w:r>
                              <w:r w:rsidRPr="0032538D">
                                <w:rPr>
                                  <w:color w:val="000000"/>
                                  <w:kern w:val="24"/>
                                </w:rPr>
                                <w:t>1663)</w:t>
                              </w:r>
                              <w:r w:rsidRPr="00EA14A3">
                                <w:rPr>
                                  <w:color w:val="000000"/>
                                  <w:kern w:val="24"/>
                                </w:rPr>
                                <w:t xml:space="preserve">  </w:t>
                              </w:r>
                            </w:p>
                          </w:txbxContent>
                        </wps:txbx>
                        <wps:bodyPr rot="0" vert="horz" wrap="square" lIns="91440" tIns="45720" rIns="91440" bIns="45720" anchor="t" anchorCtr="0" upright="1">
                          <a:noAutofit/>
                        </wps:bodyPr>
                      </wps:wsp>
                      <wps:wsp>
                        <wps:cNvPr id="20" name="TextBox 36"/>
                        <wps:cNvSpPr txBox="1">
                          <a:spLocks noChangeArrowheads="1"/>
                        </wps:cNvSpPr>
                        <wps:spPr bwMode="auto">
                          <a:xfrm>
                            <a:off x="5215" y="6205"/>
                            <a:ext cx="3671" cy="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7C514C" w14:textId="77777777" w:rsidR="005A6957" w:rsidRDefault="005A6957" w:rsidP="005E6356">
                              <w:pPr>
                                <w:pStyle w:val="NormalWeb"/>
                                <w:spacing w:before="0" w:beforeAutospacing="0" w:after="0" w:afterAutospacing="0"/>
                                <w:jc w:val="center"/>
                              </w:pPr>
                              <w:r w:rsidRPr="00EA14A3">
                                <w:rPr>
                                  <w:color w:val="000000"/>
                                  <w:kern w:val="24"/>
                                </w:rPr>
                                <w:t xml:space="preserve">Moved </w:t>
                              </w:r>
                              <w:r w:rsidRPr="00AF58DA">
                                <w:rPr>
                                  <w:color w:val="000000"/>
                                  <w:kern w:val="24"/>
                                </w:rPr>
                                <w:t>once (N=1313)</w:t>
                              </w:r>
                              <w:r w:rsidRPr="00EA14A3">
                                <w:rPr>
                                  <w:color w:val="000000"/>
                                  <w:kern w:val="24"/>
                                </w:rPr>
                                <w:t xml:space="preserve"> </w:t>
                              </w:r>
                            </w:p>
                          </w:txbxContent>
                        </wps:txbx>
                        <wps:bodyPr rot="0" vert="horz" wrap="square" lIns="91440" tIns="45720" rIns="91440" bIns="45720" anchor="t" anchorCtr="0" upright="1">
                          <a:noAutofit/>
                        </wps:bodyPr>
                      </wps:wsp>
                      <wps:wsp>
                        <wps:cNvPr id="21" name="Down Arrow 38"/>
                        <wps:cNvSpPr>
                          <a:spLocks noChangeArrowheads="1"/>
                        </wps:cNvSpPr>
                        <wps:spPr bwMode="auto">
                          <a:xfrm>
                            <a:off x="3216" y="5981"/>
                            <a:ext cx="144" cy="240"/>
                          </a:xfrm>
                          <a:prstGeom prst="downArrow">
                            <a:avLst>
                              <a:gd name="adj1" fmla="val 50000"/>
                              <a:gd name="adj2" fmla="val 49931"/>
                            </a:avLst>
                          </a:prstGeom>
                          <a:solidFill>
                            <a:srgbClr val="EEECE1"/>
                          </a:solidFill>
                          <a:ln w="25400" algn="ctr">
                            <a:solidFill>
                              <a:srgbClr val="000000"/>
                            </a:solidFill>
                            <a:miter lim="800000"/>
                            <a:headEnd/>
                            <a:tailEnd/>
                          </a:ln>
                        </wps:spPr>
                        <wps:bodyPr rot="0" vert="horz" wrap="square" lIns="91440" tIns="45720" rIns="91440" bIns="45720" anchor="ctr" anchorCtr="0" upright="1">
                          <a:noAutofit/>
                        </wps:bodyPr>
                      </wps:wsp>
                      <wps:wsp>
                        <wps:cNvPr id="22" name="Down Arrow 39"/>
                        <wps:cNvSpPr>
                          <a:spLocks noChangeArrowheads="1"/>
                        </wps:cNvSpPr>
                        <wps:spPr bwMode="auto">
                          <a:xfrm>
                            <a:off x="6504" y="5965"/>
                            <a:ext cx="144" cy="240"/>
                          </a:xfrm>
                          <a:prstGeom prst="downArrow">
                            <a:avLst>
                              <a:gd name="adj1" fmla="val 50000"/>
                              <a:gd name="adj2" fmla="val 49931"/>
                            </a:avLst>
                          </a:prstGeom>
                          <a:solidFill>
                            <a:srgbClr val="EEECE1"/>
                          </a:solidFill>
                          <a:ln w="254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C335E" id="Group 115" o:spid="_x0000_s1026" style="position:absolute;margin-left:40.3pt;margin-top:3.2pt;width:364.7pt;height:261.45pt;z-index:251659264" coordorigin="1507,1303" coordsize="7403,5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">
                <v:shapetype id="_x0000_t202" coordsize="21600,21600" o:spt="202" path="m,l,21600r21600,l21600,xe">
                  <v:stroke joinstyle="miter"/>
                  <v:path gradientshapeok="t" o:connecttype="rect"/>
                </v:shapetype>
                <v:shape id="TextBox 4" o:spid="_x0000_s1027" type="#_x0000_t202" style="position:absolute;left:1507;top:1303;width:7371;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wl8AA&#10;AADaAAAADwAAAGRycy9kb3ducmV2LnhtbERPTWvCQBC9F/oflin0ppsqmBpdpaiFHjWmeh2zYxLM&#10;zobsVqO/3hWEHh/vezrvTC3O1LrKsoKPfgSCOLe64kJBtv3ufYJwHlljbZkUXMnBfPb6MsVE2wtv&#10;6Jz6QoQQdgkqKL1vEildXpJB17cNceCOtjXoA2wLqVu8hHBTy0EUjaTBikNDiQ0tSspP6Z8JMwb7&#10;bLhcpxTHeBguV7ff8XFXK/X+1n1NQHjq/L/46f7RCmJ4XAl+kL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2wl8AAAADaAAAADwAAAAAAAAAAAAAAAACYAgAAZHJzL2Rvd25y&#10;ZXYueG1sUEsFBgAAAAAEAAQA9QAAAIUDAAAAAA==&#10;" filled="f">
                  <v:textbox>
                    <w:txbxContent>
                      <w:p w14:paraId="68C76CFA" w14:textId="77777777" w:rsidR="005A6957" w:rsidRDefault="005A6957" w:rsidP="005E6356">
                        <w:pPr>
                          <w:pStyle w:val="NormalWeb"/>
                          <w:spacing w:before="0" w:beforeAutospacing="0" w:after="0" w:afterAutospacing="0"/>
                          <w:jc w:val="center"/>
                        </w:pPr>
                        <w:r w:rsidRPr="00EA14A3">
                          <w:rPr>
                            <w:color w:val="000000"/>
                            <w:kern w:val="24"/>
                          </w:rPr>
                          <w:t>NPHS original cohort: (N=17,267)</w:t>
                        </w:r>
                      </w:p>
                    </w:txbxContent>
                  </v:textbox>
                </v:shape>
                <v:shape id="TextBox 7" o:spid="_x0000_s1028" type="#_x0000_t202" style="position:absolute;left:1525;top:2639;width:738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6BfsAA&#10;AADaAAAADwAAAGRycy9kb3ducmV2LnhtbERPTWvCQBC9F/wPywje6sYIVaNrkNpCjzba9jrNjkkw&#10;Oxuya5L667sFocfH+96kg6lFR62rLCuYTSMQxLnVFRcKTsfXxyUI55E11pZJwQ85SLejhw0m2vb8&#10;Tl3mCxFC2CWooPS+SaR0eUkG3dQ2xIE729agD7AtpG6xD+GmlnEUPUmDFYeGEht6Lim/ZFcTZsRf&#10;p/n+kNFigd/z/cvtY3X+rJWajIfdGoSnwf+L7+43rWAFf1eCH+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6BfsAAAADaAAAADwAAAAAAAAAAAAAAAACYAgAAZHJzL2Rvd25y&#10;ZXYueG1sUEsFBgAAAAAEAAQA9QAAAIUDAAAAAA==&#10;" filled="f">
                  <v:textbox>
                    <w:txbxContent>
                      <w:p w14:paraId="0CFB0341" w14:textId="77777777" w:rsidR="005A6957" w:rsidRDefault="005A6957" w:rsidP="005E6356">
                        <w:pPr>
                          <w:pStyle w:val="NormalWeb"/>
                          <w:spacing w:before="0" w:beforeAutospacing="0" w:after="0" w:afterAutospacing="0"/>
                          <w:jc w:val="center"/>
                        </w:pPr>
                        <w:r w:rsidRPr="00EA14A3">
                          <w:rPr>
                            <w:color w:val="000000"/>
                            <w:kern w:val="24"/>
                          </w:rPr>
                          <w:t>Adults 18 years &amp; older at baseline living in urban areas: (</w:t>
                        </w:r>
                        <w:r>
                          <w:rPr>
                            <w:color w:val="000000"/>
                            <w:kern w:val="24"/>
                          </w:rPr>
                          <w:t>n</w:t>
                        </w:r>
                        <w:r w:rsidRPr="00EA14A3">
                          <w:rPr>
                            <w:color w:val="000000"/>
                            <w:kern w:val="24"/>
                          </w:rPr>
                          <w:t>=10,367)</w:t>
                        </w:r>
                      </w:p>
                    </w:txbxContent>
                  </v:textbox>
                </v:shape>
                <v:shape id="TextBox 9" o:spid="_x0000_s1029" type="#_x0000_t202" style="position:absolute;left:1539;top:1979;width:7371;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OsQA&#10;AADbAAAADwAAAGRycy9kb3ducmV2LnhtbESPS2/CQAyE75X6H1auxK1sClKBwIIQD6nHNryuJmuS&#10;qFlvlF0g7a+vD5W4eeT5xuPZonO1ulEbKs8G3voJKOLc24oLA/vd9nUMKkRki7VnMvBDARbz56cZ&#10;ptbf+YtuWSyUhHBI0UAZY5NqHfKSHIa+b4hld/GtwyiyLbRt8S7hrtaDJHnXDiuWCyU2tCop/86u&#10;TmoMTvvh+jOj0QjPw/Xm9zC5HGtjei/dcgoqUhcf5n/6wwon7eUXGU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w/jrEAAAA2wAAAA8AAAAAAAAAAAAAAAAAmAIAAGRycy9k&#10;b3ducmV2LnhtbFBLBQYAAAAABAAEAPUAAACJAwAAAAA=&#10;" filled="f">
                  <v:textbox>
                    <w:txbxContent>
                      <w:p w14:paraId="0438C3D4" w14:textId="77777777" w:rsidR="005A6957" w:rsidRDefault="005A6957" w:rsidP="005E6356">
                        <w:pPr>
                          <w:pStyle w:val="NormalWeb"/>
                          <w:spacing w:before="0" w:beforeAutospacing="0" w:after="0" w:afterAutospacing="0"/>
                          <w:jc w:val="center"/>
                        </w:pPr>
                        <w:r w:rsidRPr="00EA14A3">
                          <w:rPr>
                            <w:color w:val="000000"/>
                            <w:kern w:val="24"/>
                          </w:rPr>
                          <w:t>Adults 18 years &amp; older at baseline: (</w:t>
                        </w:r>
                        <w:r>
                          <w:rPr>
                            <w:color w:val="000000"/>
                            <w:kern w:val="24"/>
                          </w:rPr>
                          <w:t>n</w:t>
                        </w:r>
                        <w:r w:rsidRPr="00EA14A3">
                          <w:rPr>
                            <w:color w:val="000000"/>
                            <w:kern w:val="24"/>
                          </w:rPr>
                          <w:t>=14,172)</w:t>
                        </w:r>
                      </w:p>
                    </w:txbxContent>
                  </v:textbox>
                </v:shape>
                <v:shape id="TextBox 10" o:spid="_x0000_s1030" type="#_x0000_t202" style="position:absolute;left:1539;top:3344;width:7371;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bocUA&#10;AADbAAAADwAAAGRycy9kb3ducmV2LnhtbESPQWvCQBCF7wX/wzKCt2ajgWqjq0jTQo82pu11zI5J&#10;MDsbsqum/vpuQehthve+N29Wm8G04kK9aywrmEYxCOLS6oYrBcX+7XEBwnlkja1lUvBDDjbr0cMK&#10;U22v/EGX3FcihLBLUUHtfZdK6cqaDLrIdsRBO9reoA9rX0nd4zWEm1bO4vhJGmw4XKixo5eaylN+&#10;NqHG7LtIsl1O8zkekuz19vl8/GqVmoyH7RKEp8H/m+/0uw7cFP5+CQP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uhxQAAANsAAAAPAAAAAAAAAAAAAAAAAJgCAABkcnMv&#10;ZG93bnJldi54bWxQSwUGAAAAAAQABAD1AAAAigMAAAAA&#10;" filled="f">
                  <v:textbox>
                    <w:txbxContent>
                      <w:p w14:paraId="483536BD" w14:textId="77777777" w:rsidR="005A6957" w:rsidRDefault="005A6957" w:rsidP="005E6356">
                        <w:pPr>
                          <w:pStyle w:val="NormalWeb"/>
                          <w:spacing w:before="0" w:beforeAutospacing="0" w:after="0" w:afterAutospacing="0"/>
                          <w:jc w:val="center"/>
                        </w:pPr>
                        <w:r w:rsidRPr="00EA14A3">
                          <w:rPr>
                            <w:color w:val="000000"/>
                            <w:kern w:val="24"/>
                          </w:rPr>
                          <w:t>Adults (18 years to 55 at baseline) living in urban areas: (</w:t>
                        </w:r>
                        <w:r>
                          <w:rPr>
                            <w:color w:val="000000"/>
                            <w:kern w:val="24"/>
                          </w:rPr>
                          <w:t>n</w:t>
                        </w:r>
                        <w:r w:rsidRPr="00EA14A3">
                          <w:rPr>
                            <w:color w:val="000000"/>
                            <w:kern w:val="24"/>
                          </w:rPr>
                          <w:t>= 6,545)</w:t>
                        </w:r>
                      </w:p>
                    </w:txbxContent>
                  </v:textbox>
                </v:shape>
                <v:shape id="TextBox 16" o:spid="_x0000_s1031" type="#_x0000_t202" style="position:absolute;left:1507;top:4073;width:7403;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7F1sQA&#10;AADbAAAADwAAAGRycy9kb3ducmV2LnhtbESPQWvCQBCF7wX/wzJCb3WjgWqjmyDaQo9ttO11zI5J&#10;MDsbstsY/fVdQehthve+N29W2WAa0VPnassKppMIBHFhdc2lgv3u7WkBwnlkjY1lUnAhB1k6elhh&#10;ou2ZP6nPfSlCCLsEFVTet4mUrqjIoJvYljhoR9sZ9GHtSqk7PIdw08hZFD1LgzWHCxW2tKmoOOW/&#10;JtSY/ezj7UdO8zke4u3r9evl+N0o9Tge1ksQngb/b77T7/rGwe2XMI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uxdbEAAAA2wAAAA8AAAAAAAAAAAAAAAAAmAIAAGRycy9k&#10;b3ducmV2LnhtbFBLBQYAAAAABAAEAPUAAACJAwAAAAA=&#10;" filled="f">
                  <v:textbox>
                    <w:txbxContent>
                      <w:p w14:paraId="5D44BF83" w14:textId="77777777" w:rsidR="005A6957" w:rsidRDefault="005A6957" w:rsidP="005E6356">
                        <w:pPr>
                          <w:pStyle w:val="NormalWeb"/>
                          <w:spacing w:before="0" w:beforeAutospacing="0" w:after="0" w:afterAutospacing="0"/>
                          <w:jc w:val="center"/>
                        </w:pPr>
                        <w:r w:rsidRPr="00EA14A3">
                          <w:rPr>
                            <w:color w:val="000000"/>
                            <w:kern w:val="24"/>
                          </w:rPr>
                          <w:t>Adults (18 years to 55 at baseline) living in urban areas &amp; never moved or moved once: (</w:t>
                        </w:r>
                        <w:r>
                          <w:rPr>
                            <w:color w:val="000000"/>
                            <w:kern w:val="24"/>
                          </w:rPr>
                          <w:t>n</w:t>
                        </w:r>
                        <w:r w:rsidRPr="00EA14A3">
                          <w:rPr>
                            <w:color w:val="000000"/>
                            <w:kern w:val="24"/>
                          </w:rPr>
                          <w:t>=3483)</w:t>
                        </w:r>
                      </w:p>
                    </w:txbxContent>
                  </v:textbox>
                </v:shape>
                <v:shape id="TextBox 20" o:spid="_x0000_s1032" type="#_x0000_t202" style="position:absolute;left:1523;top:5045;width:7387;height: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gTcUA&#10;AADbAAAADwAAAGRycy9kb3ducmV2LnhtbESPS2/CMBCE70j9D9ZW6g2cEqm0AQdVPCSOkKbtdRtv&#10;HiJeR7ELKb8eI1XitquZb3Z2sRxMK07Uu8aygudJBIK4sLrhSkH+sR2/gnAeWWNrmRT8kYNl+jBa&#10;YKLtmQ90ynwlQgi7BBXU3neJlK6oyaCb2I44aKXtDfqw9pXUPZ5DuGnlNIpepMGGw4UaO1rVVByz&#10;XxNqTL/zeL3PaDbDn3i9uXy+lV+tUk+Pw/schKfB383/9E4HLobbL2EAm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mBNxQAAANsAAAAPAAAAAAAAAAAAAAAAAJgCAABkcnMv&#10;ZG93bnJldi54bWxQSwUGAAAAAAQABAD1AAAAigMAAAAA&#10;" filled="f">
                  <v:textbox>
                    <w:txbxContent>
                      <w:p w14:paraId="464E2671" w14:textId="77777777" w:rsidR="005A6957" w:rsidRDefault="005A6957" w:rsidP="005E6356">
                        <w:pPr>
                          <w:pStyle w:val="NormalWeb"/>
                          <w:spacing w:before="0" w:beforeAutospacing="0" w:after="0" w:afterAutospacing="0"/>
                          <w:jc w:val="center"/>
                        </w:pPr>
                        <w:r w:rsidRPr="00EA14A3">
                          <w:rPr>
                            <w:color w:val="000000"/>
                            <w:kern w:val="24"/>
                          </w:rPr>
                          <w:t xml:space="preserve">Adults (18 years to 55 at baseline) living in urban areas &amp; never moved or moved once </w:t>
                        </w:r>
                        <w:r>
                          <w:rPr>
                            <w:color w:val="000000"/>
                            <w:kern w:val="24"/>
                          </w:rPr>
                          <w:t>excluding adults that</w:t>
                        </w:r>
                        <w:r w:rsidRPr="00EA14A3">
                          <w:rPr>
                            <w:color w:val="000000"/>
                            <w:kern w:val="24"/>
                          </w:rPr>
                          <w:t xml:space="preserve"> </w:t>
                        </w:r>
                        <w:r w:rsidRPr="00A12DF5">
                          <w:rPr>
                            <w:color w:val="000000"/>
                            <w:kern w:val="24"/>
                          </w:rPr>
                          <w:t xml:space="preserve">stopped answering the survey </w:t>
                        </w:r>
                        <w:r w:rsidRPr="00EA14A3">
                          <w:rPr>
                            <w:color w:val="000000"/>
                            <w:kern w:val="24"/>
                          </w:rPr>
                          <w:t xml:space="preserve"> </w:t>
                        </w:r>
                        <w:r>
                          <w:rPr>
                            <w:color w:val="000000"/>
                            <w:kern w:val="24"/>
                          </w:rPr>
                          <w:t>after</w:t>
                        </w:r>
                        <w:r w:rsidRPr="00EA14A3">
                          <w:rPr>
                            <w:color w:val="000000"/>
                            <w:kern w:val="24"/>
                          </w:rPr>
                          <w:t xml:space="preserve"> Cycle </w:t>
                        </w:r>
                        <w:r>
                          <w:rPr>
                            <w:color w:val="000000"/>
                            <w:kern w:val="24"/>
                          </w:rPr>
                          <w:t>1</w:t>
                        </w:r>
                        <w:r w:rsidRPr="00EA14A3">
                          <w:rPr>
                            <w:color w:val="000000"/>
                            <w:kern w:val="24"/>
                          </w:rPr>
                          <w:t>: (</w:t>
                        </w:r>
                        <w:r>
                          <w:rPr>
                            <w:color w:val="000000"/>
                            <w:kern w:val="24"/>
                          </w:rPr>
                          <w:t>n</w:t>
                        </w:r>
                        <w:r w:rsidRPr="00EA14A3">
                          <w:rPr>
                            <w:color w:val="000000"/>
                            <w:kern w:val="24"/>
                          </w:rPr>
                          <w:t>=</w:t>
                        </w:r>
                        <w:r>
                          <w:rPr>
                            <w:color w:val="000000"/>
                            <w:kern w:val="24"/>
                          </w:rPr>
                          <w:t>2976</w:t>
                        </w:r>
                        <w:r w:rsidRPr="00EA14A3">
                          <w:rPr>
                            <w:color w:val="000000"/>
                            <w:kern w:val="24"/>
                          </w:rPr>
                          <w: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7" o:spid="_x0000_s1033" type="#_x0000_t67" style="position:absolute;left:5107;top:1739;width:144;height: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AmJsMA&#10;AADbAAAADwAAAGRycy9kb3ducmV2LnhtbERPS2sCMRC+C/0PYQpeimaVImU1igg+oAfR9qC3cTPd&#10;3bqZrElc13/fCAVv8/E9ZzJrTSUacr60rGDQT0AQZ1aXnCv4/lr2PkD4gKyxskwK7uRhNn3pTDDV&#10;9sY7avYhFzGEfYoKihDqVEqfFWTQ921NHLkf6wyGCF0utcNbDDeVHCbJSBosOTYUWNOioOy8vxoF&#10;a38YXA5H/h2tV7J5a3anrbt/KtV9bedjEIHa8BT/uzc6zn+Hxy/xAD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AmJsMAAADbAAAADwAAAAAAAAAAAAAAAACYAgAAZHJzL2Rv&#10;d25yZXYueG1sUEsFBgAAAAAEAAQA9QAAAIgDAAAAAA==&#10;" adj="15129" fillcolor="#eeece1" strokeweight="2pt"/>
                <v:shape id="Down Arrow 22" o:spid="_x0000_s1034" type="#_x0000_t67" style="position:absolute;left:5107;top:2422;width:144;height: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yDvcMA&#10;AADbAAAADwAAAGRycy9kb3ducmV2LnhtbERPS2sCMRC+C/0PYQpeimYVKmU1igg+oAfR9qC3cTPd&#10;3bqZrElc13/fCAVv8/E9ZzJrTSUacr60rGDQT0AQZ1aXnCv4/lr2PkD4gKyxskwK7uRhNn3pTDDV&#10;9sY7avYhFzGEfYoKihDqVEqfFWTQ921NHLkf6wyGCF0utcNbDDeVHCbJSBosOTYUWNOioOy8vxoF&#10;a38YXA5H/h2tV7J5a3anrbt/KtV9bedjEIHa8BT/uzc6zn+Hxy/xAD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yDvcMAAADbAAAADwAAAAAAAAAAAAAAAACYAgAAZHJzL2Rv&#10;d25yZXYueG1sUEsFBgAAAAAEAAQA9QAAAIgDAAAAAA==&#10;" adj="15129" fillcolor="#eeece1" strokeweight="2pt"/>
                <v:shape id="Down Arrow 23" o:spid="_x0000_s1035" type="#_x0000_t67" style="position:absolute;left:5121;top:3104;width:144;height: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4dysMA&#10;AADbAAAADwAAAGRycy9kb3ducmV2LnhtbERPS2vCQBC+F/wPywheim70EEp0lSKoBQ/i46C3aXaa&#10;pGZn0901xn/vFgq9zcf3nNmiM7VoyfnKsoLxKAFBnFtdcaHgdFwN30D4gKyxtkwKHuRhMe+9zDDT&#10;9s57ag+hEDGEfYYKyhCaTEqfl2TQj2xDHLkv6wyGCF0htcN7DDe1nCRJKg1WHBtKbGhZUn493IyC&#10;jT+Pf84X/k43a9m+tvvPnXtslRr0u/cpiEBd+Bf/uT90nJ/C7y/x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4dysMAAADbAAAADwAAAAAAAAAAAAAAAACYAgAAZHJzL2Rv&#10;d25yZXYueG1sUEsFBgAAAAAEAAQA9QAAAIgDAAAAAA==&#10;" adj="15129" fillcolor="#eeece1" strokeweight="2pt"/>
                <v:shape id="Down Arrow 24" o:spid="_x0000_s1036" type="#_x0000_t67" style="position:absolute;left:5121;top:3801;width:144;height: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K4UcQA&#10;AADbAAAADwAAAGRycy9kb3ducmV2LnhtbERPS2vCQBC+F/oflil4kbrRQ5ToKlJoLXgQHwd7G7PT&#10;JDU7m+5uY/LvuwWht/n4nrNYdaYWLTlfWVYwHiUgiHOrKy4UnI6vzzMQPiBrrC2Tgp48rJaPDwvM&#10;tL3xntpDKEQMYZ+hgjKEJpPS5yUZ9CPbEEfu0zqDIUJXSO3wFsNNLSdJkkqDFceGEht6KSm/Hn6M&#10;go0/j7/PH/yVbt5kO2z3l53rt0oNnrr1HESgLvyL7+53HedP4e+Xe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SuFHEAAAA2wAAAA8AAAAAAAAAAAAAAAAAmAIAAGRycy9k&#10;b3ducmV2LnhtbFBLBQYAAAAABAAEAPUAAACJAwAAAAA=&#10;" adj="15129" fillcolor="#eeece1" strokeweight="2pt"/>
                <v:shape id="Down Arrow 30" o:spid="_x0000_s1037" type="#_x0000_t67" style="position:absolute;left:5123;top:4805;width:144;height: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0sI8YA&#10;AADbAAAADwAAAGRycy9kb3ducmV2LnhtbESPQW/CMAyF75P4D5EncZkgZQc0dQSEJjEmcUCwHdjN&#10;NKYtNE6XhFL+/XyYtJut9/ze59mid43qKMTas4HJOANFXHhbc2ng63M1egEVE7LFxjMZuFOExXzw&#10;MMPc+hvvqNunUkkIxxwNVCm1udaxqMhhHPuWWLSTDw6TrKHUNuBNwl2jn7Nsqh3WLA0VtvRWUXHZ&#10;X52BdTxMfg7ffJ6u33X31O2O23DfGDN87JevoBL16d/8d/1hBV9g5Rc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0sI8YAAADbAAAADwAAAAAAAAAAAAAAAACYAgAAZHJz&#10;L2Rvd25yZXYueG1sUEsFBgAAAAAEAAQA9QAAAIsDAAAAAA==&#10;" adj="15129" fillcolor="#eeece1" strokeweight="2pt"/>
                <v:shape id="TextBox 35" o:spid="_x0000_s1038" type="#_x0000_t202" style="position:absolute;left:1535;top:6222;width:3382;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pXp8UA&#10;AADbAAAADwAAAGRycy9kb3ducmV2LnhtbESPQWvCQBCF7wX/wzKCt7oxQtXoGqS20KONtr1Os2MS&#10;zM6G7Jqk/vpuQehthve+N2826WBq0VHrKssKZtMIBHFudcWFgtPx9XEJwnlkjbVlUvBDDtLt6GGD&#10;ibY9v1OX+UKEEHYJKii9bxIpXV6SQTe1DXHQzrY16MPaFlK32IdwU8s4ip6kwYrDhRIbei4pv2RX&#10;E2rEX6f5/pDRYoHf8/3L7WN1/qyVmoyH3RqEp8H/m+/0mw7cCv5+CQP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ilenxQAAANsAAAAPAAAAAAAAAAAAAAAAAJgCAABkcnMv&#10;ZG93bnJldi54bWxQSwUGAAAAAAQABAD1AAAAigMAAAAA&#10;" filled="f">
                  <v:textbox>
                    <w:txbxContent>
                      <w:p w14:paraId="2048786F" w14:textId="77777777" w:rsidR="005A6957" w:rsidRDefault="005A6957" w:rsidP="005E6356">
                        <w:pPr>
                          <w:pStyle w:val="NormalWeb"/>
                          <w:spacing w:before="0" w:beforeAutospacing="0" w:after="0" w:afterAutospacing="0"/>
                          <w:jc w:val="center"/>
                        </w:pPr>
                        <w:r w:rsidRPr="00EA14A3">
                          <w:rPr>
                            <w:color w:val="000000"/>
                            <w:kern w:val="24"/>
                          </w:rPr>
                          <w:t xml:space="preserve">Did not </w:t>
                        </w:r>
                        <w:r w:rsidRPr="00AF58DA">
                          <w:rPr>
                            <w:color w:val="000000"/>
                            <w:kern w:val="24"/>
                          </w:rPr>
                          <w:t xml:space="preserve">move (N= </w:t>
                        </w:r>
                        <w:r w:rsidRPr="0032538D">
                          <w:rPr>
                            <w:color w:val="000000"/>
                            <w:kern w:val="24"/>
                          </w:rPr>
                          <w:t>1663)</w:t>
                        </w:r>
                        <w:r w:rsidRPr="00EA14A3">
                          <w:rPr>
                            <w:color w:val="000000"/>
                            <w:kern w:val="24"/>
                          </w:rPr>
                          <w:t xml:space="preserve">  </w:t>
                        </w:r>
                      </w:p>
                    </w:txbxContent>
                  </v:textbox>
                </v:shape>
                <v:shape id="TextBox 36" o:spid="_x0000_s1039" type="#_x0000_t202" style="position:absolute;left:5215;top:6205;width:3671;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0h8QA&#10;AADbAAAADwAAAGRycy9kb3ducmV2LnhtbESPwW7CMAyG70i8Q2QkbpCuSGPrCAgBk3ZkHduuXmPa&#10;ao1TNRkUnh4fJnG0fv+fPy9WvWvUibpQezbwME1AERfe1lwaOHy8Tp5AhYhssfFMBi4UYLUcDhaY&#10;WX/mdzrlsVQC4ZChgSrGNtM6FBU5DFPfEkt29J3DKGNXatvhWeCu0WmSPGqHNcuFClvaVFT85n9O&#10;NNLvw2y7z2k+x5/Zdnf9fD5+NcaMR/36BVSkPt6X/9tv1kAq9vKLAE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cNIfEAAAA2wAAAA8AAAAAAAAAAAAAAAAAmAIAAGRycy9k&#10;b3ducmV2LnhtbFBLBQYAAAAABAAEAPUAAACJAwAAAAA=&#10;" filled="f">
                  <v:textbox>
                    <w:txbxContent>
                      <w:p w14:paraId="327C514C" w14:textId="77777777" w:rsidR="005A6957" w:rsidRDefault="005A6957" w:rsidP="005E6356">
                        <w:pPr>
                          <w:pStyle w:val="NormalWeb"/>
                          <w:spacing w:before="0" w:beforeAutospacing="0" w:after="0" w:afterAutospacing="0"/>
                          <w:jc w:val="center"/>
                        </w:pPr>
                        <w:r w:rsidRPr="00EA14A3">
                          <w:rPr>
                            <w:color w:val="000000"/>
                            <w:kern w:val="24"/>
                          </w:rPr>
                          <w:t xml:space="preserve">Moved </w:t>
                        </w:r>
                        <w:r w:rsidRPr="00AF58DA">
                          <w:rPr>
                            <w:color w:val="000000"/>
                            <w:kern w:val="24"/>
                          </w:rPr>
                          <w:t>once (N=1313)</w:t>
                        </w:r>
                        <w:r w:rsidRPr="00EA14A3">
                          <w:rPr>
                            <w:color w:val="000000"/>
                            <w:kern w:val="24"/>
                          </w:rPr>
                          <w:t xml:space="preserve"> </w:t>
                        </w:r>
                      </w:p>
                    </w:txbxContent>
                  </v:textbox>
                </v:shape>
                <v:shape id="Down Arrow 38" o:spid="_x0000_s1040" type="#_x0000_t67" style="position:absolute;left:3216;top:5981;width:144;height: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PA8YA&#10;AADbAAAADwAAAGRycy9kb3ducmV2LnhtbESPT2vCQBTE74V+h+UVvEjdxINI6hpKoUboQfxzsLfX&#10;7GuSNvs27m5j/PauIPQ4zMxvmEU+mFb05HxjWUE6SUAQl1Y3XCk47N+f5yB8QNbYWiYFF/KQLx8f&#10;Fphpe+Yt9btQiQhhn6GCOoQuk9KXNRn0E9sRR+/bOoMhSldJ7fAc4aaV0ySZSYMNx4UaO3qrqfzd&#10;/RkFhT+mp+Mn/8yKlezH/fZr4y4fSo2ehtcXEIGG8B++t9dawTSF25f4A+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tPA8YAAADbAAAADwAAAAAAAAAAAAAAAACYAgAAZHJz&#10;L2Rvd25yZXYueG1sUEsFBgAAAAAEAAQA9QAAAIsDAAAAAA==&#10;" adj="15129" fillcolor="#eeece1" strokeweight="2pt"/>
                <v:shape id="Down Arrow 39" o:spid="_x0000_s1041" type="#_x0000_t67" style="position:absolute;left:6504;top:5965;width:144;height: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nRdMYA&#10;AADbAAAADwAAAGRycy9kb3ducmV2LnhtbESPT2vCQBTE74V+h+UVvEjdJAeR1DWUQlXoQfxzsLfX&#10;7GuSNvs27m5j/PauIPQ4zMxvmHkxmFb05HxjWUE6SUAQl1Y3XCk47N+fZyB8QNbYWiYFF/JQLB4f&#10;5phre+Yt9btQiQhhn6OCOoQul9KXNRn0E9sRR+/bOoMhSldJ7fAc4aaVWZJMpcGG40KNHb3VVP7u&#10;/oyClT+mp+Mn/0xXS9mP++3Xxl0+lBo9Da8vIAIN4T98b6+1giyD25f4A+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nRdMYAAADbAAAADwAAAAAAAAAAAAAAAACYAgAAZHJz&#10;L2Rvd25yZXYueG1sUEsFBgAAAAAEAAQA9QAAAIsDAAAAAA==&#10;" adj="15129" fillcolor="#eeece1" strokeweight="2pt"/>
              </v:group>
            </w:pict>
          </mc:Fallback>
        </mc:AlternateContent>
      </w:r>
    </w:p>
    <w:p w14:paraId="14F48073" w14:textId="77777777" w:rsidR="005E6356" w:rsidRDefault="005E6356" w:rsidP="005E6356">
      <w:pPr>
        <w:spacing w:before="120" w:after="120" w:line="480" w:lineRule="auto"/>
        <w:rPr>
          <w:rFonts w:ascii="Arial" w:hAnsi="Arial" w:cs="Arial"/>
          <w:b/>
        </w:rPr>
      </w:pPr>
    </w:p>
    <w:p w14:paraId="02F0806A" w14:textId="77777777" w:rsidR="005E6356" w:rsidRDefault="005E6356" w:rsidP="005E6356">
      <w:pPr>
        <w:spacing w:before="120" w:after="120" w:line="480" w:lineRule="auto"/>
        <w:rPr>
          <w:rFonts w:ascii="Arial" w:hAnsi="Arial" w:cs="Arial"/>
          <w:b/>
        </w:rPr>
      </w:pPr>
    </w:p>
    <w:p w14:paraId="5F7B24AB" w14:textId="77777777" w:rsidR="005E6356" w:rsidRDefault="005E6356" w:rsidP="005E6356">
      <w:pPr>
        <w:spacing w:before="120" w:after="120" w:line="480" w:lineRule="auto"/>
        <w:rPr>
          <w:rFonts w:ascii="Arial" w:hAnsi="Arial" w:cs="Arial"/>
          <w:b/>
        </w:rPr>
      </w:pPr>
    </w:p>
    <w:p w14:paraId="123A9CE0" w14:textId="77777777" w:rsidR="005E6356" w:rsidRDefault="005E6356" w:rsidP="005E6356">
      <w:pPr>
        <w:spacing w:before="120" w:after="120" w:line="480" w:lineRule="auto"/>
        <w:rPr>
          <w:rFonts w:ascii="Arial" w:hAnsi="Arial" w:cs="Arial"/>
          <w:b/>
        </w:rPr>
      </w:pPr>
    </w:p>
    <w:p w14:paraId="6DA1054E" w14:textId="77777777" w:rsidR="005E6356" w:rsidRDefault="005E6356" w:rsidP="005E6356">
      <w:pPr>
        <w:spacing w:before="120" w:after="120" w:line="480" w:lineRule="auto"/>
        <w:rPr>
          <w:rFonts w:ascii="Arial" w:hAnsi="Arial" w:cs="Arial"/>
          <w:b/>
        </w:rPr>
      </w:pPr>
    </w:p>
    <w:p w14:paraId="5555698F" w14:textId="77777777" w:rsidR="005E6356" w:rsidRDefault="005E6356" w:rsidP="005E6356">
      <w:pPr>
        <w:spacing w:before="120" w:after="120" w:line="480" w:lineRule="auto"/>
        <w:rPr>
          <w:rFonts w:ascii="Arial" w:hAnsi="Arial" w:cs="Arial"/>
          <w:b/>
        </w:rPr>
      </w:pPr>
    </w:p>
    <w:p w14:paraId="48BF8643" w14:textId="77777777" w:rsidR="00D53806" w:rsidRDefault="00D53806" w:rsidP="007C06D9">
      <w:pPr>
        <w:spacing w:line="480" w:lineRule="auto"/>
        <w:rPr>
          <w:b/>
        </w:rPr>
      </w:pPr>
    </w:p>
    <w:p w14:paraId="768EA715" w14:textId="77777777" w:rsidR="00DE2957" w:rsidRDefault="00DE2957" w:rsidP="007C06D9">
      <w:pPr>
        <w:spacing w:line="480" w:lineRule="auto"/>
        <w:rPr>
          <w:b/>
        </w:rPr>
      </w:pPr>
    </w:p>
    <w:p w14:paraId="59ACBC4D" w14:textId="77777777" w:rsidR="00DE2957" w:rsidRDefault="005E6356" w:rsidP="007C06D9">
      <w:pPr>
        <w:spacing w:line="480" w:lineRule="auto"/>
        <w:rPr>
          <w:b/>
          <w:i/>
          <w:lang w:val="en-GB"/>
        </w:rPr>
      </w:pPr>
      <w:r w:rsidRPr="008375FB">
        <w:rPr>
          <w:b/>
        </w:rPr>
        <w:t>Figure 1:</w:t>
      </w:r>
      <w:r w:rsidRPr="008375FB">
        <w:t xml:space="preserve"> </w:t>
      </w:r>
      <w:r w:rsidR="007665D6" w:rsidRPr="002D6ECD">
        <w:t>Construction of cohorts</w:t>
      </w:r>
    </w:p>
    <w:p w14:paraId="52C0B08F" w14:textId="77777777" w:rsidR="00D53806" w:rsidRDefault="00D53806" w:rsidP="00D83242">
      <w:pPr>
        <w:spacing w:line="480" w:lineRule="auto"/>
      </w:pPr>
    </w:p>
    <w:p w14:paraId="45424EF1" w14:textId="77777777" w:rsidR="001603B5" w:rsidRPr="00836B7E" w:rsidRDefault="00B82FDE" w:rsidP="00D83242">
      <w:pPr>
        <w:pStyle w:val="MediumGrid21"/>
        <w:spacing w:line="480" w:lineRule="auto"/>
        <w:rPr>
          <w:rFonts w:ascii="Times New Roman" w:hAnsi="Times New Roman"/>
          <w:b/>
          <w:iCs/>
          <w:color w:val="000000" w:themeColor="text1"/>
          <w:sz w:val="28"/>
          <w:szCs w:val="28"/>
        </w:rPr>
      </w:pPr>
      <w:r w:rsidRPr="00836B7E">
        <w:rPr>
          <w:rFonts w:ascii="Times New Roman" w:hAnsi="Times New Roman"/>
          <w:b/>
          <w:iCs/>
          <w:color w:val="000000" w:themeColor="text1"/>
          <w:sz w:val="28"/>
          <w:szCs w:val="28"/>
        </w:rPr>
        <w:t>Summary statistics</w:t>
      </w:r>
    </w:p>
    <w:p w14:paraId="46B64CB1" w14:textId="48641141" w:rsidR="00651C2C" w:rsidRDefault="00287AC4" w:rsidP="00F1689C">
      <w:pPr>
        <w:pStyle w:val="MediumGrid21"/>
        <w:spacing w:line="480" w:lineRule="auto"/>
        <w:ind w:firstLine="709"/>
        <w:rPr>
          <w:rFonts w:ascii="Times New Roman" w:hAnsi="Times New Roman"/>
          <w:b/>
          <w:sz w:val="24"/>
          <w:szCs w:val="24"/>
        </w:rPr>
      </w:pPr>
      <w:r w:rsidRPr="00717A01">
        <w:rPr>
          <w:rFonts w:ascii="Times New Roman" w:hAnsi="Times New Roman"/>
          <w:color w:val="000000"/>
          <w:kern w:val="24"/>
          <w:sz w:val="24"/>
          <w:szCs w:val="24"/>
        </w:rPr>
        <w:t xml:space="preserve">Men </w:t>
      </w:r>
      <w:r w:rsidR="00460CD8" w:rsidRPr="00717A01">
        <w:rPr>
          <w:rFonts w:ascii="Times New Roman" w:hAnsi="Times New Roman"/>
          <w:color w:val="000000"/>
          <w:kern w:val="24"/>
          <w:sz w:val="24"/>
          <w:szCs w:val="24"/>
        </w:rPr>
        <w:t>comprised</w:t>
      </w:r>
      <w:r w:rsidRPr="00717A01">
        <w:rPr>
          <w:rFonts w:ascii="Times New Roman" w:hAnsi="Times New Roman"/>
          <w:color w:val="000000"/>
          <w:kern w:val="24"/>
          <w:sz w:val="24"/>
          <w:szCs w:val="24"/>
        </w:rPr>
        <w:t xml:space="preserve"> </w:t>
      </w:r>
      <w:r w:rsidR="005E4C4C" w:rsidRPr="00717A01">
        <w:rPr>
          <w:rFonts w:ascii="Times New Roman" w:hAnsi="Times New Roman"/>
          <w:color w:val="000000"/>
          <w:kern w:val="24"/>
          <w:sz w:val="24"/>
          <w:szCs w:val="24"/>
        </w:rPr>
        <w:t>48</w:t>
      </w:r>
      <w:r w:rsidR="00A46C5F" w:rsidRPr="00717A01">
        <w:rPr>
          <w:rFonts w:ascii="Times New Roman" w:hAnsi="Times New Roman"/>
          <w:color w:val="000000"/>
          <w:kern w:val="24"/>
          <w:sz w:val="24"/>
          <w:szCs w:val="24"/>
        </w:rPr>
        <w:t xml:space="preserve">% of </w:t>
      </w:r>
      <w:r w:rsidRPr="00717A01">
        <w:rPr>
          <w:rFonts w:ascii="Times New Roman" w:hAnsi="Times New Roman"/>
          <w:color w:val="000000"/>
          <w:kern w:val="24"/>
          <w:sz w:val="24"/>
          <w:szCs w:val="24"/>
        </w:rPr>
        <w:t xml:space="preserve">the final sample, with </w:t>
      </w:r>
      <w:r w:rsidRPr="00717A01">
        <w:rPr>
          <w:rFonts w:ascii="Times New Roman" w:hAnsi="Times New Roman"/>
          <w:sz w:val="24"/>
          <w:szCs w:val="24"/>
        </w:rPr>
        <w:t xml:space="preserve">mean age of 38 years old (SD=9) at </w:t>
      </w:r>
      <w:r w:rsidR="00D2239D" w:rsidRPr="00717A01">
        <w:rPr>
          <w:rFonts w:ascii="Times New Roman" w:hAnsi="Times New Roman"/>
          <w:sz w:val="24"/>
          <w:szCs w:val="24"/>
        </w:rPr>
        <w:t>baseline. There</w:t>
      </w:r>
      <w:r w:rsidR="00FE3426" w:rsidRPr="00717A01">
        <w:rPr>
          <w:rFonts w:ascii="Times New Roman" w:hAnsi="Times New Roman"/>
          <w:sz w:val="24"/>
          <w:szCs w:val="24"/>
        </w:rPr>
        <w:t xml:space="preserve"> were 1</w:t>
      </w:r>
      <w:r w:rsidR="001538C7" w:rsidRPr="00717A01">
        <w:rPr>
          <w:rFonts w:ascii="Times New Roman" w:hAnsi="Times New Roman"/>
          <w:sz w:val="24"/>
          <w:szCs w:val="24"/>
        </w:rPr>
        <w:t>,</w:t>
      </w:r>
      <w:r w:rsidR="00FE3426" w:rsidRPr="00717A01">
        <w:rPr>
          <w:rFonts w:ascii="Times New Roman" w:hAnsi="Times New Roman"/>
          <w:sz w:val="24"/>
          <w:szCs w:val="24"/>
        </w:rPr>
        <w:t>313 individuals (</w:t>
      </w:r>
      <w:r w:rsidR="00797DED" w:rsidRPr="00717A01">
        <w:rPr>
          <w:rFonts w:ascii="Times New Roman" w:hAnsi="Times New Roman"/>
          <w:sz w:val="24"/>
          <w:szCs w:val="24"/>
        </w:rPr>
        <w:t>48</w:t>
      </w:r>
      <w:r w:rsidR="006B79C8" w:rsidRPr="00717A01">
        <w:rPr>
          <w:rFonts w:ascii="Times New Roman" w:hAnsi="Times New Roman"/>
          <w:sz w:val="24"/>
          <w:szCs w:val="24"/>
        </w:rPr>
        <w:t xml:space="preserve">% </w:t>
      </w:r>
      <w:r w:rsidR="00DE2246" w:rsidRPr="00717A01">
        <w:rPr>
          <w:rFonts w:ascii="Times New Roman" w:hAnsi="Times New Roman"/>
          <w:sz w:val="24"/>
          <w:szCs w:val="24"/>
        </w:rPr>
        <w:t>men</w:t>
      </w:r>
      <w:r w:rsidR="00FE3426" w:rsidRPr="00717A01">
        <w:rPr>
          <w:rFonts w:ascii="Times New Roman" w:hAnsi="Times New Roman"/>
          <w:sz w:val="24"/>
          <w:szCs w:val="24"/>
        </w:rPr>
        <w:t xml:space="preserve">) who changed their residential locations </w:t>
      </w:r>
      <w:r w:rsidR="00165AC2" w:rsidRPr="00717A01">
        <w:rPr>
          <w:rFonts w:ascii="Times New Roman" w:hAnsi="Times New Roman"/>
          <w:sz w:val="24"/>
          <w:szCs w:val="24"/>
        </w:rPr>
        <w:t>once and</w:t>
      </w:r>
      <w:r w:rsidR="00FE3426" w:rsidRPr="00717A01">
        <w:rPr>
          <w:rFonts w:ascii="Times New Roman" w:hAnsi="Times New Roman"/>
          <w:sz w:val="24"/>
          <w:szCs w:val="24"/>
        </w:rPr>
        <w:t xml:space="preserve"> </w:t>
      </w:r>
      <w:r w:rsidR="006B79C8" w:rsidRPr="00717A01">
        <w:rPr>
          <w:rFonts w:ascii="Times New Roman" w:hAnsi="Times New Roman"/>
          <w:sz w:val="24"/>
          <w:szCs w:val="24"/>
        </w:rPr>
        <w:t>1</w:t>
      </w:r>
      <w:r w:rsidR="006936F4" w:rsidRPr="00717A01">
        <w:rPr>
          <w:rFonts w:ascii="Times New Roman" w:hAnsi="Times New Roman"/>
          <w:sz w:val="24"/>
          <w:szCs w:val="24"/>
        </w:rPr>
        <w:t>,</w:t>
      </w:r>
      <w:r w:rsidR="006B79C8" w:rsidRPr="00717A01">
        <w:rPr>
          <w:rFonts w:ascii="Times New Roman" w:hAnsi="Times New Roman"/>
          <w:sz w:val="24"/>
          <w:szCs w:val="24"/>
        </w:rPr>
        <w:t xml:space="preserve">663 </w:t>
      </w:r>
      <w:r w:rsidR="00FE3426" w:rsidRPr="00717A01">
        <w:rPr>
          <w:rFonts w:ascii="Times New Roman" w:hAnsi="Times New Roman"/>
          <w:sz w:val="24"/>
          <w:szCs w:val="24"/>
        </w:rPr>
        <w:t xml:space="preserve">individuals who </w:t>
      </w:r>
      <w:r w:rsidR="009178B9" w:rsidRPr="00717A01">
        <w:rPr>
          <w:rFonts w:ascii="Times New Roman" w:hAnsi="Times New Roman"/>
          <w:sz w:val="24"/>
          <w:szCs w:val="24"/>
        </w:rPr>
        <w:t xml:space="preserve">did </w:t>
      </w:r>
      <w:r w:rsidR="00FE3426" w:rsidRPr="00717A01">
        <w:rPr>
          <w:rFonts w:ascii="Times New Roman" w:hAnsi="Times New Roman"/>
          <w:sz w:val="24"/>
          <w:szCs w:val="24"/>
        </w:rPr>
        <w:t>not move (</w:t>
      </w:r>
      <w:r w:rsidR="005F7983" w:rsidRPr="00717A01">
        <w:rPr>
          <w:rFonts w:ascii="Times New Roman" w:hAnsi="Times New Roman"/>
          <w:sz w:val="24"/>
          <w:szCs w:val="24"/>
        </w:rPr>
        <w:t>52%</w:t>
      </w:r>
      <w:r w:rsidRPr="00717A01">
        <w:rPr>
          <w:rFonts w:ascii="Times New Roman" w:hAnsi="Times New Roman"/>
          <w:sz w:val="24"/>
          <w:szCs w:val="24"/>
        </w:rPr>
        <w:t xml:space="preserve"> </w:t>
      </w:r>
      <w:r w:rsidR="00DE2246" w:rsidRPr="00717A01">
        <w:rPr>
          <w:rFonts w:ascii="Times New Roman" w:hAnsi="Times New Roman"/>
          <w:sz w:val="24"/>
          <w:szCs w:val="24"/>
        </w:rPr>
        <w:t>men</w:t>
      </w:r>
      <w:r w:rsidR="00FE3426" w:rsidRPr="00717A01">
        <w:rPr>
          <w:rFonts w:ascii="Times New Roman" w:hAnsi="Times New Roman"/>
          <w:sz w:val="24"/>
          <w:szCs w:val="24"/>
        </w:rPr>
        <w:t>).</w:t>
      </w:r>
      <w:r w:rsidR="00FE1907" w:rsidRPr="00717A01">
        <w:rPr>
          <w:rFonts w:ascii="Times New Roman" w:hAnsi="Times New Roman"/>
          <w:sz w:val="24"/>
          <w:szCs w:val="24"/>
        </w:rPr>
        <w:t xml:space="preserve"> </w:t>
      </w:r>
      <w:r w:rsidR="00F1689C">
        <w:rPr>
          <w:rFonts w:ascii="Times New Roman" w:hAnsi="Times New Roman"/>
          <w:sz w:val="24"/>
          <w:szCs w:val="24"/>
        </w:rPr>
        <w:t xml:space="preserve">At baseline, approximately 59% of the sample completed post-secondary education. </w:t>
      </w:r>
      <w:r w:rsidR="00B86AAB" w:rsidRPr="00717A01">
        <w:rPr>
          <w:rFonts w:ascii="Times New Roman" w:hAnsi="Times New Roman"/>
          <w:sz w:val="24"/>
          <w:szCs w:val="24"/>
        </w:rPr>
        <w:t xml:space="preserve">More than half of the </w:t>
      </w:r>
      <w:r w:rsidR="005F7983" w:rsidRPr="00717A01">
        <w:rPr>
          <w:rFonts w:ascii="Times New Roman" w:hAnsi="Times New Roman"/>
          <w:sz w:val="24"/>
          <w:szCs w:val="24"/>
        </w:rPr>
        <w:t>sample was</w:t>
      </w:r>
      <w:r w:rsidR="00B86AAB" w:rsidRPr="00717A01">
        <w:rPr>
          <w:rFonts w:ascii="Times New Roman" w:hAnsi="Times New Roman"/>
          <w:sz w:val="24"/>
          <w:szCs w:val="24"/>
        </w:rPr>
        <w:t xml:space="preserve"> </w:t>
      </w:r>
      <w:r w:rsidR="0047792C">
        <w:rPr>
          <w:rFonts w:ascii="Times New Roman" w:hAnsi="Times New Roman"/>
          <w:sz w:val="24"/>
          <w:szCs w:val="24"/>
        </w:rPr>
        <w:t>in</w:t>
      </w:r>
      <w:r w:rsidR="00460CD8" w:rsidRPr="00717A01">
        <w:rPr>
          <w:rFonts w:ascii="Times New Roman" w:hAnsi="Times New Roman"/>
          <w:sz w:val="24"/>
          <w:szCs w:val="24"/>
        </w:rPr>
        <w:t>active</w:t>
      </w:r>
      <w:r w:rsidR="00B86AAB" w:rsidRPr="00717A01">
        <w:rPr>
          <w:rFonts w:ascii="Times New Roman" w:hAnsi="Times New Roman"/>
          <w:sz w:val="24"/>
          <w:szCs w:val="24"/>
        </w:rPr>
        <w:t xml:space="preserve"> </w:t>
      </w:r>
      <w:r w:rsidR="003F431E" w:rsidRPr="00717A01">
        <w:rPr>
          <w:rFonts w:ascii="Times New Roman" w:hAnsi="Times New Roman"/>
          <w:sz w:val="24"/>
          <w:szCs w:val="24"/>
        </w:rPr>
        <w:t xml:space="preserve">at baseline </w:t>
      </w:r>
      <w:r w:rsidR="00B86AAB" w:rsidRPr="00717A01">
        <w:rPr>
          <w:rFonts w:ascii="Times New Roman" w:hAnsi="Times New Roman"/>
          <w:sz w:val="24"/>
          <w:szCs w:val="24"/>
        </w:rPr>
        <w:t>(</w:t>
      </w:r>
      <w:r w:rsidR="001A1320" w:rsidRPr="00717A01">
        <w:rPr>
          <w:rFonts w:ascii="Times New Roman" w:hAnsi="Times New Roman"/>
          <w:sz w:val="24"/>
          <w:szCs w:val="24"/>
        </w:rPr>
        <w:t>60</w:t>
      </w:r>
      <w:r w:rsidR="00F22E17" w:rsidRPr="00717A01">
        <w:rPr>
          <w:rFonts w:ascii="Times New Roman" w:hAnsi="Times New Roman"/>
          <w:sz w:val="24"/>
          <w:szCs w:val="24"/>
        </w:rPr>
        <w:t>%</w:t>
      </w:r>
      <w:r w:rsidR="00B86AAB" w:rsidRPr="00717A01">
        <w:rPr>
          <w:rFonts w:ascii="Times New Roman" w:hAnsi="Times New Roman"/>
          <w:sz w:val="24"/>
          <w:szCs w:val="24"/>
        </w:rPr>
        <w:t>)</w:t>
      </w:r>
      <w:r w:rsidR="00BF2970" w:rsidRPr="00717A01">
        <w:rPr>
          <w:rFonts w:ascii="Times New Roman" w:hAnsi="Times New Roman"/>
          <w:sz w:val="24"/>
          <w:szCs w:val="24"/>
        </w:rPr>
        <w:t xml:space="preserve">; </w:t>
      </w:r>
      <w:r w:rsidR="00B86AAB" w:rsidRPr="00717A01">
        <w:rPr>
          <w:rFonts w:ascii="Times New Roman" w:hAnsi="Times New Roman"/>
          <w:sz w:val="24"/>
          <w:szCs w:val="24"/>
        </w:rPr>
        <w:t>the vast majority (</w:t>
      </w:r>
      <w:r w:rsidR="008D3001" w:rsidRPr="00717A01">
        <w:rPr>
          <w:rFonts w:ascii="Times New Roman" w:hAnsi="Times New Roman"/>
          <w:sz w:val="24"/>
          <w:szCs w:val="24"/>
        </w:rPr>
        <w:t>93</w:t>
      </w:r>
      <w:r w:rsidR="00B86AAB" w:rsidRPr="00717A01">
        <w:rPr>
          <w:rFonts w:ascii="Times New Roman" w:hAnsi="Times New Roman"/>
          <w:sz w:val="24"/>
          <w:szCs w:val="24"/>
        </w:rPr>
        <w:t xml:space="preserve">%) reported themselves to be </w:t>
      </w:r>
      <w:r w:rsidR="002B1423" w:rsidRPr="00717A01">
        <w:rPr>
          <w:rFonts w:ascii="Times New Roman" w:hAnsi="Times New Roman"/>
          <w:sz w:val="24"/>
          <w:szCs w:val="24"/>
        </w:rPr>
        <w:t>healthy</w:t>
      </w:r>
      <w:r w:rsidR="006C073F" w:rsidRPr="00717A01">
        <w:rPr>
          <w:rFonts w:ascii="Times New Roman" w:hAnsi="Times New Roman"/>
          <w:sz w:val="24"/>
          <w:szCs w:val="24"/>
        </w:rPr>
        <w:t xml:space="preserve"> (</w:t>
      </w:r>
      <w:r w:rsidR="008D3001" w:rsidRPr="00717A01">
        <w:rPr>
          <w:rFonts w:ascii="Times New Roman" w:hAnsi="Times New Roman"/>
          <w:sz w:val="24"/>
          <w:szCs w:val="24"/>
        </w:rPr>
        <w:t xml:space="preserve">Table </w:t>
      </w:r>
      <w:r w:rsidR="00AA077B">
        <w:rPr>
          <w:rFonts w:ascii="Times New Roman" w:hAnsi="Times New Roman"/>
          <w:sz w:val="24"/>
          <w:szCs w:val="24"/>
        </w:rPr>
        <w:t>2</w:t>
      </w:r>
      <w:r w:rsidR="006C073F" w:rsidRPr="00717A01">
        <w:rPr>
          <w:rFonts w:ascii="Times New Roman" w:hAnsi="Times New Roman"/>
          <w:sz w:val="24"/>
          <w:szCs w:val="24"/>
        </w:rPr>
        <w:t xml:space="preserve">). </w:t>
      </w:r>
      <w:r w:rsidR="003F431E" w:rsidRPr="00717A01">
        <w:rPr>
          <w:rFonts w:ascii="Times New Roman" w:hAnsi="Times New Roman"/>
          <w:sz w:val="24"/>
          <w:szCs w:val="24"/>
        </w:rPr>
        <w:t>A</w:t>
      </w:r>
      <w:r w:rsidR="00460CD8" w:rsidRPr="00717A01">
        <w:rPr>
          <w:rFonts w:ascii="Times New Roman" w:hAnsi="Times New Roman"/>
          <w:sz w:val="24"/>
          <w:szCs w:val="24"/>
        </w:rPr>
        <w:t>pproximately</w:t>
      </w:r>
      <w:r w:rsidR="003F431E" w:rsidRPr="00717A01">
        <w:rPr>
          <w:rFonts w:ascii="Times New Roman" w:hAnsi="Times New Roman"/>
          <w:sz w:val="24"/>
          <w:szCs w:val="24"/>
        </w:rPr>
        <w:t xml:space="preserve"> </w:t>
      </w:r>
      <w:r w:rsidR="001A1320" w:rsidRPr="00717A01">
        <w:rPr>
          <w:rFonts w:ascii="Times New Roman" w:hAnsi="Times New Roman"/>
          <w:sz w:val="24"/>
          <w:szCs w:val="24"/>
        </w:rPr>
        <w:t>one third</w:t>
      </w:r>
      <w:r w:rsidR="003F431E" w:rsidRPr="00717A01">
        <w:rPr>
          <w:rFonts w:ascii="Times New Roman" w:hAnsi="Times New Roman"/>
          <w:sz w:val="24"/>
          <w:szCs w:val="24"/>
        </w:rPr>
        <w:t xml:space="preserve"> of </w:t>
      </w:r>
      <w:r w:rsidR="0047792C">
        <w:rPr>
          <w:rFonts w:ascii="Times New Roman" w:hAnsi="Times New Roman"/>
          <w:sz w:val="24"/>
          <w:szCs w:val="24"/>
        </w:rPr>
        <w:t>in</w:t>
      </w:r>
      <w:r w:rsidR="00460CD8" w:rsidRPr="00717A01">
        <w:rPr>
          <w:rFonts w:ascii="Times New Roman" w:hAnsi="Times New Roman"/>
          <w:sz w:val="24"/>
          <w:szCs w:val="24"/>
        </w:rPr>
        <w:t>active</w:t>
      </w:r>
      <w:r w:rsidR="003F431E" w:rsidRPr="00717A01">
        <w:rPr>
          <w:rFonts w:ascii="Times New Roman" w:hAnsi="Times New Roman"/>
          <w:sz w:val="24"/>
          <w:szCs w:val="24"/>
        </w:rPr>
        <w:t xml:space="preserve"> people changed to being </w:t>
      </w:r>
      <w:r w:rsidR="00460CD8" w:rsidRPr="00717A01">
        <w:rPr>
          <w:rFonts w:ascii="Times New Roman" w:hAnsi="Times New Roman"/>
          <w:sz w:val="24"/>
          <w:szCs w:val="24"/>
        </w:rPr>
        <w:t>active over the follow-up period</w:t>
      </w:r>
      <w:r w:rsidR="00EB1130">
        <w:rPr>
          <w:rFonts w:ascii="Times New Roman" w:hAnsi="Times New Roman"/>
          <w:sz w:val="24"/>
          <w:szCs w:val="24"/>
        </w:rPr>
        <w:t xml:space="preserve"> and</w:t>
      </w:r>
      <w:r w:rsidR="003F431E" w:rsidRPr="00717A01">
        <w:rPr>
          <w:rFonts w:ascii="Times New Roman" w:hAnsi="Times New Roman"/>
          <w:sz w:val="24"/>
          <w:szCs w:val="24"/>
        </w:rPr>
        <w:t xml:space="preserve"> </w:t>
      </w:r>
      <w:r w:rsidR="008D3001" w:rsidRPr="00717A01">
        <w:rPr>
          <w:rFonts w:ascii="Times New Roman" w:hAnsi="Times New Roman"/>
          <w:sz w:val="24"/>
          <w:szCs w:val="24"/>
        </w:rPr>
        <w:t>29</w:t>
      </w:r>
      <w:r w:rsidR="003F431E" w:rsidRPr="00717A01">
        <w:rPr>
          <w:rFonts w:ascii="Times New Roman" w:hAnsi="Times New Roman"/>
          <w:sz w:val="24"/>
          <w:szCs w:val="24"/>
        </w:rPr>
        <w:t xml:space="preserve">% of </w:t>
      </w:r>
      <w:r w:rsidR="00460CD8" w:rsidRPr="00717A01">
        <w:rPr>
          <w:rFonts w:ascii="Times New Roman" w:hAnsi="Times New Roman"/>
          <w:sz w:val="24"/>
          <w:szCs w:val="24"/>
        </w:rPr>
        <w:t>active</w:t>
      </w:r>
      <w:r w:rsidR="003F431E" w:rsidRPr="00717A01">
        <w:rPr>
          <w:rFonts w:ascii="Times New Roman" w:hAnsi="Times New Roman"/>
          <w:sz w:val="24"/>
          <w:szCs w:val="24"/>
        </w:rPr>
        <w:t xml:space="preserve"> people became </w:t>
      </w:r>
      <w:r w:rsidR="0047792C">
        <w:rPr>
          <w:rFonts w:ascii="Times New Roman" w:hAnsi="Times New Roman"/>
          <w:sz w:val="24"/>
          <w:szCs w:val="24"/>
        </w:rPr>
        <w:t>in</w:t>
      </w:r>
      <w:r w:rsidR="00460CD8" w:rsidRPr="00717A01">
        <w:rPr>
          <w:rFonts w:ascii="Times New Roman" w:hAnsi="Times New Roman"/>
          <w:sz w:val="24"/>
          <w:szCs w:val="24"/>
        </w:rPr>
        <w:t>active</w:t>
      </w:r>
      <w:r w:rsidR="00D602F8" w:rsidRPr="00717A01">
        <w:rPr>
          <w:rFonts w:ascii="Times New Roman" w:hAnsi="Times New Roman"/>
          <w:sz w:val="24"/>
          <w:szCs w:val="24"/>
        </w:rPr>
        <w:t xml:space="preserve">, keeping the overall percentage of </w:t>
      </w:r>
      <w:r w:rsidR="0047792C">
        <w:rPr>
          <w:rFonts w:ascii="Times New Roman" w:hAnsi="Times New Roman"/>
          <w:sz w:val="24"/>
          <w:szCs w:val="24"/>
        </w:rPr>
        <w:t>in</w:t>
      </w:r>
      <w:r w:rsidR="00460CD8" w:rsidRPr="00717A01">
        <w:rPr>
          <w:rFonts w:ascii="Times New Roman" w:hAnsi="Times New Roman"/>
          <w:sz w:val="24"/>
          <w:szCs w:val="24"/>
        </w:rPr>
        <w:t>active</w:t>
      </w:r>
      <w:r w:rsidR="00D602F8" w:rsidRPr="00717A01">
        <w:rPr>
          <w:rFonts w:ascii="Times New Roman" w:hAnsi="Times New Roman"/>
          <w:sz w:val="24"/>
          <w:szCs w:val="24"/>
        </w:rPr>
        <w:t xml:space="preserve"> people </w:t>
      </w:r>
      <w:r w:rsidR="00460CD8" w:rsidRPr="00717A01">
        <w:rPr>
          <w:rFonts w:ascii="Times New Roman" w:hAnsi="Times New Roman"/>
          <w:sz w:val="24"/>
          <w:szCs w:val="24"/>
        </w:rPr>
        <w:t>similar across the follow-up period.</w:t>
      </w:r>
      <w:r w:rsidR="00D24D7B" w:rsidRPr="00717A01">
        <w:rPr>
          <w:rFonts w:ascii="Times New Roman" w:hAnsi="Times New Roman"/>
          <w:sz w:val="24"/>
          <w:szCs w:val="24"/>
        </w:rPr>
        <w:t xml:space="preserve"> </w:t>
      </w:r>
    </w:p>
    <w:p w14:paraId="5AA8F133" w14:textId="77777777" w:rsidR="00755DF9" w:rsidRPr="006E04C0" w:rsidRDefault="005F6E08" w:rsidP="009F3873">
      <w:pPr>
        <w:pStyle w:val="MediumGrid21"/>
        <w:spacing w:line="480" w:lineRule="auto"/>
        <w:rPr>
          <w:rFonts w:ascii="Times New Roman" w:hAnsi="Times New Roman"/>
          <w:sz w:val="24"/>
          <w:szCs w:val="24"/>
        </w:rPr>
      </w:pPr>
      <w:r w:rsidRPr="00295446">
        <w:rPr>
          <w:rFonts w:ascii="Times New Roman" w:hAnsi="Times New Roman"/>
          <w:b/>
          <w:sz w:val="24"/>
          <w:szCs w:val="24"/>
        </w:rPr>
        <w:t xml:space="preserve">Table </w:t>
      </w:r>
      <w:r w:rsidR="00AA775D">
        <w:rPr>
          <w:rFonts w:ascii="Times New Roman" w:hAnsi="Times New Roman"/>
          <w:b/>
          <w:sz w:val="24"/>
          <w:szCs w:val="24"/>
        </w:rPr>
        <w:t>2</w:t>
      </w:r>
      <w:r w:rsidRPr="00295446">
        <w:rPr>
          <w:rFonts w:ascii="Times New Roman" w:hAnsi="Times New Roman"/>
          <w:b/>
          <w:sz w:val="24"/>
          <w:szCs w:val="24"/>
        </w:rPr>
        <w:t>:</w:t>
      </w:r>
      <w:r w:rsidRPr="00295446">
        <w:rPr>
          <w:rFonts w:ascii="Times New Roman" w:hAnsi="Times New Roman"/>
          <w:sz w:val="24"/>
          <w:szCs w:val="24"/>
        </w:rPr>
        <w:t xml:space="preserve"> Summary statistics at baseline (Cycle 1)</w:t>
      </w:r>
    </w:p>
    <w:tbl>
      <w:tblPr>
        <w:tblW w:w="10080" w:type="dxa"/>
        <w:tblInd w:w="93" w:type="dxa"/>
        <w:tblLayout w:type="fixed"/>
        <w:tblLook w:val="04A0" w:firstRow="1" w:lastRow="0" w:firstColumn="1" w:lastColumn="0" w:noHBand="0" w:noVBand="1"/>
      </w:tblPr>
      <w:tblGrid>
        <w:gridCol w:w="4126"/>
        <w:gridCol w:w="1418"/>
        <w:gridCol w:w="1134"/>
        <w:gridCol w:w="1134"/>
        <w:gridCol w:w="1134"/>
        <w:gridCol w:w="1134"/>
      </w:tblGrid>
      <w:tr w:rsidR="005F6E08" w:rsidRPr="005F7983" w14:paraId="409C8AB3" w14:textId="77777777" w:rsidTr="00381E06">
        <w:trPr>
          <w:trHeight w:val="286"/>
        </w:trPr>
        <w:tc>
          <w:tcPr>
            <w:tcW w:w="4126" w:type="dxa"/>
            <w:tcBorders>
              <w:top w:val="single" w:sz="12" w:space="0" w:color="auto"/>
            </w:tcBorders>
            <w:shd w:val="clear" w:color="auto" w:fill="auto"/>
            <w:vAlign w:val="center"/>
            <w:hideMark/>
          </w:tcPr>
          <w:p w14:paraId="1E3A15A2" w14:textId="77777777" w:rsidR="005F6E08" w:rsidRPr="005F7983" w:rsidRDefault="005F6E08" w:rsidP="009F3873">
            <w:pPr>
              <w:rPr>
                <w:color w:val="000000"/>
              </w:rPr>
            </w:pPr>
            <w:r w:rsidRPr="005F7983">
              <w:rPr>
                <w:color w:val="000000"/>
              </w:rPr>
              <w:t>Variables</w:t>
            </w:r>
          </w:p>
        </w:tc>
        <w:tc>
          <w:tcPr>
            <w:tcW w:w="5954" w:type="dxa"/>
            <w:gridSpan w:val="5"/>
            <w:tcBorders>
              <w:top w:val="single" w:sz="12" w:space="0" w:color="auto"/>
              <w:bottom w:val="single" w:sz="4" w:space="0" w:color="000000"/>
            </w:tcBorders>
            <w:shd w:val="clear" w:color="auto" w:fill="auto"/>
            <w:vAlign w:val="center"/>
          </w:tcPr>
          <w:p w14:paraId="355CB51B" w14:textId="77777777" w:rsidR="005F6E08" w:rsidRPr="005F7983" w:rsidRDefault="005F6E08" w:rsidP="00D83242">
            <w:pPr>
              <w:jc w:val="center"/>
              <w:rPr>
                <w:color w:val="000000"/>
              </w:rPr>
            </w:pPr>
            <w:r w:rsidRPr="004804E7">
              <w:rPr>
                <w:color w:val="000000"/>
                <w:sz w:val="20"/>
                <w:szCs w:val="20"/>
              </w:rPr>
              <w:t>%, or Mean (SD)</w:t>
            </w:r>
          </w:p>
        </w:tc>
      </w:tr>
      <w:tr w:rsidR="005F6E08" w:rsidRPr="005F7983" w14:paraId="35CD3A20" w14:textId="77777777" w:rsidTr="00381E06">
        <w:trPr>
          <w:trHeight w:val="312"/>
        </w:trPr>
        <w:tc>
          <w:tcPr>
            <w:tcW w:w="4126" w:type="dxa"/>
            <w:tcBorders>
              <w:bottom w:val="single" w:sz="12" w:space="0" w:color="000000"/>
              <w:right w:val="nil"/>
            </w:tcBorders>
            <w:shd w:val="clear" w:color="auto" w:fill="auto"/>
            <w:noWrap/>
            <w:vAlign w:val="center"/>
          </w:tcPr>
          <w:p w14:paraId="5081D037" w14:textId="77777777" w:rsidR="005F6E08" w:rsidRPr="005F7983" w:rsidRDefault="005F6E08" w:rsidP="009F3873">
            <w:pPr>
              <w:rPr>
                <w:color w:val="000000"/>
              </w:rPr>
            </w:pPr>
          </w:p>
        </w:tc>
        <w:tc>
          <w:tcPr>
            <w:tcW w:w="1418" w:type="dxa"/>
            <w:tcBorders>
              <w:top w:val="single" w:sz="4" w:space="0" w:color="000000"/>
              <w:left w:val="nil"/>
              <w:bottom w:val="single" w:sz="12" w:space="0" w:color="000000"/>
              <w:right w:val="nil"/>
            </w:tcBorders>
            <w:shd w:val="clear" w:color="auto" w:fill="auto"/>
            <w:noWrap/>
            <w:vAlign w:val="center"/>
          </w:tcPr>
          <w:p w14:paraId="1F1DA9FF" w14:textId="77777777" w:rsidR="005F6E08" w:rsidRPr="005F7983" w:rsidRDefault="005F6E08" w:rsidP="00D83242">
            <w:pPr>
              <w:jc w:val="center"/>
              <w:rPr>
                <w:color w:val="000000"/>
              </w:rPr>
            </w:pPr>
            <w:r w:rsidRPr="005F7983">
              <w:rPr>
                <w:color w:val="000000"/>
              </w:rPr>
              <w:t>Overall sample</w:t>
            </w:r>
          </w:p>
          <w:p w14:paraId="500F5136" w14:textId="77777777" w:rsidR="005F6E08" w:rsidRPr="004804E7" w:rsidRDefault="005F6E08" w:rsidP="00D83242">
            <w:pPr>
              <w:jc w:val="center"/>
              <w:rPr>
                <w:color w:val="000000"/>
                <w:sz w:val="20"/>
                <w:szCs w:val="20"/>
              </w:rPr>
            </w:pPr>
            <w:r w:rsidRPr="005F7983">
              <w:rPr>
                <w:color w:val="000000"/>
              </w:rPr>
              <w:t>at baseline</w:t>
            </w:r>
          </w:p>
        </w:tc>
        <w:tc>
          <w:tcPr>
            <w:tcW w:w="1134" w:type="dxa"/>
            <w:tcBorders>
              <w:top w:val="single" w:sz="4" w:space="0" w:color="000000"/>
              <w:left w:val="nil"/>
              <w:bottom w:val="single" w:sz="12" w:space="0" w:color="000000"/>
              <w:right w:val="nil"/>
            </w:tcBorders>
            <w:vAlign w:val="center"/>
          </w:tcPr>
          <w:p w14:paraId="76AB5995" w14:textId="77777777" w:rsidR="005F6E08" w:rsidRPr="004804E7" w:rsidRDefault="005F6E08" w:rsidP="00D83242">
            <w:pPr>
              <w:jc w:val="center"/>
              <w:rPr>
                <w:color w:val="000000"/>
                <w:sz w:val="20"/>
                <w:szCs w:val="20"/>
              </w:rPr>
            </w:pPr>
            <w:r w:rsidRPr="005F7983">
              <w:rPr>
                <w:color w:val="000000"/>
              </w:rPr>
              <w:t>Living in WSQ1 at baseline</w:t>
            </w:r>
          </w:p>
        </w:tc>
        <w:tc>
          <w:tcPr>
            <w:tcW w:w="1134" w:type="dxa"/>
            <w:tcBorders>
              <w:top w:val="single" w:sz="4" w:space="0" w:color="000000"/>
              <w:left w:val="nil"/>
              <w:bottom w:val="single" w:sz="12" w:space="0" w:color="000000"/>
              <w:right w:val="nil"/>
            </w:tcBorders>
            <w:vAlign w:val="center"/>
          </w:tcPr>
          <w:p w14:paraId="2698A895" w14:textId="77777777" w:rsidR="005F6E08" w:rsidRPr="004804E7" w:rsidRDefault="005F6E08" w:rsidP="00D83242">
            <w:pPr>
              <w:jc w:val="center"/>
              <w:rPr>
                <w:color w:val="000000"/>
                <w:sz w:val="20"/>
                <w:szCs w:val="20"/>
              </w:rPr>
            </w:pPr>
            <w:r w:rsidRPr="005F7983">
              <w:rPr>
                <w:color w:val="000000"/>
              </w:rPr>
              <w:t>Living in WSQ2 at baseline</w:t>
            </w:r>
          </w:p>
        </w:tc>
        <w:tc>
          <w:tcPr>
            <w:tcW w:w="1134" w:type="dxa"/>
            <w:tcBorders>
              <w:top w:val="single" w:sz="4" w:space="0" w:color="000000"/>
              <w:left w:val="nil"/>
              <w:bottom w:val="single" w:sz="12" w:space="0" w:color="000000"/>
              <w:right w:val="nil"/>
            </w:tcBorders>
            <w:vAlign w:val="center"/>
          </w:tcPr>
          <w:p w14:paraId="498834EB" w14:textId="77777777" w:rsidR="005F6E08" w:rsidRPr="004804E7" w:rsidRDefault="005F6E08" w:rsidP="00D83242">
            <w:pPr>
              <w:jc w:val="center"/>
              <w:rPr>
                <w:color w:val="000000"/>
                <w:sz w:val="20"/>
                <w:szCs w:val="20"/>
              </w:rPr>
            </w:pPr>
            <w:r w:rsidRPr="005F7983">
              <w:rPr>
                <w:color w:val="000000"/>
              </w:rPr>
              <w:t>Living in WSQ3 at baseline</w:t>
            </w:r>
          </w:p>
        </w:tc>
        <w:tc>
          <w:tcPr>
            <w:tcW w:w="1134" w:type="dxa"/>
            <w:tcBorders>
              <w:top w:val="single" w:sz="4" w:space="0" w:color="000000"/>
              <w:left w:val="nil"/>
              <w:bottom w:val="single" w:sz="12" w:space="0" w:color="000000"/>
              <w:right w:val="nil"/>
            </w:tcBorders>
            <w:vAlign w:val="center"/>
          </w:tcPr>
          <w:p w14:paraId="0962FE94" w14:textId="77777777" w:rsidR="005F6E08" w:rsidRPr="004804E7" w:rsidRDefault="005F6E08" w:rsidP="00D83242">
            <w:pPr>
              <w:jc w:val="center"/>
              <w:rPr>
                <w:color w:val="000000"/>
                <w:sz w:val="20"/>
                <w:szCs w:val="20"/>
              </w:rPr>
            </w:pPr>
            <w:r w:rsidRPr="005F7983">
              <w:rPr>
                <w:color w:val="000000"/>
              </w:rPr>
              <w:t>Living in WSQ4 at baseline</w:t>
            </w:r>
          </w:p>
        </w:tc>
      </w:tr>
      <w:tr w:rsidR="005F6E08" w:rsidRPr="005F7983" w14:paraId="034EC01E" w14:textId="77777777" w:rsidTr="00381E06">
        <w:trPr>
          <w:trHeight w:val="312"/>
        </w:trPr>
        <w:tc>
          <w:tcPr>
            <w:tcW w:w="4126" w:type="dxa"/>
            <w:tcBorders>
              <w:top w:val="single" w:sz="12" w:space="0" w:color="000000"/>
              <w:right w:val="nil"/>
            </w:tcBorders>
            <w:shd w:val="clear" w:color="auto" w:fill="auto"/>
            <w:noWrap/>
            <w:vAlign w:val="center"/>
          </w:tcPr>
          <w:p w14:paraId="1D3BA69C" w14:textId="77777777" w:rsidR="005F6E08" w:rsidRPr="005F7983" w:rsidRDefault="005F6E08" w:rsidP="009F3873">
            <w:pPr>
              <w:rPr>
                <w:color w:val="000000"/>
              </w:rPr>
            </w:pPr>
            <w:r w:rsidRPr="005F7983">
              <w:rPr>
                <w:color w:val="000000"/>
              </w:rPr>
              <w:t>Age (SD)</w:t>
            </w:r>
          </w:p>
        </w:tc>
        <w:tc>
          <w:tcPr>
            <w:tcW w:w="1418" w:type="dxa"/>
            <w:tcBorders>
              <w:top w:val="single" w:sz="12" w:space="0" w:color="000000"/>
              <w:left w:val="nil"/>
              <w:right w:val="nil"/>
            </w:tcBorders>
            <w:shd w:val="clear" w:color="auto" w:fill="auto"/>
            <w:noWrap/>
            <w:vAlign w:val="center"/>
          </w:tcPr>
          <w:p w14:paraId="14735F01" w14:textId="77777777" w:rsidR="005F6E08" w:rsidRPr="005F7983" w:rsidRDefault="005F6E08" w:rsidP="00D83242">
            <w:pPr>
              <w:jc w:val="center"/>
              <w:rPr>
                <w:color w:val="000000"/>
              </w:rPr>
            </w:pPr>
            <w:r w:rsidRPr="005F7983">
              <w:rPr>
                <w:color w:val="000000"/>
              </w:rPr>
              <w:t>38 (9)</w:t>
            </w:r>
          </w:p>
        </w:tc>
        <w:tc>
          <w:tcPr>
            <w:tcW w:w="1134" w:type="dxa"/>
            <w:tcBorders>
              <w:top w:val="single" w:sz="12" w:space="0" w:color="000000"/>
              <w:left w:val="nil"/>
              <w:right w:val="nil"/>
            </w:tcBorders>
            <w:vAlign w:val="center"/>
          </w:tcPr>
          <w:p w14:paraId="291062E9" w14:textId="77777777" w:rsidR="005F6E08" w:rsidRPr="005F7983" w:rsidRDefault="005F6E08" w:rsidP="00D83242">
            <w:pPr>
              <w:jc w:val="center"/>
              <w:rPr>
                <w:color w:val="000000"/>
              </w:rPr>
            </w:pPr>
            <w:r w:rsidRPr="005F7983">
              <w:rPr>
                <w:color w:val="000000"/>
              </w:rPr>
              <w:t>39</w:t>
            </w:r>
            <w:r>
              <w:rPr>
                <w:color w:val="000000"/>
              </w:rPr>
              <w:t xml:space="preserve"> (9</w:t>
            </w:r>
            <w:r w:rsidRPr="005F7983">
              <w:rPr>
                <w:color w:val="000000"/>
              </w:rPr>
              <w:t>)</w:t>
            </w:r>
          </w:p>
        </w:tc>
        <w:tc>
          <w:tcPr>
            <w:tcW w:w="1134" w:type="dxa"/>
            <w:tcBorders>
              <w:top w:val="single" w:sz="12" w:space="0" w:color="000000"/>
              <w:left w:val="nil"/>
              <w:right w:val="nil"/>
            </w:tcBorders>
            <w:vAlign w:val="center"/>
          </w:tcPr>
          <w:p w14:paraId="74AF4B4D" w14:textId="77777777" w:rsidR="005F6E08" w:rsidRPr="005F7983" w:rsidRDefault="005F6E08" w:rsidP="00D83242">
            <w:pPr>
              <w:jc w:val="center"/>
              <w:rPr>
                <w:color w:val="000000"/>
              </w:rPr>
            </w:pPr>
            <w:r>
              <w:rPr>
                <w:color w:val="000000"/>
              </w:rPr>
              <w:t xml:space="preserve">39 </w:t>
            </w:r>
            <w:r w:rsidRPr="005F7983">
              <w:rPr>
                <w:color w:val="000000"/>
              </w:rPr>
              <w:t>(9)</w:t>
            </w:r>
          </w:p>
        </w:tc>
        <w:tc>
          <w:tcPr>
            <w:tcW w:w="1134" w:type="dxa"/>
            <w:tcBorders>
              <w:top w:val="single" w:sz="12" w:space="0" w:color="000000"/>
              <w:left w:val="nil"/>
              <w:right w:val="nil"/>
            </w:tcBorders>
            <w:vAlign w:val="center"/>
          </w:tcPr>
          <w:p w14:paraId="03E8ADD5" w14:textId="77777777" w:rsidR="005F6E08" w:rsidRPr="005F7983" w:rsidRDefault="005F6E08" w:rsidP="00D83242">
            <w:pPr>
              <w:jc w:val="center"/>
              <w:rPr>
                <w:color w:val="000000"/>
              </w:rPr>
            </w:pPr>
            <w:r w:rsidRPr="005F7983">
              <w:rPr>
                <w:color w:val="000000"/>
              </w:rPr>
              <w:t>38</w:t>
            </w:r>
            <w:r w:rsidRPr="005F7983" w:rsidDel="000A7B7F">
              <w:rPr>
                <w:color w:val="000000"/>
              </w:rPr>
              <w:t xml:space="preserve"> </w:t>
            </w:r>
            <w:r w:rsidRPr="005F7983">
              <w:rPr>
                <w:color w:val="000000"/>
              </w:rPr>
              <w:t>(9.5)</w:t>
            </w:r>
          </w:p>
        </w:tc>
        <w:tc>
          <w:tcPr>
            <w:tcW w:w="1134" w:type="dxa"/>
            <w:tcBorders>
              <w:top w:val="single" w:sz="12" w:space="0" w:color="000000"/>
              <w:left w:val="nil"/>
              <w:right w:val="nil"/>
            </w:tcBorders>
            <w:vAlign w:val="center"/>
          </w:tcPr>
          <w:p w14:paraId="1061643A" w14:textId="77777777" w:rsidR="005F6E08" w:rsidRPr="005F7983" w:rsidRDefault="005F6E08" w:rsidP="00D83242">
            <w:pPr>
              <w:jc w:val="center"/>
              <w:rPr>
                <w:color w:val="000000"/>
              </w:rPr>
            </w:pPr>
            <w:r w:rsidRPr="005F7983">
              <w:rPr>
                <w:color w:val="000000"/>
              </w:rPr>
              <w:t>37</w:t>
            </w:r>
            <w:r w:rsidRPr="005F7983" w:rsidDel="000A7B7F">
              <w:rPr>
                <w:color w:val="000000"/>
              </w:rPr>
              <w:t xml:space="preserve"> </w:t>
            </w:r>
            <w:r w:rsidRPr="005F7983">
              <w:rPr>
                <w:color w:val="000000"/>
              </w:rPr>
              <w:t>(9.7)</w:t>
            </w:r>
          </w:p>
        </w:tc>
      </w:tr>
      <w:tr w:rsidR="005F6E08" w:rsidRPr="005F7983" w14:paraId="29157D3E" w14:textId="77777777" w:rsidTr="00D83242">
        <w:trPr>
          <w:trHeight w:val="312"/>
        </w:trPr>
        <w:tc>
          <w:tcPr>
            <w:tcW w:w="4126" w:type="dxa"/>
            <w:tcBorders>
              <w:right w:val="nil"/>
            </w:tcBorders>
            <w:shd w:val="clear" w:color="auto" w:fill="auto"/>
            <w:noWrap/>
            <w:vAlign w:val="center"/>
            <w:hideMark/>
          </w:tcPr>
          <w:p w14:paraId="7F2CF777" w14:textId="77777777" w:rsidR="005F6E08" w:rsidRPr="00C424DE" w:rsidRDefault="005F6E08" w:rsidP="009F3873">
            <w:pPr>
              <w:rPr>
                <w:color w:val="000000"/>
              </w:rPr>
            </w:pPr>
            <w:r w:rsidRPr="00C424DE">
              <w:rPr>
                <w:color w:val="000000"/>
              </w:rPr>
              <w:t>Men</w:t>
            </w:r>
          </w:p>
        </w:tc>
        <w:tc>
          <w:tcPr>
            <w:tcW w:w="1418" w:type="dxa"/>
            <w:tcBorders>
              <w:left w:val="nil"/>
              <w:right w:val="nil"/>
            </w:tcBorders>
            <w:shd w:val="clear" w:color="auto" w:fill="auto"/>
            <w:noWrap/>
            <w:vAlign w:val="center"/>
            <w:hideMark/>
          </w:tcPr>
          <w:p w14:paraId="7B1E95C0" w14:textId="77777777" w:rsidR="005F6E08" w:rsidRPr="005F7983" w:rsidRDefault="005F6E08" w:rsidP="00D83242">
            <w:pPr>
              <w:jc w:val="center"/>
              <w:rPr>
                <w:color w:val="000000"/>
              </w:rPr>
            </w:pPr>
            <w:r w:rsidRPr="005F7983">
              <w:rPr>
                <w:color w:val="000000"/>
              </w:rPr>
              <w:t>4</w:t>
            </w:r>
            <w:r>
              <w:rPr>
                <w:color w:val="000000"/>
              </w:rPr>
              <w:t>8</w:t>
            </w:r>
            <w:r w:rsidRPr="005F7983">
              <w:rPr>
                <w:color w:val="000000"/>
              </w:rPr>
              <w:t>%</w:t>
            </w:r>
          </w:p>
        </w:tc>
        <w:tc>
          <w:tcPr>
            <w:tcW w:w="1134" w:type="dxa"/>
            <w:tcBorders>
              <w:left w:val="nil"/>
              <w:right w:val="nil"/>
            </w:tcBorders>
            <w:vAlign w:val="center"/>
          </w:tcPr>
          <w:p w14:paraId="5F63F1BE" w14:textId="77777777" w:rsidR="005F6E08" w:rsidRPr="005F7983" w:rsidRDefault="005F6E08" w:rsidP="00D83242">
            <w:pPr>
              <w:jc w:val="center"/>
              <w:rPr>
                <w:color w:val="000000"/>
              </w:rPr>
            </w:pPr>
            <w:r w:rsidRPr="005F7983">
              <w:rPr>
                <w:color w:val="000000"/>
              </w:rPr>
              <w:t>53%</w:t>
            </w:r>
          </w:p>
        </w:tc>
        <w:tc>
          <w:tcPr>
            <w:tcW w:w="1134" w:type="dxa"/>
            <w:tcBorders>
              <w:left w:val="nil"/>
              <w:right w:val="nil"/>
            </w:tcBorders>
            <w:vAlign w:val="center"/>
          </w:tcPr>
          <w:p w14:paraId="183DDDC4" w14:textId="77777777" w:rsidR="005F6E08" w:rsidRPr="005F7983" w:rsidRDefault="005F6E08" w:rsidP="00D83242">
            <w:pPr>
              <w:jc w:val="center"/>
              <w:rPr>
                <w:color w:val="000000"/>
              </w:rPr>
            </w:pPr>
            <w:r w:rsidRPr="005F7983">
              <w:rPr>
                <w:color w:val="000000"/>
              </w:rPr>
              <w:t>48%</w:t>
            </w:r>
          </w:p>
        </w:tc>
        <w:tc>
          <w:tcPr>
            <w:tcW w:w="1134" w:type="dxa"/>
            <w:tcBorders>
              <w:left w:val="nil"/>
              <w:right w:val="nil"/>
            </w:tcBorders>
            <w:vAlign w:val="center"/>
          </w:tcPr>
          <w:p w14:paraId="18717695" w14:textId="77777777" w:rsidR="005F6E08" w:rsidRPr="005F7983" w:rsidRDefault="005F6E08" w:rsidP="00D83242">
            <w:pPr>
              <w:jc w:val="center"/>
              <w:rPr>
                <w:color w:val="000000"/>
              </w:rPr>
            </w:pPr>
            <w:r w:rsidRPr="005F7983">
              <w:rPr>
                <w:color w:val="000000"/>
              </w:rPr>
              <w:t>4</w:t>
            </w:r>
            <w:r>
              <w:rPr>
                <w:color w:val="000000"/>
              </w:rPr>
              <w:t>6</w:t>
            </w:r>
            <w:r w:rsidRPr="005F7983">
              <w:rPr>
                <w:color w:val="000000"/>
              </w:rPr>
              <w:t>%</w:t>
            </w:r>
          </w:p>
        </w:tc>
        <w:tc>
          <w:tcPr>
            <w:tcW w:w="1134" w:type="dxa"/>
            <w:tcBorders>
              <w:left w:val="nil"/>
              <w:right w:val="nil"/>
            </w:tcBorders>
            <w:vAlign w:val="center"/>
          </w:tcPr>
          <w:p w14:paraId="53DEE574" w14:textId="77777777" w:rsidR="005F6E08" w:rsidRPr="005F7983" w:rsidRDefault="005F6E08" w:rsidP="00D83242">
            <w:pPr>
              <w:jc w:val="center"/>
              <w:rPr>
                <w:color w:val="000000"/>
              </w:rPr>
            </w:pPr>
            <w:r w:rsidRPr="005F7983">
              <w:rPr>
                <w:color w:val="000000"/>
              </w:rPr>
              <w:t>45%</w:t>
            </w:r>
          </w:p>
        </w:tc>
      </w:tr>
      <w:tr w:rsidR="005F6E08" w:rsidRPr="005F7983" w14:paraId="261D2750" w14:textId="77777777" w:rsidTr="00D83242">
        <w:trPr>
          <w:trHeight w:val="312"/>
        </w:trPr>
        <w:tc>
          <w:tcPr>
            <w:tcW w:w="4126" w:type="dxa"/>
            <w:tcBorders>
              <w:right w:val="nil"/>
            </w:tcBorders>
            <w:shd w:val="clear" w:color="auto" w:fill="auto"/>
            <w:noWrap/>
            <w:vAlign w:val="center"/>
            <w:hideMark/>
          </w:tcPr>
          <w:p w14:paraId="38726ECB" w14:textId="6085166C" w:rsidR="005F6E08" w:rsidRPr="00F1689C" w:rsidRDefault="00C424DE" w:rsidP="009F3873">
            <w:pPr>
              <w:rPr>
                <w:color w:val="000000"/>
              </w:rPr>
            </w:pPr>
            <w:r w:rsidRPr="00F1689C">
              <w:rPr>
                <w:color w:val="000000"/>
              </w:rPr>
              <w:t xml:space="preserve">Completed </w:t>
            </w:r>
            <w:r w:rsidR="005F6E08" w:rsidRPr="00F1689C">
              <w:rPr>
                <w:color w:val="000000"/>
              </w:rPr>
              <w:t xml:space="preserve">post-secondary education </w:t>
            </w:r>
          </w:p>
        </w:tc>
        <w:tc>
          <w:tcPr>
            <w:tcW w:w="1418" w:type="dxa"/>
            <w:tcBorders>
              <w:left w:val="nil"/>
              <w:right w:val="nil"/>
            </w:tcBorders>
            <w:shd w:val="clear" w:color="auto" w:fill="auto"/>
            <w:noWrap/>
            <w:vAlign w:val="center"/>
            <w:hideMark/>
          </w:tcPr>
          <w:p w14:paraId="19112F3A" w14:textId="376378F0" w:rsidR="005F6E08" w:rsidRPr="005F7983" w:rsidRDefault="00C424DE" w:rsidP="00C424DE">
            <w:pPr>
              <w:jc w:val="center"/>
              <w:rPr>
                <w:color w:val="000000"/>
              </w:rPr>
            </w:pPr>
            <w:r>
              <w:rPr>
                <w:color w:val="000000"/>
              </w:rPr>
              <w:t>59</w:t>
            </w:r>
            <w:r w:rsidR="005F6E08" w:rsidRPr="005F7983">
              <w:rPr>
                <w:color w:val="000000"/>
              </w:rPr>
              <w:t>%</w:t>
            </w:r>
          </w:p>
        </w:tc>
        <w:tc>
          <w:tcPr>
            <w:tcW w:w="1134" w:type="dxa"/>
            <w:tcBorders>
              <w:left w:val="nil"/>
              <w:right w:val="nil"/>
            </w:tcBorders>
            <w:vAlign w:val="center"/>
          </w:tcPr>
          <w:p w14:paraId="434D7081" w14:textId="11590A78" w:rsidR="005F6E08" w:rsidRPr="005F7983" w:rsidRDefault="00C424DE" w:rsidP="00F1689C">
            <w:pPr>
              <w:jc w:val="center"/>
              <w:rPr>
                <w:color w:val="000000"/>
              </w:rPr>
            </w:pPr>
            <w:r>
              <w:rPr>
                <w:color w:val="000000"/>
              </w:rPr>
              <w:t>5</w:t>
            </w:r>
            <w:r w:rsidR="00F1689C">
              <w:rPr>
                <w:color w:val="000000"/>
              </w:rPr>
              <w:t>8</w:t>
            </w:r>
            <w:r w:rsidR="005F6E08" w:rsidRPr="005F7983">
              <w:rPr>
                <w:color w:val="000000"/>
              </w:rPr>
              <w:t>%</w:t>
            </w:r>
          </w:p>
        </w:tc>
        <w:tc>
          <w:tcPr>
            <w:tcW w:w="1134" w:type="dxa"/>
            <w:tcBorders>
              <w:left w:val="nil"/>
              <w:right w:val="nil"/>
            </w:tcBorders>
            <w:vAlign w:val="center"/>
          </w:tcPr>
          <w:p w14:paraId="0CE1D3B1" w14:textId="6D3F82B0" w:rsidR="005F6E08" w:rsidRPr="005F7983" w:rsidRDefault="00C424DE" w:rsidP="00D83242">
            <w:pPr>
              <w:jc w:val="center"/>
              <w:rPr>
                <w:color w:val="000000"/>
              </w:rPr>
            </w:pPr>
            <w:r>
              <w:rPr>
                <w:color w:val="000000"/>
              </w:rPr>
              <w:t>5</w:t>
            </w:r>
            <w:r w:rsidR="00F1689C">
              <w:rPr>
                <w:color w:val="000000"/>
              </w:rPr>
              <w:t>7</w:t>
            </w:r>
            <w:r w:rsidR="005F6E08" w:rsidRPr="005F7983">
              <w:rPr>
                <w:color w:val="000000"/>
              </w:rPr>
              <w:t>%</w:t>
            </w:r>
          </w:p>
        </w:tc>
        <w:tc>
          <w:tcPr>
            <w:tcW w:w="1134" w:type="dxa"/>
            <w:tcBorders>
              <w:left w:val="nil"/>
              <w:right w:val="nil"/>
            </w:tcBorders>
            <w:vAlign w:val="center"/>
          </w:tcPr>
          <w:p w14:paraId="4E82E413" w14:textId="7F0CE985" w:rsidR="005F6E08" w:rsidRPr="005F7983" w:rsidRDefault="00C424DE" w:rsidP="00D83242">
            <w:pPr>
              <w:jc w:val="center"/>
              <w:rPr>
                <w:color w:val="000000"/>
              </w:rPr>
            </w:pPr>
            <w:r>
              <w:rPr>
                <w:color w:val="000000"/>
              </w:rPr>
              <w:t>5</w:t>
            </w:r>
            <w:r w:rsidR="00F1689C">
              <w:rPr>
                <w:color w:val="000000"/>
              </w:rPr>
              <w:t>9</w:t>
            </w:r>
            <w:r w:rsidR="005F6E08" w:rsidRPr="005F7983">
              <w:rPr>
                <w:color w:val="000000"/>
              </w:rPr>
              <w:t>%</w:t>
            </w:r>
          </w:p>
        </w:tc>
        <w:tc>
          <w:tcPr>
            <w:tcW w:w="1134" w:type="dxa"/>
            <w:tcBorders>
              <w:left w:val="nil"/>
              <w:right w:val="nil"/>
            </w:tcBorders>
            <w:vAlign w:val="center"/>
          </w:tcPr>
          <w:p w14:paraId="0E747E47" w14:textId="25A4B012" w:rsidR="005F6E08" w:rsidRPr="005F7983" w:rsidRDefault="00C424DE" w:rsidP="00D83242">
            <w:pPr>
              <w:jc w:val="center"/>
              <w:rPr>
                <w:color w:val="000000"/>
              </w:rPr>
            </w:pPr>
            <w:r>
              <w:rPr>
                <w:color w:val="000000"/>
              </w:rPr>
              <w:t>5</w:t>
            </w:r>
            <w:r w:rsidR="00F1689C">
              <w:rPr>
                <w:color w:val="000000"/>
              </w:rPr>
              <w:t>7</w:t>
            </w:r>
            <w:r w:rsidR="005F6E08" w:rsidRPr="005F7983">
              <w:rPr>
                <w:color w:val="000000"/>
              </w:rPr>
              <w:t>%</w:t>
            </w:r>
          </w:p>
        </w:tc>
      </w:tr>
      <w:tr w:rsidR="00EF5E49" w:rsidRPr="005F7983" w14:paraId="701062C2" w14:textId="77777777" w:rsidTr="00D83242">
        <w:trPr>
          <w:trHeight w:val="312"/>
        </w:trPr>
        <w:tc>
          <w:tcPr>
            <w:tcW w:w="4126" w:type="dxa"/>
            <w:tcBorders>
              <w:right w:val="nil"/>
            </w:tcBorders>
            <w:shd w:val="clear" w:color="auto" w:fill="auto"/>
            <w:noWrap/>
            <w:vAlign w:val="center"/>
          </w:tcPr>
          <w:p w14:paraId="4779E069" w14:textId="77777777" w:rsidR="00EF5E49" w:rsidRPr="00F1689C" w:rsidRDefault="00EF5E49" w:rsidP="009F3873">
            <w:pPr>
              <w:rPr>
                <w:color w:val="000000"/>
              </w:rPr>
            </w:pPr>
            <w:r w:rsidRPr="00C424DE">
              <w:t>Good perceived health</w:t>
            </w:r>
            <w:r w:rsidRPr="00F1689C" w:rsidDel="00EF5E49">
              <w:rPr>
                <w:color w:val="000000"/>
              </w:rPr>
              <w:t xml:space="preserve"> </w:t>
            </w:r>
          </w:p>
        </w:tc>
        <w:tc>
          <w:tcPr>
            <w:tcW w:w="1418" w:type="dxa"/>
            <w:tcBorders>
              <w:left w:val="nil"/>
              <w:right w:val="nil"/>
            </w:tcBorders>
            <w:shd w:val="clear" w:color="auto" w:fill="auto"/>
            <w:noWrap/>
            <w:vAlign w:val="center"/>
          </w:tcPr>
          <w:p w14:paraId="29A2E666" w14:textId="77777777" w:rsidR="00EF5E49" w:rsidRPr="005F7983" w:rsidRDefault="00EF5E49" w:rsidP="00D83242">
            <w:pPr>
              <w:jc w:val="center"/>
              <w:rPr>
                <w:color w:val="000000"/>
              </w:rPr>
            </w:pPr>
            <w:r w:rsidRPr="00B44896">
              <w:rPr>
                <w:color w:val="000000"/>
              </w:rPr>
              <w:t>93%</w:t>
            </w:r>
          </w:p>
        </w:tc>
        <w:tc>
          <w:tcPr>
            <w:tcW w:w="1134" w:type="dxa"/>
            <w:tcBorders>
              <w:left w:val="nil"/>
              <w:right w:val="nil"/>
            </w:tcBorders>
            <w:vAlign w:val="center"/>
          </w:tcPr>
          <w:p w14:paraId="696DB11E" w14:textId="77777777" w:rsidR="00EF5E49" w:rsidRPr="005F7983" w:rsidRDefault="00EF5E49" w:rsidP="00D83242">
            <w:pPr>
              <w:jc w:val="center"/>
              <w:rPr>
                <w:color w:val="000000"/>
              </w:rPr>
            </w:pPr>
            <w:r w:rsidRPr="00B44896">
              <w:rPr>
                <w:color w:val="000000"/>
              </w:rPr>
              <w:t>94%</w:t>
            </w:r>
          </w:p>
        </w:tc>
        <w:tc>
          <w:tcPr>
            <w:tcW w:w="1134" w:type="dxa"/>
            <w:tcBorders>
              <w:left w:val="nil"/>
              <w:right w:val="nil"/>
            </w:tcBorders>
            <w:vAlign w:val="center"/>
          </w:tcPr>
          <w:p w14:paraId="3030B27A" w14:textId="77777777" w:rsidR="00EF5E49" w:rsidRPr="005F7983" w:rsidRDefault="00EF5E49" w:rsidP="00D83242">
            <w:pPr>
              <w:jc w:val="center"/>
              <w:rPr>
                <w:color w:val="000000"/>
              </w:rPr>
            </w:pPr>
            <w:r w:rsidRPr="00B44896">
              <w:rPr>
                <w:color w:val="000000"/>
              </w:rPr>
              <w:t>94%</w:t>
            </w:r>
          </w:p>
        </w:tc>
        <w:tc>
          <w:tcPr>
            <w:tcW w:w="1134" w:type="dxa"/>
            <w:tcBorders>
              <w:left w:val="nil"/>
              <w:right w:val="nil"/>
            </w:tcBorders>
            <w:vAlign w:val="center"/>
          </w:tcPr>
          <w:p w14:paraId="573BBF58" w14:textId="77777777" w:rsidR="00EF5E49" w:rsidRPr="005F7983" w:rsidRDefault="00EF5E49" w:rsidP="00D83242">
            <w:pPr>
              <w:jc w:val="center"/>
              <w:rPr>
                <w:color w:val="000000"/>
              </w:rPr>
            </w:pPr>
            <w:r w:rsidRPr="00B44896">
              <w:rPr>
                <w:color w:val="000000"/>
              </w:rPr>
              <w:t>92</w:t>
            </w:r>
            <w:r w:rsidRPr="00B44896" w:rsidDel="0043075B">
              <w:rPr>
                <w:color w:val="000000"/>
              </w:rPr>
              <w:t xml:space="preserve"> </w:t>
            </w:r>
            <w:r w:rsidRPr="00B44896">
              <w:rPr>
                <w:color w:val="000000"/>
              </w:rPr>
              <w:t>%</w:t>
            </w:r>
          </w:p>
        </w:tc>
        <w:tc>
          <w:tcPr>
            <w:tcW w:w="1134" w:type="dxa"/>
            <w:tcBorders>
              <w:left w:val="nil"/>
              <w:right w:val="nil"/>
            </w:tcBorders>
            <w:vAlign w:val="center"/>
          </w:tcPr>
          <w:p w14:paraId="2A2888AF" w14:textId="77777777" w:rsidR="00EF5E49" w:rsidRPr="005F7983" w:rsidRDefault="00EF5E49" w:rsidP="00D83242">
            <w:pPr>
              <w:jc w:val="center"/>
              <w:rPr>
                <w:color w:val="000000"/>
              </w:rPr>
            </w:pPr>
            <w:r w:rsidRPr="00B44896">
              <w:rPr>
                <w:color w:val="000000"/>
              </w:rPr>
              <w:t>93%</w:t>
            </w:r>
          </w:p>
        </w:tc>
      </w:tr>
      <w:tr w:rsidR="00EF5E49" w:rsidRPr="005F7983" w14:paraId="21A10A62" w14:textId="77777777" w:rsidTr="00D83242">
        <w:trPr>
          <w:trHeight w:val="312"/>
        </w:trPr>
        <w:tc>
          <w:tcPr>
            <w:tcW w:w="4126" w:type="dxa"/>
            <w:tcBorders>
              <w:right w:val="nil"/>
            </w:tcBorders>
            <w:shd w:val="clear" w:color="auto" w:fill="auto"/>
            <w:noWrap/>
            <w:vAlign w:val="center"/>
          </w:tcPr>
          <w:p w14:paraId="3FA9ADBA" w14:textId="77777777" w:rsidR="00EF5E49" w:rsidRDefault="00EF5E49" w:rsidP="009F3873">
            <w:pPr>
              <w:rPr>
                <w:color w:val="000000"/>
              </w:rPr>
            </w:pPr>
            <w:r>
              <w:rPr>
                <w:color w:val="000000"/>
              </w:rPr>
              <w:t>Active in leisure time</w:t>
            </w:r>
          </w:p>
        </w:tc>
        <w:tc>
          <w:tcPr>
            <w:tcW w:w="1418" w:type="dxa"/>
            <w:tcBorders>
              <w:left w:val="nil"/>
              <w:right w:val="nil"/>
            </w:tcBorders>
            <w:shd w:val="clear" w:color="auto" w:fill="auto"/>
            <w:noWrap/>
            <w:vAlign w:val="center"/>
          </w:tcPr>
          <w:p w14:paraId="6B7A9F25" w14:textId="77777777" w:rsidR="00EF5E49" w:rsidRDefault="00EF5E49" w:rsidP="00D83242">
            <w:pPr>
              <w:jc w:val="center"/>
              <w:rPr>
                <w:color w:val="000000"/>
              </w:rPr>
            </w:pPr>
            <w:r>
              <w:rPr>
                <w:color w:val="000000"/>
              </w:rPr>
              <w:t>4</w:t>
            </w:r>
            <w:r w:rsidRPr="005F7983">
              <w:rPr>
                <w:color w:val="000000"/>
              </w:rPr>
              <w:t>0</w:t>
            </w:r>
            <w:r w:rsidRPr="005F7983" w:rsidDel="0043075B">
              <w:rPr>
                <w:color w:val="000000"/>
              </w:rPr>
              <w:t xml:space="preserve"> </w:t>
            </w:r>
            <w:r w:rsidRPr="005F7983">
              <w:rPr>
                <w:color w:val="000000"/>
              </w:rPr>
              <w:t>%</w:t>
            </w:r>
          </w:p>
        </w:tc>
        <w:tc>
          <w:tcPr>
            <w:tcW w:w="1134" w:type="dxa"/>
            <w:tcBorders>
              <w:left w:val="nil"/>
              <w:right w:val="nil"/>
            </w:tcBorders>
            <w:vAlign w:val="center"/>
          </w:tcPr>
          <w:p w14:paraId="5A3841D4" w14:textId="77777777" w:rsidR="00EF5E49" w:rsidRDefault="00EF5E49" w:rsidP="00D83242">
            <w:pPr>
              <w:jc w:val="center"/>
              <w:rPr>
                <w:color w:val="000000"/>
              </w:rPr>
            </w:pPr>
            <w:r>
              <w:rPr>
                <w:color w:val="000000"/>
              </w:rPr>
              <w:t>42</w:t>
            </w:r>
            <w:r w:rsidRPr="005F7983">
              <w:rPr>
                <w:color w:val="000000"/>
              </w:rPr>
              <w:t>%</w:t>
            </w:r>
          </w:p>
        </w:tc>
        <w:tc>
          <w:tcPr>
            <w:tcW w:w="1134" w:type="dxa"/>
            <w:tcBorders>
              <w:left w:val="nil"/>
              <w:right w:val="nil"/>
            </w:tcBorders>
            <w:vAlign w:val="center"/>
          </w:tcPr>
          <w:p w14:paraId="3B4257BB" w14:textId="77777777" w:rsidR="00EF5E49" w:rsidRDefault="00EF5E49" w:rsidP="00D83242">
            <w:pPr>
              <w:jc w:val="center"/>
              <w:rPr>
                <w:color w:val="000000"/>
              </w:rPr>
            </w:pPr>
            <w:r>
              <w:rPr>
                <w:color w:val="000000"/>
              </w:rPr>
              <w:t>40</w:t>
            </w:r>
            <w:r w:rsidRPr="005F7983">
              <w:rPr>
                <w:color w:val="000000"/>
              </w:rPr>
              <w:t>%</w:t>
            </w:r>
          </w:p>
        </w:tc>
        <w:tc>
          <w:tcPr>
            <w:tcW w:w="1134" w:type="dxa"/>
            <w:tcBorders>
              <w:left w:val="nil"/>
              <w:right w:val="nil"/>
            </w:tcBorders>
            <w:vAlign w:val="center"/>
          </w:tcPr>
          <w:p w14:paraId="7B2C621E" w14:textId="77777777" w:rsidR="00EF5E49" w:rsidRDefault="00EF5E49" w:rsidP="00D83242">
            <w:pPr>
              <w:jc w:val="center"/>
              <w:rPr>
                <w:color w:val="000000"/>
              </w:rPr>
            </w:pPr>
            <w:r>
              <w:rPr>
                <w:color w:val="000000"/>
              </w:rPr>
              <w:t>3</w:t>
            </w:r>
            <w:r w:rsidRPr="005F7983">
              <w:rPr>
                <w:color w:val="000000"/>
              </w:rPr>
              <w:t>5%</w:t>
            </w:r>
          </w:p>
        </w:tc>
        <w:tc>
          <w:tcPr>
            <w:tcW w:w="1134" w:type="dxa"/>
            <w:tcBorders>
              <w:left w:val="nil"/>
              <w:right w:val="nil"/>
            </w:tcBorders>
            <w:vAlign w:val="center"/>
          </w:tcPr>
          <w:p w14:paraId="70BD1A26" w14:textId="77777777" w:rsidR="00EF5E49" w:rsidRDefault="00EF5E49" w:rsidP="00D83242">
            <w:pPr>
              <w:jc w:val="center"/>
              <w:rPr>
                <w:color w:val="000000"/>
              </w:rPr>
            </w:pPr>
            <w:r>
              <w:rPr>
                <w:color w:val="000000"/>
              </w:rPr>
              <w:t>41</w:t>
            </w:r>
            <w:r w:rsidRPr="005F7983">
              <w:rPr>
                <w:color w:val="000000"/>
              </w:rPr>
              <w:t>%</w:t>
            </w:r>
          </w:p>
        </w:tc>
      </w:tr>
      <w:tr w:rsidR="00EF5E49" w:rsidRPr="005F7983" w14:paraId="5D687C06" w14:textId="77777777" w:rsidTr="00D83242">
        <w:trPr>
          <w:trHeight w:val="312"/>
        </w:trPr>
        <w:tc>
          <w:tcPr>
            <w:tcW w:w="4126" w:type="dxa"/>
            <w:tcBorders>
              <w:right w:val="nil"/>
            </w:tcBorders>
            <w:shd w:val="clear" w:color="auto" w:fill="auto"/>
            <w:noWrap/>
            <w:vAlign w:val="center"/>
          </w:tcPr>
          <w:p w14:paraId="3A181EB4" w14:textId="77777777" w:rsidR="00EF5E49" w:rsidRPr="00B56ED2" w:rsidRDefault="00EF5E49" w:rsidP="009F3873">
            <w:pPr>
              <w:rPr>
                <w:color w:val="000000"/>
              </w:rPr>
            </w:pPr>
            <w:r w:rsidRPr="00B56ED2">
              <w:rPr>
                <w:color w:val="000000"/>
              </w:rPr>
              <w:t xml:space="preserve">No utilitarian walking </w:t>
            </w:r>
          </w:p>
        </w:tc>
        <w:tc>
          <w:tcPr>
            <w:tcW w:w="1418" w:type="dxa"/>
            <w:tcBorders>
              <w:left w:val="nil"/>
              <w:right w:val="nil"/>
            </w:tcBorders>
            <w:shd w:val="clear" w:color="auto" w:fill="auto"/>
            <w:noWrap/>
            <w:vAlign w:val="center"/>
          </w:tcPr>
          <w:p w14:paraId="4A5EB5B5" w14:textId="77777777" w:rsidR="00EF5E49" w:rsidRPr="00B56ED2" w:rsidRDefault="00EF5E49" w:rsidP="00D83242">
            <w:pPr>
              <w:jc w:val="center"/>
              <w:rPr>
                <w:color w:val="000000"/>
              </w:rPr>
            </w:pPr>
            <w:r w:rsidRPr="00B56ED2">
              <w:rPr>
                <w:color w:val="000000"/>
              </w:rPr>
              <w:t>41%</w:t>
            </w:r>
          </w:p>
        </w:tc>
        <w:tc>
          <w:tcPr>
            <w:tcW w:w="1134" w:type="dxa"/>
            <w:tcBorders>
              <w:left w:val="nil"/>
              <w:right w:val="nil"/>
            </w:tcBorders>
            <w:vAlign w:val="center"/>
          </w:tcPr>
          <w:p w14:paraId="2E6DC42F" w14:textId="77777777" w:rsidR="00EF5E49" w:rsidRPr="00B56ED2" w:rsidRDefault="00EF5E49" w:rsidP="00D83242">
            <w:pPr>
              <w:jc w:val="center"/>
              <w:rPr>
                <w:color w:val="000000"/>
                <w:highlight w:val="yellow"/>
              </w:rPr>
            </w:pPr>
            <w:r w:rsidRPr="00B56ED2">
              <w:rPr>
                <w:color w:val="000000"/>
              </w:rPr>
              <w:t>46%</w:t>
            </w:r>
          </w:p>
        </w:tc>
        <w:tc>
          <w:tcPr>
            <w:tcW w:w="1134" w:type="dxa"/>
            <w:tcBorders>
              <w:left w:val="nil"/>
              <w:right w:val="nil"/>
            </w:tcBorders>
            <w:vAlign w:val="center"/>
          </w:tcPr>
          <w:p w14:paraId="440C1A56" w14:textId="77777777" w:rsidR="00EF5E49" w:rsidRPr="00B56ED2" w:rsidRDefault="00EF5E49" w:rsidP="00D83242">
            <w:pPr>
              <w:jc w:val="center"/>
              <w:rPr>
                <w:color w:val="000000"/>
                <w:highlight w:val="yellow"/>
              </w:rPr>
            </w:pPr>
            <w:r w:rsidRPr="00B56ED2">
              <w:rPr>
                <w:color w:val="000000"/>
              </w:rPr>
              <w:t>41%</w:t>
            </w:r>
          </w:p>
        </w:tc>
        <w:tc>
          <w:tcPr>
            <w:tcW w:w="1134" w:type="dxa"/>
            <w:tcBorders>
              <w:left w:val="nil"/>
              <w:right w:val="nil"/>
            </w:tcBorders>
            <w:vAlign w:val="center"/>
          </w:tcPr>
          <w:p w14:paraId="1F5B383A" w14:textId="77777777" w:rsidR="00EF5E49" w:rsidRPr="00B56ED2" w:rsidRDefault="00EF5E49" w:rsidP="00D83242">
            <w:pPr>
              <w:jc w:val="center"/>
              <w:rPr>
                <w:color w:val="000000"/>
                <w:highlight w:val="yellow"/>
              </w:rPr>
            </w:pPr>
            <w:r w:rsidRPr="00B56ED2">
              <w:rPr>
                <w:color w:val="000000"/>
              </w:rPr>
              <w:t>40%</w:t>
            </w:r>
          </w:p>
        </w:tc>
        <w:tc>
          <w:tcPr>
            <w:tcW w:w="1134" w:type="dxa"/>
            <w:tcBorders>
              <w:left w:val="nil"/>
              <w:right w:val="nil"/>
            </w:tcBorders>
            <w:vAlign w:val="center"/>
          </w:tcPr>
          <w:p w14:paraId="0988BA87" w14:textId="77777777" w:rsidR="00EF5E49" w:rsidRPr="00B56ED2" w:rsidRDefault="00EF5E49" w:rsidP="00D83242">
            <w:pPr>
              <w:jc w:val="center"/>
              <w:rPr>
                <w:color w:val="000000"/>
                <w:highlight w:val="yellow"/>
              </w:rPr>
            </w:pPr>
            <w:r w:rsidRPr="00B56ED2">
              <w:rPr>
                <w:color w:val="000000"/>
              </w:rPr>
              <w:t>40%</w:t>
            </w:r>
          </w:p>
        </w:tc>
      </w:tr>
      <w:tr w:rsidR="00EF5E49" w:rsidRPr="005F7983" w14:paraId="3AFF3BEE" w14:textId="77777777" w:rsidTr="00D83242">
        <w:trPr>
          <w:trHeight w:val="312"/>
        </w:trPr>
        <w:tc>
          <w:tcPr>
            <w:tcW w:w="4126" w:type="dxa"/>
            <w:tcBorders>
              <w:right w:val="nil"/>
            </w:tcBorders>
            <w:shd w:val="clear" w:color="auto" w:fill="auto"/>
            <w:noWrap/>
            <w:vAlign w:val="center"/>
          </w:tcPr>
          <w:p w14:paraId="0C6AC7C0" w14:textId="77777777" w:rsidR="00EF5E49" w:rsidRPr="00B56ED2" w:rsidRDefault="00EF5E49" w:rsidP="009F3873">
            <w:pPr>
              <w:rPr>
                <w:color w:val="000000"/>
              </w:rPr>
            </w:pPr>
            <w:r w:rsidRPr="00B56ED2">
              <w:rPr>
                <w:color w:val="000000"/>
              </w:rPr>
              <w:t>Low utilitarian walking (less than an hour)</w:t>
            </w:r>
          </w:p>
        </w:tc>
        <w:tc>
          <w:tcPr>
            <w:tcW w:w="1418" w:type="dxa"/>
            <w:tcBorders>
              <w:left w:val="nil"/>
              <w:right w:val="nil"/>
            </w:tcBorders>
            <w:shd w:val="clear" w:color="auto" w:fill="auto"/>
            <w:noWrap/>
            <w:vAlign w:val="center"/>
          </w:tcPr>
          <w:p w14:paraId="777DD4DB" w14:textId="77777777" w:rsidR="00EF5E49" w:rsidRPr="00B56ED2" w:rsidRDefault="00EF5E49" w:rsidP="00D83242">
            <w:pPr>
              <w:jc w:val="center"/>
              <w:rPr>
                <w:color w:val="000000"/>
              </w:rPr>
            </w:pPr>
            <w:r w:rsidRPr="00B56ED2">
              <w:rPr>
                <w:color w:val="000000"/>
              </w:rPr>
              <w:t>17%</w:t>
            </w:r>
          </w:p>
        </w:tc>
        <w:tc>
          <w:tcPr>
            <w:tcW w:w="1134" w:type="dxa"/>
            <w:tcBorders>
              <w:left w:val="nil"/>
              <w:right w:val="nil"/>
            </w:tcBorders>
            <w:vAlign w:val="center"/>
          </w:tcPr>
          <w:p w14:paraId="315BDA08" w14:textId="77777777" w:rsidR="00EF5E49" w:rsidRPr="00B56ED2" w:rsidRDefault="00EF5E49" w:rsidP="00D83242">
            <w:pPr>
              <w:jc w:val="center"/>
              <w:rPr>
                <w:color w:val="000000"/>
                <w:highlight w:val="yellow"/>
              </w:rPr>
            </w:pPr>
            <w:r w:rsidRPr="00B56ED2">
              <w:rPr>
                <w:color w:val="000000"/>
              </w:rPr>
              <w:t>14%</w:t>
            </w:r>
          </w:p>
        </w:tc>
        <w:tc>
          <w:tcPr>
            <w:tcW w:w="1134" w:type="dxa"/>
            <w:tcBorders>
              <w:left w:val="nil"/>
              <w:right w:val="nil"/>
            </w:tcBorders>
            <w:vAlign w:val="center"/>
          </w:tcPr>
          <w:p w14:paraId="2BC84424" w14:textId="77777777" w:rsidR="00EF5E49" w:rsidRPr="00B56ED2" w:rsidRDefault="00EF5E49" w:rsidP="00D83242">
            <w:pPr>
              <w:jc w:val="center"/>
              <w:rPr>
                <w:color w:val="000000"/>
                <w:highlight w:val="yellow"/>
              </w:rPr>
            </w:pPr>
            <w:r w:rsidRPr="00B56ED2">
              <w:rPr>
                <w:color w:val="000000"/>
              </w:rPr>
              <w:t>17%</w:t>
            </w:r>
          </w:p>
        </w:tc>
        <w:tc>
          <w:tcPr>
            <w:tcW w:w="1134" w:type="dxa"/>
            <w:tcBorders>
              <w:left w:val="nil"/>
              <w:right w:val="nil"/>
            </w:tcBorders>
            <w:vAlign w:val="center"/>
          </w:tcPr>
          <w:p w14:paraId="3CEAEDBF" w14:textId="77777777" w:rsidR="00EF5E49" w:rsidRPr="00B56ED2" w:rsidRDefault="00EF5E49" w:rsidP="00D83242">
            <w:pPr>
              <w:jc w:val="center"/>
              <w:rPr>
                <w:color w:val="000000"/>
                <w:highlight w:val="yellow"/>
              </w:rPr>
            </w:pPr>
            <w:r w:rsidRPr="00B56ED2">
              <w:rPr>
                <w:color w:val="000000"/>
              </w:rPr>
              <w:t>18%</w:t>
            </w:r>
          </w:p>
        </w:tc>
        <w:tc>
          <w:tcPr>
            <w:tcW w:w="1134" w:type="dxa"/>
            <w:tcBorders>
              <w:left w:val="nil"/>
              <w:right w:val="nil"/>
            </w:tcBorders>
            <w:vAlign w:val="center"/>
          </w:tcPr>
          <w:p w14:paraId="1BAF9BF8" w14:textId="77777777" w:rsidR="00EF5E49" w:rsidRPr="00B56ED2" w:rsidRDefault="00EF5E49" w:rsidP="00D83242">
            <w:pPr>
              <w:jc w:val="center"/>
              <w:rPr>
                <w:color w:val="000000"/>
                <w:highlight w:val="yellow"/>
              </w:rPr>
            </w:pPr>
            <w:r w:rsidRPr="00B56ED2">
              <w:rPr>
                <w:color w:val="000000"/>
              </w:rPr>
              <w:t>19%</w:t>
            </w:r>
          </w:p>
        </w:tc>
      </w:tr>
      <w:tr w:rsidR="00EF5E49" w:rsidRPr="005F7983" w14:paraId="3979ACD2" w14:textId="77777777" w:rsidTr="00D83242">
        <w:trPr>
          <w:trHeight w:val="312"/>
        </w:trPr>
        <w:tc>
          <w:tcPr>
            <w:tcW w:w="4126" w:type="dxa"/>
            <w:tcBorders>
              <w:right w:val="nil"/>
            </w:tcBorders>
            <w:shd w:val="clear" w:color="auto" w:fill="auto"/>
            <w:noWrap/>
            <w:vAlign w:val="center"/>
          </w:tcPr>
          <w:p w14:paraId="6CAAF432" w14:textId="77777777" w:rsidR="00EF5E49" w:rsidRPr="00B56ED2" w:rsidRDefault="00EF5E49" w:rsidP="009F3873">
            <w:pPr>
              <w:rPr>
                <w:color w:val="000000"/>
              </w:rPr>
            </w:pPr>
            <w:r w:rsidRPr="00B56ED2">
              <w:rPr>
                <w:color w:val="000000"/>
              </w:rPr>
              <w:t>Moderate utilitarian Walking (1 to 5 hours)</w:t>
            </w:r>
          </w:p>
        </w:tc>
        <w:tc>
          <w:tcPr>
            <w:tcW w:w="1418" w:type="dxa"/>
            <w:tcBorders>
              <w:left w:val="nil"/>
              <w:right w:val="nil"/>
            </w:tcBorders>
            <w:shd w:val="clear" w:color="auto" w:fill="auto"/>
            <w:noWrap/>
            <w:vAlign w:val="center"/>
          </w:tcPr>
          <w:p w14:paraId="75672117" w14:textId="77777777" w:rsidR="00EF5E49" w:rsidRPr="00B56ED2" w:rsidRDefault="00EF5E49" w:rsidP="00D83242">
            <w:pPr>
              <w:jc w:val="center"/>
              <w:rPr>
                <w:color w:val="000000"/>
              </w:rPr>
            </w:pPr>
            <w:r w:rsidRPr="00B56ED2">
              <w:rPr>
                <w:color w:val="000000"/>
              </w:rPr>
              <w:t>24%</w:t>
            </w:r>
          </w:p>
        </w:tc>
        <w:tc>
          <w:tcPr>
            <w:tcW w:w="1134" w:type="dxa"/>
            <w:tcBorders>
              <w:left w:val="nil"/>
              <w:right w:val="nil"/>
            </w:tcBorders>
            <w:vAlign w:val="center"/>
          </w:tcPr>
          <w:p w14:paraId="106D6406" w14:textId="77777777" w:rsidR="00EF5E49" w:rsidRPr="00B56ED2" w:rsidRDefault="00EF5E49" w:rsidP="00D83242">
            <w:pPr>
              <w:jc w:val="center"/>
              <w:rPr>
                <w:color w:val="000000"/>
                <w:highlight w:val="yellow"/>
              </w:rPr>
            </w:pPr>
            <w:r w:rsidRPr="00B56ED2">
              <w:rPr>
                <w:color w:val="000000"/>
              </w:rPr>
              <w:t>21%</w:t>
            </w:r>
          </w:p>
        </w:tc>
        <w:tc>
          <w:tcPr>
            <w:tcW w:w="1134" w:type="dxa"/>
            <w:tcBorders>
              <w:left w:val="nil"/>
              <w:right w:val="nil"/>
            </w:tcBorders>
            <w:vAlign w:val="center"/>
          </w:tcPr>
          <w:p w14:paraId="4FA2E69D" w14:textId="77777777" w:rsidR="00EF5E49" w:rsidRPr="00B56ED2" w:rsidRDefault="00EF5E49" w:rsidP="00D83242">
            <w:pPr>
              <w:jc w:val="center"/>
              <w:rPr>
                <w:color w:val="000000"/>
                <w:highlight w:val="yellow"/>
              </w:rPr>
            </w:pPr>
            <w:r w:rsidRPr="00B56ED2">
              <w:rPr>
                <w:color w:val="000000"/>
              </w:rPr>
              <w:t>24%</w:t>
            </w:r>
          </w:p>
        </w:tc>
        <w:tc>
          <w:tcPr>
            <w:tcW w:w="1134" w:type="dxa"/>
            <w:tcBorders>
              <w:left w:val="nil"/>
              <w:right w:val="nil"/>
            </w:tcBorders>
            <w:vAlign w:val="center"/>
          </w:tcPr>
          <w:p w14:paraId="3775E3DC" w14:textId="77777777" w:rsidR="00EF5E49" w:rsidRPr="00B56ED2" w:rsidRDefault="00EF5E49" w:rsidP="00D83242">
            <w:pPr>
              <w:jc w:val="center"/>
              <w:rPr>
                <w:color w:val="000000"/>
                <w:highlight w:val="yellow"/>
              </w:rPr>
            </w:pPr>
            <w:r w:rsidRPr="00B56ED2">
              <w:rPr>
                <w:color w:val="000000"/>
              </w:rPr>
              <w:t>24%</w:t>
            </w:r>
          </w:p>
        </w:tc>
        <w:tc>
          <w:tcPr>
            <w:tcW w:w="1134" w:type="dxa"/>
            <w:tcBorders>
              <w:left w:val="nil"/>
              <w:right w:val="nil"/>
            </w:tcBorders>
            <w:vAlign w:val="center"/>
          </w:tcPr>
          <w:p w14:paraId="40B34C0F" w14:textId="77777777" w:rsidR="00EF5E49" w:rsidRPr="00B56ED2" w:rsidRDefault="00EF5E49" w:rsidP="00D83242">
            <w:pPr>
              <w:jc w:val="center"/>
              <w:rPr>
                <w:color w:val="000000"/>
                <w:highlight w:val="yellow"/>
              </w:rPr>
            </w:pPr>
            <w:r w:rsidRPr="00B56ED2">
              <w:rPr>
                <w:color w:val="000000"/>
              </w:rPr>
              <w:t>25%</w:t>
            </w:r>
          </w:p>
        </w:tc>
      </w:tr>
      <w:tr w:rsidR="00EF5E49" w:rsidRPr="005F7983" w14:paraId="7CF28E2A" w14:textId="77777777" w:rsidTr="00D83242">
        <w:trPr>
          <w:trHeight w:val="312"/>
        </w:trPr>
        <w:tc>
          <w:tcPr>
            <w:tcW w:w="4126" w:type="dxa"/>
            <w:tcBorders>
              <w:bottom w:val="single" w:sz="4" w:space="0" w:color="auto"/>
              <w:right w:val="nil"/>
            </w:tcBorders>
            <w:shd w:val="clear" w:color="auto" w:fill="auto"/>
            <w:noWrap/>
            <w:vAlign w:val="center"/>
          </w:tcPr>
          <w:p w14:paraId="0BE7D82C" w14:textId="77777777" w:rsidR="00EF5E49" w:rsidRPr="00B56ED2" w:rsidRDefault="00EF5E49" w:rsidP="009F3873">
            <w:pPr>
              <w:rPr>
                <w:color w:val="000000"/>
              </w:rPr>
            </w:pPr>
            <w:r w:rsidRPr="00B56ED2">
              <w:rPr>
                <w:color w:val="000000"/>
              </w:rPr>
              <w:t>High utilitarian walking (6 hours or more)</w:t>
            </w:r>
          </w:p>
        </w:tc>
        <w:tc>
          <w:tcPr>
            <w:tcW w:w="1418" w:type="dxa"/>
            <w:tcBorders>
              <w:left w:val="nil"/>
              <w:bottom w:val="single" w:sz="4" w:space="0" w:color="auto"/>
              <w:right w:val="nil"/>
            </w:tcBorders>
            <w:shd w:val="clear" w:color="auto" w:fill="auto"/>
            <w:noWrap/>
            <w:vAlign w:val="center"/>
          </w:tcPr>
          <w:p w14:paraId="585CC854" w14:textId="77777777" w:rsidR="00EF5E49" w:rsidRPr="00B56ED2" w:rsidRDefault="00EF5E49" w:rsidP="00D83242">
            <w:pPr>
              <w:jc w:val="center"/>
              <w:rPr>
                <w:color w:val="000000"/>
              </w:rPr>
            </w:pPr>
            <w:r w:rsidRPr="00B56ED2">
              <w:rPr>
                <w:color w:val="000000"/>
              </w:rPr>
              <w:t>18%</w:t>
            </w:r>
          </w:p>
        </w:tc>
        <w:tc>
          <w:tcPr>
            <w:tcW w:w="1134" w:type="dxa"/>
            <w:tcBorders>
              <w:left w:val="nil"/>
              <w:bottom w:val="single" w:sz="4" w:space="0" w:color="auto"/>
              <w:right w:val="nil"/>
            </w:tcBorders>
            <w:vAlign w:val="center"/>
          </w:tcPr>
          <w:p w14:paraId="7A7E2F21" w14:textId="77777777" w:rsidR="00EF5E49" w:rsidRPr="00B56ED2" w:rsidRDefault="00EF5E49" w:rsidP="00D83242">
            <w:pPr>
              <w:jc w:val="center"/>
              <w:rPr>
                <w:color w:val="000000"/>
                <w:highlight w:val="yellow"/>
              </w:rPr>
            </w:pPr>
            <w:r w:rsidRPr="00B56ED2">
              <w:rPr>
                <w:color w:val="000000"/>
              </w:rPr>
              <w:t>19%</w:t>
            </w:r>
          </w:p>
        </w:tc>
        <w:tc>
          <w:tcPr>
            <w:tcW w:w="1134" w:type="dxa"/>
            <w:tcBorders>
              <w:left w:val="nil"/>
              <w:bottom w:val="single" w:sz="4" w:space="0" w:color="auto"/>
              <w:right w:val="nil"/>
            </w:tcBorders>
            <w:vAlign w:val="center"/>
          </w:tcPr>
          <w:p w14:paraId="55E3056A" w14:textId="77777777" w:rsidR="00EF5E49" w:rsidRPr="00B56ED2" w:rsidRDefault="00EF5E49" w:rsidP="00D83242">
            <w:pPr>
              <w:jc w:val="center"/>
              <w:rPr>
                <w:color w:val="000000"/>
                <w:highlight w:val="yellow"/>
              </w:rPr>
            </w:pPr>
            <w:r w:rsidRPr="00B56ED2">
              <w:rPr>
                <w:color w:val="000000"/>
              </w:rPr>
              <w:t>18%</w:t>
            </w:r>
          </w:p>
        </w:tc>
        <w:tc>
          <w:tcPr>
            <w:tcW w:w="1134" w:type="dxa"/>
            <w:tcBorders>
              <w:left w:val="nil"/>
              <w:bottom w:val="single" w:sz="4" w:space="0" w:color="auto"/>
              <w:right w:val="nil"/>
            </w:tcBorders>
            <w:vAlign w:val="center"/>
          </w:tcPr>
          <w:p w14:paraId="01539A17" w14:textId="77777777" w:rsidR="00EF5E49" w:rsidRPr="00B56ED2" w:rsidRDefault="00EF5E49" w:rsidP="00D83242">
            <w:pPr>
              <w:jc w:val="center"/>
              <w:rPr>
                <w:color w:val="000000"/>
                <w:highlight w:val="yellow"/>
              </w:rPr>
            </w:pPr>
            <w:r w:rsidRPr="00B56ED2">
              <w:rPr>
                <w:color w:val="000000"/>
              </w:rPr>
              <w:t>18%</w:t>
            </w:r>
          </w:p>
        </w:tc>
        <w:tc>
          <w:tcPr>
            <w:tcW w:w="1134" w:type="dxa"/>
            <w:tcBorders>
              <w:left w:val="nil"/>
              <w:bottom w:val="single" w:sz="4" w:space="0" w:color="auto"/>
              <w:right w:val="nil"/>
            </w:tcBorders>
            <w:vAlign w:val="center"/>
          </w:tcPr>
          <w:p w14:paraId="7F4B0B04" w14:textId="77777777" w:rsidR="00EF5E49" w:rsidRPr="00B56ED2" w:rsidRDefault="00EF5E49" w:rsidP="00D83242">
            <w:pPr>
              <w:jc w:val="center"/>
              <w:rPr>
                <w:color w:val="000000"/>
                <w:highlight w:val="yellow"/>
              </w:rPr>
            </w:pPr>
            <w:r w:rsidRPr="00B56ED2">
              <w:rPr>
                <w:color w:val="000000"/>
              </w:rPr>
              <w:t>16%</w:t>
            </w:r>
          </w:p>
        </w:tc>
      </w:tr>
      <w:tr w:rsidR="00EF5E49" w:rsidRPr="005F7983" w14:paraId="77693B7E" w14:textId="77777777" w:rsidTr="00D83242">
        <w:trPr>
          <w:trHeight w:val="312"/>
        </w:trPr>
        <w:tc>
          <w:tcPr>
            <w:tcW w:w="4126" w:type="dxa"/>
            <w:tcBorders>
              <w:top w:val="single" w:sz="4" w:space="0" w:color="auto"/>
              <w:bottom w:val="single" w:sz="12" w:space="0" w:color="auto"/>
              <w:right w:val="nil"/>
            </w:tcBorders>
            <w:shd w:val="clear" w:color="auto" w:fill="auto"/>
            <w:noWrap/>
            <w:vAlign w:val="center"/>
          </w:tcPr>
          <w:p w14:paraId="0044D447" w14:textId="77777777" w:rsidR="00EF5E49" w:rsidRPr="00B56ED2" w:rsidRDefault="00EF5E49" w:rsidP="009F3873">
            <w:pPr>
              <w:rPr>
                <w:color w:val="000000"/>
              </w:rPr>
            </w:pPr>
            <w:r w:rsidRPr="00B56ED2">
              <w:rPr>
                <w:color w:val="000000"/>
              </w:rPr>
              <w:t xml:space="preserve">Sample (n = </w:t>
            </w:r>
            <w:r w:rsidRPr="00B56ED2">
              <w:rPr>
                <w:color w:val="000000"/>
                <w:kern w:val="24"/>
              </w:rPr>
              <w:t>2976)</w:t>
            </w:r>
          </w:p>
        </w:tc>
        <w:tc>
          <w:tcPr>
            <w:tcW w:w="1418" w:type="dxa"/>
            <w:tcBorders>
              <w:top w:val="single" w:sz="4" w:space="0" w:color="auto"/>
              <w:left w:val="nil"/>
              <w:bottom w:val="single" w:sz="12" w:space="0" w:color="auto"/>
              <w:right w:val="nil"/>
            </w:tcBorders>
            <w:shd w:val="clear" w:color="auto" w:fill="auto"/>
            <w:noWrap/>
            <w:vAlign w:val="center"/>
          </w:tcPr>
          <w:p w14:paraId="6B90545F" w14:textId="77777777" w:rsidR="00EF5E49" w:rsidRPr="00B56ED2" w:rsidRDefault="00EF5E49" w:rsidP="00D83242">
            <w:pPr>
              <w:jc w:val="center"/>
              <w:rPr>
                <w:color w:val="000000"/>
              </w:rPr>
            </w:pPr>
            <w:r w:rsidRPr="00B56ED2">
              <w:rPr>
                <w:color w:val="000000"/>
              </w:rPr>
              <w:t>100%</w:t>
            </w:r>
          </w:p>
        </w:tc>
        <w:tc>
          <w:tcPr>
            <w:tcW w:w="1134" w:type="dxa"/>
            <w:tcBorders>
              <w:top w:val="single" w:sz="4" w:space="0" w:color="auto"/>
              <w:left w:val="nil"/>
              <w:bottom w:val="single" w:sz="12" w:space="0" w:color="auto"/>
              <w:right w:val="nil"/>
            </w:tcBorders>
            <w:vAlign w:val="center"/>
          </w:tcPr>
          <w:p w14:paraId="1B01C3A4" w14:textId="77777777" w:rsidR="00EF5E49" w:rsidRPr="00B56ED2" w:rsidRDefault="00EF5E49" w:rsidP="00D83242">
            <w:pPr>
              <w:jc w:val="center"/>
              <w:rPr>
                <w:color w:val="000000"/>
              </w:rPr>
            </w:pPr>
            <w:r w:rsidRPr="00B56ED2">
              <w:rPr>
                <w:color w:val="000000"/>
              </w:rPr>
              <w:t>37%</w:t>
            </w:r>
          </w:p>
        </w:tc>
        <w:tc>
          <w:tcPr>
            <w:tcW w:w="1134" w:type="dxa"/>
            <w:tcBorders>
              <w:top w:val="single" w:sz="4" w:space="0" w:color="auto"/>
              <w:left w:val="nil"/>
              <w:bottom w:val="single" w:sz="12" w:space="0" w:color="auto"/>
              <w:right w:val="nil"/>
            </w:tcBorders>
            <w:vAlign w:val="center"/>
          </w:tcPr>
          <w:p w14:paraId="2DBB277F" w14:textId="77777777" w:rsidR="00EF5E49" w:rsidRPr="00B56ED2" w:rsidRDefault="00EF5E49" w:rsidP="00D83242">
            <w:pPr>
              <w:jc w:val="center"/>
              <w:rPr>
                <w:color w:val="000000"/>
              </w:rPr>
            </w:pPr>
            <w:r w:rsidRPr="00B56ED2">
              <w:rPr>
                <w:color w:val="000000"/>
              </w:rPr>
              <w:t>15%</w:t>
            </w:r>
          </w:p>
        </w:tc>
        <w:tc>
          <w:tcPr>
            <w:tcW w:w="1134" w:type="dxa"/>
            <w:tcBorders>
              <w:top w:val="single" w:sz="4" w:space="0" w:color="auto"/>
              <w:left w:val="nil"/>
              <w:bottom w:val="single" w:sz="12" w:space="0" w:color="auto"/>
              <w:right w:val="nil"/>
            </w:tcBorders>
            <w:vAlign w:val="center"/>
          </w:tcPr>
          <w:p w14:paraId="7FE70076" w14:textId="77777777" w:rsidR="00EF5E49" w:rsidRPr="00B56ED2" w:rsidRDefault="00EF5E49" w:rsidP="00D83242">
            <w:pPr>
              <w:jc w:val="center"/>
              <w:rPr>
                <w:color w:val="000000"/>
              </w:rPr>
            </w:pPr>
            <w:r w:rsidRPr="00B56ED2">
              <w:rPr>
                <w:color w:val="000000"/>
              </w:rPr>
              <w:t>29</w:t>
            </w:r>
            <w:r w:rsidRPr="00B56ED2" w:rsidDel="00B025EF">
              <w:rPr>
                <w:color w:val="000000"/>
              </w:rPr>
              <w:t xml:space="preserve"> </w:t>
            </w:r>
            <w:r w:rsidRPr="00B56ED2">
              <w:rPr>
                <w:color w:val="000000"/>
              </w:rPr>
              <w:t>%</w:t>
            </w:r>
          </w:p>
        </w:tc>
        <w:tc>
          <w:tcPr>
            <w:tcW w:w="1134" w:type="dxa"/>
            <w:tcBorders>
              <w:top w:val="single" w:sz="4" w:space="0" w:color="auto"/>
              <w:left w:val="nil"/>
              <w:bottom w:val="single" w:sz="12" w:space="0" w:color="auto"/>
              <w:right w:val="nil"/>
            </w:tcBorders>
            <w:vAlign w:val="center"/>
          </w:tcPr>
          <w:p w14:paraId="5C099A17" w14:textId="77777777" w:rsidR="00EF5E49" w:rsidRPr="00B56ED2" w:rsidRDefault="00EF5E49" w:rsidP="00D83242">
            <w:pPr>
              <w:jc w:val="center"/>
              <w:rPr>
                <w:color w:val="000000"/>
              </w:rPr>
            </w:pPr>
            <w:r w:rsidRPr="00B56ED2">
              <w:rPr>
                <w:color w:val="000000"/>
              </w:rPr>
              <w:t>19%</w:t>
            </w:r>
          </w:p>
        </w:tc>
      </w:tr>
    </w:tbl>
    <w:p w14:paraId="1B1C5A7F" w14:textId="77777777" w:rsidR="005F6E08" w:rsidRDefault="005F6E08" w:rsidP="009F3873">
      <w:pPr>
        <w:pStyle w:val="MediumGrid21"/>
        <w:spacing w:line="360" w:lineRule="auto"/>
        <w:rPr>
          <w:rFonts w:ascii="Times New Roman" w:hAnsi="Times New Roman"/>
          <w:b/>
          <w:sz w:val="24"/>
          <w:szCs w:val="24"/>
        </w:rPr>
      </w:pPr>
    </w:p>
    <w:p w14:paraId="29C86812" w14:textId="77777777" w:rsidR="00A4311A" w:rsidRPr="00A4311A" w:rsidRDefault="00D24D7B" w:rsidP="009F3873">
      <w:pPr>
        <w:spacing w:before="120" w:after="120" w:line="480" w:lineRule="auto"/>
        <w:ind w:firstLine="709"/>
        <w:rPr>
          <w:b/>
          <w:i/>
        </w:rPr>
      </w:pPr>
      <w:r w:rsidRPr="00BE45FA">
        <w:t xml:space="preserve">There </w:t>
      </w:r>
      <w:r w:rsidR="00E844CB" w:rsidRPr="00BE45FA">
        <w:t xml:space="preserve">was an overall </w:t>
      </w:r>
      <w:r w:rsidRPr="00BE45FA">
        <w:t>increa</w:t>
      </w:r>
      <w:r w:rsidR="00BF109C" w:rsidRPr="00BE45FA">
        <w:t>se in</w:t>
      </w:r>
      <w:r w:rsidRPr="00BE45FA">
        <w:t xml:space="preserve"> </w:t>
      </w:r>
      <w:r w:rsidR="00BF109C" w:rsidRPr="00BE45FA">
        <w:t xml:space="preserve">the percentage of people </w:t>
      </w:r>
      <w:r w:rsidR="00460CD8" w:rsidRPr="00BE45FA">
        <w:t>who</w:t>
      </w:r>
      <w:r w:rsidR="00BF109C" w:rsidRPr="00BE45FA">
        <w:t xml:space="preserve"> walked for utilitarian purposes in all neighbourhoods over time. </w:t>
      </w:r>
      <w:r w:rsidR="000B4B39" w:rsidRPr="00BE45FA">
        <w:t xml:space="preserve">At </w:t>
      </w:r>
      <w:r w:rsidR="001A1320" w:rsidRPr="00BE45FA">
        <w:t>baseline</w:t>
      </w:r>
      <w:r w:rsidR="0016423D">
        <w:t>,</w:t>
      </w:r>
      <w:r w:rsidR="0053241F" w:rsidRPr="00BE45FA">
        <w:t xml:space="preserve"> </w:t>
      </w:r>
      <w:r w:rsidR="00B56ED2" w:rsidRPr="00BE45FA">
        <w:t>41</w:t>
      </w:r>
      <w:r w:rsidRPr="00BE45FA">
        <w:t xml:space="preserve">% of the sample did not walk at all for utilitarian </w:t>
      </w:r>
      <w:r w:rsidR="00214652" w:rsidRPr="00BE45FA">
        <w:t>purposes</w:t>
      </w:r>
      <w:r w:rsidR="00C967BA" w:rsidRPr="00BE45FA">
        <w:t>;</w:t>
      </w:r>
      <w:r w:rsidRPr="00BE45FA">
        <w:t xml:space="preserve"> this percentage decreased to 3</w:t>
      </w:r>
      <w:r w:rsidR="00B56ED2" w:rsidRPr="00BE45FA">
        <w:t>2</w:t>
      </w:r>
      <w:r w:rsidRPr="00BE45FA">
        <w:t xml:space="preserve">% </w:t>
      </w:r>
      <w:r w:rsidR="00BF109C" w:rsidRPr="00BE45FA">
        <w:t xml:space="preserve">after </w:t>
      </w:r>
      <w:r w:rsidR="005E4C4C" w:rsidRPr="00BE45FA">
        <w:t>12 years</w:t>
      </w:r>
      <w:r w:rsidRPr="00BE45FA">
        <w:t>. Similarly</w:t>
      </w:r>
      <w:r w:rsidR="001A1320" w:rsidRPr="00BE45FA">
        <w:t xml:space="preserve">, </w:t>
      </w:r>
      <w:r w:rsidR="005E4C4C" w:rsidRPr="00BE45FA">
        <w:t xml:space="preserve">the </w:t>
      </w:r>
      <w:r w:rsidR="009F53D3" w:rsidRPr="00BE45FA">
        <w:t>proportion of</w:t>
      </w:r>
      <w:r w:rsidR="006B4AEA" w:rsidRPr="00BE45FA">
        <w:t xml:space="preserve"> respondents </w:t>
      </w:r>
      <w:r w:rsidR="005E4C4C" w:rsidRPr="00BE45FA">
        <w:t xml:space="preserve">reporting </w:t>
      </w:r>
      <w:r w:rsidR="006B4AEA" w:rsidRPr="00BE45FA">
        <w:t xml:space="preserve">moderate utilitarian walking increased from </w:t>
      </w:r>
      <w:r w:rsidR="00B56ED2" w:rsidRPr="00BE45FA">
        <w:t>24</w:t>
      </w:r>
      <w:r w:rsidR="006B4AEA" w:rsidRPr="00BE45FA">
        <w:t xml:space="preserve">% to </w:t>
      </w:r>
      <w:r w:rsidR="00B56ED2" w:rsidRPr="00BE45FA">
        <w:t>36</w:t>
      </w:r>
      <w:r w:rsidR="006B4AEA" w:rsidRPr="00BE45FA">
        <w:t xml:space="preserve">% </w:t>
      </w:r>
      <w:r w:rsidR="005E4C4C" w:rsidRPr="00BE45FA">
        <w:t>over the study period</w:t>
      </w:r>
      <w:r w:rsidR="00BF109C" w:rsidRPr="00BE45FA">
        <w:t>.</w:t>
      </w:r>
      <w:r w:rsidR="00877093" w:rsidRPr="00BE45FA">
        <w:t xml:space="preserve"> </w:t>
      </w:r>
      <w:r w:rsidR="00BF109C" w:rsidRPr="00BE45FA">
        <w:t xml:space="preserve">The </w:t>
      </w:r>
      <w:r w:rsidR="00877093" w:rsidRPr="00BE45FA">
        <w:t>increase in</w:t>
      </w:r>
      <w:r w:rsidR="006B4AEA" w:rsidRPr="00BE45FA">
        <w:t xml:space="preserve"> </w:t>
      </w:r>
      <w:r w:rsidR="00877093" w:rsidRPr="00BE45FA">
        <w:t>the percent</w:t>
      </w:r>
      <w:r w:rsidR="00563F5D" w:rsidRPr="00BE45FA">
        <w:t>age</w:t>
      </w:r>
      <w:r w:rsidR="00877093" w:rsidRPr="00BE45FA">
        <w:t xml:space="preserve"> of respondents that walk</w:t>
      </w:r>
      <w:r w:rsidR="00BF109C" w:rsidRPr="00BE45FA">
        <w:t>ed</w:t>
      </w:r>
      <w:r w:rsidR="00877093" w:rsidRPr="00BE45FA">
        <w:t xml:space="preserve"> for utilitarian </w:t>
      </w:r>
      <w:r w:rsidR="00717061" w:rsidRPr="00BE45FA">
        <w:t>purposes</w:t>
      </w:r>
      <w:r w:rsidR="006B4AEA" w:rsidRPr="00BE45FA">
        <w:t xml:space="preserve"> was more pronounced in neighbourhoods with higher </w:t>
      </w:r>
      <w:r w:rsidR="00DC05D5">
        <w:t>Walk Score®</w:t>
      </w:r>
      <w:r w:rsidR="004804E7" w:rsidRPr="00BE45FA">
        <w:t xml:space="preserve"> </w:t>
      </w:r>
      <w:r w:rsidR="006E427B" w:rsidRPr="00BE45FA">
        <w:t xml:space="preserve">values </w:t>
      </w:r>
      <w:r w:rsidR="00337728" w:rsidRPr="00BE45FA">
        <w:t xml:space="preserve">compared to lower ones. </w:t>
      </w:r>
      <w:r w:rsidR="005E4C4C" w:rsidRPr="00BE45FA">
        <w:t>For those living in the least walkable neighbourhoods (</w:t>
      </w:r>
      <w:r w:rsidR="00DC05D5">
        <w:t>Walk Score®</w:t>
      </w:r>
      <w:r w:rsidR="004903F2" w:rsidRPr="00BE45FA">
        <w:t xml:space="preserve"> </w:t>
      </w:r>
      <w:r w:rsidR="005E4C4C" w:rsidRPr="00BE45FA">
        <w:t xml:space="preserve">quartile1), </w:t>
      </w:r>
      <w:r w:rsidR="00563F5D" w:rsidRPr="00BE45FA">
        <w:t xml:space="preserve">the percentage of people reporting </w:t>
      </w:r>
      <w:r w:rsidR="006B4AEA" w:rsidRPr="00BE45FA">
        <w:t xml:space="preserve">moderate utilitarian </w:t>
      </w:r>
      <w:r w:rsidR="005E4C4C" w:rsidRPr="00BE45FA">
        <w:t>walking increased by</w:t>
      </w:r>
      <w:r w:rsidR="00B63131" w:rsidRPr="00BE45FA">
        <w:t xml:space="preserve"> 10%</w:t>
      </w:r>
      <w:r w:rsidR="00A926A3" w:rsidRPr="00BE45FA">
        <w:t xml:space="preserve"> </w:t>
      </w:r>
      <w:r w:rsidR="006B4AEA" w:rsidRPr="00BE45FA">
        <w:t>(from 2</w:t>
      </w:r>
      <w:r w:rsidR="00B63131" w:rsidRPr="00BE45FA">
        <w:t>1</w:t>
      </w:r>
      <w:r w:rsidR="006B4AEA" w:rsidRPr="00BE45FA">
        <w:t xml:space="preserve">% </w:t>
      </w:r>
      <w:r w:rsidR="00B63131" w:rsidRPr="00BE45FA">
        <w:t>at baseline</w:t>
      </w:r>
      <w:r w:rsidR="006B4AEA" w:rsidRPr="00BE45FA">
        <w:t xml:space="preserve"> to </w:t>
      </w:r>
      <w:r w:rsidR="00B63131" w:rsidRPr="00BE45FA">
        <w:t>31</w:t>
      </w:r>
      <w:r w:rsidR="006B4AEA" w:rsidRPr="00BE45FA">
        <w:t xml:space="preserve">% </w:t>
      </w:r>
      <w:r w:rsidR="00BF109C" w:rsidRPr="00BE45FA">
        <w:t xml:space="preserve">after </w:t>
      </w:r>
      <w:r w:rsidR="00B63131" w:rsidRPr="00BE45FA">
        <w:t>12 years</w:t>
      </w:r>
      <w:r w:rsidR="006B4AEA" w:rsidRPr="00BE45FA">
        <w:t>)</w:t>
      </w:r>
      <w:r w:rsidR="00B63131" w:rsidRPr="00BE45FA">
        <w:t xml:space="preserve"> whereas it increased by </w:t>
      </w:r>
      <w:r w:rsidR="00033F4C" w:rsidRPr="00BE45FA">
        <w:t>15</w:t>
      </w:r>
      <w:r w:rsidR="00B63131" w:rsidRPr="00BE45FA">
        <w:t xml:space="preserve">% (from </w:t>
      </w:r>
      <w:r w:rsidR="00033F4C" w:rsidRPr="00BE45FA">
        <w:t>25</w:t>
      </w:r>
      <w:r w:rsidR="00B63131" w:rsidRPr="00BE45FA">
        <w:t xml:space="preserve">% to 40%) for those in </w:t>
      </w:r>
      <w:r w:rsidR="00033F4C" w:rsidRPr="00BE45FA">
        <w:t xml:space="preserve">high </w:t>
      </w:r>
      <w:r w:rsidR="00B63131" w:rsidRPr="00BE45FA">
        <w:t xml:space="preserve"> walkable neighbourhoods (</w:t>
      </w:r>
      <w:r w:rsidR="00DC05D5">
        <w:t>Walk Score®</w:t>
      </w:r>
      <w:r w:rsidR="004903F2" w:rsidRPr="00BE45FA">
        <w:t xml:space="preserve"> </w:t>
      </w:r>
      <w:r w:rsidR="00B63131" w:rsidRPr="00BE45FA">
        <w:t xml:space="preserve">quartile </w:t>
      </w:r>
      <w:r w:rsidR="00B56ED2" w:rsidRPr="00BE45FA">
        <w:t>4</w:t>
      </w:r>
      <w:r w:rsidR="00B63131" w:rsidRPr="00BE45FA">
        <w:t>)</w:t>
      </w:r>
      <w:r w:rsidR="00563F5D" w:rsidRPr="00BE45FA">
        <w:t>.</w:t>
      </w:r>
      <w:r w:rsidR="00563F5D">
        <w:t xml:space="preserve"> </w:t>
      </w:r>
      <w:r w:rsidR="009203E8">
        <w:t>C</w:t>
      </w:r>
      <w:r w:rsidR="000244BE">
        <w:t>hange</w:t>
      </w:r>
      <w:r w:rsidR="009203E8">
        <w:t>s</w:t>
      </w:r>
      <w:r w:rsidR="000244BE">
        <w:t xml:space="preserve"> in utilitarian walking </w:t>
      </w:r>
      <w:r w:rsidR="009203E8">
        <w:t xml:space="preserve">were detected for </w:t>
      </w:r>
      <w:r w:rsidR="00717C7E">
        <w:t xml:space="preserve">both </w:t>
      </w:r>
      <w:r w:rsidR="009203E8">
        <w:t>non-movers and movers</w:t>
      </w:r>
      <w:r w:rsidR="00882C9D">
        <w:t xml:space="preserve">. </w:t>
      </w:r>
      <w:r w:rsidR="00717C7E">
        <w:t>A</w:t>
      </w:r>
      <w:r w:rsidR="009203E8">
        <w:t xml:space="preserve">round </w:t>
      </w:r>
      <w:r w:rsidR="000244BE">
        <w:t xml:space="preserve">21% </w:t>
      </w:r>
      <w:r w:rsidR="00717C7E">
        <w:t>of non-movers</w:t>
      </w:r>
      <w:r w:rsidR="00337A8E">
        <w:t>,</w:t>
      </w:r>
      <w:r w:rsidR="00717C7E">
        <w:t xml:space="preserve"> </w:t>
      </w:r>
      <w:r w:rsidR="00C533A1">
        <w:t>who</w:t>
      </w:r>
      <w:r w:rsidR="00717C7E">
        <w:t xml:space="preserve"> did</w:t>
      </w:r>
      <w:r w:rsidR="00B518DA">
        <w:t xml:space="preserve"> </w:t>
      </w:r>
      <w:r w:rsidR="00717C7E">
        <w:t>not walk for utilitarian purposes at baseline</w:t>
      </w:r>
      <w:r w:rsidR="00BA1FE4">
        <w:t>, and were living in the least walkable neighbourhoods</w:t>
      </w:r>
      <w:r w:rsidR="00B518DA">
        <w:t>,</w:t>
      </w:r>
      <w:r w:rsidR="00717C7E">
        <w:t xml:space="preserve"> changed</w:t>
      </w:r>
      <w:r w:rsidR="00850712">
        <w:t xml:space="preserve"> to </w:t>
      </w:r>
      <w:r w:rsidR="00717C7E">
        <w:t>m</w:t>
      </w:r>
      <w:r w:rsidR="00850712">
        <w:t>oderate</w:t>
      </w:r>
      <w:r w:rsidR="00717C7E">
        <w:t xml:space="preserve"> walking</w:t>
      </w:r>
      <w:r w:rsidR="00AD7DCB">
        <w:t>,</w:t>
      </w:r>
      <w:r w:rsidR="00717C7E">
        <w:t xml:space="preserve"> </w:t>
      </w:r>
      <w:r w:rsidR="00850712" w:rsidRPr="00850712">
        <w:t xml:space="preserve">compared to 27% </w:t>
      </w:r>
      <w:r w:rsidR="00AA3085">
        <w:t xml:space="preserve">of non-movers living </w:t>
      </w:r>
      <w:r w:rsidR="00FE634E">
        <w:t>in</w:t>
      </w:r>
      <w:r w:rsidR="00850712" w:rsidRPr="00850712">
        <w:t xml:space="preserve"> high walkable neighbourhoods</w:t>
      </w:r>
      <w:r w:rsidR="00850712">
        <w:t xml:space="preserve">. </w:t>
      </w:r>
      <w:r w:rsidR="004A655D">
        <w:t xml:space="preserve">Similarly, 25% </w:t>
      </w:r>
      <w:r w:rsidR="00717C7E">
        <w:t xml:space="preserve">of </w:t>
      </w:r>
      <w:r w:rsidR="00BA1FE4">
        <w:t>non-movers</w:t>
      </w:r>
      <w:r w:rsidR="00717C7E">
        <w:t xml:space="preserve"> with low utilitarian walking at baseline living in </w:t>
      </w:r>
      <w:r w:rsidR="00882C9D">
        <w:t xml:space="preserve">the </w:t>
      </w:r>
      <w:r w:rsidR="004A655D">
        <w:t>l</w:t>
      </w:r>
      <w:r w:rsidR="00882C9D">
        <w:t xml:space="preserve">east </w:t>
      </w:r>
      <w:r w:rsidR="004A655D">
        <w:t xml:space="preserve">walkable neighbourhoods </w:t>
      </w:r>
      <w:r w:rsidR="00FE634E">
        <w:t xml:space="preserve">changed to </w:t>
      </w:r>
      <w:r w:rsidR="00BA1FE4">
        <w:t>m</w:t>
      </w:r>
      <w:r w:rsidR="00FE634E">
        <w:t>oderate</w:t>
      </w:r>
      <w:r w:rsidR="00BA1FE4">
        <w:t xml:space="preserve"> walking</w:t>
      </w:r>
      <w:r w:rsidR="00FE634E">
        <w:t xml:space="preserve"> </w:t>
      </w:r>
      <w:r w:rsidR="00FE634E" w:rsidRPr="00850712">
        <w:t xml:space="preserve">compared to </w:t>
      </w:r>
      <w:r w:rsidR="00FE634E">
        <w:t>40</w:t>
      </w:r>
      <w:r w:rsidR="00717C7E" w:rsidRPr="00850712">
        <w:t>% in</w:t>
      </w:r>
      <w:r w:rsidR="00FE634E" w:rsidRPr="00850712">
        <w:t xml:space="preserve"> high walkable neighbourhoods</w:t>
      </w:r>
      <w:r w:rsidR="00FE634E">
        <w:t xml:space="preserve"> </w:t>
      </w:r>
      <w:r w:rsidR="009475BC">
        <w:t>(</w:t>
      </w:r>
      <w:r w:rsidR="004A655D">
        <w:t>Figure 2</w:t>
      </w:r>
      <w:r w:rsidR="009475BC">
        <w:t>).</w:t>
      </w:r>
      <w:r w:rsidR="00A4311A">
        <w:t xml:space="preserve">   </w:t>
      </w:r>
    </w:p>
    <w:p w14:paraId="084D3B48" w14:textId="77777777" w:rsidR="005E6356" w:rsidRDefault="005E6356" w:rsidP="005E6356">
      <w:pPr>
        <w:spacing w:before="120" w:after="120" w:line="480" w:lineRule="auto"/>
        <w:ind w:left="-567"/>
        <w:jc w:val="center"/>
        <w:rPr>
          <w:iCs/>
        </w:rPr>
      </w:pPr>
      <w:r>
        <w:rPr>
          <w:noProof/>
        </w:rPr>
        <w:drawing>
          <wp:anchor distT="0" distB="0" distL="114300" distR="114300" simplePos="0" relativeHeight="251661312" behindDoc="0" locked="0" layoutInCell="1" allowOverlap="1" wp14:anchorId="68CE1F62" wp14:editId="4696E551">
            <wp:simplePos x="0" y="0"/>
            <wp:positionH relativeFrom="column">
              <wp:posOffset>-210185</wp:posOffset>
            </wp:positionH>
            <wp:positionV relativeFrom="paragraph">
              <wp:posOffset>0</wp:posOffset>
            </wp:positionV>
            <wp:extent cx="6735445" cy="4792345"/>
            <wp:effectExtent l="0" t="0" r="8255"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5445" cy="4792345"/>
                    </a:xfrm>
                    <a:prstGeom prst="rect">
                      <a:avLst/>
                    </a:prstGeom>
                    <a:noFill/>
                  </pic:spPr>
                </pic:pic>
              </a:graphicData>
            </a:graphic>
            <wp14:sizeRelH relativeFrom="page">
              <wp14:pctWidth>0</wp14:pctWidth>
            </wp14:sizeRelH>
            <wp14:sizeRelV relativeFrom="page">
              <wp14:pctHeight>0</wp14:pctHeight>
            </wp14:sizeRelV>
          </wp:anchor>
        </w:drawing>
      </w:r>
    </w:p>
    <w:p w14:paraId="15E7EA3D" w14:textId="77777777" w:rsidR="005E6356" w:rsidRPr="005E6356" w:rsidRDefault="005E6356" w:rsidP="005E6356">
      <w:pPr>
        <w:pStyle w:val="MediumGrid211"/>
        <w:spacing w:line="480" w:lineRule="auto"/>
        <w:ind w:right="-255"/>
        <w:rPr>
          <w:rFonts w:ascii="Times New Roman" w:hAnsi="Times New Roman"/>
          <w:iCs/>
          <w:sz w:val="24"/>
          <w:szCs w:val="24"/>
        </w:rPr>
      </w:pPr>
      <w:r w:rsidRPr="00B26BEB">
        <w:rPr>
          <w:rFonts w:ascii="Times New Roman" w:hAnsi="Times New Roman"/>
          <w:b/>
          <w:iCs/>
          <w:sz w:val="24"/>
          <w:szCs w:val="24"/>
        </w:rPr>
        <w:t>Figure 2:</w:t>
      </w:r>
      <w:r w:rsidRPr="00B26BEB">
        <w:rPr>
          <w:rFonts w:ascii="Times New Roman" w:hAnsi="Times New Roman"/>
          <w:iCs/>
          <w:sz w:val="24"/>
          <w:szCs w:val="24"/>
        </w:rPr>
        <w:t xml:space="preserve"> </w:t>
      </w:r>
      <w:r w:rsidR="00EB1130" w:rsidRPr="008E1381">
        <w:rPr>
          <w:rFonts w:ascii="Times New Roman" w:hAnsi="Times New Roman"/>
          <w:sz w:val="24"/>
          <w:szCs w:val="24"/>
        </w:rPr>
        <w:t>Change</w:t>
      </w:r>
      <w:r w:rsidR="00EB1130">
        <w:rPr>
          <w:rFonts w:ascii="Times New Roman" w:hAnsi="Times New Roman"/>
          <w:sz w:val="24"/>
          <w:szCs w:val="24"/>
        </w:rPr>
        <w:t>s in</w:t>
      </w:r>
      <w:r w:rsidRPr="008E1381">
        <w:rPr>
          <w:rFonts w:ascii="Times New Roman" w:hAnsi="Times New Roman"/>
          <w:sz w:val="24"/>
          <w:szCs w:val="24"/>
        </w:rPr>
        <w:t xml:space="preserve"> utilitarian walking </w:t>
      </w:r>
      <w:r w:rsidR="00CD0D7F" w:rsidRPr="008E1381">
        <w:rPr>
          <w:rFonts w:ascii="Times New Roman" w:hAnsi="Times New Roman"/>
          <w:sz w:val="24"/>
          <w:szCs w:val="24"/>
        </w:rPr>
        <w:t>levels for</w:t>
      </w:r>
      <w:r w:rsidRPr="008E1381">
        <w:rPr>
          <w:rFonts w:ascii="Times New Roman" w:hAnsi="Times New Roman"/>
          <w:sz w:val="24"/>
          <w:szCs w:val="24"/>
        </w:rPr>
        <w:t xml:space="preserve"> urban</w:t>
      </w:r>
      <w:r w:rsidR="00A74CEB">
        <w:rPr>
          <w:rFonts w:ascii="Times New Roman" w:hAnsi="Times New Roman"/>
          <w:sz w:val="24"/>
          <w:szCs w:val="24"/>
        </w:rPr>
        <w:t>-</w:t>
      </w:r>
      <w:r w:rsidRPr="008E1381">
        <w:rPr>
          <w:rFonts w:ascii="Times New Roman" w:hAnsi="Times New Roman"/>
          <w:sz w:val="24"/>
          <w:szCs w:val="24"/>
        </w:rPr>
        <w:t>dwelling “non-movers”</w:t>
      </w:r>
      <w:r w:rsidR="00CD0D7F">
        <w:rPr>
          <w:rFonts w:ascii="Times New Roman" w:hAnsi="Times New Roman"/>
          <w:sz w:val="24"/>
          <w:szCs w:val="24"/>
        </w:rPr>
        <w:t xml:space="preserve">; </w:t>
      </w:r>
      <w:r w:rsidR="00CD0D7F" w:rsidRPr="008E1381">
        <w:rPr>
          <w:rFonts w:ascii="Times New Roman" w:hAnsi="Times New Roman"/>
          <w:iCs/>
          <w:sz w:val="24"/>
          <w:szCs w:val="24"/>
        </w:rPr>
        <w:t>National</w:t>
      </w:r>
      <w:r w:rsidRPr="008E1381">
        <w:rPr>
          <w:rFonts w:ascii="Times New Roman" w:hAnsi="Times New Roman"/>
          <w:iCs/>
          <w:sz w:val="24"/>
          <w:szCs w:val="24"/>
        </w:rPr>
        <w:t xml:space="preserve"> Population Health Survey (1994/5-2006/7).</w:t>
      </w:r>
    </w:p>
    <w:p w14:paraId="7D11D8A9" w14:textId="421BF4C2" w:rsidR="001866E4" w:rsidRDefault="00F1689C" w:rsidP="005E6356">
      <w:pPr>
        <w:spacing w:before="120" w:after="120" w:line="480" w:lineRule="auto"/>
        <w:ind w:firstLine="720"/>
        <w:rPr>
          <w:iCs/>
        </w:rPr>
      </w:pPr>
      <w:r>
        <w:rPr>
          <w:b/>
          <w:i/>
          <w:noProof/>
        </w:rPr>
        <w:drawing>
          <wp:anchor distT="0" distB="0" distL="114300" distR="114300" simplePos="0" relativeHeight="251662336" behindDoc="0" locked="0" layoutInCell="1" allowOverlap="1" wp14:anchorId="25E831CA" wp14:editId="45898946">
            <wp:simplePos x="0" y="0"/>
            <wp:positionH relativeFrom="column">
              <wp:posOffset>29845</wp:posOffset>
            </wp:positionH>
            <wp:positionV relativeFrom="paragraph">
              <wp:posOffset>1905000</wp:posOffset>
            </wp:positionV>
            <wp:extent cx="6181725" cy="4171315"/>
            <wp:effectExtent l="0" t="0" r="9525"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1725" cy="4171315"/>
                    </a:xfrm>
                    <a:prstGeom prst="rect">
                      <a:avLst/>
                    </a:prstGeom>
                    <a:noFill/>
                  </pic:spPr>
                </pic:pic>
              </a:graphicData>
            </a:graphic>
            <wp14:sizeRelH relativeFrom="page">
              <wp14:pctWidth>0</wp14:pctWidth>
            </wp14:sizeRelH>
            <wp14:sizeRelV relativeFrom="page">
              <wp14:pctHeight>0</wp14:pctHeight>
            </wp14:sizeRelV>
          </wp:anchor>
        </w:drawing>
      </w:r>
      <w:r w:rsidR="00E44B04">
        <w:rPr>
          <w:iCs/>
        </w:rPr>
        <w:t>Nearly forty-four percent</w:t>
      </w:r>
      <w:r w:rsidR="00E44B04" w:rsidRPr="005F7983">
        <w:rPr>
          <w:iCs/>
        </w:rPr>
        <w:t xml:space="preserve"> of people who moved from low to high walkable neighbourhoods increased their utilitarian walking, compared to </w:t>
      </w:r>
      <w:r w:rsidR="00E44B04">
        <w:rPr>
          <w:iCs/>
        </w:rPr>
        <w:t>31</w:t>
      </w:r>
      <w:r w:rsidR="00E44B04" w:rsidRPr="005F7983">
        <w:rPr>
          <w:iCs/>
        </w:rPr>
        <w:t xml:space="preserve">% of those who moved from </w:t>
      </w:r>
      <w:r w:rsidR="00E44B04">
        <w:rPr>
          <w:iCs/>
        </w:rPr>
        <w:t>high</w:t>
      </w:r>
      <w:r w:rsidR="00E44B04" w:rsidRPr="005F7983">
        <w:rPr>
          <w:iCs/>
        </w:rPr>
        <w:t xml:space="preserve"> to </w:t>
      </w:r>
      <w:r w:rsidR="00E44B04">
        <w:rPr>
          <w:iCs/>
        </w:rPr>
        <w:t>low</w:t>
      </w:r>
      <w:r w:rsidR="00E44B04" w:rsidRPr="005F7983">
        <w:rPr>
          <w:iCs/>
        </w:rPr>
        <w:t xml:space="preserve"> walkable neighbourhoods. Around 4</w:t>
      </w:r>
      <w:r w:rsidR="00E44B04">
        <w:rPr>
          <w:iCs/>
        </w:rPr>
        <w:t>1</w:t>
      </w:r>
      <w:r w:rsidR="00E44B04" w:rsidRPr="005F7983">
        <w:rPr>
          <w:iCs/>
        </w:rPr>
        <w:t xml:space="preserve">% </w:t>
      </w:r>
      <w:r w:rsidR="00E44B04">
        <w:rPr>
          <w:iCs/>
        </w:rPr>
        <w:t xml:space="preserve">of </w:t>
      </w:r>
      <w:r w:rsidR="00E44B04" w:rsidRPr="005F7983">
        <w:rPr>
          <w:iCs/>
        </w:rPr>
        <w:t xml:space="preserve">individuals who moved to lower walkable neighbourhoods decreased their utilitarian walking compared to </w:t>
      </w:r>
      <w:r w:rsidR="00E44B04">
        <w:rPr>
          <w:iCs/>
        </w:rPr>
        <w:t>27</w:t>
      </w:r>
      <w:r w:rsidR="00E44B04" w:rsidRPr="005F7983">
        <w:rPr>
          <w:iCs/>
        </w:rPr>
        <w:t xml:space="preserve">% of those who moved to </w:t>
      </w:r>
      <w:r w:rsidR="00E44B04" w:rsidRPr="00856C3F">
        <w:rPr>
          <w:iCs/>
        </w:rPr>
        <w:t xml:space="preserve">higher walkable neighbourhoods (Figure </w:t>
      </w:r>
      <w:r w:rsidR="00E44B04">
        <w:rPr>
          <w:iCs/>
        </w:rPr>
        <w:t>3</w:t>
      </w:r>
      <w:r w:rsidR="00E44B04" w:rsidRPr="00856C3F">
        <w:rPr>
          <w:iCs/>
        </w:rPr>
        <w:t>)</w:t>
      </w:r>
      <w:r w:rsidR="00E44B04">
        <w:rPr>
          <w:iCs/>
        </w:rPr>
        <w:t>.</w:t>
      </w:r>
      <w:r w:rsidR="00A4311A">
        <w:rPr>
          <w:iCs/>
        </w:rPr>
        <w:t xml:space="preserve">  </w:t>
      </w:r>
    </w:p>
    <w:p w14:paraId="2C8F645A" w14:textId="77777777" w:rsidR="002F7F03" w:rsidRPr="00D83242" w:rsidRDefault="005E6356" w:rsidP="00F1689C">
      <w:pPr>
        <w:spacing w:before="120" w:after="120" w:line="480" w:lineRule="auto"/>
        <w:rPr>
          <w:szCs w:val="18"/>
        </w:rPr>
      </w:pPr>
      <w:r w:rsidRPr="00D83242">
        <w:rPr>
          <w:szCs w:val="18"/>
        </w:rPr>
        <w:t xml:space="preserve">*Moved/changed 2 to 3 </w:t>
      </w:r>
      <w:r w:rsidR="00DC05D5" w:rsidRPr="00D83242">
        <w:rPr>
          <w:szCs w:val="18"/>
        </w:rPr>
        <w:t>Walk Score®</w:t>
      </w:r>
      <w:r w:rsidRPr="00D83242">
        <w:rPr>
          <w:szCs w:val="18"/>
        </w:rPr>
        <w:t xml:space="preserve"> quartiles</w:t>
      </w:r>
    </w:p>
    <w:p w14:paraId="1409A105" w14:textId="77777777" w:rsidR="00EA123C" w:rsidRDefault="00EA123C" w:rsidP="00EA123C">
      <w:pPr>
        <w:pStyle w:val="MediumGrid211"/>
        <w:jc w:val="right"/>
        <w:rPr>
          <w:rFonts w:ascii="Times New Roman" w:hAnsi="Times New Roman"/>
          <w:b/>
          <w:iCs/>
          <w:sz w:val="24"/>
          <w:szCs w:val="24"/>
        </w:rPr>
      </w:pPr>
    </w:p>
    <w:p w14:paraId="50730BDD" w14:textId="56337AC9" w:rsidR="00DE2957" w:rsidRDefault="005E6356" w:rsidP="005E6356">
      <w:pPr>
        <w:pStyle w:val="MediumGrid211"/>
        <w:rPr>
          <w:rFonts w:ascii="Times New Roman" w:hAnsi="Times New Roman"/>
          <w:iCs/>
          <w:sz w:val="24"/>
          <w:szCs w:val="24"/>
        </w:rPr>
      </w:pPr>
      <w:r w:rsidRPr="008E1381">
        <w:rPr>
          <w:rFonts w:ascii="Times New Roman" w:hAnsi="Times New Roman"/>
          <w:b/>
          <w:iCs/>
          <w:sz w:val="24"/>
          <w:szCs w:val="24"/>
        </w:rPr>
        <w:t>Figure 3:</w:t>
      </w:r>
      <w:r w:rsidRPr="008E1381">
        <w:rPr>
          <w:rFonts w:ascii="Times New Roman" w:hAnsi="Times New Roman"/>
          <w:iCs/>
          <w:sz w:val="24"/>
          <w:szCs w:val="24"/>
        </w:rPr>
        <w:t xml:space="preserve"> Change in utilitarian walking for urban</w:t>
      </w:r>
      <w:r w:rsidR="00A74CEB">
        <w:rPr>
          <w:rFonts w:ascii="Times New Roman" w:hAnsi="Times New Roman"/>
          <w:iCs/>
          <w:sz w:val="24"/>
          <w:szCs w:val="24"/>
        </w:rPr>
        <w:t>-</w:t>
      </w:r>
      <w:r w:rsidRPr="008E1381">
        <w:rPr>
          <w:rFonts w:ascii="Times New Roman" w:hAnsi="Times New Roman"/>
          <w:iCs/>
          <w:sz w:val="24"/>
          <w:szCs w:val="24"/>
        </w:rPr>
        <w:t>dwelling “movers”</w:t>
      </w:r>
      <w:r w:rsidR="00A74CEB">
        <w:rPr>
          <w:rFonts w:ascii="Times New Roman" w:hAnsi="Times New Roman"/>
          <w:iCs/>
          <w:sz w:val="24"/>
          <w:szCs w:val="24"/>
        </w:rPr>
        <w:t>;</w:t>
      </w:r>
      <w:r w:rsidRPr="008E1381">
        <w:rPr>
          <w:rFonts w:ascii="Times New Roman" w:hAnsi="Times New Roman"/>
          <w:iCs/>
          <w:sz w:val="24"/>
          <w:szCs w:val="24"/>
        </w:rPr>
        <w:t xml:space="preserve"> National Population Health Survey (1994/5-2006/7)</w:t>
      </w:r>
    </w:p>
    <w:p w14:paraId="689B0F53" w14:textId="77777777" w:rsidR="005E6356" w:rsidRDefault="005E6356" w:rsidP="005E6356">
      <w:pPr>
        <w:pStyle w:val="MediumGrid211"/>
      </w:pPr>
    </w:p>
    <w:p w14:paraId="41F6C7C0" w14:textId="77777777" w:rsidR="00F1689C" w:rsidRDefault="00F1689C" w:rsidP="00D83242">
      <w:pPr>
        <w:pStyle w:val="MediumGrid21"/>
        <w:spacing w:before="120" w:after="120" w:line="480" w:lineRule="auto"/>
        <w:rPr>
          <w:rFonts w:ascii="Times New Roman" w:hAnsi="Times New Roman"/>
          <w:b/>
          <w:iCs/>
          <w:sz w:val="28"/>
          <w:szCs w:val="24"/>
        </w:rPr>
      </w:pPr>
    </w:p>
    <w:p w14:paraId="0FFA61A4" w14:textId="77777777" w:rsidR="00F1689C" w:rsidRDefault="00F1689C" w:rsidP="00D83242">
      <w:pPr>
        <w:pStyle w:val="MediumGrid21"/>
        <w:spacing w:before="120" w:after="120" w:line="480" w:lineRule="auto"/>
        <w:rPr>
          <w:rFonts w:ascii="Times New Roman" w:hAnsi="Times New Roman"/>
          <w:b/>
          <w:iCs/>
          <w:sz w:val="28"/>
          <w:szCs w:val="24"/>
        </w:rPr>
      </w:pPr>
    </w:p>
    <w:p w14:paraId="1FA7CE87" w14:textId="77777777" w:rsidR="00AD32B6" w:rsidRPr="00836B7E" w:rsidRDefault="00DD5B5F" w:rsidP="00D83242">
      <w:pPr>
        <w:pStyle w:val="MediumGrid21"/>
        <w:spacing w:before="120" w:after="120" w:line="480" w:lineRule="auto"/>
        <w:rPr>
          <w:rFonts w:ascii="Times New Roman" w:hAnsi="Times New Roman"/>
          <w:b/>
          <w:iCs/>
          <w:sz w:val="28"/>
          <w:szCs w:val="24"/>
        </w:rPr>
      </w:pPr>
      <w:r w:rsidRPr="00836B7E">
        <w:rPr>
          <w:rFonts w:ascii="Times New Roman" w:hAnsi="Times New Roman"/>
          <w:b/>
          <w:iCs/>
          <w:sz w:val="28"/>
          <w:szCs w:val="24"/>
        </w:rPr>
        <w:t xml:space="preserve">Multivariate </w:t>
      </w:r>
      <w:r w:rsidR="00A37D97" w:rsidRPr="00836B7E">
        <w:rPr>
          <w:rFonts w:ascii="Times New Roman" w:hAnsi="Times New Roman"/>
          <w:b/>
          <w:iCs/>
          <w:sz w:val="28"/>
          <w:szCs w:val="24"/>
        </w:rPr>
        <w:t>analyses</w:t>
      </w:r>
    </w:p>
    <w:p w14:paraId="351B8C9C" w14:textId="77777777" w:rsidR="00E36C5D" w:rsidRDefault="00F9152C" w:rsidP="00E36C5D">
      <w:pPr>
        <w:spacing w:line="480" w:lineRule="auto"/>
        <w:rPr>
          <w:b/>
          <w:iCs/>
        </w:rPr>
      </w:pPr>
      <w:r>
        <w:rPr>
          <w:b/>
          <w:iCs/>
        </w:rPr>
        <w:t>O</w:t>
      </w:r>
      <w:r w:rsidR="002C5A59">
        <w:rPr>
          <w:b/>
          <w:iCs/>
        </w:rPr>
        <w:t>rdered logistic regression analysis</w:t>
      </w:r>
      <w:r>
        <w:rPr>
          <w:b/>
          <w:iCs/>
        </w:rPr>
        <w:t xml:space="preserve"> for overall sample</w:t>
      </w:r>
      <w:r w:rsidR="008C46B7">
        <w:rPr>
          <w:b/>
          <w:iCs/>
        </w:rPr>
        <w:t xml:space="preserve"> -</w:t>
      </w:r>
      <w:r w:rsidR="008C46B7" w:rsidRPr="008C46B7">
        <w:rPr>
          <w:b/>
          <w:iCs/>
        </w:rPr>
        <w:t xml:space="preserve"> </w:t>
      </w:r>
      <w:r w:rsidR="008C46B7">
        <w:rPr>
          <w:b/>
          <w:iCs/>
        </w:rPr>
        <w:t>interpreting the influence of walkability on utilitarian walking</w:t>
      </w:r>
    </w:p>
    <w:p w14:paraId="3135AC02" w14:textId="7CEE17DB" w:rsidR="00FE5315" w:rsidRDefault="00FE5315" w:rsidP="009F3873">
      <w:pPr>
        <w:spacing w:line="480" w:lineRule="auto"/>
        <w:ind w:firstLine="720"/>
      </w:pPr>
      <w:r w:rsidRPr="00FE5315">
        <w:t xml:space="preserve">Exposure to higher walkable neighborhoods (third and fourth </w:t>
      </w:r>
      <w:r w:rsidR="00DC05D5">
        <w:t>Walk Score®</w:t>
      </w:r>
      <w:r w:rsidRPr="00FE5315">
        <w:t xml:space="preserve"> quartiles,) had positive associations with utilitarian walking compared to exposure to low walkable neighbourhoods (first </w:t>
      </w:r>
      <w:r w:rsidR="00DC05D5">
        <w:t>Walk Score®</w:t>
      </w:r>
      <w:r w:rsidRPr="00FE5315">
        <w:t xml:space="preserve"> quartile) in multivariate analyses. </w:t>
      </w:r>
      <w:r w:rsidR="00B7486B">
        <w:t xml:space="preserve">The marginal effects of the ordered logistic regression can be interpreted as the change in probability of being in a particular alternative (in our case none, low, moderate and high utilitarian walking) as a function of a unit change in the independent variable (in our case the probability of spending more time in the second, third or fourth </w:t>
      </w:r>
      <w:r w:rsidR="00DC05D5">
        <w:t>Walk Score®</w:t>
      </w:r>
      <w:r w:rsidR="00B7486B">
        <w:t xml:space="preserve"> quartiles relative to spending time in the first </w:t>
      </w:r>
      <w:r w:rsidR="00DC05D5">
        <w:t>Walk Score®</w:t>
      </w:r>
      <w:r w:rsidR="00B7486B">
        <w:t xml:space="preserve"> quartiles).  A unit increase in the probability of spending more time in  the  third </w:t>
      </w:r>
      <w:r w:rsidR="00DC05D5">
        <w:t>Walk Score®</w:t>
      </w:r>
      <w:r w:rsidR="00B7486B">
        <w:t xml:space="preserve"> quartile neighbourhoods increased the probability of moderate (1.4%, 95% C.I. 0.4%, 2.4%) and high utilitarian walking (2.7%, 95% C.I. 0.7%, 4.7%) compared to spending the same time in low walkable neighbourhoods (first </w:t>
      </w:r>
      <w:r w:rsidR="00DC05D5">
        <w:t>Walk Score®</w:t>
      </w:r>
      <w:r w:rsidR="00B7486B">
        <w:t xml:space="preserve"> quartile neighbourhoods). A unit increase in the probability of spending more time in  the</w:t>
      </w:r>
      <w:r w:rsidRPr="00FE5315">
        <w:t xml:space="preserve"> fourth </w:t>
      </w:r>
      <w:r w:rsidR="00DC05D5">
        <w:t>Walk Score®</w:t>
      </w:r>
      <w:r w:rsidRPr="00FE5315">
        <w:t xml:space="preserve"> quartile neighborhoods increased </w:t>
      </w:r>
      <w:r w:rsidR="00B7486B">
        <w:t xml:space="preserve">the </w:t>
      </w:r>
      <w:r w:rsidR="00717061">
        <w:t>probability</w:t>
      </w:r>
      <w:r w:rsidR="00B7486B">
        <w:t xml:space="preserve"> of </w:t>
      </w:r>
      <w:r w:rsidRPr="00FE5315">
        <w:t xml:space="preserve">moderate (4%, 95% C.I. 2.9%, 5.1%) and high utilitarian walking (7.7%, 95% C.I. 5.8%, 9.7%) </w:t>
      </w:r>
      <w:r w:rsidR="00B7486B" w:rsidRPr="00B7486B">
        <w:t xml:space="preserve">spending the same time in low walkable neighbourhoods (first </w:t>
      </w:r>
      <w:r w:rsidR="00DC05D5">
        <w:t>Walk Score®</w:t>
      </w:r>
      <w:r w:rsidR="00B7486B" w:rsidRPr="00B7486B">
        <w:t xml:space="preserve"> quartile neighbourhoods)</w:t>
      </w:r>
      <w:r w:rsidR="00B7486B">
        <w:t xml:space="preserve"> </w:t>
      </w:r>
      <w:r w:rsidRPr="00FE5315">
        <w:t xml:space="preserve">(Table </w:t>
      </w:r>
      <w:r w:rsidR="00AA077B">
        <w:t>3</w:t>
      </w:r>
      <w:r w:rsidRPr="00FE5315">
        <w:t xml:space="preserve">). </w:t>
      </w:r>
    </w:p>
    <w:p w14:paraId="7314A868" w14:textId="77777777" w:rsidR="00F9152C" w:rsidRPr="00F9152C" w:rsidRDefault="00FE5315" w:rsidP="00D83242">
      <w:pPr>
        <w:pStyle w:val="MediumGrid21"/>
        <w:spacing w:before="120" w:after="120" w:line="480" w:lineRule="auto"/>
        <w:rPr>
          <w:rFonts w:ascii="Times New Roman" w:hAnsi="Times New Roman"/>
          <w:b/>
          <w:iCs/>
          <w:sz w:val="24"/>
          <w:szCs w:val="24"/>
        </w:rPr>
      </w:pPr>
      <w:r>
        <w:rPr>
          <w:rFonts w:ascii="Times New Roman" w:hAnsi="Times New Roman"/>
          <w:b/>
          <w:iCs/>
          <w:sz w:val="24"/>
          <w:szCs w:val="24"/>
        </w:rPr>
        <w:t>Interpreting other covariates</w:t>
      </w:r>
    </w:p>
    <w:p w14:paraId="7A8D9C42" w14:textId="77777777" w:rsidR="00F9152C" w:rsidRDefault="00F9152C" w:rsidP="009F3873">
      <w:pPr>
        <w:pStyle w:val="MediumGrid21"/>
        <w:spacing w:before="120" w:after="120" w:line="480" w:lineRule="auto"/>
        <w:ind w:firstLine="720"/>
        <w:rPr>
          <w:rFonts w:ascii="Times New Roman" w:hAnsi="Times New Roman"/>
          <w:sz w:val="24"/>
          <w:szCs w:val="24"/>
        </w:rPr>
      </w:pPr>
      <w:r w:rsidRPr="00F9152C">
        <w:rPr>
          <w:rFonts w:ascii="Times New Roman" w:hAnsi="Times New Roman"/>
          <w:sz w:val="24"/>
          <w:szCs w:val="24"/>
        </w:rPr>
        <w:t>Women were more likely to walk for utilitarian purposes at moderate (3%, 95% C.I. 2.4%, 3.6%) and high levels (5.8%, 95% C.I. 4.3%, 7.3%) than men</w:t>
      </w:r>
      <w:r w:rsidR="0025377C">
        <w:rPr>
          <w:rFonts w:ascii="Times New Roman" w:hAnsi="Times New Roman"/>
          <w:sz w:val="24"/>
          <w:szCs w:val="24"/>
        </w:rPr>
        <w:t xml:space="preserve"> (Table 3)</w:t>
      </w:r>
      <w:r w:rsidRPr="00F9152C">
        <w:rPr>
          <w:rFonts w:ascii="Times New Roman" w:hAnsi="Times New Roman"/>
          <w:sz w:val="24"/>
          <w:szCs w:val="24"/>
        </w:rPr>
        <w:t xml:space="preserve">. Post-secondary education increased the probability of moderate (1.8%, 95% C.I. 1.3%, 2.3%) and high utilitarian walking (3.5%, 95% C.I. 2.3%, 4.6%). </w:t>
      </w:r>
      <w:r w:rsidRPr="00B67028">
        <w:rPr>
          <w:rFonts w:ascii="Times New Roman" w:hAnsi="Times New Roman"/>
          <w:sz w:val="24"/>
          <w:szCs w:val="24"/>
        </w:rPr>
        <w:t xml:space="preserve">Being </w:t>
      </w:r>
      <w:r>
        <w:rPr>
          <w:rFonts w:ascii="Times New Roman" w:hAnsi="Times New Roman"/>
          <w:sz w:val="24"/>
          <w:szCs w:val="24"/>
        </w:rPr>
        <w:t xml:space="preserve">active </w:t>
      </w:r>
      <w:r w:rsidR="0025377C">
        <w:rPr>
          <w:rFonts w:ascii="Times New Roman" w:hAnsi="Times New Roman"/>
          <w:sz w:val="24"/>
          <w:szCs w:val="24"/>
        </w:rPr>
        <w:t>in one’s leisure time</w:t>
      </w:r>
      <w:r w:rsidR="0025377C" w:rsidRPr="00B67028">
        <w:rPr>
          <w:rFonts w:ascii="Times New Roman" w:hAnsi="Times New Roman"/>
          <w:sz w:val="24"/>
          <w:szCs w:val="24"/>
        </w:rPr>
        <w:t xml:space="preserve"> </w:t>
      </w:r>
      <w:r w:rsidRPr="00B67028">
        <w:rPr>
          <w:rFonts w:ascii="Times New Roman" w:hAnsi="Times New Roman"/>
          <w:sz w:val="24"/>
          <w:szCs w:val="24"/>
        </w:rPr>
        <w:t xml:space="preserve">increased the probability of walking for utilitarian purposes </w:t>
      </w:r>
      <w:r>
        <w:rPr>
          <w:rFonts w:ascii="Times New Roman" w:hAnsi="Times New Roman"/>
          <w:sz w:val="24"/>
          <w:szCs w:val="24"/>
        </w:rPr>
        <w:t>at</w:t>
      </w:r>
      <w:r w:rsidRPr="00B67028">
        <w:rPr>
          <w:rFonts w:ascii="Times New Roman" w:hAnsi="Times New Roman"/>
          <w:sz w:val="24"/>
          <w:szCs w:val="24"/>
        </w:rPr>
        <w:t xml:space="preserve"> moderate (1.5%, 95% C.I. 0.5%, 2.6%) and high levels (3%, 95% C.I. 0.8%, 5%) </w:t>
      </w:r>
      <w:r>
        <w:rPr>
          <w:rFonts w:ascii="Times New Roman" w:hAnsi="Times New Roman"/>
          <w:sz w:val="24"/>
          <w:szCs w:val="24"/>
        </w:rPr>
        <w:t>compared to being inactive</w:t>
      </w:r>
      <w:r w:rsidR="0025377C">
        <w:rPr>
          <w:rFonts w:ascii="Times New Roman" w:hAnsi="Times New Roman"/>
          <w:sz w:val="24"/>
          <w:szCs w:val="24"/>
        </w:rPr>
        <w:t xml:space="preserve"> in leisure </w:t>
      </w:r>
      <w:r w:rsidR="00CD0D7F">
        <w:rPr>
          <w:rFonts w:ascii="Times New Roman" w:hAnsi="Times New Roman"/>
          <w:sz w:val="24"/>
          <w:szCs w:val="24"/>
        </w:rPr>
        <w:t>time,</w:t>
      </w:r>
      <w:r w:rsidR="0025377C">
        <w:rPr>
          <w:rFonts w:ascii="Times New Roman" w:hAnsi="Times New Roman"/>
          <w:sz w:val="24"/>
          <w:szCs w:val="24"/>
        </w:rPr>
        <w:t xml:space="preserve"> although importantly the influence of neighbourhood walkability persisted with this variable in the model</w:t>
      </w:r>
      <w:r w:rsidR="00CD0D7F">
        <w:rPr>
          <w:rFonts w:ascii="Times New Roman" w:hAnsi="Times New Roman"/>
          <w:sz w:val="24"/>
          <w:szCs w:val="24"/>
        </w:rPr>
        <w:t>.</w:t>
      </w:r>
      <w:r w:rsidR="00F175D9">
        <w:rPr>
          <w:rFonts w:ascii="Times New Roman" w:hAnsi="Times New Roman"/>
          <w:sz w:val="24"/>
          <w:szCs w:val="24"/>
        </w:rPr>
        <w:t xml:space="preserve"> </w:t>
      </w:r>
      <w:r w:rsidRPr="00B67028">
        <w:rPr>
          <w:rFonts w:ascii="Times New Roman" w:hAnsi="Times New Roman"/>
          <w:sz w:val="24"/>
          <w:szCs w:val="24"/>
        </w:rPr>
        <w:t xml:space="preserve">Individuals who perceived themselves as healthy </w:t>
      </w:r>
      <w:r>
        <w:rPr>
          <w:rFonts w:ascii="Times New Roman" w:hAnsi="Times New Roman"/>
          <w:sz w:val="24"/>
          <w:szCs w:val="24"/>
        </w:rPr>
        <w:t xml:space="preserve">were more likely to walk </w:t>
      </w:r>
      <w:r w:rsidRPr="00B67028">
        <w:rPr>
          <w:rFonts w:ascii="Times New Roman" w:hAnsi="Times New Roman"/>
          <w:sz w:val="24"/>
          <w:szCs w:val="24"/>
        </w:rPr>
        <w:t xml:space="preserve">for utilitarian purposes </w:t>
      </w:r>
      <w:r>
        <w:rPr>
          <w:rFonts w:ascii="Times New Roman" w:hAnsi="Times New Roman"/>
          <w:sz w:val="24"/>
          <w:szCs w:val="24"/>
        </w:rPr>
        <w:t xml:space="preserve">at </w:t>
      </w:r>
      <w:r w:rsidRPr="00B67028">
        <w:rPr>
          <w:rFonts w:ascii="Times New Roman" w:hAnsi="Times New Roman"/>
          <w:sz w:val="24"/>
          <w:szCs w:val="24"/>
        </w:rPr>
        <w:t xml:space="preserve">moderate (0.8%, 95% C.I. 0.1%, 1.6%) and high levels (1.6%, 95% C.I. 0.1%, 3.2%) than those who perceived themselves as unhealthy. A </w:t>
      </w:r>
      <w:r w:rsidR="00557B0C">
        <w:rPr>
          <w:rFonts w:ascii="Times New Roman" w:hAnsi="Times New Roman"/>
          <w:sz w:val="24"/>
          <w:szCs w:val="24"/>
        </w:rPr>
        <w:t>0.01</w:t>
      </w:r>
      <w:r w:rsidRPr="00B67028">
        <w:rPr>
          <w:rFonts w:ascii="Times New Roman" w:hAnsi="Times New Roman"/>
          <w:sz w:val="24"/>
          <w:szCs w:val="24"/>
        </w:rPr>
        <w:t xml:space="preserve"> increase in age decreased the probability of</w:t>
      </w:r>
      <w:r>
        <w:rPr>
          <w:rFonts w:ascii="Times New Roman" w:hAnsi="Times New Roman"/>
          <w:sz w:val="24"/>
          <w:szCs w:val="24"/>
        </w:rPr>
        <w:t xml:space="preserve"> </w:t>
      </w:r>
      <w:r w:rsidRPr="00B67028">
        <w:rPr>
          <w:rFonts w:ascii="Times New Roman" w:hAnsi="Times New Roman"/>
          <w:sz w:val="24"/>
          <w:szCs w:val="24"/>
        </w:rPr>
        <w:t>moderate (0.1%, 95% C.I. 0.1%, 0%) and high utilitarian walking (0.1%, 95% C.I</w:t>
      </w:r>
      <w:r>
        <w:rPr>
          <w:rFonts w:ascii="Times New Roman" w:hAnsi="Times New Roman"/>
          <w:sz w:val="24"/>
          <w:szCs w:val="24"/>
        </w:rPr>
        <w:t>.</w:t>
      </w:r>
      <w:r w:rsidRPr="00B67028">
        <w:rPr>
          <w:rFonts w:ascii="Times New Roman" w:hAnsi="Times New Roman"/>
          <w:sz w:val="24"/>
          <w:szCs w:val="24"/>
        </w:rPr>
        <w:t xml:space="preserve"> 0.</w:t>
      </w:r>
      <w:r>
        <w:rPr>
          <w:rFonts w:ascii="Times New Roman" w:hAnsi="Times New Roman"/>
          <w:sz w:val="24"/>
          <w:szCs w:val="24"/>
        </w:rPr>
        <w:t>2%, 0%)</w:t>
      </w:r>
      <w:r w:rsidR="00CD0D7F">
        <w:rPr>
          <w:rFonts w:ascii="Times New Roman" w:hAnsi="Times New Roman"/>
          <w:sz w:val="24"/>
          <w:szCs w:val="24"/>
        </w:rPr>
        <w:t>.</w:t>
      </w:r>
      <w:r w:rsidRPr="00B67028">
        <w:rPr>
          <w:rFonts w:ascii="Times New Roman" w:hAnsi="Times New Roman"/>
          <w:sz w:val="24"/>
          <w:szCs w:val="24"/>
        </w:rPr>
        <w:t xml:space="preserve"> </w:t>
      </w:r>
    </w:p>
    <w:p w14:paraId="25B08132" w14:textId="77777777" w:rsidR="00501022" w:rsidRPr="00FE5315" w:rsidRDefault="00F9152C" w:rsidP="00D83242">
      <w:pPr>
        <w:pStyle w:val="MediumGrid21"/>
        <w:spacing w:before="120" w:after="120" w:line="480" w:lineRule="auto"/>
        <w:ind w:firstLine="720"/>
        <w:rPr>
          <w:rFonts w:ascii="Times New Roman" w:hAnsi="Times New Roman"/>
          <w:b/>
          <w:iCs/>
          <w:sz w:val="24"/>
          <w:szCs w:val="24"/>
        </w:rPr>
      </w:pPr>
      <w:r w:rsidRPr="00856C3F">
        <w:rPr>
          <w:rFonts w:ascii="Times New Roman" w:hAnsi="Times New Roman"/>
          <w:sz w:val="24"/>
          <w:szCs w:val="24"/>
        </w:rPr>
        <w:t>There was a</w:t>
      </w:r>
      <w:r w:rsidRPr="00F15650">
        <w:rPr>
          <w:rFonts w:ascii="Times New Roman" w:hAnsi="Times New Roman"/>
          <w:sz w:val="24"/>
          <w:szCs w:val="24"/>
        </w:rPr>
        <w:t xml:space="preserve">n </w:t>
      </w:r>
      <w:r w:rsidRPr="005F7983">
        <w:rPr>
          <w:rFonts w:ascii="Times New Roman" w:hAnsi="Times New Roman"/>
          <w:sz w:val="24"/>
          <w:szCs w:val="24"/>
        </w:rPr>
        <w:t xml:space="preserve">increase in </w:t>
      </w:r>
      <w:r w:rsidRPr="003D171B">
        <w:rPr>
          <w:rFonts w:ascii="Times New Roman" w:hAnsi="Times New Roman"/>
          <w:sz w:val="24"/>
          <w:szCs w:val="24"/>
        </w:rPr>
        <w:t>utilitarian</w:t>
      </w:r>
      <w:r w:rsidRPr="004804E7">
        <w:rPr>
          <w:rFonts w:ascii="Times New Roman" w:hAnsi="Times New Roman"/>
          <w:sz w:val="24"/>
          <w:szCs w:val="24"/>
        </w:rPr>
        <w:t xml:space="preserve"> walking levels for the entire sample starting </w:t>
      </w:r>
      <w:r>
        <w:rPr>
          <w:rFonts w:ascii="Times New Roman" w:hAnsi="Times New Roman"/>
          <w:sz w:val="24"/>
          <w:szCs w:val="24"/>
        </w:rPr>
        <w:t>at</w:t>
      </w:r>
      <w:r w:rsidRPr="004804E7">
        <w:rPr>
          <w:rFonts w:ascii="Times New Roman" w:hAnsi="Times New Roman"/>
          <w:sz w:val="24"/>
          <w:szCs w:val="24"/>
        </w:rPr>
        <w:t xml:space="preserve"> </w:t>
      </w:r>
      <w:r>
        <w:rPr>
          <w:rFonts w:ascii="Times New Roman" w:hAnsi="Times New Roman"/>
          <w:sz w:val="24"/>
          <w:szCs w:val="24"/>
        </w:rPr>
        <w:t>c</w:t>
      </w:r>
      <w:r w:rsidRPr="004804E7">
        <w:rPr>
          <w:rFonts w:ascii="Times New Roman" w:hAnsi="Times New Roman"/>
          <w:sz w:val="24"/>
          <w:szCs w:val="24"/>
        </w:rPr>
        <w:t>ycle 4</w:t>
      </w:r>
      <w:r w:rsidRPr="00B67028">
        <w:rPr>
          <w:rFonts w:ascii="Times New Roman" w:hAnsi="Times New Roman"/>
          <w:sz w:val="24"/>
          <w:szCs w:val="24"/>
        </w:rPr>
        <w:t>. This increase was more pronounced for high utilitarian walking (3.8%, 95% C.I. 1.8</w:t>
      </w:r>
      <w:r>
        <w:rPr>
          <w:rFonts w:ascii="Times New Roman" w:hAnsi="Times New Roman"/>
          <w:sz w:val="24"/>
          <w:szCs w:val="24"/>
        </w:rPr>
        <w:t>%</w:t>
      </w:r>
      <w:r w:rsidRPr="00B67028">
        <w:rPr>
          <w:rFonts w:ascii="Times New Roman" w:hAnsi="Times New Roman"/>
          <w:sz w:val="24"/>
          <w:szCs w:val="24"/>
        </w:rPr>
        <w:t xml:space="preserve">, and 5.7%), with a steady increase (11.8%, 95% C.I. 8.5%, 14.3%) in utilitarian walking </w:t>
      </w:r>
      <w:r>
        <w:rPr>
          <w:rFonts w:ascii="Times New Roman" w:hAnsi="Times New Roman"/>
          <w:sz w:val="24"/>
          <w:szCs w:val="24"/>
        </w:rPr>
        <w:t>until</w:t>
      </w:r>
      <w:r w:rsidRPr="00B67028">
        <w:rPr>
          <w:rFonts w:ascii="Times New Roman" w:hAnsi="Times New Roman"/>
          <w:sz w:val="24"/>
          <w:szCs w:val="24"/>
        </w:rPr>
        <w:t xml:space="preserve"> </w:t>
      </w:r>
      <w:r>
        <w:rPr>
          <w:rFonts w:ascii="Times New Roman" w:hAnsi="Times New Roman"/>
          <w:sz w:val="24"/>
          <w:szCs w:val="24"/>
        </w:rPr>
        <w:t>c</w:t>
      </w:r>
      <w:r w:rsidRPr="00B67028">
        <w:rPr>
          <w:rFonts w:ascii="Times New Roman" w:hAnsi="Times New Roman"/>
          <w:sz w:val="24"/>
          <w:szCs w:val="24"/>
        </w:rPr>
        <w:t xml:space="preserve">ycle 7.  </w:t>
      </w:r>
      <w:r w:rsidRPr="00B67028">
        <w:rPr>
          <w:rFonts w:ascii="Times New Roman" w:hAnsi="Times New Roman"/>
          <w:bCs/>
          <w:sz w:val="24"/>
          <w:szCs w:val="24"/>
        </w:rPr>
        <w:t>F</w:t>
      </w:r>
      <w:r w:rsidRPr="00B67028">
        <w:rPr>
          <w:rFonts w:ascii="Times New Roman" w:hAnsi="Times New Roman"/>
          <w:sz w:val="24"/>
          <w:szCs w:val="24"/>
        </w:rPr>
        <w:t xml:space="preserve">amily structure and perceived neighbourhood safety were also tested to see whether they had an impact on the likelihood of changing utilitarian walking levels, </w:t>
      </w:r>
      <w:r>
        <w:rPr>
          <w:rFonts w:ascii="Times New Roman" w:hAnsi="Times New Roman"/>
          <w:sz w:val="24"/>
          <w:szCs w:val="24"/>
        </w:rPr>
        <w:t xml:space="preserve">but </w:t>
      </w:r>
      <w:r w:rsidRPr="00B67028">
        <w:rPr>
          <w:rFonts w:ascii="Times New Roman" w:hAnsi="Times New Roman"/>
          <w:sz w:val="24"/>
          <w:szCs w:val="24"/>
        </w:rPr>
        <w:t xml:space="preserve">did not </w:t>
      </w:r>
      <w:r>
        <w:rPr>
          <w:rFonts w:ascii="Times New Roman" w:hAnsi="Times New Roman"/>
          <w:sz w:val="24"/>
          <w:szCs w:val="24"/>
        </w:rPr>
        <w:t>demonstrate</w:t>
      </w:r>
      <w:r w:rsidRPr="00B67028">
        <w:rPr>
          <w:rFonts w:ascii="Times New Roman" w:hAnsi="Times New Roman"/>
          <w:sz w:val="24"/>
          <w:szCs w:val="24"/>
        </w:rPr>
        <w:t xml:space="preserve"> any consistent associations.</w:t>
      </w:r>
    </w:p>
    <w:p w14:paraId="7F592052" w14:textId="77777777" w:rsidR="00651C2C" w:rsidRDefault="00651C2C" w:rsidP="009F3873">
      <w:pPr>
        <w:pStyle w:val="MediumGrid21"/>
        <w:spacing w:line="480" w:lineRule="auto"/>
        <w:rPr>
          <w:rFonts w:ascii="Times New Roman" w:hAnsi="Times New Roman"/>
          <w:b/>
          <w:sz w:val="24"/>
          <w:szCs w:val="24"/>
        </w:rPr>
      </w:pPr>
    </w:p>
    <w:p w14:paraId="1939DCBB" w14:textId="77777777" w:rsidR="00651C2C" w:rsidRDefault="00651C2C" w:rsidP="009F3873">
      <w:pPr>
        <w:pStyle w:val="MediumGrid21"/>
        <w:spacing w:line="480" w:lineRule="auto"/>
        <w:rPr>
          <w:rFonts w:ascii="Times New Roman" w:hAnsi="Times New Roman"/>
          <w:b/>
          <w:sz w:val="24"/>
          <w:szCs w:val="24"/>
        </w:rPr>
      </w:pPr>
    </w:p>
    <w:p w14:paraId="5BD5BDD6" w14:textId="77777777" w:rsidR="00651C2C" w:rsidRDefault="00651C2C" w:rsidP="009F3873">
      <w:pPr>
        <w:pStyle w:val="MediumGrid21"/>
        <w:spacing w:line="480" w:lineRule="auto"/>
        <w:rPr>
          <w:rFonts w:ascii="Times New Roman" w:hAnsi="Times New Roman"/>
          <w:b/>
          <w:sz w:val="24"/>
          <w:szCs w:val="24"/>
        </w:rPr>
      </w:pPr>
    </w:p>
    <w:p w14:paraId="31E094A8" w14:textId="77777777" w:rsidR="00651C2C" w:rsidRDefault="00651C2C" w:rsidP="009F3873">
      <w:pPr>
        <w:pStyle w:val="MediumGrid21"/>
        <w:spacing w:line="480" w:lineRule="auto"/>
        <w:rPr>
          <w:rFonts w:ascii="Times New Roman" w:hAnsi="Times New Roman"/>
          <w:b/>
          <w:sz w:val="24"/>
          <w:szCs w:val="24"/>
        </w:rPr>
      </w:pPr>
    </w:p>
    <w:p w14:paraId="0FB3C9AD" w14:textId="77777777" w:rsidR="00651C2C" w:rsidRDefault="00651C2C" w:rsidP="009F3873">
      <w:pPr>
        <w:pStyle w:val="MediumGrid21"/>
        <w:spacing w:line="480" w:lineRule="auto"/>
        <w:rPr>
          <w:rFonts w:ascii="Times New Roman" w:hAnsi="Times New Roman"/>
          <w:b/>
          <w:sz w:val="24"/>
          <w:szCs w:val="24"/>
        </w:rPr>
      </w:pPr>
    </w:p>
    <w:p w14:paraId="7F4CA0C0" w14:textId="77777777" w:rsidR="00651C2C" w:rsidRDefault="00651C2C" w:rsidP="009F3873">
      <w:pPr>
        <w:pStyle w:val="MediumGrid21"/>
        <w:spacing w:line="480" w:lineRule="auto"/>
        <w:rPr>
          <w:rFonts w:ascii="Times New Roman" w:hAnsi="Times New Roman"/>
          <w:b/>
          <w:sz w:val="24"/>
          <w:szCs w:val="24"/>
        </w:rPr>
      </w:pPr>
    </w:p>
    <w:p w14:paraId="39BFDAB7" w14:textId="77777777" w:rsidR="00651C2C" w:rsidRDefault="00651C2C" w:rsidP="009F3873">
      <w:pPr>
        <w:pStyle w:val="MediumGrid21"/>
        <w:spacing w:line="480" w:lineRule="auto"/>
        <w:rPr>
          <w:rFonts w:ascii="Times New Roman" w:hAnsi="Times New Roman"/>
          <w:b/>
          <w:sz w:val="24"/>
          <w:szCs w:val="24"/>
        </w:rPr>
      </w:pPr>
    </w:p>
    <w:p w14:paraId="103666CA" w14:textId="77777777" w:rsidR="00651C2C" w:rsidRDefault="00651C2C" w:rsidP="009F3873">
      <w:pPr>
        <w:pStyle w:val="MediumGrid21"/>
        <w:spacing w:line="480" w:lineRule="auto"/>
        <w:rPr>
          <w:rFonts w:ascii="Times New Roman" w:hAnsi="Times New Roman"/>
          <w:b/>
          <w:sz w:val="24"/>
          <w:szCs w:val="24"/>
        </w:rPr>
      </w:pPr>
    </w:p>
    <w:p w14:paraId="121211BA" w14:textId="77777777" w:rsidR="00651C2C" w:rsidRDefault="00651C2C" w:rsidP="009F3873">
      <w:pPr>
        <w:pStyle w:val="MediumGrid21"/>
        <w:spacing w:line="480" w:lineRule="auto"/>
        <w:rPr>
          <w:rFonts w:ascii="Times New Roman" w:hAnsi="Times New Roman"/>
          <w:b/>
          <w:sz w:val="24"/>
          <w:szCs w:val="24"/>
        </w:rPr>
      </w:pPr>
    </w:p>
    <w:p w14:paraId="5A3EC4D7" w14:textId="77777777" w:rsidR="00651C2C" w:rsidRDefault="00651C2C" w:rsidP="009F3873">
      <w:pPr>
        <w:pStyle w:val="MediumGrid21"/>
        <w:spacing w:line="480" w:lineRule="auto"/>
        <w:rPr>
          <w:rFonts w:ascii="Times New Roman" w:hAnsi="Times New Roman"/>
          <w:b/>
          <w:sz w:val="24"/>
          <w:szCs w:val="24"/>
        </w:rPr>
      </w:pPr>
    </w:p>
    <w:p w14:paraId="13808448" w14:textId="77777777" w:rsidR="00F1689C" w:rsidRDefault="00F1689C" w:rsidP="00D83242">
      <w:pPr>
        <w:pStyle w:val="MediumGrid21"/>
        <w:rPr>
          <w:rFonts w:ascii="Times New Roman" w:hAnsi="Times New Roman"/>
          <w:b/>
          <w:sz w:val="24"/>
          <w:szCs w:val="24"/>
        </w:rPr>
      </w:pPr>
    </w:p>
    <w:p w14:paraId="55162EEF" w14:textId="77777777" w:rsidR="00E36C5D" w:rsidRDefault="00E36C5D" w:rsidP="00D83242">
      <w:pPr>
        <w:pStyle w:val="MediumGrid21"/>
        <w:rPr>
          <w:rFonts w:ascii="Times New Roman" w:hAnsi="Times New Roman"/>
          <w:b/>
          <w:sz w:val="24"/>
          <w:szCs w:val="24"/>
        </w:rPr>
      </w:pPr>
    </w:p>
    <w:p w14:paraId="4F1362C3" w14:textId="77777777" w:rsidR="00E36C5D" w:rsidRDefault="00E36C5D" w:rsidP="00D83242">
      <w:pPr>
        <w:pStyle w:val="MediumGrid21"/>
        <w:rPr>
          <w:rFonts w:ascii="Times New Roman" w:hAnsi="Times New Roman"/>
          <w:b/>
          <w:sz w:val="24"/>
          <w:szCs w:val="24"/>
        </w:rPr>
      </w:pPr>
    </w:p>
    <w:p w14:paraId="4C6868D0" w14:textId="77777777" w:rsidR="00AD1A34" w:rsidRPr="00AD1A34" w:rsidRDefault="005F6E08" w:rsidP="00D83242">
      <w:pPr>
        <w:pStyle w:val="MediumGrid21"/>
        <w:rPr>
          <w:rFonts w:ascii="Times New Roman" w:hAnsi="Times New Roman"/>
          <w:color w:val="000000"/>
          <w:sz w:val="24"/>
          <w:szCs w:val="24"/>
        </w:rPr>
      </w:pPr>
      <w:r w:rsidRPr="0032538D">
        <w:rPr>
          <w:rFonts w:ascii="Times New Roman" w:hAnsi="Times New Roman"/>
          <w:b/>
          <w:sz w:val="24"/>
          <w:szCs w:val="24"/>
        </w:rPr>
        <w:t xml:space="preserve">Table </w:t>
      </w:r>
      <w:r w:rsidR="00AA775D">
        <w:rPr>
          <w:rFonts w:ascii="Times New Roman" w:hAnsi="Times New Roman"/>
          <w:b/>
          <w:sz w:val="24"/>
          <w:szCs w:val="24"/>
        </w:rPr>
        <w:t>3</w:t>
      </w:r>
      <w:r w:rsidRPr="0032538D">
        <w:rPr>
          <w:rFonts w:ascii="Times New Roman" w:hAnsi="Times New Roman"/>
          <w:b/>
          <w:sz w:val="24"/>
          <w:szCs w:val="24"/>
        </w:rPr>
        <w:t>:</w:t>
      </w:r>
      <w:r w:rsidRPr="0032538D">
        <w:rPr>
          <w:rFonts w:ascii="Times New Roman" w:hAnsi="Times New Roman"/>
          <w:sz w:val="24"/>
          <w:szCs w:val="24"/>
        </w:rPr>
        <w:t xml:space="preserve"> Marginal effects </w:t>
      </w:r>
      <w:r w:rsidR="00C55C60">
        <w:rPr>
          <w:rFonts w:ascii="Times New Roman" w:hAnsi="Times New Roman"/>
          <w:sz w:val="24"/>
          <w:szCs w:val="24"/>
        </w:rPr>
        <w:t xml:space="preserve">estimates </w:t>
      </w:r>
      <w:r w:rsidRPr="0032538D">
        <w:rPr>
          <w:rFonts w:ascii="Times New Roman" w:hAnsi="Times New Roman"/>
          <w:sz w:val="24"/>
          <w:szCs w:val="24"/>
        </w:rPr>
        <w:t>of</w:t>
      </w:r>
      <w:r w:rsidR="00C55C60">
        <w:rPr>
          <w:rFonts w:ascii="Times New Roman" w:hAnsi="Times New Roman"/>
          <w:sz w:val="24"/>
          <w:szCs w:val="24"/>
        </w:rPr>
        <w:t xml:space="preserve"> a </w:t>
      </w:r>
      <w:r w:rsidR="00C55C60" w:rsidRPr="0032538D">
        <w:rPr>
          <w:rFonts w:ascii="Times New Roman" w:hAnsi="Times New Roman"/>
          <w:sz w:val="24"/>
          <w:szCs w:val="24"/>
        </w:rPr>
        <w:t>mixed</w:t>
      </w:r>
      <w:r w:rsidRPr="0032538D">
        <w:rPr>
          <w:rFonts w:ascii="Times New Roman" w:hAnsi="Times New Roman"/>
          <w:sz w:val="24"/>
          <w:szCs w:val="24"/>
        </w:rPr>
        <w:t xml:space="preserve"> effects ordered logistic regression </w:t>
      </w:r>
      <w:r w:rsidRPr="0032538D">
        <w:rPr>
          <w:rFonts w:ascii="Times New Roman" w:hAnsi="Times New Roman"/>
          <w:color w:val="000000"/>
          <w:sz w:val="24"/>
          <w:szCs w:val="24"/>
        </w:rPr>
        <w:t xml:space="preserve">model </w:t>
      </w:r>
      <w:r w:rsidR="006E4ABE">
        <w:rPr>
          <w:rFonts w:ascii="Times New Roman" w:hAnsi="Times New Roman"/>
          <w:color w:val="000000"/>
          <w:sz w:val="24"/>
          <w:szCs w:val="24"/>
        </w:rPr>
        <w:t xml:space="preserve">of utilitarian </w:t>
      </w:r>
      <w:r w:rsidR="00D56872">
        <w:rPr>
          <w:rFonts w:ascii="Times New Roman" w:hAnsi="Times New Roman"/>
          <w:color w:val="000000"/>
          <w:sz w:val="24"/>
          <w:szCs w:val="24"/>
        </w:rPr>
        <w:t>walking</w:t>
      </w:r>
    </w:p>
    <w:tbl>
      <w:tblPr>
        <w:tblpPr w:leftFromText="180" w:rightFromText="180" w:vertAnchor="text" w:tblpY="1"/>
        <w:tblOverlap w:val="never"/>
        <w:tblW w:w="9747" w:type="dxa"/>
        <w:tblLook w:val="04A0" w:firstRow="1" w:lastRow="0" w:firstColumn="1" w:lastColumn="0" w:noHBand="0" w:noVBand="1"/>
      </w:tblPr>
      <w:tblGrid>
        <w:gridCol w:w="2943"/>
        <w:gridCol w:w="1701"/>
        <w:gridCol w:w="1701"/>
        <w:gridCol w:w="1701"/>
        <w:gridCol w:w="1701"/>
      </w:tblGrid>
      <w:tr w:rsidR="004A4962" w:rsidRPr="00F65976" w14:paraId="58A1B426" w14:textId="77777777" w:rsidTr="00253DE9">
        <w:trPr>
          <w:trHeight w:val="312"/>
        </w:trPr>
        <w:tc>
          <w:tcPr>
            <w:tcW w:w="2943" w:type="dxa"/>
            <w:tcBorders>
              <w:top w:val="single" w:sz="12" w:space="0" w:color="auto"/>
              <w:left w:val="nil"/>
              <w:right w:val="nil"/>
            </w:tcBorders>
            <w:vAlign w:val="bottom"/>
          </w:tcPr>
          <w:p w14:paraId="5C89C41C" w14:textId="77777777" w:rsidR="005F6E08" w:rsidRPr="00253DE9" w:rsidRDefault="005F6E08" w:rsidP="009F3873">
            <w:pPr>
              <w:rPr>
                <w:color w:val="000000"/>
                <w:lang w:eastAsia="en-CA"/>
              </w:rPr>
            </w:pPr>
            <w:r w:rsidRPr="00253DE9">
              <w:rPr>
                <w:b/>
                <w:color w:val="000000"/>
                <w:lang w:eastAsia="en-CA"/>
              </w:rPr>
              <w:t>Dependent Variable</w:t>
            </w:r>
            <w:r w:rsidRPr="00253DE9">
              <w:rPr>
                <w:color w:val="000000"/>
                <w:lang w:eastAsia="en-CA"/>
              </w:rPr>
              <w:t xml:space="preserve"> </w:t>
            </w:r>
            <w:r w:rsidRPr="00253DE9">
              <w:rPr>
                <w:color w:val="000000"/>
                <w:sz w:val="20"/>
                <w:szCs w:val="20"/>
                <w:lang w:eastAsia="en-CA"/>
              </w:rPr>
              <w:t>(Amount of Utilitarian Walking per week)</w:t>
            </w:r>
          </w:p>
        </w:tc>
        <w:tc>
          <w:tcPr>
            <w:tcW w:w="1701" w:type="dxa"/>
            <w:tcBorders>
              <w:top w:val="single" w:sz="12" w:space="0" w:color="auto"/>
              <w:left w:val="nil"/>
              <w:bottom w:val="single" w:sz="4" w:space="0" w:color="auto"/>
              <w:right w:val="nil"/>
            </w:tcBorders>
            <w:shd w:val="clear" w:color="auto" w:fill="auto"/>
            <w:noWrap/>
          </w:tcPr>
          <w:p w14:paraId="2C354A21" w14:textId="77777777" w:rsidR="005F6E08" w:rsidRPr="00253DE9" w:rsidRDefault="005F6E08" w:rsidP="009F3873">
            <w:pPr>
              <w:rPr>
                <w:b/>
                <w:color w:val="000000"/>
                <w:lang w:eastAsia="en-CA"/>
              </w:rPr>
            </w:pPr>
            <w:r w:rsidRPr="00253DE9">
              <w:rPr>
                <w:b/>
                <w:color w:val="000000"/>
                <w:lang w:eastAsia="en-CA"/>
              </w:rPr>
              <w:t>None</w:t>
            </w:r>
          </w:p>
          <w:p w14:paraId="1369934E" w14:textId="77777777" w:rsidR="005F6E08" w:rsidRPr="00253DE9" w:rsidRDefault="005F6E08" w:rsidP="009F3873">
            <w:pPr>
              <w:rPr>
                <w:b/>
                <w:color w:val="000000"/>
              </w:rPr>
            </w:pPr>
          </w:p>
        </w:tc>
        <w:tc>
          <w:tcPr>
            <w:tcW w:w="1701" w:type="dxa"/>
            <w:tcBorders>
              <w:top w:val="single" w:sz="12" w:space="0" w:color="auto"/>
              <w:left w:val="nil"/>
              <w:bottom w:val="single" w:sz="4" w:space="0" w:color="auto"/>
              <w:right w:val="nil"/>
            </w:tcBorders>
            <w:shd w:val="clear" w:color="auto" w:fill="auto"/>
            <w:noWrap/>
          </w:tcPr>
          <w:p w14:paraId="5444DD78" w14:textId="77777777" w:rsidR="005F6E08" w:rsidRPr="00253DE9" w:rsidRDefault="005F6E08" w:rsidP="009F3873">
            <w:pPr>
              <w:rPr>
                <w:b/>
                <w:color w:val="000000"/>
              </w:rPr>
            </w:pPr>
            <w:r w:rsidRPr="00253DE9">
              <w:rPr>
                <w:b/>
                <w:color w:val="000000"/>
                <w:lang w:eastAsia="en-CA"/>
              </w:rPr>
              <w:t>Low</w:t>
            </w:r>
          </w:p>
        </w:tc>
        <w:tc>
          <w:tcPr>
            <w:tcW w:w="1701" w:type="dxa"/>
            <w:tcBorders>
              <w:top w:val="single" w:sz="12" w:space="0" w:color="auto"/>
              <w:left w:val="nil"/>
              <w:bottom w:val="single" w:sz="4" w:space="0" w:color="auto"/>
              <w:right w:val="nil"/>
            </w:tcBorders>
            <w:shd w:val="clear" w:color="auto" w:fill="auto"/>
            <w:noWrap/>
          </w:tcPr>
          <w:p w14:paraId="70F11F08" w14:textId="77777777" w:rsidR="005F6E08" w:rsidRPr="00253DE9" w:rsidRDefault="005F6E08" w:rsidP="009F3873">
            <w:pPr>
              <w:rPr>
                <w:b/>
                <w:color w:val="000000"/>
              </w:rPr>
            </w:pPr>
            <w:r w:rsidRPr="00253DE9">
              <w:rPr>
                <w:b/>
                <w:color w:val="000000"/>
                <w:lang w:eastAsia="en-CA"/>
              </w:rPr>
              <w:t>Moderate</w:t>
            </w:r>
          </w:p>
        </w:tc>
        <w:tc>
          <w:tcPr>
            <w:tcW w:w="1701" w:type="dxa"/>
            <w:tcBorders>
              <w:top w:val="single" w:sz="12" w:space="0" w:color="auto"/>
              <w:left w:val="nil"/>
              <w:bottom w:val="single" w:sz="4" w:space="0" w:color="auto"/>
              <w:right w:val="nil"/>
            </w:tcBorders>
            <w:shd w:val="clear" w:color="auto" w:fill="auto"/>
            <w:noWrap/>
          </w:tcPr>
          <w:p w14:paraId="6D4058F6" w14:textId="77777777" w:rsidR="005F6E08" w:rsidRPr="00253DE9" w:rsidRDefault="005F6E08" w:rsidP="009F3873">
            <w:pPr>
              <w:rPr>
                <w:b/>
                <w:color w:val="000000"/>
              </w:rPr>
            </w:pPr>
            <w:r w:rsidRPr="00253DE9">
              <w:rPr>
                <w:b/>
                <w:color w:val="000000"/>
                <w:lang w:eastAsia="en-CA"/>
              </w:rPr>
              <w:t>High</w:t>
            </w:r>
          </w:p>
        </w:tc>
      </w:tr>
      <w:tr w:rsidR="004A4962" w:rsidRPr="00F65976" w14:paraId="66876B69" w14:textId="77777777" w:rsidTr="00253DE9">
        <w:trPr>
          <w:trHeight w:val="224"/>
        </w:trPr>
        <w:tc>
          <w:tcPr>
            <w:tcW w:w="2943" w:type="dxa"/>
            <w:tcBorders>
              <w:left w:val="nil"/>
              <w:right w:val="nil"/>
            </w:tcBorders>
          </w:tcPr>
          <w:p w14:paraId="4E890D77" w14:textId="77777777" w:rsidR="005F6E08" w:rsidRPr="00F65976" w:rsidRDefault="005F6E08" w:rsidP="009F3873">
            <w:pPr>
              <w:rPr>
                <w:color w:val="000000"/>
              </w:rPr>
            </w:pPr>
          </w:p>
        </w:tc>
        <w:tc>
          <w:tcPr>
            <w:tcW w:w="1701" w:type="dxa"/>
            <w:tcBorders>
              <w:top w:val="single" w:sz="4" w:space="0" w:color="auto"/>
              <w:left w:val="nil"/>
              <w:right w:val="nil"/>
            </w:tcBorders>
            <w:shd w:val="clear" w:color="auto" w:fill="auto"/>
            <w:noWrap/>
            <w:vAlign w:val="bottom"/>
          </w:tcPr>
          <w:p w14:paraId="7AD66B23" w14:textId="77777777" w:rsidR="005F6E08" w:rsidRPr="006E4ABE" w:rsidRDefault="00D02C3A" w:rsidP="009F3873">
            <w:pPr>
              <w:rPr>
                <w:color w:val="000000"/>
                <w:sz w:val="20"/>
                <w:szCs w:val="20"/>
              </w:rPr>
            </w:pPr>
            <w:r>
              <w:rPr>
                <w:color w:val="000000"/>
                <w:sz w:val="20"/>
                <w:szCs w:val="20"/>
                <w:lang w:eastAsia="en-CA"/>
              </w:rPr>
              <w:t>*</w:t>
            </w:r>
            <w:r w:rsidR="000D2012">
              <w:rPr>
                <w:color w:val="000000"/>
                <w:sz w:val="20"/>
                <w:szCs w:val="20"/>
                <w:lang w:eastAsia="en-CA"/>
              </w:rPr>
              <w:t>Marginal Effect</w:t>
            </w:r>
            <w:r>
              <w:rPr>
                <w:color w:val="000000"/>
                <w:sz w:val="20"/>
                <w:szCs w:val="20"/>
                <w:lang w:eastAsia="en-CA"/>
              </w:rPr>
              <w:t>s</w:t>
            </w:r>
            <w:r w:rsidR="00D30952">
              <w:rPr>
                <w:color w:val="000000"/>
                <w:sz w:val="20"/>
                <w:szCs w:val="20"/>
                <w:lang w:eastAsia="en-CA"/>
              </w:rPr>
              <w:t xml:space="preserve"> </w:t>
            </w:r>
          </w:p>
        </w:tc>
        <w:tc>
          <w:tcPr>
            <w:tcW w:w="1701" w:type="dxa"/>
            <w:tcBorders>
              <w:top w:val="single" w:sz="4" w:space="0" w:color="auto"/>
              <w:left w:val="nil"/>
              <w:right w:val="nil"/>
            </w:tcBorders>
            <w:shd w:val="clear" w:color="auto" w:fill="auto"/>
            <w:noWrap/>
            <w:vAlign w:val="bottom"/>
          </w:tcPr>
          <w:p w14:paraId="0ED926E9" w14:textId="086A61AF" w:rsidR="00D30952" w:rsidRPr="006E4ABE" w:rsidRDefault="000D2012" w:rsidP="009F3873">
            <w:pPr>
              <w:rPr>
                <w:color w:val="000000"/>
                <w:sz w:val="20"/>
                <w:szCs w:val="20"/>
                <w:lang w:eastAsia="en-CA"/>
              </w:rPr>
            </w:pPr>
            <w:r>
              <w:rPr>
                <w:color w:val="000000"/>
                <w:sz w:val="20"/>
                <w:szCs w:val="20"/>
                <w:lang w:eastAsia="en-CA"/>
              </w:rPr>
              <w:t>Marginal Effect</w:t>
            </w:r>
            <w:r w:rsidR="00D02C3A">
              <w:rPr>
                <w:color w:val="000000"/>
                <w:sz w:val="20"/>
                <w:szCs w:val="20"/>
                <w:lang w:eastAsia="en-CA"/>
              </w:rPr>
              <w:t>s</w:t>
            </w:r>
          </w:p>
        </w:tc>
        <w:tc>
          <w:tcPr>
            <w:tcW w:w="1701" w:type="dxa"/>
            <w:tcBorders>
              <w:top w:val="single" w:sz="4" w:space="0" w:color="auto"/>
              <w:left w:val="nil"/>
              <w:right w:val="nil"/>
            </w:tcBorders>
            <w:shd w:val="clear" w:color="auto" w:fill="auto"/>
            <w:noWrap/>
            <w:vAlign w:val="bottom"/>
          </w:tcPr>
          <w:p w14:paraId="3BB68299" w14:textId="74322567" w:rsidR="00D30952" w:rsidRPr="006E4ABE" w:rsidRDefault="000D2012" w:rsidP="009F3873">
            <w:pPr>
              <w:rPr>
                <w:color w:val="000000"/>
                <w:sz w:val="20"/>
                <w:szCs w:val="20"/>
                <w:lang w:eastAsia="en-CA"/>
              </w:rPr>
            </w:pPr>
            <w:r>
              <w:rPr>
                <w:color w:val="000000"/>
                <w:sz w:val="20"/>
                <w:szCs w:val="20"/>
                <w:lang w:eastAsia="en-CA"/>
              </w:rPr>
              <w:t>Marginal Effect</w:t>
            </w:r>
            <w:r w:rsidR="00D02C3A">
              <w:rPr>
                <w:color w:val="000000"/>
                <w:sz w:val="20"/>
                <w:szCs w:val="20"/>
                <w:lang w:eastAsia="en-CA"/>
              </w:rPr>
              <w:t>s</w:t>
            </w:r>
          </w:p>
        </w:tc>
        <w:tc>
          <w:tcPr>
            <w:tcW w:w="1701" w:type="dxa"/>
            <w:tcBorders>
              <w:top w:val="single" w:sz="4" w:space="0" w:color="auto"/>
              <w:left w:val="nil"/>
              <w:right w:val="nil"/>
            </w:tcBorders>
            <w:shd w:val="clear" w:color="auto" w:fill="auto"/>
            <w:noWrap/>
            <w:vAlign w:val="bottom"/>
          </w:tcPr>
          <w:p w14:paraId="63BD0C22" w14:textId="42D1CE6A" w:rsidR="00D30952" w:rsidRPr="006E4ABE" w:rsidRDefault="000D2012" w:rsidP="009F3873">
            <w:pPr>
              <w:rPr>
                <w:color w:val="000000"/>
                <w:sz w:val="20"/>
                <w:szCs w:val="20"/>
                <w:lang w:eastAsia="en-CA"/>
              </w:rPr>
            </w:pPr>
            <w:r>
              <w:rPr>
                <w:color w:val="000000"/>
                <w:sz w:val="20"/>
                <w:szCs w:val="20"/>
                <w:lang w:eastAsia="en-CA"/>
              </w:rPr>
              <w:t>Marginal Effect</w:t>
            </w:r>
            <w:r w:rsidR="00D02C3A">
              <w:rPr>
                <w:color w:val="000000"/>
                <w:sz w:val="20"/>
                <w:szCs w:val="20"/>
                <w:lang w:eastAsia="en-CA"/>
              </w:rPr>
              <w:t>s</w:t>
            </w:r>
          </w:p>
        </w:tc>
      </w:tr>
      <w:tr w:rsidR="004A4962" w:rsidRPr="00F65976" w14:paraId="4EEF8779" w14:textId="77777777" w:rsidTr="00253DE9">
        <w:trPr>
          <w:trHeight w:val="224"/>
        </w:trPr>
        <w:tc>
          <w:tcPr>
            <w:tcW w:w="2943" w:type="dxa"/>
            <w:tcBorders>
              <w:top w:val="nil"/>
              <w:left w:val="nil"/>
              <w:bottom w:val="single" w:sz="12" w:space="0" w:color="auto"/>
              <w:right w:val="nil"/>
            </w:tcBorders>
          </w:tcPr>
          <w:p w14:paraId="74308D08" w14:textId="77777777" w:rsidR="005F6E08" w:rsidRPr="00F65976" w:rsidRDefault="005F6E08" w:rsidP="009F3873">
            <w:pPr>
              <w:rPr>
                <w:color w:val="000000"/>
              </w:rPr>
            </w:pPr>
          </w:p>
        </w:tc>
        <w:tc>
          <w:tcPr>
            <w:tcW w:w="1701" w:type="dxa"/>
            <w:tcBorders>
              <w:top w:val="nil"/>
              <w:left w:val="nil"/>
              <w:bottom w:val="single" w:sz="12" w:space="0" w:color="auto"/>
              <w:right w:val="nil"/>
            </w:tcBorders>
            <w:shd w:val="clear" w:color="auto" w:fill="auto"/>
            <w:noWrap/>
            <w:vAlign w:val="bottom"/>
          </w:tcPr>
          <w:p w14:paraId="059F6FB6" w14:textId="77777777" w:rsidR="005F6E08" w:rsidRPr="00253DE9" w:rsidRDefault="005F6E08" w:rsidP="009F3873">
            <w:pPr>
              <w:rPr>
                <w:color w:val="000000"/>
                <w:sz w:val="16"/>
                <w:szCs w:val="16"/>
              </w:rPr>
            </w:pPr>
            <w:r w:rsidRPr="00253DE9">
              <w:rPr>
                <w:color w:val="000000"/>
                <w:sz w:val="16"/>
                <w:szCs w:val="16"/>
                <w:lang w:eastAsia="en-CA"/>
              </w:rPr>
              <w:t>[95% Conf. Interval]</w:t>
            </w:r>
          </w:p>
        </w:tc>
        <w:tc>
          <w:tcPr>
            <w:tcW w:w="1701" w:type="dxa"/>
            <w:tcBorders>
              <w:top w:val="nil"/>
              <w:left w:val="nil"/>
              <w:bottom w:val="single" w:sz="12" w:space="0" w:color="auto"/>
              <w:right w:val="nil"/>
            </w:tcBorders>
            <w:shd w:val="clear" w:color="auto" w:fill="auto"/>
            <w:noWrap/>
            <w:vAlign w:val="bottom"/>
          </w:tcPr>
          <w:p w14:paraId="508D39B6" w14:textId="77777777" w:rsidR="005F6E08" w:rsidRPr="00253DE9" w:rsidRDefault="005F6E08" w:rsidP="009F3873">
            <w:pPr>
              <w:rPr>
                <w:color w:val="000000"/>
                <w:sz w:val="16"/>
                <w:szCs w:val="16"/>
              </w:rPr>
            </w:pPr>
            <w:r w:rsidRPr="00253DE9">
              <w:rPr>
                <w:color w:val="000000"/>
                <w:sz w:val="16"/>
                <w:szCs w:val="16"/>
                <w:lang w:eastAsia="en-CA"/>
              </w:rPr>
              <w:t>[95% Conf. Interval]</w:t>
            </w:r>
          </w:p>
        </w:tc>
        <w:tc>
          <w:tcPr>
            <w:tcW w:w="1701" w:type="dxa"/>
            <w:tcBorders>
              <w:top w:val="nil"/>
              <w:left w:val="nil"/>
              <w:bottom w:val="single" w:sz="12" w:space="0" w:color="auto"/>
              <w:right w:val="nil"/>
            </w:tcBorders>
            <w:shd w:val="clear" w:color="auto" w:fill="auto"/>
            <w:noWrap/>
            <w:vAlign w:val="bottom"/>
          </w:tcPr>
          <w:p w14:paraId="54EBD57B" w14:textId="77777777" w:rsidR="005F6E08" w:rsidRPr="00253DE9" w:rsidRDefault="005F6E08" w:rsidP="009F3873">
            <w:pPr>
              <w:rPr>
                <w:color w:val="000000"/>
                <w:sz w:val="16"/>
                <w:szCs w:val="16"/>
              </w:rPr>
            </w:pPr>
            <w:r w:rsidRPr="00253DE9">
              <w:rPr>
                <w:color w:val="000000"/>
                <w:sz w:val="16"/>
                <w:szCs w:val="16"/>
                <w:lang w:eastAsia="en-CA"/>
              </w:rPr>
              <w:t>[95% Conf. Interval]</w:t>
            </w:r>
          </w:p>
        </w:tc>
        <w:tc>
          <w:tcPr>
            <w:tcW w:w="1701" w:type="dxa"/>
            <w:tcBorders>
              <w:top w:val="nil"/>
              <w:left w:val="nil"/>
              <w:bottom w:val="single" w:sz="12" w:space="0" w:color="auto"/>
              <w:right w:val="nil"/>
            </w:tcBorders>
            <w:shd w:val="clear" w:color="auto" w:fill="auto"/>
            <w:noWrap/>
            <w:vAlign w:val="bottom"/>
          </w:tcPr>
          <w:p w14:paraId="7669ABC4" w14:textId="77777777" w:rsidR="005F6E08" w:rsidRPr="00253DE9" w:rsidRDefault="005F6E08" w:rsidP="009F3873">
            <w:pPr>
              <w:rPr>
                <w:color w:val="000000"/>
                <w:sz w:val="16"/>
                <w:szCs w:val="16"/>
              </w:rPr>
            </w:pPr>
            <w:r w:rsidRPr="00253DE9">
              <w:rPr>
                <w:color w:val="000000"/>
                <w:sz w:val="16"/>
                <w:szCs w:val="16"/>
                <w:lang w:eastAsia="en-CA"/>
              </w:rPr>
              <w:t>[95% Conf. Interval]</w:t>
            </w:r>
          </w:p>
        </w:tc>
      </w:tr>
      <w:tr w:rsidR="004A4962" w:rsidRPr="00F65976" w14:paraId="30C1B318" w14:textId="77777777" w:rsidTr="00253DE9">
        <w:trPr>
          <w:trHeight w:val="312"/>
        </w:trPr>
        <w:tc>
          <w:tcPr>
            <w:tcW w:w="2943" w:type="dxa"/>
            <w:tcBorders>
              <w:top w:val="single" w:sz="12" w:space="0" w:color="auto"/>
              <w:left w:val="nil"/>
              <w:right w:val="nil"/>
            </w:tcBorders>
            <w:vAlign w:val="bottom"/>
          </w:tcPr>
          <w:p w14:paraId="562CFDCE" w14:textId="77777777" w:rsidR="005F6E08" w:rsidRPr="00253DE9" w:rsidRDefault="005F6E08" w:rsidP="009F3873">
            <w:pPr>
              <w:rPr>
                <w:color w:val="000000"/>
              </w:rPr>
            </w:pPr>
            <w:r w:rsidRPr="00253DE9">
              <w:rPr>
                <w:b/>
                <w:lang w:eastAsia="en-CA"/>
              </w:rPr>
              <w:t>Women</w:t>
            </w:r>
            <w:r w:rsidRPr="00253DE9">
              <w:rPr>
                <w:lang w:eastAsia="en-CA"/>
              </w:rPr>
              <w:t xml:space="preserve"> </w:t>
            </w:r>
            <w:r w:rsidRPr="00253DE9">
              <w:rPr>
                <w:i/>
                <w:sz w:val="20"/>
                <w:szCs w:val="20"/>
                <w:lang w:eastAsia="en-CA"/>
              </w:rPr>
              <w:t>(ref. men)</w:t>
            </w:r>
          </w:p>
        </w:tc>
        <w:tc>
          <w:tcPr>
            <w:tcW w:w="1701" w:type="dxa"/>
            <w:tcBorders>
              <w:top w:val="single" w:sz="12" w:space="0" w:color="auto"/>
              <w:left w:val="nil"/>
              <w:right w:val="nil"/>
            </w:tcBorders>
            <w:shd w:val="clear" w:color="auto" w:fill="auto"/>
            <w:noWrap/>
            <w:vAlign w:val="center"/>
            <w:hideMark/>
          </w:tcPr>
          <w:p w14:paraId="1711A14E" w14:textId="77777777" w:rsidR="005F6E08" w:rsidRPr="00253DE9" w:rsidRDefault="005F6E08" w:rsidP="009F3873">
            <w:pPr>
              <w:rPr>
                <w:b/>
                <w:color w:val="000000"/>
              </w:rPr>
            </w:pPr>
            <w:r w:rsidRPr="00253DE9">
              <w:rPr>
                <w:b/>
                <w:color w:val="000000"/>
              </w:rPr>
              <w:t>-0.073***</w:t>
            </w:r>
          </w:p>
        </w:tc>
        <w:tc>
          <w:tcPr>
            <w:tcW w:w="1701" w:type="dxa"/>
            <w:tcBorders>
              <w:top w:val="single" w:sz="12" w:space="0" w:color="auto"/>
              <w:left w:val="nil"/>
              <w:right w:val="nil"/>
            </w:tcBorders>
            <w:shd w:val="clear" w:color="auto" w:fill="auto"/>
            <w:noWrap/>
            <w:vAlign w:val="center"/>
            <w:hideMark/>
          </w:tcPr>
          <w:p w14:paraId="1A65DC2B" w14:textId="77777777" w:rsidR="005F6E08" w:rsidRPr="00253DE9" w:rsidRDefault="005F6E08" w:rsidP="009F3873">
            <w:pPr>
              <w:rPr>
                <w:b/>
                <w:color w:val="000000"/>
              </w:rPr>
            </w:pPr>
            <w:r w:rsidRPr="00253DE9">
              <w:rPr>
                <w:b/>
                <w:color w:val="000000"/>
              </w:rPr>
              <w:t>-0.015***</w:t>
            </w:r>
          </w:p>
        </w:tc>
        <w:tc>
          <w:tcPr>
            <w:tcW w:w="1701" w:type="dxa"/>
            <w:tcBorders>
              <w:top w:val="single" w:sz="12" w:space="0" w:color="auto"/>
              <w:left w:val="nil"/>
              <w:right w:val="nil"/>
            </w:tcBorders>
            <w:shd w:val="clear" w:color="auto" w:fill="auto"/>
            <w:noWrap/>
            <w:vAlign w:val="center"/>
            <w:hideMark/>
          </w:tcPr>
          <w:p w14:paraId="50BC2540" w14:textId="77777777" w:rsidR="005F6E08" w:rsidRPr="00253DE9" w:rsidRDefault="005F6E08" w:rsidP="009F3873">
            <w:pPr>
              <w:rPr>
                <w:b/>
                <w:color w:val="000000"/>
              </w:rPr>
            </w:pPr>
            <w:r w:rsidRPr="00253DE9">
              <w:rPr>
                <w:b/>
                <w:color w:val="000000"/>
              </w:rPr>
              <w:t>0.030***</w:t>
            </w:r>
          </w:p>
        </w:tc>
        <w:tc>
          <w:tcPr>
            <w:tcW w:w="1701" w:type="dxa"/>
            <w:tcBorders>
              <w:top w:val="single" w:sz="12" w:space="0" w:color="auto"/>
              <w:left w:val="nil"/>
              <w:right w:val="nil"/>
            </w:tcBorders>
            <w:shd w:val="clear" w:color="auto" w:fill="auto"/>
            <w:noWrap/>
            <w:vAlign w:val="center"/>
            <w:hideMark/>
          </w:tcPr>
          <w:p w14:paraId="5CEDFAF7" w14:textId="77777777" w:rsidR="005F6E08" w:rsidRPr="00253DE9" w:rsidRDefault="005F6E08" w:rsidP="009F3873">
            <w:pPr>
              <w:rPr>
                <w:b/>
                <w:color w:val="000000"/>
              </w:rPr>
            </w:pPr>
            <w:r w:rsidRPr="00253DE9">
              <w:rPr>
                <w:b/>
                <w:color w:val="000000"/>
              </w:rPr>
              <w:t>0.058***</w:t>
            </w:r>
          </w:p>
        </w:tc>
      </w:tr>
      <w:tr w:rsidR="004A4962" w:rsidRPr="00F65976" w14:paraId="750D14D6" w14:textId="77777777" w:rsidTr="00253DE9">
        <w:trPr>
          <w:trHeight w:val="190"/>
        </w:trPr>
        <w:tc>
          <w:tcPr>
            <w:tcW w:w="2943" w:type="dxa"/>
            <w:tcBorders>
              <w:top w:val="nil"/>
              <w:left w:val="nil"/>
              <w:bottom w:val="single" w:sz="4" w:space="0" w:color="auto"/>
              <w:right w:val="nil"/>
            </w:tcBorders>
            <w:vAlign w:val="bottom"/>
          </w:tcPr>
          <w:p w14:paraId="12005FA3" w14:textId="77777777" w:rsidR="005F6E08" w:rsidRPr="00253DE9" w:rsidRDefault="005F6E08" w:rsidP="009F3873">
            <w:pPr>
              <w:rPr>
                <w:color w:val="000000"/>
                <w:sz w:val="20"/>
                <w:szCs w:val="20"/>
              </w:rPr>
            </w:pPr>
          </w:p>
        </w:tc>
        <w:tc>
          <w:tcPr>
            <w:tcW w:w="1701" w:type="dxa"/>
            <w:tcBorders>
              <w:top w:val="nil"/>
              <w:left w:val="nil"/>
              <w:bottom w:val="single" w:sz="4" w:space="0" w:color="auto"/>
              <w:right w:val="nil"/>
            </w:tcBorders>
            <w:shd w:val="clear" w:color="auto" w:fill="auto"/>
            <w:noWrap/>
            <w:vAlign w:val="center"/>
            <w:hideMark/>
          </w:tcPr>
          <w:p w14:paraId="3361A15E" w14:textId="77777777" w:rsidR="005F6E08" w:rsidRPr="00253DE9" w:rsidRDefault="005F6E08" w:rsidP="009F3873">
            <w:pPr>
              <w:rPr>
                <w:color w:val="000000"/>
                <w:sz w:val="18"/>
                <w:szCs w:val="18"/>
              </w:rPr>
            </w:pPr>
            <w:r w:rsidRPr="00253DE9">
              <w:rPr>
                <w:color w:val="000000"/>
                <w:sz w:val="18"/>
                <w:szCs w:val="18"/>
              </w:rPr>
              <w:t>[-0.081, -0.052]</w:t>
            </w:r>
          </w:p>
        </w:tc>
        <w:tc>
          <w:tcPr>
            <w:tcW w:w="1701" w:type="dxa"/>
            <w:tcBorders>
              <w:top w:val="nil"/>
              <w:left w:val="nil"/>
              <w:bottom w:val="single" w:sz="4" w:space="0" w:color="auto"/>
              <w:right w:val="nil"/>
            </w:tcBorders>
            <w:shd w:val="clear" w:color="auto" w:fill="auto"/>
            <w:noWrap/>
            <w:vAlign w:val="center"/>
            <w:hideMark/>
          </w:tcPr>
          <w:p w14:paraId="437872FB" w14:textId="77777777" w:rsidR="005F6E08" w:rsidRPr="00253DE9" w:rsidRDefault="005F6E08" w:rsidP="009F3873">
            <w:pPr>
              <w:rPr>
                <w:color w:val="000000"/>
                <w:sz w:val="18"/>
                <w:szCs w:val="18"/>
              </w:rPr>
            </w:pPr>
            <w:r w:rsidRPr="00253DE9">
              <w:rPr>
                <w:color w:val="000000"/>
                <w:sz w:val="18"/>
                <w:szCs w:val="18"/>
              </w:rPr>
              <w:t>[-0.019, -0.010]</w:t>
            </w:r>
          </w:p>
        </w:tc>
        <w:tc>
          <w:tcPr>
            <w:tcW w:w="1701" w:type="dxa"/>
            <w:tcBorders>
              <w:top w:val="nil"/>
              <w:left w:val="nil"/>
              <w:bottom w:val="single" w:sz="4" w:space="0" w:color="auto"/>
              <w:right w:val="nil"/>
            </w:tcBorders>
            <w:shd w:val="clear" w:color="auto" w:fill="auto"/>
            <w:noWrap/>
            <w:vAlign w:val="center"/>
            <w:hideMark/>
          </w:tcPr>
          <w:p w14:paraId="7EDFED3B" w14:textId="77777777" w:rsidR="005F6E08" w:rsidRPr="00253DE9" w:rsidRDefault="005F6E08" w:rsidP="009F3873">
            <w:pPr>
              <w:rPr>
                <w:color w:val="000000"/>
                <w:sz w:val="18"/>
                <w:szCs w:val="18"/>
              </w:rPr>
            </w:pPr>
            <w:r w:rsidRPr="00253DE9">
              <w:rPr>
                <w:color w:val="000000"/>
                <w:sz w:val="18"/>
                <w:szCs w:val="18"/>
              </w:rPr>
              <w:t>[0.024, 0.036]</w:t>
            </w:r>
          </w:p>
        </w:tc>
        <w:tc>
          <w:tcPr>
            <w:tcW w:w="1701" w:type="dxa"/>
            <w:tcBorders>
              <w:top w:val="nil"/>
              <w:left w:val="nil"/>
              <w:bottom w:val="single" w:sz="4" w:space="0" w:color="auto"/>
              <w:right w:val="nil"/>
            </w:tcBorders>
            <w:shd w:val="clear" w:color="auto" w:fill="auto"/>
            <w:noWrap/>
            <w:vAlign w:val="center"/>
            <w:hideMark/>
          </w:tcPr>
          <w:p w14:paraId="6F9CFFC5" w14:textId="77777777" w:rsidR="005F6E08" w:rsidRPr="00253DE9" w:rsidRDefault="005F6E08" w:rsidP="009F3873">
            <w:pPr>
              <w:rPr>
                <w:color w:val="000000"/>
                <w:sz w:val="18"/>
                <w:szCs w:val="18"/>
              </w:rPr>
            </w:pPr>
            <w:r w:rsidRPr="00253DE9">
              <w:rPr>
                <w:color w:val="000000"/>
                <w:sz w:val="18"/>
                <w:szCs w:val="18"/>
              </w:rPr>
              <w:t>[0.043, 0.073]</w:t>
            </w:r>
          </w:p>
        </w:tc>
      </w:tr>
      <w:tr w:rsidR="004A4962" w:rsidRPr="00F65976" w14:paraId="610C84AC" w14:textId="77777777" w:rsidTr="00253DE9">
        <w:trPr>
          <w:trHeight w:val="312"/>
        </w:trPr>
        <w:tc>
          <w:tcPr>
            <w:tcW w:w="2943" w:type="dxa"/>
            <w:tcBorders>
              <w:top w:val="single" w:sz="4" w:space="0" w:color="auto"/>
              <w:left w:val="nil"/>
              <w:bottom w:val="nil"/>
              <w:right w:val="nil"/>
            </w:tcBorders>
            <w:vAlign w:val="bottom"/>
          </w:tcPr>
          <w:p w14:paraId="11E541B8" w14:textId="77777777" w:rsidR="005F6E08" w:rsidRPr="00253DE9" w:rsidRDefault="005F6E08" w:rsidP="009F3873">
            <w:pPr>
              <w:rPr>
                <w:b/>
                <w:color w:val="000000"/>
              </w:rPr>
            </w:pPr>
            <w:r w:rsidRPr="00253DE9">
              <w:rPr>
                <w:b/>
                <w:lang w:eastAsia="en-CA"/>
              </w:rPr>
              <w:t>Age</w:t>
            </w:r>
          </w:p>
        </w:tc>
        <w:tc>
          <w:tcPr>
            <w:tcW w:w="1701" w:type="dxa"/>
            <w:tcBorders>
              <w:top w:val="single" w:sz="4" w:space="0" w:color="auto"/>
              <w:left w:val="nil"/>
              <w:bottom w:val="nil"/>
              <w:right w:val="nil"/>
            </w:tcBorders>
            <w:shd w:val="clear" w:color="auto" w:fill="auto"/>
            <w:noWrap/>
            <w:vAlign w:val="center"/>
            <w:hideMark/>
          </w:tcPr>
          <w:p w14:paraId="2316D995" w14:textId="77777777" w:rsidR="005F6E08" w:rsidRPr="00253DE9" w:rsidRDefault="005F6E08" w:rsidP="009F3873">
            <w:pPr>
              <w:rPr>
                <w:b/>
                <w:color w:val="000000"/>
              </w:rPr>
            </w:pPr>
            <w:r w:rsidRPr="00253DE9">
              <w:rPr>
                <w:b/>
                <w:color w:val="000000"/>
              </w:rPr>
              <w:t>0.002***</w:t>
            </w:r>
          </w:p>
        </w:tc>
        <w:tc>
          <w:tcPr>
            <w:tcW w:w="1701" w:type="dxa"/>
            <w:tcBorders>
              <w:top w:val="single" w:sz="4" w:space="0" w:color="auto"/>
              <w:left w:val="nil"/>
              <w:bottom w:val="nil"/>
              <w:right w:val="nil"/>
            </w:tcBorders>
            <w:shd w:val="clear" w:color="auto" w:fill="auto"/>
            <w:noWrap/>
            <w:vAlign w:val="center"/>
            <w:hideMark/>
          </w:tcPr>
          <w:p w14:paraId="3EA5E346" w14:textId="77777777" w:rsidR="005F6E08" w:rsidRPr="00253DE9" w:rsidRDefault="005F6E08" w:rsidP="009F3873">
            <w:pPr>
              <w:rPr>
                <w:b/>
                <w:color w:val="000000"/>
              </w:rPr>
            </w:pPr>
            <w:r w:rsidRPr="00253DE9">
              <w:rPr>
                <w:b/>
                <w:color w:val="000000"/>
              </w:rPr>
              <w:t>0.000***</w:t>
            </w:r>
          </w:p>
        </w:tc>
        <w:tc>
          <w:tcPr>
            <w:tcW w:w="1701" w:type="dxa"/>
            <w:tcBorders>
              <w:top w:val="single" w:sz="4" w:space="0" w:color="auto"/>
              <w:left w:val="nil"/>
              <w:bottom w:val="nil"/>
              <w:right w:val="nil"/>
            </w:tcBorders>
            <w:shd w:val="clear" w:color="auto" w:fill="auto"/>
            <w:noWrap/>
            <w:vAlign w:val="center"/>
            <w:hideMark/>
          </w:tcPr>
          <w:p w14:paraId="7D0CCC78" w14:textId="77777777" w:rsidR="005F6E08" w:rsidRPr="00253DE9" w:rsidRDefault="005F6E08" w:rsidP="009F3873">
            <w:pPr>
              <w:rPr>
                <w:b/>
                <w:color w:val="000000"/>
              </w:rPr>
            </w:pPr>
            <w:r w:rsidRPr="00253DE9">
              <w:rPr>
                <w:b/>
                <w:color w:val="000000"/>
              </w:rPr>
              <w:t>-0.001***</w:t>
            </w:r>
          </w:p>
        </w:tc>
        <w:tc>
          <w:tcPr>
            <w:tcW w:w="1701" w:type="dxa"/>
            <w:tcBorders>
              <w:top w:val="single" w:sz="4" w:space="0" w:color="auto"/>
              <w:left w:val="nil"/>
              <w:bottom w:val="nil"/>
              <w:right w:val="nil"/>
            </w:tcBorders>
            <w:shd w:val="clear" w:color="auto" w:fill="auto"/>
            <w:noWrap/>
            <w:vAlign w:val="center"/>
            <w:hideMark/>
          </w:tcPr>
          <w:p w14:paraId="6F0D01D7" w14:textId="77777777" w:rsidR="005F6E08" w:rsidRPr="00253DE9" w:rsidRDefault="005F6E08" w:rsidP="009F3873">
            <w:pPr>
              <w:rPr>
                <w:b/>
                <w:color w:val="000000"/>
              </w:rPr>
            </w:pPr>
            <w:r w:rsidRPr="00253DE9">
              <w:rPr>
                <w:b/>
                <w:color w:val="000000"/>
              </w:rPr>
              <w:t>-0.001***</w:t>
            </w:r>
          </w:p>
        </w:tc>
      </w:tr>
      <w:tr w:rsidR="004A4962" w:rsidRPr="00F65976" w14:paraId="71D06D93" w14:textId="77777777" w:rsidTr="00253DE9">
        <w:trPr>
          <w:trHeight w:val="253"/>
        </w:trPr>
        <w:tc>
          <w:tcPr>
            <w:tcW w:w="2943" w:type="dxa"/>
            <w:tcBorders>
              <w:top w:val="nil"/>
              <w:left w:val="nil"/>
              <w:bottom w:val="single" w:sz="4" w:space="0" w:color="auto"/>
              <w:right w:val="nil"/>
            </w:tcBorders>
            <w:vAlign w:val="bottom"/>
          </w:tcPr>
          <w:p w14:paraId="384AA628" w14:textId="77777777" w:rsidR="005F6E08" w:rsidRPr="00253DE9" w:rsidRDefault="005F6E08" w:rsidP="009F3873">
            <w:pPr>
              <w:rPr>
                <w:color w:val="000000"/>
                <w:sz w:val="20"/>
                <w:szCs w:val="20"/>
              </w:rPr>
            </w:pPr>
          </w:p>
        </w:tc>
        <w:tc>
          <w:tcPr>
            <w:tcW w:w="1701" w:type="dxa"/>
            <w:tcBorders>
              <w:top w:val="nil"/>
              <w:left w:val="nil"/>
              <w:bottom w:val="single" w:sz="4" w:space="0" w:color="auto"/>
              <w:right w:val="nil"/>
            </w:tcBorders>
            <w:shd w:val="clear" w:color="auto" w:fill="auto"/>
            <w:noWrap/>
            <w:vAlign w:val="center"/>
            <w:hideMark/>
          </w:tcPr>
          <w:p w14:paraId="22D5270C" w14:textId="77777777" w:rsidR="005F6E08" w:rsidRPr="00253DE9" w:rsidRDefault="005F6E08" w:rsidP="009F3873">
            <w:pPr>
              <w:rPr>
                <w:color w:val="000000"/>
                <w:sz w:val="18"/>
                <w:szCs w:val="18"/>
              </w:rPr>
            </w:pPr>
            <w:r w:rsidRPr="00253DE9">
              <w:rPr>
                <w:color w:val="000000"/>
                <w:sz w:val="18"/>
                <w:szCs w:val="18"/>
              </w:rPr>
              <w:t>[0.000, 0.002]</w:t>
            </w:r>
          </w:p>
        </w:tc>
        <w:tc>
          <w:tcPr>
            <w:tcW w:w="1701" w:type="dxa"/>
            <w:tcBorders>
              <w:top w:val="nil"/>
              <w:left w:val="nil"/>
              <w:bottom w:val="single" w:sz="4" w:space="0" w:color="auto"/>
              <w:right w:val="nil"/>
            </w:tcBorders>
            <w:shd w:val="clear" w:color="auto" w:fill="auto"/>
            <w:noWrap/>
            <w:vAlign w:val="center"/>
            <w:hideMark/>
          </w:tcPr>
          <w:p w14:paraId="6647BB05" w14:textId="77777777" w:rsidR="005F6E08" w:rsidRPr="00253DE9" w:rsidRDefault="005F6E08" w:rsidP="009F3873">
            <w:pPr>
              <w:rPr>
                <w:color w:val="000000"/>
                <w:sz w:val="18"/>
                <w:szCs w:val="18"/>
              </w:rPr>
            </w:pPr>
            <w:r w:rsidRPr="00253DE9">
              <w:rPr>
                <w:color w:val="000000"/>
                <w:sz w:val="18"/>
                <w:szCs w:val="18"/>
              </w:rPr>
              <w:t>[0.000, 0.000]</w:t>
            </w:r>
          </w:p>
        </w:tc>
        <w:tc>
          <w:tcPr>
            <w:tcW w:w="1701" w:type="dxa"/>
            <w:tcBorders>
              <w:top w:val="nil"/>
              <w:left w:val="nil"/>
              <w:bottom w:val="single" w:sz="4" w:space="0" w:color="auto"/>
              <w:right w:val="nil"/>
            </w:tcBorders>
            <w:shd w:val="clear" w:color="auto" w:fill="auto"/>
            <w:noWrap/>
            <w:vAlign w:val="center"/>
            <w:hideMark/>
          </w:tcPr>
          <w:p w14:paraId="68DE897A" w14:textId="77777777" w:rsidR="005F6E08" w:rsidRPr="00253DE9" w:rsidRDefault="005F6E08" w:rsidP="009F3873">
            <w:pPr>
              <w:rPr>
                <w:color w:val="000000"/>
                <w:sz w:val="18"/>
                <w:szCs w:val="18"/>
              </w:rPr>
            </w:pPr>
            <w:r w:rsidRPr="00253DE9">
              <w:rPr>
                <w:color w:val="000000"/>
                <w:sz w:val="18"/>
                <w:szCs w:val="18"/>
              </w:rPr>
              <w:t>[-0.001, 0.000]</w:t>
            </w:r>
          </w:p>
        </w:tc>
        <w:tc>
          <w:tcPr>
            <w:tcW w:w="1701" w:type="dxa"/>
            <w:tcBorders>
              <w:top w:val="nil"/>
              <w:left w:val="nil"/>
              <w:bottom w:val="single" w:sz="4" w:space="0" w:color="auto"/>
              <w:right w:val="nil"/>
            </w:tcBorders>
            <w:shd w:val="clear" w:color="auto" w:fill="auto"/>
            <w:noWrap/>
            <w:vAlign w:val="center"/>
            <w:hideMark/>
          </w:tcPr>
          <w:p w14:paraId="3C4D0548" w14:textId="77777777" w:rsidR="005F6E08" w:rsidRPr="00253DE9" w:rsidRDefault="005F6E08" w:rsidP="009F3873">
            <w:pPr>
              <w:rPr>
                <w:color w:val="000000"/>
                <w:sz w:val="18"/>
                <w:szCs w:val="18"/>
              </w:rPr>
            </w:pPr>
            <w:r w:rsidRPr="00253DE9">
              <w:rPr>
                <w:color w:val="000000"/>
                <w:sz w:val="18"/>
                <w:szCs w:val="18"/>
              </w:rPr>
              <w:t>[-0.002, 0.000]</w:t>
            </w:r>
          </w:p>
        </w:tc>
      </w:tr>
      <w:tr w:rsidR="004A4962" w:rsidRPr="00F65976" w14:paraId="12532D3B" w14:textId="77777777" w:rsidTr="00253DE9">
        <w:trPr>
          <w:trHeight w:val="253"/>
        </w:trPr>
        <w:tc>
          <w:tcPr>
            <w:tcW w:w="2943" w:type="dxa"/>
            <w:tcBorders>
              <w:top w:val="nil"/>
              <w:left w:val="nil"/>
              <w:bottom w:val="single" w:sz="4" w:space="0" w:color="auto"/>
              <w:right w:val="nil"/>
            </w:tcBorders>
          </w:tcPr>
          <w:p w14:paraId="6408991C" w14:textId="77777777" w:rsidR="00D02C3A" w:rsidRPr="00253DE9" w:rsidRDefault="00D02C3A" w:rsidP="009F3873">
            <w:pPr>
              <w:rPr>
                <w:b/>
                <w:color w:val="000000"/>
                <w:sz w:val="20"/>
                <w:szCs w:val="20"/>
              </w:rPr>
            </w:pPr>
            <w:r w:rsidRPr="00253DE9">
              <w:rPr>
                <w:b/>
              </w:rPr>
              <w:t>Good perceived health</w:t>
            </w:r>
          </w:p>
        </w:tc>
        <w:tc>
          <w:tcPr>
            <w:tcW w:w="1701" w:type="dxa"/>
            <w:tcBorders>
              <w:top w:val="nil"/>
              <w:left w:val="nil"/>
              <w:bottom w:val="single" w:sz="4" w:space="0" w:color="auto"/>
              <w:right w:val="nil"/>
            </w:tcBorders>
            <w:shd w:val="clear" w:color="auto" w:fill="auto"/>
            <w:noWrap/>
          </w:tcPr>
          <w:p w14:paraId="38E6B8FD" w14:textId="77777777" w:rsidR="00D02C3A" w:rsidRPr="00253DE9" w:rsidRDefault="00D02C3A" w:rsidP="009F3873">
            <w:pPr>
              <w:rPr>
                <w:b/>
                <w:color w:val="000000"/>
                <w:sz w:val="18"/>
                <w:szCs w:val="18"/>
              </w:rPr>
            </w:pPr>
            <w:r w:rsidRPr="00253DE9">
              <w:rPr>
                <w:b/>
              </w:rPr>
              <w:t>-0.020**</w:t>
            </w:r>
          </w:p>
        </w:tc>
        <w:tc>
          <w:tcPr>
            <w:tcW w:w="1701" w:type="dxa"/>
            <w:tcBorders>
              <w:top w:val="nil"/>
              <w:left w:val="nil"/>
              <w:bottom w:val="single" w:sz="4" w:space="0" w:color="auto"/>
              <w:right w:val="nil"/>
            </w:tcBorders>
            <w:shd w:val="clear" w:color="auto" w:fill="auto"/>
            <w:noWrap/>
          </w:tcPr>
          <w:p w14:paraId="06539862" w14:textId="77777777" w:rsidR="00D02C3A" w:rsidRPr="00253DE9" w:rsidRDefault="00D02C3A" w:rsidP="009F3873">
            <w:pPr>
              <w:rPr>
                <w:b/>
                <w:color w:val="000000"/>
                <w:sz w:val="18"/>
                <w:szCs w:val="18"/>
              </w:rPr>
            </w:pPr>
            <w:r w:rsidRPr="00253DE9">
              <w:rPr>
                <w:b/>
              </w:rPr>
              <w:t>-0.004**</w:t>
            </w:r>
          </w:p>
        </w:tc>
        <w:tc>
          <w:tcPr>
            <w:tcW w:w="1701" w:type="dxa"/>
            <w:tcBorders>
              <w:top w:val="nil"/>
              <w:left w:val="nil"/>
              <w:bottom w:val="single" w:sz="4" w:space="0" w:color="auto"/>
              <w:right w:val="nil"/>
            </w:tcBorders>
            <w:shd w:val="clear" w:color="auto" w:fill="auto"/>
            <w:noWrap/>
          </w:tcPr>
          <w:p w14:paraId="50098C3E" w14:textId="77777777" w:rsidR="00D02C3A" w:rsidRPr="00253DE9" w:rsidRDefault="00D02C3A" w:rsidP="009F3873">
            <w:pPr>
              <w:rPr>
                <w:b/>
                <w:color w:val="000000"/>
                <w:sz w:val="18"/>
                <w:szCs w:val="18"/>
              </w:rPr>
            </w:pPr>
            <w:r w:rsidRPr="00253DE9">
              <w:rPr>
                <w:b/>
              </w:rPr>
              <w:t>0.008**</w:t>
            </w:r>
          </w:p>
        </w:tc>
        <w:tc>
          <w:tcPr>
            <w:tcW w:w="1701" w:type="dxa"/>
            <w:tcBorders>
              <w:top w:val="nil"/>
              <w:left w:val="nil"/>
              <w:bottom w:val="single" w:sz="4" w:space="0" w:color="auto"/>
              <w:right w:val="nil"/>
            </w:tcBorders>
            <w:shd w:val="clear" w:color="auto" w:fill="auto"/>
            <w:noWrap/>
          </w:tcPr>
          <w:p w14:paraId="1955F98C" w14:textId="77777777" w:rsidR="00D02C3A" w:rsidRPr="00253DE9" w:rsidRDefault="00D02C3A" w:rsidP="009F3873">
            <w:pPr>
              <w:rPr>
                <w:b/>
                <w:color w:val="000000"/>
                <w:sz w:val="18"/>
                <w:szCs w:val="18"/>
              </w:rPr>
            </w:pPr>
            <w:r w:rsidRPr="00253DE9">
              <w:rPr>
                <w:b/>
              </w:rPr>
              <w:t>0.016**</w:t>
            </w:r>
          </w:p>
        </w:tc>
      </w:tr>
      <w:tr w:rsidR="004A4962" w:rsidRPr="00F65976" w14:paraId="607AAED7" w14:textId="77777777" w:rsidTr="00253DE9">
        <w:trPr>
          <w:trHeight w:val="253"/>
        </w:trPr>
        <w:tc>
          <w:tcPr>
            <w:tcW w:w="2943" w:type="dxa"/>
            <w:tcBorders>
              <w:top w:val="nil"/>
              <w:left w:val="nil"/>
              <w:bottom w:val="single" w:sz="4" w:space="0" w:color="auto"/>
              <w:right w:val="nil"/>
            </w:tcBorders>
          </w:tcPr>
          <w:p w14:paraId="1BFADAD8" w14:textId="77777777" w:rsidR="00D02C3A" w:rsidRPr="00253DE9" w:rsidRDefault="00D02C3A" w:rsidP="009F3873">
            <w:pPr>
              <w:rPr>
                <w:color w:val="000000"/>
                <w:sz w:val="20"/>
                <w:szCs w:val="20"/>
              </w:rPr>
            </w:pPr>
            <w:r w:rsidRPr="00253DE9">
              <w:t xml:space="preserve"> (ref. unhealthy)</w:t>
            </w:r>
          </w:p>
        </w:tc>
        <w:tc>
          <w:tcPr>
            <w:tcW w:w="1701" w:type="dxa"/>
            <w:tcBorders>
              <w:top w:val="nil"/>
              <w:left w:val="nil"/>
              <w:bottom w:val="single" w:sz="4" w:space="0" w:color="auto"/>
              <w:right w:val="nil"/>
            </w:tcBorders>
            <w:shd w:val="clear" w:color="auto" w:fill="auto"/>
            <w:noWrap/>
          </w:tcPr>
          <w:p w14:paraId="01AA62F8" w14:textId="77777777" w:rsidR="00D02C3A" w:rsidRPr="00253DE9" w:rsidRDefault="00D02C3A" w:rsidP="009F3873">
            <w:pPr>
              <w:rPr>
                <w:color w:val="000000"/>
                <w:sz w:val="20"/>
                <w:szCs w:val="18"/>
              </w:rPr>
            </w:pPr>
            <w:r w:rsidRPr="00253DE9">
              <w:rPr>
                <w:sz w:val="20"/>
              </w:rPr>
              <w:t>[-0.035, -0.001]</w:t>
            </w:r>
          </w:p>
        </w:tc>
        <w:tc>
          <w:tcPr>
            <w:tcW w:w="1701" w:type="dxa"/>
            <w:tcBorders>
              <w:top w:val="nil"/>
              <w:left w:val="nil"/>
              <w:bottom w:val="single" w:sz="4" w:space="0" w:color="auto"/>
              <w:right w:val="nil"/>
            </w:tcBorders>
            <w:shd w:val="clear" w:color="auto" w:fill="auto"/>
            <w:noWrap/>
          </w:tcPr>
          <w:p w14:paraId="00A3770D" w14:textId="77777777" w:rsidR="00D02C3A" w:rsidRPr="00253DE9" w:rsidRDefault="00D02C3A" w:rsidP="009F3873">
            <w:pPr>
              <w:rPr>
                <w:color w:val="000000"/>
                <w:sz w:val="20"/>
                <w:szCs w:val="18"/>
              </w:rPr>
            </w:pPr>
            <w:r w:rsidRPr="00253DE9">
              <w:rPr>
                <w:sz w:val="20"/>
              </w:rPr>
              <w:t>[-0.008, 0.000]</w:t>
            </w:r>
          </w:p>
        </w:tc>
        <w:tc>
          <w:tcPr>
            <w:tcW w:w="1701" w:type="dxa"/>
            <w:tcBorders>
              <w:top w:val="nil"/>
              <w:left w:val="nil"/>
              <w:bottom w:val="single" w:sz="4" w:space="0" w:color="auto"/>
              <w:right w:val="nil"/>
            </w:tcBorders>
            <w:shd w:val="clear" w:color="auto" w:fill="auto"/>
            <w:noWrap/>
          </w:tcPr>
          <w:p w14:paraId="1A1ACE9F" w14:textId="77777777" w:rsidR="00D02C3A" w:rsidRPr="00253DE9" w:rsidRDefault="00D02C3A" w:rsidP="009F3873">
            <w:pPr>
              <w:rPr>
                <w:color w:val="000000"/>
                <w:sz w:val="20"/>
                <w:szCs w:val="18"/>
              </w:rPr>
            </w:pPr>
            <w:r w:rsidRPr="00253DE9">
              <w:rPr>
                <w:sz w:val="20"/>
              </w:rPr>
              <w:t>[0.001, 0.016]</w:t>
            </w:r>
          </w:p>
        </w:tc>
        <w:tc>
          <w:tcPr>
            <w:tcW w:w="1701" w:type="dxa"/>
            <w:tcBorders>
              <w:top w:val="nil"/>
              <w:left w:val="nil"/>
              <w:bottom w:val="single" w:sz="4" w:space="0" w:color="auto"/>
              <w:right w:val="nil"/>
            </w:tcBorders>
            <w:shd w:val="clear" w:color="auto" w:fill="auto"/>
            <w:noWrap/>
          </w:tcPr>
          <w:p w14:paraId="11756A46" w14:textId="77777777" w:rsidR="00D02C3A" w:rsidRPr="00253DE9" w:rsidRDefault="00D02C3A" w:rsidP="009F3873">
            <w:pPr>
              <w:rPr>
                <w:color w:val="000000"/>
                <w:sz w:val="20"/>
                <w:szCs w:val="18"/>
              </w:rPr>
            </w:pPr>
            <w:r w:rsidRPr="00253DE9">
              <w:rPr>
                <w:sz w:val="20"/>
              </w:rPr>
              <w:t>[0.001, 0.032]</w:t>
            </w:r>
          </w:p>
        </w:tc>
      </w:tr>
      <w:tr w:rsidR="004A4962" w:rsidRPr="00F65976" w14:paraId="48357E5D" w14:textId="77777777" w:rsidTr="00253DE9">
        <w:trPr>
          <w:trHeight w:val="312"/>
        </w:trPr>
        <w:tc>
          <w:tcPr>
            <w:tcW w:w="2943" w:type="dxa"/>
            <w:tcBorders>
              <w:top w:val="single" w:sz="4" w:space="0" w:color="auto"/>
              <w:left w:val="nil"/>
              <w:bottom w:val="nil"/>
              <w:right w:val="nil"/>
            </w:tcBorders>
            <w:vAlign w:val="bottom"/>
          </w:tcPr>
          <w:p w14:paraId="5D924EF8" w14:textId="77777777" w:rsidR="005F6E08" w:rsidRPr="00253DE9" w:rsidRDefault="007C1B77" w:rsidP="009F3873">
            <w:pPr>
              <w:rPr>
                <w:b/>
                <w:color w:val="000000"/>
              </w:rPr>
            </w:pPr>
            <w:r w:rsidRPr="00253DE9">
              <w:rPr>
                <w:b/>
                <w:lang w:eastAsia="en-CA"/>
              </w:rPr>
              <w:t>Active in leisure time</w:t>
            </w:r>
          </w:p>
        </w:tc>
        <w:tc>
          <w:tcPr>
            <w:tcW w:w="1701" w:type="dxa"/>
            <w:tcBorders>
              <w:top w:val="single" w:sz="4" w:space="0" w:color="auto"/>
              <w:left w:val="nil"/>
              <w:bottom w:val="nil"/>
              <w:right w:val="nil"/>
            </w:tcBorders>
            <w:shd w:val="clear" w:color="auto" w:fill="auto"/>
            <w:noWrap/>
            <w:vAlign w:val="center"/>
            <w:hideMark/>
          </w:tcPr>
          <w:p w14:paraId="50EC5C7B" w14:textId="77777777" w:rsidR="005F6E08" w:rsidRPr="00253DE9" w:rsidRDefault="005F6E08" w:rsidP="009F3873">
            <w:pPr>
              <w:rPr>
                <w:b/>
                <w:color w:val="000000"/>
              </w:rPr>
            </w:pPr>
            <w:r w:rsidRPr="00253DE9">
              <w:rPr>
                <w:b/>
                <w:color w:val="000000"/>
              </w:rPr>
              <w:t>-0.037***</w:t>
            </w:r>
          </w:p>
        </w:tc>
        <w:tc>
          <w:tcPr>
            <w:tcW w:w="1701" w:type="dxa"/>
            <w:tcBorders>
              <w:top w:val="single" w:sz="4" w:space="0" w:color="auto"/>
              <w:left w:val="nil"/>
              <w:bottom w:val="nil"/>
              <w:right w:val="nil"/>
            </w:tcBorders>
            <w:shd w:val="clear" w:color="auto" w:fill="auto"/>
            <w:noWrap/>
            <w:vAlign w:val="center"/>
            <w:hideMark/>
          </w:tcPr>
          <w:p w14:paraId="16A4B31A" w14:textId="77777777" w:rsidR="005F6E08" w:rsidRPr="00253DE9" w:rsidRDefault="005F6E08" w:rsidP="009F3873">
            <w:pPr>
              <w:rPr>
                <w:b/>
                <w:color w:val="000000"/>
              </w:rPr>
            </w:pPr>
            <w:r w:rsidRPr="00253DE9">
              <w:rPr>
                <w:b/>
                <w:color w:val="000000"/>
              </w:rPr>
              <w:t>-0.008***</w:t>
            </w:r>
          </w:p>
        </w:tc>
        <w:tc>
          <w:tcPr>
            <w:tcW w:w="1701" w:type="dxa"/>
            <w:tcBorders>
              <w:top w:val="single" w:sz="4" w:space="0" w:color="auto"/>
              <w:left w:val="nil"/>
              <w:bottom w:val="nil"/>
              <w:right w:val="nil"/>
            </w:tcBorders>
            <w:shd w:val="clear" w:color="auto" w:fill="auto"/>
            <w:noWrap/>
            <w:vAlign w:val="center"/>
            <w:hideMark/>
          </w:tcPr>
          <w:p w14:paraId="4777ACCF" w14:textId="77777777" w:rsidR="005F6E08" w:rsidRPr="00253DE9" w:rsidRDefault="005F6E08" w:rsidP="009F3873">
            <w:pPr>
              <w:rPr>
                <w:b/>
                <w:color w:val="000000"/>
              </w:rPr>
            </w:pPr>
            <w:r w:rsidRPr="00253DE9">
              <w:rPr>
                <w:b/>
                <w:color w:val="000000"/>
              </w:rPr>
              <w:t>0.015***</w:t>
            </w:r>
          </w:p>
        </w:tc>
        <w:tc>
          <w:tcPr>
            <w:tcW w:w="1701" w:type="dxa"/>
            <w:tcBorders>
              <w:top w:val="single" w:sz="4" w:space="0" w:color="auto"/>
              <w:left w:val="nil"/>
              <w:bottom w:val="nil"/>
              <w:right w:val="nil"/>
            </w:tcBorders>
            <w:shd w:val="clear" w:color="auto" w:fill="auto"/>
            <w:noWrap/>
            <w:vAlign w:val="center"/>
            <w:hideMark/>
          </w:tcPr>
          <w:p w14:paraId="552D5C29" w14:textId="77777777" w:rsidR="005F6E08" w:rsidRPr="00253DE9" w:rsidRDefault="005F6E08" w:rsidP="009F3873">
            <w:pPr>
              <w:rPr>
                <w:b/>
                <w:color w:val="000000"/>
              </w:rPr>
            </w:pPr>
            <w:r w:rsidRPr="00253DE9">
              <w:rPr>
                <w:b/>
                <w:color w:val="000000"/>
              </w:rPr>
              <w:t>0.030***</w:t>
            </w:r>
          </w:p>
        </w:tc>
      </w:tr>
      <w:tr w:rsidR="004A4962" w:rsidRPr="00F65976" w14:paraId="5AABDD12" w14:textId="77777777" w:rsidTr="00253DE9">
        <w:trPr>
          <w:trHeight w:val="205"/>
        </w:trPr>
        <w:tc>
          <w:tcPr>
            <w:tcW w:w="2943" w:type="dxa"/>
            <w:tcBorders>
              <w:top w:val="nil"/>
              <w:left w:val="nil"/>
              <w:bottom w:val="single" w:sz="4" w:space="0" w:color="auto"/>
              <w:right w:val="nil"/>
            </w:tcBorders>
            <w:vAlign w:val="bottom"/>
          </w:tcPr>
          <w:p w14:paraId="473D9E16" w14:textId="77777777" w:rsidR="005F6E08" w:rsidRPr="00253DE9" w:rsidRDefault="005F6E08" w:rsidP="009F3873">
            <w:pPr>
              <w:rPr>
                <w:color w:val="000000"/>
                <w:sz w:val="20"/>
                <w:szCs w:val="20"/>
              </w:rPr>
            </w:pPr>
            <w:r w:rsidRPr="00253DE9" w:rsidDel="00A90DB5">
              <w:rPr>
                <w:color w:val="000000"/>
                <w:lang w:eastAsia="en-CA"/>
              </w:rPr>
              <w:t xml:space="preserve"> </w:t>
            </w:r>
            <w:r w:rsidRPr="00253DE9">
              <w:rPr>
                <w:i/>
                <w:color w:val="000000"/>
                <w:sz w:val="20"/>
                <w:szCs w:val="20"/>
                <w:lang w:eastAsia="en-CA"/>
              </w:rPr>
              <w:t xml:space="preserve">(ref. </w:t>
            </w:r>
            <w:r w:rsidR="00437777" w:rsidRPr="00253DE9">
              <w:rPr>
                <w:i/>
                <w:color w:val="000000"/>
                <w:sz w:val="20"/>
                <w:szCs w:val="20"/>
                <w:lang w:eastAsia="en-CA"/>
              </w:rPr>
              <w:t>inactive</w:t>
            </w:r>
            <w:r w:rsidRPr="00253DE9">
              <w:rPr>
                <w:i/>
                <w:color w:val="000000"/>
                <w:sz w:val="20"/>
                <w:szCs w:val="20"/>
                <w:lang w:eastAsia="en-CA"/>
              </w:rPr>
              <w:t>)</w:t>
            </w:r>
          </w:p>
        </w:tc>
        <w:tc>
          <w:tcPr>
            <w:tcW w:w="1701" w:type="dxa"/>
            <w:tcBorders>
              <w:top w:val="nil"/>
              <w:left w:val="nil"/>
              <w:bottom w:val="single" w:sz="4" w:space="0" w:color="auto"/>
              <w:right w:val="nil"/>
            </w:tcBorders>
            <w:shd w:val="clear" w:color="auto" w:fill="auto"/>
            <w:noWrap/>
            <w:vAlign w:val="center"/>
            <w:hideMark/>
          </w:tcPr>
          <w:p w14:paraId="21E685D7" w14:textId="77777777" w:rsidR="005F6E08" w:rsidRPr="00253DE9" w:rsidRDefault="005F6E08" w:rsidP="009F3873">
            <w:pPr>
              <w:rPr>
                <w:color w:val="000000"/>
                <w:sz w:val="18"/>
                <w:szCs w:val="18"/>
              </w:rPr>
            </w:pPr>
            <w:r w:rsidRPr="00253DE9">
              <w:rPr>
                <w:color w:val="000000"/>
                <w:sz w:val="18"/>
                <w:szCs w:val="18"/>
              </w:rPr>
              <w:t>[-0.057, -0.010]</w:t>
            </w:r>
          </w:p>
        </w:tc>
        <w:tc>
          <w:tcPr>
            <w:tcW w:w="1701" w:type="dxa"/>
            <w:tcBorders>
              <w:top w:val="nil"/>
              <w:left w:val="nil"/>
              <w:bottom w:val="single" w:sz="4" w:space="0" w:color="auto"/>
              <w:right w:val="nil"/>
            </w:tcBorders>
            <w:shd w:val="clear" w:color="auto" w:fill="auto"/>
            <w:noWrap/>
            <w:vAlign w:val="center"/>
            <w:hideMark/>
          </w:tcPr>
          <w:p w14:paraId="23A94666" w14:textId="77777777" w:rsidR="005F6E08" w:rsidRPr="00253DE9" w:rsidRDefault="005F6E08" w:rsidP="009F3873">
            <w:pPr>
              <w:rPr>
                <w:color w:val="000000"/>
                <w:sz w:val="18"/>
                <w:szCs w:val="18"/>
              </w:rPr>
            </w:pPr>
            <w:r w:rsidRPr="00253DE9">
              <w:rPr>
                <w:color w:val="000000"/>
                <w:sz w:val="18"/>
                <w:szCs w:val="18"/>
              </w:rPr>
              <w:t>[-0.012, -0.002]</w:t>
            </w:r>
          </w:p>
        </w:tc>
        <w:tc>
          <w:tcPr>
            <w:tcW w:w="1701" w:type="dxa"/>
            <w:tcBorders>
              <w:top w:val="nil"/>
              <w:left w:val="nil"/>
              <w:bottom w:val="single" w:sz="4" w:space="0" w:color="auto"/>
              <w:right w:val="nil"/>
            </w:tcBorders>
            <w:shd w:val="clear" w:color="auto" w:fill="auto"/>
            <w:noWrap/>
            <w:vAlign w:val="center"/>
            <w:hideMark/>
          </w:tcPr>
          <w:p w14:paraId="2FFE80DC" w14:textId="77777777" w:rsidR="005F6E08" w:rsidRPr="00253DE9" w:rsidRDefault="005F6E08" w:rsidP="009F3873">
            <w:pPr>
              <w:rPr>
                <w:color w:val="000000"/>
                <w:sz w:val="18"/>
                <w:szCs w:val="18"/>
              </w:rPr>
            </w:pPr>
            <w:r w:rsidRPr="00253DE9">
              <w:rPr>
                <w:color w:val="000000"/>
                <w:sz w:val="18"/>
                <w:szCs w:val="18"/>
              </w:rPr>
              <w:t>[0.005, 0.026]</w:t>
            </w:r>
          </w:p>
        </w:tc>
        <w:tc>
          <w:tcPr>
            <w:tcW w:w="1701" w:type="dxa"/>
            <w:tcBorders>
              <w:top w:val="nil"/>
              <w:left w:val="nil"/>
              <w:bottom w:val="single" w:sz="4" w:space="0" w:color="auto"/>
              <w:right w:val="nil"/>
            </w:tcBorders>
            <w:shd w:val="clear" w:color="auto" w:fill="auto"/>
            <w:noWrap/>
            <w:vAlign w:val="center"/>
            <w:hideMark/>
          </w:tcPr>
          <w:p w14:paraId="51A24E8A" w14:textId="77777777" w:rsidR="005F6E08" w:rsidRPr="00253DE9" w:rsidRDefault="005F6E08" w:rsidP="009F3873">
            <w:pPr>
              <w:rPr>
                <w:color w:val="000000"/>
                <w:sz w:val="18"/>
                <w:szCs w:val="18"/>
              </w:rPr>
            </w:pPr>
            <w:r w:rsidRPr="00253DE9">
              <w:rPr>
                <w:color w:val="000000"/>
                <w:sz w:val="18"/>
                <w:szCs w:val="18"/>
              </w:rPr>
              <w:t>[0.008, 0.050]</w:t>
            </w:r>
          </w:p>
        </w:tc>
      </w:tr>
      <w:tr w:rsidR="004A4962" w:rsidRPr="00F65976" w14:paraId="245A03B6" w14:textId="77777777" w:rsidTr="00253DE9">
        <w:trPr>
          <w:trHeight w:val="462"/>
        </w:trPr>
        <w:tc>
          <w:tcPr>
            <w:tcW w:w="2943" w:type="dxa"/>
            <w:tcBorders>
              <w:top w:val="single" w:sz="4" w:space="0" w:color="auto"/>
              <w:left w:val="nil"/>
              <w:bottom w:val="nil"/>
              <w:right w:val="nil"/>
            </w:tcBorders>
          </w:tcPr>
          <w:p w14:paraId="0E4CECAF" w14:textId="77777777" w:rsidR="005F6E08" w:rsidRPr="00253DE9" w:rsidRDefault="005F6E08" w:rsidP="009F3873">
            <w:pPr>
              <w:rPr>
                <w:b/>
                <w:color w:val="000000"/>
              </w:rPr>
            </w:pPr>
            <w:r w:rsidRPr="00253DE9">
              <w:rPr>
                <w:b/>
                <w:color w:val="000000"/>
              </w:rPr>
              <w:t>Post-secondary education</w:t>
            </w:r>
          </w:p>
        </w:tc>
        <w:tc>
          <w:tcPr>
            <w:tcW w:w="1701" w:type="dxa"/>
            <w:tcBorders>
              <w:top w:val="single" w:sz="4" w:space="0" w:color="auto"/>
              <w:left w:val="nil"/>
              <w:bottom w:val="nil"/>
              <w:right w:val="nil"/>
            </w:tcBorders>
            <w:shd w:val="clear" w:color="auto" w:fill="auto"/>
            <w:noWrap/>
            <w:vAlign w:val="center"/>
            <w:hideMark/>
          </w:tcPr>
          <w:p w14:paraId="3820B3B1" w14:textId="77777777" w:rsidR="005F6E08" w:rsidRPr="00253DE9" w:rsidRDefault="005F6E08" w:rsidP="009F3873">
            <w:pPr>
              <w:rPr>
                <w:b/>
                <w:color w:val="000000"/>
              </w:rPr>
            </w:pPr>
            <w:r w:rsidRPr="00253DE9">
              <w:rPr>
                <w:b/>
                <w:color w:val="000000"/>
              </w:rPr>
              <w:t>-0.044**</w:t>
            </w:r>
          </w:p>
        </w:tc>
        <w:tc>
          <w:tcPr>
            <w:tcW w:w="1701" w:type="dxa"/>
            <w:tcBorders>
              <w:top w:val="single" w:sz="4" w:space="0" w:color="auto"/>
              <w:left w:val="nil"/>
              <w:bottom w:val="nil"/>
              <w:right w:val="nil"/>
            </w:tcBorders>
            <w:shd w:val="clear" w:color="auto" w:fill="auto"/>
            <w:noWrap/>
            <w:vAlign w:val="center"/>
            <w:hideMark/>
          </w:tcPr>
          <w:p w14:paraId="599A5707" w14:textId="77777777" w:rsidR="005F6E08" w:rsidRPr="00253DE9" w:rsidRDefault="005F6E08" w:rsidP="009F3873">
            <w:pPr>
              <w:rPr>
                <w:b/>
                <w:color w:val="000000"/>
              </w:rPr>
            </w:pPr>
            <w:r w:rsidRPr="00253DE9">
              <w:rPr>
                <w:b/>
                <w:color w:val="000000"/>
              </w:rPr>
              <w:t>-0.009**</w:t>
            </w:r>
          </w:p>
        </w:tc>
        <w:tc>
          <w:tcPr>
            <w:tcW w:w="1701" w:type="dxa"/>
            <w:tcBorders>
              <w:top w:val="single" w:sz="4" w:space="0" w:color="auto"/>
              <w:left w:val="nil"/>
              <w:bottom w:val="nil"/>
              <w:right w:val="nil"/>
            </w:tcBorders>
            <w:shd w:val="clear" w:color="auto" w:fill="auto"/>
            <w:noWrap/>
            <w:vAlign w:val="center"/>
            <w:hideMark/>
          </w:tcPr>
          <w:p w14:paraId="11099D8F" w14:textId="77777777" w:rsidR="005F6E08" w:rsidRPr="00253DE9" w:rsidRDefault="005F6E08" w:rsidP="009F3873">
            <w:pPr>
              <w:rPr>
                <w:b/>
                <w:color w:val="000000"/>
              </w:rPr>
            </w:pPr>
            <w:r w:rsidRPr="00253DE9">
              <w:rPr>
                <w:b/>
                <w:color w:val="000000"/>
              </w:rPr>
              <w:t>0.018**</w:t>
            </w:r>
          </w:p>
        </w:tc>
        <w:tc>
          <w:tcPr>
            <w:tcW w:w="1701" w:type="dxa"/>
            <w:tcBorders>
              <w:top w:val="single" w:sz="4" w:space="0" w:color="auto"/>
              <w:left w:val="nil"/>
              <w:bottom w:val="nil"/>
              <w:right w:val="nil"/>
            </w:tcBorders>
            <w:shd w:val="clear" w:color="auto" w:fill="auto"/>
            <w:noWrap/>
            <w:vAlign w:val="center"/>
            <w:hideMark/>
          </w:tcPr>
          <w:p w14:paraId="38EE2DA6" w14:textId="77777777" w:rsidR="005F6E08" w:rsidRPr="00253DE9" w:rsidRDefault="005F6E08" w:rsidP="009F3873">
            <w:pPr>
              <w:rPr>
                <w:b/>
                <w:color w:val="000000"/>
              </w:rPr>
            </w:pPr>
            <w:r w:rsidRPr="00253DE9">
              <w:rPr>
                <w:b/>
                <w:color w:val="000000"/>
              </w:rPr>
              <w:t>0.035**</w:t>
            </w:r>
          </w:p>
        </w:tc>
      </w:tr>
      <w:tr w:rsidR="004A4962" w:rsidRPr="00F65976" w14:paraId="4BB3570A" w14:textId="77777777" w:rsidTr="00253DE9">
        <w:trPr>
          <w:trHeight w:val="259"/>
        </w:trPr>
        <w:tc>
          <w:tcPr>
            <w:tcW w:w="2943" w:type="dxa"/>
            <w:tcBorders>
              <w:top w:val="nil"/>
              <w:left w:val="nil"/>
              <w:bottom w:val="single" w:sz="4" w:space="0" w:color="auto"/>
              <w:right w:val="nil"/>
            </w:tcBorders>
          </w:tcPr>
          <w:p w14:paraId="2C4D1EC2" w14:textId="77777777" w:rsidR="005F6E08" w:rsidRPr="00253DE9" w:rsidRDefault="005F6E08" w:rsidP="009F3873">
            <w:pPr>
              <w:rPr>
                <w:color w:val="000000"/>
                <w:sz w:val="20"/>
                <w:szCs w:val="20"/>
              </w:rPr>
            </w:pPr>
            <w:r w:rsidRPr="00253DE9">
              <w:rPr>
                <w:color w:val="000000"/>
                <w:sz w:val="20"/>
                <w:szCs w:val="20"/>
              </w:rPr>
              <w:t xml:space="preserve"> (</w:t>
            </w:r>
            <w:r w:rsidRPr="00253DE9">
              <w:rPr>
                <w:i/>
                <w:color w:val="000000"/>
                <w:sz w:val="20"/>
                <w:szCs w:val="20"/>
              </w:rPr>
              <w:t>ref. below post-secondary</w:t>
            </w:r>
            <w:r w:rsidRPr="00253DE9">
              <w:rPr>
                <w:color w:val="000000"/>
                <w:sz w:val="20"/>
                <w:szCs w:val="20"/>
              </w:rPr>
              <w:t>)</w:t>
            </w:r>
          </w:p>
        </w:tc>
        <w:tc>
          <w:tcPr>
            <w:tcW w:w="1701" w:type="dxa"/>
            <w:tcBorders>
              <w:top w:val="nil"/>
              <w:left w:val="nil"/>
              <w:bottom w:val="single" w:sz="4" w:space="0" w:color="auto"/>
              <w:right w:val="nil"/>
            </w:tcBorders>
            <w:shd w:val="clear" w:color="auto" w:fill="auto"/>
            <w:noWrap/>
            <w:vAlign w:val="center"/>
            <w:hideMark/>
          </w:tcPr>
          <w:p w14:paraId="25A1B073" w14:textId="77777777" w:rsidR="005F6E08" w:rsidRPr="00253DE9" w:rsidRDefault="005F6E08" w:rsidP="009F3873">
            <w:pPr>
              <w:rPr>
                <w:color w:val="000000"/>
                <w:sz w:val="18"/>
                <w:szCs w:val="18"/>
              </w:rPr>
            </w:pPr>
            <w:r w:rsidRPr="00253DE9">
              <w:rPr>
                <w:color w:val="000000"/>
                <w:sz w:val="18"/>
                <w:szCs w:val="18"/>
              </w:rPr>
              <w:t>[-0.051, -0.028]</w:t>
            </w:r>
          </w:p>
        </w:tc>
        <w:tc>
          <w:tcPr>
            <w:tcW w:w="1701" w:type="dxa"/>
            <w:tcBorders>
              <w:top w:val="nil"/>
              <w:left w:val="nil"/>
              <w:bottom w:val="single" w:sz="4" w:space="0" w:color="auto"/>
              <w:right w:val="nil"/>
            </w:tcBorders>
            <w:shd w:val="clear" w:color="auto" w:fill="auto"/>
            <w:noWrap/>
            <w:vAlign w:val="center"/>
            <w:hideMark/>
          </w:tcPr>
          <w:p w14:paraId="46FAF98E" w14:textId="77777777" w:rsidR="005F6E08" w:rsidRPr="00253DE9" w:rsidRDefault="005F6E08" w:rsidP="009F3873">
            <w:pPr>
              <w:rPr>
                <w:color w:val="000000"/>
                <w:sz w:val="18"/>
                <w:szCs w:val="18"/>
              </w:rPr>
            </w:pPr>
            <w:r w:rsidRPr="00253DE9">
              <w:rPr>
                <w:color w:val="000000"/>
                <w:sz w:val="18"/>
                <w:szCs w:val="18"/>
              </w:rPr>
              <w:t>[-0.012, -0.005]</w:t>
            </w:r>
          </w:p>
        </w:tc>
        <w:tc>
          <w:tcPr>
            <w:tcW w:w="1701" w:type="dxa"/>
            <w:tcBorders>
              <w:top w:val="nil"/>
              <w:left w:val="nil"/>
              <w:bottom w:val="single" w:sz="4" w:space="0" w:color="auto"/>
              <w:right w:val="nil"/>
            </w:tcBorders>
            <w:shd w:val="clear" w:color="auto" w:fill="auto"/>
            <w:noWrap/>
            <w:vAlign w:val="center"/>
            <w:hideMark/>
          </w:tcPr>
          <w:p w14:paraId="254484E5" w14:textId="77777777" w:rsidR="005F6E08" w:rsidRPr="00253DE9" w:rsidRDefault="005F6E08" w:rsidP="009F3873">
            <w:pPr>
              <w:rPr>
                <w:color w:val="000000"/>
                <w:sz w:val="18"/>
                <w:szCs w:val="18"/>
              </w:rPr>
            </w:pPr>
            <w:r w:rsidRPr="00253DE9">
              <w:rPr>
                <w:color w:val="000000"/>
                <w:sz w:val="18"/>
                <w:szCs w:val="18"/>
              </w:rPr>
              <w:t>[0.013, 0.023]</w:t>
            </w:r>
          </w:p>
        </w:tc>
        <w:tc>
          <w:tcPr>
            <w:tcW w:w="1701" w:type="dxa"/>
            <w:tcBorders>
              <w:top w:val="nil"/>
              <w:left w:val="nil"/>
              <w:bottom w:val="single" w:sz="4" w:space="0" w:color="auto"/>
              <w:right w:val="nil"/>
            </w:tcBorders>
            <w:shd w:val="clear" w:color="auto" w:fill="auto"/>
            <w:noWrap/>
            <w:vAlign w:val="center"/>
            <w:hideMark/>
          </w:tcPr>
          <w:p w14:paraId="50AB0388" w14:textId="77777777" w:rsidR="005F6E08" w:rsidRPr="00253DE9" w:rsidRDefault="005F6E08" w:rsidP="009F3873">
            <w:pPr>
              <w:rPr>
                <w:color w:val="000000"/>
                <w:sz w:val="18"/>
                <w:szCs w:val="18"/>
              </w:rPr>
            </w:pPr>
            <w:r w:rsidRPr="00253DE9">
              <w:rPr>
                <w:color w:val="000000"/>
                <w:sz w:val="18"/>
                <w:szCs w:val="18"/>
              </w:rPr>
              <w:t>[0.023, 0.046]</w:t>
            </w:r>
          </w:p>
        </w:tc>
      </w:tr>
      <w:tr w:rsidR="004A4962" w:rsidRPr="00F65976" w14:paraId="77172A27" w14:textId="77777777" w:rsidTr="00253DE9">
        <w:trPr>
          <w:trHeight w:val="312"/>
        </w:trPr>
        <w:tc>
          <w:tcPr>
            <w:tcW w:w="2943" w:type="dxa"/>
            <w:tcBorders>
              <w:top w:val="single" w:sz="4" w:space="0" w:color="auto"/>
              <w:left w:val="nil"/>
              <w:bottom w:val="nil"/>
              <w:right w:val="nil"/>
            </w:tcBorders>
          </w:tcPr>
          <w:p w14:paraId="3A1F0448" w14:textId="77777777" w:rsidR="005F6E08" w:rsidRPr="00253DE9" w:rsidRDefault="002A090C" w:rsidP="007841B5">
            <w:pPr>
              <w:rPr>
                <w:color w:val="000000"/>
              </w:rPr>
            </w:pPr>
            <w:r w:rsidRPr="00253DE9">
              <w:rPr>
                <w:b/>
                <w:color w:val="000000"/>
                <w:lang w:eastAsia="en-CA"/>
              </w:rPr>
              <w:t xml:space="preserve">Proportion </w:t>
            </w:r>
            <w:r w:rsidR="005F6E08" w:rsidRPr="00253DE9">
              <w:rPr>
                <w:b/>
                <w:color w:val="000000"/>
                <w:lang w:eastAsia="en-CA"/>
              </w:rPr>
              <w:t xml:space="preserve">of cumulative exposure time  </w:t>
            </w:r>
            <w:r w:rsidR="005F6E08" w:rsidRPr="00253DE9">
              <w:rPr>
                <w:b/>
                <w:color w:val="000000"/>
                <w:sz w:val="20"/>
                <w:szCs w:val="20"/>
                <w:lang w:eastAsia="en-CA"/>
              </w:rPr>
              <w:t>(PCET)</w:t>
            </w:r>
            <w:r w:rsidR="005F6E08" w:rsidRPr="00253DE9">
              <w:rPr>
                <w:b/>
                <w:color w:val="000000"/>
                <w:lang w:eastAsia="en-CA"/>
              </w:rPr>
              <w:t xml:space="preserve"> to neighbourhoods </w:t>
            </w:r>
            <w:r w:rsidR="00DC05D5" w:rsidRPr="00253DE9">
              <w:rPr>
                <w:b/>
                <w:color w:val="000000"/>
                <w:lang w:eastAsia="en-CA"/>
              </w:rPr>
              <w:t>Walk Score®</w:t>
            </w:r>
            <w:r w:rsidR="005F6E08" w:rsidRPr="00253DE9">
              <w:rPr>
                <w:b/>
                <w:color w:val="000000"/>
                <w:lang w:eastAsia="en-CA"/>
              </w:rPr>
              <w:t xml:space="preserve"> quartiles </w:t>
            </w:r>
            <w:r w:rsidR="005F6E08" w:rsidRPr="00253DE9">
              <w:rPr>
                <w:b/>
                <w:color w:val="000000"/>
                <w:sz w:val="20"/>
                <w:szCs w:val="20"/>
                <w:lang w:eastAsia="en-CA"/>
              </w:rPr>
              <w:t xml:space="preserve">(WSQ) </w:t>
            </w:r>
            <w:r w:rsidR="005F6E08" w:rsidRPr="00253DE9">
              <w:rPr>
                <w:i/>
                <w:color w:val="000000"/>
                <w:sz w:val="20"/>
                <w:szCs w:val="20"/>
                <w:lang w:eastAsia="en-CA"/>
              </w:rPr>
              <w:t>(ref. PCET WSQ1)</w:t>
            </w:r>
          </w:p>
        </w:tc>
        <w:tc>
          <w:tcPr>
            <w:tcW w:w="1701" w:type="dxa"/>
            <w:tcBorders>
              <w:top w:val="single" w:sz="4" w:space="0" w:color="auto"/>
              <w:left w:val="nil"/>
              <w:bottom w:val="nil"/>
              <w:right w:val="nil"/>
            </w:tcBorders>
            <w:shd w:val="clear" w:color="auto" w:fill="auto"/>
            <w:noWrap/>
            <w:vAlign w:val="center"/>
          </w:tcPr>
          <w:p w14:paraId="52F41C57" w14:textId="77777777" w:rsidR="005F6E08" w:rsidRPr="00253DE9" w:rsidRDefault="005F6E08" w:rsidP="009F3873">
            <w:pPr>
              <w:rPr>
                <w:color w:val="000000"/>
              </w:rPr>
            </w:pPr>
          </w:p>
        </w:tc>
        <w:tc>
          <w:tcPr>
            <w:tcW w:w="1701" w:type="dxa"/>
            <w:tcBorders>
              <w:top w:val="single" w:sz="4" w:space="0" w:color="auto"/>
              <w:left w:val="nil"/>
              <w:bottom w:val="nil"/>
              <w:right w:val="nil"/>
            </w:tcBorders>
            <w:shd w:val="clear" w:color="auto" w:fill="auto"/>
            <w:noWrap/>
            <w:vAlign w:val="center"/>
          </w:tcPr>
          <w:p w14:paraId="79F01BCE" w14:textId="77777777" w:rsidR="005F6E08" w:rsidRPr="00253DE9" w:rsidRDefault="005F6E08" w:rsidP="009F3873">
            <w:pPr>
              <w:rPr>
                <w:color w:val="000000"/>
              </w:rPr>
            </w:pPr>
          </w:p>
        </w:tc>
        <w:tc>
          <w:tcPr>
            <w:tcW w:w="1701" w:type="dxa"/>
            <w:tcBorders>
              <w:top w:val="single" w:sz="4" w:space="0" w:color="auto"/>
              <w:left w:val="nil"/>
              <w:bottom w:val="nil"/>
              <w:right w:val="nil"/>
            </w:tcBorders>
            <w:shd w:val="clear" w:color="auto" w:fill="auto"/>
            <w:noWrap/>
            <w:vAlign w:val="center"/>
          </w:tcPr>
          <w:p w14:paraId="0B67A4C0" w14:textId="77777777" w:rsidR="005F6E08" w:rsidRPr="00253DE9" w:rsidRDefault="005F6E08" w:rsidP="009F3873">
            <w:pPr>
              <w:rPr>
                <w:color w:val="000000"/>
              </w:rPr>
            </w:pPr>
          </w:p>
        </w:tc>
        <w:tc>
          <w:tcPr>
            <w:tcW w:w="1701" w:type="dxa"/>
            <w:tcBorders>
              <w:top w:val="single" w:sz="4" w:space="0" w:color="auto"/>
              <w:left w:val="nil"/>
              <w:bottom w:val="nil"/>
              <w:right w:val="nil"/>
            </w:tcBorders>
            <w:shd w:val="clear" w:color="auto" w:fill="auto"/>
            <w:noWrap/>
            <w:vAlign w:val="center"/>
          </w:tcPr>
          <w:p w14:paraId="2228176B" w14:textId="77777777" w:rsidR="005F6E08" w:rsidRPr="00253DE9" w:rsidRDefault="005F6E08" w:rsidP="009F3873"/>
        </w:tc>
      </w:tr>
      <w:tr w:rsidR="004A4962" w:rsidRPr="00F65976" w14:paraId="5142DE14" w14:textId="77777777" w:rsidTr="00253DE9">
        <w:trPr>
          <w:trHeight w:val="312"/>
        </w:trPr>
        <w:tc>
          <w:tcPr>
            <w:tcW w:w="2943" w:type="dxa"/>
            <w:tcBorders>
              <w:top w:val="nil"/>
              <w:left w:val="nil"/>
              <w:bottom w:val="nil"/>
              <w:right w:val="nil"/>
            </w:tcBorders>
            <w:vAlign w:val="bottom"/>
          </w:tcPr>
          <w:p w14:paraId="4EB9028B" w14:textId="77777777" w:rsidR="005F6E08" w:rsidRPr="00253DE9" w:rsidRDefault="005F6E08" w:rsidP="009F3873">
            <w:pPr>
              <w:rPr>
                <w:color w:val="000000"/>
              </w:rPr>
            </w:pPr>
            <w:r w:rsidRPr="00253DE9">
              <w:rPr>
                <w:color w:val="000000"/>
                <w:lang w:eastAsia="en-CA"/>
              </w:rPr>
              <w:t>PCET to   WSQ</w:t>
            </w:r>
            <w:r w:rsidRPr="00253DE9">
              <w:rPr>
                <w:i/>
                <w:color w:val="000000"/>
                <w:lang w:eastAsia="en-CA"/>
              </w:rPr>
              <w:t>2</w:t>
            </w:r>
          </w:p>
        </w:tc>
        <w:tc>
          <w:tcPr>
            <w:tcW w:w="1701" w:type="dxa"/>
            <w:tcBorders>
              <w:top w:val="nil"/>
              <w:left w:val="nil"/>
              <w:bottom w:val="nil"/>
              <w:right w:val="nil"/>
            </w:tcBorders>
            <w:shd w:val="clear" w:color="auto" w:fill="auto"/>
            <w:noWrap/>
            <w:vAlign w:val="center"/>
            <w:hideMark/>
          </w:tcPr>
          <w:p w14:paraId="2AA36963" w14:textId="77777777" w:rsidR="005F6E08" w:rsidRPr="00253DE9" w:rsidRDefault="005F6E08" w:rsidP="009F3873">
            <w:pPr>
              <w:rPr>
                <w:color w:val="000000"/>
              </w:rPr>
            </w:pPr>
            <w:r w:rsidRPr="00253DE9">
              <w:rPr>
                <w:color w:val="000000"/>
              </w:rPr>
              <w:t>-0.006</w:t>
            </w:r>
          </w:p>
        </w:tc>
        <w:tc>
          <w:tcPr>
            <w:tcW w:w="1701" w:type="dxa"/>
            <w:tcBorders>
              <w:top w:val="nil"/>
              <w:left w:val="nil"/>
              <w:bottom w:val="nil"/>
              <w:right w:val="nil"/>
            </w:tcBorders>
            <w:shd w:val="clear" w:color="auto" w:fill="auto"/>
            <w:noWrap/>
            <w:vAlign w:val="center"/>
            <w:hideMark/>
          </w:tcPr>
          <w:p w14:paraId="5A0EBB1A" w14:textId="77777777" w:rsidR="005F6E08" w:rsidRPr="00253DE9" w:rsidRDefault="005F6E08" w:rsidP="009F3873">
            <w:pPr>
              <w:rPr>
                <w:color w:val="000000"/>
              </w:rPr>
            </w:pPr>
            <w:r w:rsidRPr="00253DE9">
              <w:rPr>
                <w:color w:val="000000"/>
              </w:rPr>
              <w:t>-0.001</w:t>
            </w:r>
          </w:p>
        </w:tc>
        <w:tc>
          <w:tcPr>
            <w:tcW w:w="1701" w:type="dxa"/>
            <w:tcBorders>
              <w:top w:val="nil"/>
              <w:left w:val="nil"/>
              <w:bottom w:val="nil"/>
              <w:right w:val="nil"/>
            </w:tcBorders>
            <w:shd w:val="clear" w:color="auto" w:fill="auto"/>
            <w:noWrap/>
            <w:vAlign w:val="center"/>
            <w:hideMark/>
          </w:tcPr>
          <w:p w14:paraId="022CC0DF" w14:textId="77777777" w:rsidR="005F6E08" w:rsidRPr="00253DE9" w:rsidRDefault="005F6E08" w:rsidP="009F3873">
            <w:pPr>
              <w:rPr>
                <w:color w:val="000000"/>
              </w:rPr>
            </w:pPr>
            <w:r w:rsidRPr="00253DE9">
              <w:rPr>
                <w:color w:val="000000"/>
              </w:rPr>
              <w:t>0.003</w:t>
            </w:r>
          </w:p>
        </w:tc>
        <w:tc>
          <w:tcPr>
            <w:tcW w:w="1701" w:type="dxa"/>
            <w:tcBorders>
              <w:top w:val="nil"/>
              <w:left w:val="nil"/>
              <w:bottom w:val="nil"/>
              <w:right w:val="nil"/>
            </w:tcBorders>
            <w:shd w:val="clear" w:color="auto" w:fill="auto"/>
            <w:noWrap/>
            <w:vAlign w:val="center"/>
            <w:hideMark/>
          </w:tcPr>
          <w:p w14:paraId="09EFD81F" w14:textId="77777777" w:rsidR="005F6E08" w:rsidRPr="00253DE9" w:rsidRDefault="005F6E08" w:rsidP="009F3873">
            <w:r w:rsidRPr="00253DE9">
              <w:t>0.005</w:t>
            </w:r>
          </w:p>
        </w:tc>
      </w:tr>
      <w:tr w:rsidR="004A4962" w:rsidRPr="00F65976" w14:paraId="0EAAD05A" w14:textId="77777777" w:rsidTr="00253DE9">
        <w:trPr>
          <w:trHeight w:val="195"/>
        </w:trPr>
        <w:tc>
          <w:tcPr>
            <w:tcW w:w="2943" w:type="dxa"/>
            <w:tcBorders>
              <w:top w:val="nil"/>
              <w:left w:val="nil"/>
              <w:bottom w:val="nil"/>
              <w:right w:val="nil"/>
            </w:tcBorders>
            <w:vAlign w:val="bottom"/>
          </w:tcPr>
          <w:p w14:paraId="0D4E744F" w14:textId="77777777" w:rsidR="005F6E08" w:rsidRPr="00253DE9" w:rsidRDefault="005F6E08" w:rsidP="009F3873">
            <w:pPr>
              <w:rPr>
                <w:color w:val="000000"/>
                <w:sz w:val="20"/>
                <w:szCs w:val="20"/>
              </w:rPr>
            </w:pPr>
          </w:p>
        </w:tc>
        <w:tc>
          <w:tcPr>
            <w:tcW w:w="1701" w:type="dxa"/>
            <w:tcBorders>
              <w:top w:val="nil"/>
              <w:left w:val="nil"/>
              <w:bottom w:val="nil"/>
              <w:right w:val="nil"/>
            </w:tcBorders>
            <w:shd w:val="clear" w:color="auto" w:fill="auto"/>
            <w:noWrap/>
            <w:vAlign w:val="center"/>
            <w:hideMark/>
          </w:tcPr>
          <w:p w14:paraId="15D0B718" w14:textId="77777777" w:rsidR="005F6E08" w:rsidRPr="00253DE9" w:rsidRDefault="005F6E08" w:rsidP="009F3873">
            <w:pPr>
              <w:rPr>
                <w:color w:val="000000"/>
                <w:sz w:val="18"/>
                <w:szCs w:val="18"/>
              </w:rPr>
            </w:pPr>
            <w:r w:rsidRPr="00253DE9">
              <w:rPr>
                <w:color w:val="000000"/>
                <w:sz w:val="18"/>
                <w:szCs w:val="18"/>
              </w:rPr>
              <w:t>[-0.028, 0.017]</w:t>
            </w:r>
          </w:p>
        </w:tc>
        <w:tc>
          <w:tcPr>
            <w:tcW w:w="1701" w:type="dxa"/>
            <w:tcBorders>
              <w:top w:val="nil"/>
              <w:left w:val="nil"/>
              <w:bottom w:val="nil"/>
              <w:right w:val="nil"/>
            </w:tcBorders>
            <w:shd w:val="clear" w:color="auto" w:fill="auto"/>
            <w:noWrap/>
            <w:vAlign w:val="center"/>
            <w:hideMark/>
          </w:tcPr>
          <w:p w14:paraId="030CD6A2" w14:textId="77777777" w:rsidR="005F6E08" w:rsidRPr="00253DE9" w:rsidRDefault="005F6E08" w:rsidP="009F3873">
            <w:pPr>
              <w:rPr>
                <w:color w:val="000000"/>
                <w:sz w:val="18"/>
                <w:szCs w:val="18"/>
              </w:rPr>
            </w:pPr>
            <w:r w:rsidRPr="00253DE9">
              <w:rPr>
                <w:color w:val="000000"/>
                <w:sz w:val="18"/>
                <w:szCs w:val="18"/>
              </w:rPr>
              <w:t>[-0.006, 0.004]</w:t>
            </w:r>
          </w:p>
        </w:tc>
        <w:tc>
          <w:tcPr>
            <w:tcW w:w="1701" w:type="dxa"/>
            <w:tcBorders>
              <w:top w:val="nil"/>
              <w:left w:val="nil"/>
              <w:bottom w:val="nil"/>
              <w:right w:val="nil"/>
            </w:tcBorders>
            <w:shd w:val="clear" w:color="auto" w:fill="auto"/>
            <w:noWrap/>
            <w:vAlign w:val="center"/>
            <w:hideMark/>
          </w:tcPr>
          <w:p w14:paraId="1E92C032" w14:textId="77777777" w:rsidR="005F6E08" w:rsidRPr="00253DE9" w:rsidRDefault="005F6E08" w:rsidP="009F3873">
            <w:pPr>
              <w:rPr>
                <w:color w:val="000000"/>
                <w:sz w:val="18"/>
                <w:szCs w:val="18"/>
              </w:rPr>
            </w:pPr>
            <w:r w:rsidRPr="00253DE9">
              <w:rPr>
                <w:color w:val="000000"/>
                <w:sz w:val="18"/>
                <w:szCs w:val="18"/>
              </w:rPr>
              <w:t>[-0.007, 0.013]</w:t>
            </w:r>
          </w:p>
        </w:tc>
        <w:tc>
          <w:tcPr>
            <w:tcW w:w="1701" w:type="dxa"/>
            <w:tcBorders>
              <w:top w:val="nil"/>
              <w:left w:val="nil"/>
              <w:bottom w:val="nil"/>
              <w:right w:val="nil"/>
            </w:tcBorders>
            <w:shd w:val="clear" w:color="auto" w:fill="auto"/>
            <w:noWrap/>
            <w:vAlign w:val="center"/>
            <w:hideMark/>
          </w:tcPr>
          <w:p w14:paraId="7EE4129B" w14:textId="77777777" w:rsidR="005F6E08" w:rsidRPr="00253DE9" w:rsidRDefault="005F6E08" w:rsidP="009F3873">
            <w:pPr>
              <w:rPr>
                <w:color w:val="000000"/>
                <w:sz w:val="18"/>
                <w:szCs w:val="18"/>
              </w:rPr>
            </w:pPr>
            <w:r w:rsidRPr="00253DE9">
              <w:rPr>
                <w:color w:val="000000"/>
                <w:sz w:val="18"/>
                <w:szCs w:val="18"/>
              </w:rPr>
              <w:t>[-0.015, 0.025]</w:t>
            </w:r>
          </w:p>
        </w:tc>
      </w:tr>
      <w:tr w:rsidR="004A4962" w:rsidRPr="00F65976" w14:paraId="156E845B" w14:textId="77777777" w:rsidTr="00253DE9">
        <w:trPr>
          <w:trHeight w:val="312"/>
        </w:trPr>
        <w:tc>
          <w:tcPr>
            <w:tcW w:w="2943" w:type="dxa"/>
            <w:tcBorders>
              <w:top w:val="nil"/>
              <w:left w:val="nil"/>
              <w:bottom w:val="nil"/>
              <w:right w:val="nil"/>
            </w:tcBorders>
            <w:vAlign w:val="bottom"/>
          </w:tcPr>
          <w:p w14:paraId="4A07D2E7" w14:textId="77777777" w:rsidR="005F6E08" w:rsidRPr="00253DE9" w:rsidRDefault="005F6E08" w:rsidP="009F3873">
            <w:pPr>
              <w:rPr>
                <w:color w:val="000000"/>
              </w:rPr>
            </w:pPr>
            <w:r w:rsidRPr="00253DE9">
              <w:rPr>
                <w:color w:val="000000"/>
                <w:lang w:eastAsia="en-CA"/>
              </w:rPr>
              <w:t>PCET to   WSQ3</w:t>
            </w:r>
          </w:p>
        </w:tc>
        <w:tc>
          <w:tcPr>
            <w:tcW w:w="1701" w:type="dxa"/>
            <w:tcBorders>
              <w:top w:val="nil"/>
              <w:left w:val="nil"/>
              <w:bottom w:val="nil"/>
              <w:right w:val="nil"/>
            </w:tcBorders>
            <w:shd w:val="clear" w:color="auto" w:fill="auto"/>
            <w:noWrap/>
            <w:vAlign w:val="center"/>
            <w:hideMark/>
          </w:tcPr>
          <w:p w14:paraId="2932C954" w14:textId="77777777" w:rsidR="005F6E08" w:rsidRPr="00253DE9" w:rsidRDefault="005F6E08" w:rsidP="009F3873">
            <w:pPr>
              <w:rPr>
                <w:b/>
                <w:color w:val="000000"/>
              </w:rPr>
            </w:pPr>
            <w:r w:rsidRPr="00253DE9">
              <w:rPr>
                <w:b/>
                <w:color w:val="000000"/>
              </w:rPr>
              <w:t>-0.034**</w:t>
            </w:r>
          </w:p>
        </w:tc>
        <w:tc>
          <w:tcPr>
            <w:tcW w:w="1701" w:type="dxa"/>
            <w:tcBorders>
              <w:top w:val="nil"/>
              <w:left w:val="nil"/>
              <w:bottom w:val="nil"/>
              <w:right w:val="nil"/>
            </w:tcBorders>
            <w:shd w:val="clear" w:color="auto" w:fill="auto"/>
            <w:noWrap/>
            <w:vAlign w:val="center"/>
            <w:hideMark/>
          </w:tcPr>
          <w:p w14:paraId="1C625417" w14:textId="77777777" w:rsidR="005F6E08" w:rsidRPr="00253DE9" w:rsidRDefault="005F6E08" w:rsidP="009F3873">
            <w:pPr>
              <w:rPr>
                <w:b/>
                <w:color w:val="000000"/>
              </w:rPr>
            </w:pPr>
            <w:r w:rsidRPr="00253DE9">
              <w:rPr>
                <w:b/>
                <w:color w:val="000000"/>
              </w:rPr>
              <w:t>-0.007**</w:t>
            </w:r>
          </w:p>
        </w:tc>
        <w:tc>
          <w:tcPr>
            <w:tcW w:w="1701" w:type="dxa"/>
            <w:tcBorders>
              <w:top w:val="nil"/>
              <w:left w:val="nil"/>
              <w:bottom w:val="nil"/>
              <w:right w:val="nil"/>
            </w:tcBorders>
            <w:shd w:val="clear" w:color="auto" w:fill="auto"/>
            <w:noWrap/>
            <w:vAlign w:val="center"/>
            <w:hideMark/>
          </w:tcPr>
          <w:p w14:paraId="0340AF28" w14:textId="77777777" w:rsidR="005F6E08" w:rsidRPr="00253DE9" w:rsidRDefault="005F6E08" w:rsidP="009F3873">
            <w:pPr>
              <w:rPr>
                <w:b/>
                <w:color w:val="000000"/>
              </w:rPr>
            </w:pPr>
            <w:r w:rsidRPr="00253DE9">
              <w:rPr>
                <w:b/>
                <w:color w:val="000000"/>
              </w:rPr>
              <w:t>0.014**</w:t>
            </w:r>
          </w:p>
        </w:tc>
        <w:tc>
          <w:tcPr>
            <w:tcW w:w="1701" w:type="dxa"/>
            <w:tcBorders>
              <w:top w:val="nil"/>
              <w:left w:val="nil"/>
              <w:bottom w:val="nil"/>
              <w:right w:val="nil"/>
            </w:tcBorders>
            <w:shd w:val="clear" w:color="auto" w:fill="auto"/>
            <w:noWrap/>
            <w:vAlign w:val="center"/>
            <w:hideMark/>
          </w:tcPr>
          <w:p w14:paraId="638C38DE" w14:textId="77777777" w:rsidR="005F6E08" w:rsidRPr="00253DE9" w:rsidRDefault="005F6E08" w:rsidP="009F3873">
            <w:pPr>
              <w:rPr>
                <w:b/>
                <w:bCs/>
              </w:rPr>
            </w:pPr>
            <w:r w:rsidRPr="00253DE9">
              <w:rPr>
                <w:b/>
                <w:bCs/>
              </w:rPr>
              <w:t>0.027</w:t>
            </w:r>
            <w:r w:rsidRPr="00253DE9">
              <w:rPr>
                <w:b/>
                <w:color w:val="000000"/>
              </w:rPr>
              <w:t>**</w:t>
            </w:r>
          </w:p>
        </w:tc>
      </w:tr>
      <w:tr w:rsidR="004A4962" w:rsidRPr="00F65976" w14:paraId="7374434D" w14:textId="77777777" w:rsidTr="00253DE9">
        <w:trPr>
          <w:trHeight w:val="217"/>
        </w:trPr>
        <w:tc>
          <w:tcPr>
            <w:tcW w:w="2943" w:type="dxa"/>
            <w:tcBorders>
              <w:top w:val="nil"/>
              <w:left w:val="nil"/>
              <w:bottom w:val="nil"/>
              <w:right w:val="nil"/>
            </w:tcBorders>
            <w:vAlign w:val="bottom"/>
          </w:tcPr>
          <w:p w14:paraId="4BD84A29" w14:textId="77777777" w:rsidR="005F6E08" w:rsidRPr="00253DE9" w:rsidRDefault="005F6E08" w:rsidP="009F3873">
            <w:pPr>
              <w:rPr>
                <w:color w:val="000000"/>
                <w:sz w:val="20"/>
                <w:szCs w:val="20"/>
              </w:rPr>
            </w:pPr>
          </w:p>
        </w:tc>
        <w:tc>
          <w:tcPr>
            <w:tcW w:w="1701" w:type="dxa"/>
            <w:tcBorders>
              <w:top w:val="nil"/>
              <w:left w:val="nil"/>
              <w:bottom w:val="nil"/>
              <w:right w:val="nil"/>
            </w:tcBorders>
            <w:shd w:val="clear" w:color="auto" w:fill="auto"/>
            <w:noWrap/>
            <w:vAlign w:val="center"/>
            <w:hideMark/>
          </w:tcPr>
          <w:p w14:paraId="43A1DC17" w14:textId="77777777" w:rsidR="005F6E08" w:rsidRPr="00253DE9" w:rsidRDefault="005F6E08" w:rsidP="009F3873">
            <w:pPr>
              <w:rPr>
                <w:color w:val="000000"/>
                <w:sz w:val="18"/>
                <w:szCs w:val="18"/>
              </w:rPr>
            </w:pPr>
            <w:r w:rsidRPr="00253DE9">
              <w:rPr>
                <w:color w:val="000000"/>
                <w:sz w:val="18"/>
                <w:szCs w:val="18"/>
              </w:rPr>
              <w:t>[-0.053, -0.008]</w:t>
            </w:r>
          </w:p>
        </w:tc>
        <w:tc>
          <w:tcPr>
            <w:tcW w:w="1701" w:type="dxa"/>
            <w:tcBorders>
              <w:top w:val="nil"/>
              <w:left w:val="nil"/>
              <w:bottom w:val="nil"/>
              <w:right w:val="nil"/>
            </w:tcBorders>
            <w:shd w:val="clear" w:color="auto" w:fill="auto"/>
            <w:noWrap/>
            <w:vAlign w:val="center"/>
            <w:hideMark/>
          </w:tcPr>
          <w:p w14:paraId="338525FD" w14:textId="77777777" w:rsidR="005F6E08" w:rsidRPr="00253DE9" w:rsidRDefault="005F6E08" w:rsidP="009F3873">
            <w:pPr>
              <w:rPr>
                <w:color w:val="000000"/>
                <w:sz w:val="18"/>
                <w:szCs w:val="18"/>
              </w:rPr>
            </w:pPr>
            <w:r w:rsidRPr="00253DE9">
              <w:rPr>
                <w:color w:val="000000"/>
                <w:sz w:val="18"/>
                <w:szCs w:val="18"/>
              </w:rPr>
              <w:t>[-0.011,-0.001]</w:t>
            </w:r>
          </w:p>
        </w:tc>
        <w:tc>
          <w:tcPr>
            <w:tcW w:w="1701" w:type="dxa"/>
            <w:tcBorders>
              <w:top w:val="nil"/>
              <w:left w:val="nil"/>
              <w:bottom w:val="nil"/>
              <w:right w:val="nil"/>
            </w:tcBorders>
            <w:shd w:val="clear" w:color="auto" w:fill="auto"/>
            <w:noWrap/>
            <w:vAlign w:val="center"/>
            <w:hideMark/>
          </w:tcPr>
          <w:p w14:paraId="160F2744" w14:textId="77777777" w:rsidR="005F6E08" w:rsidRPr="00253DE9" w:rsidRDefault="005F6E08" w:rsidP="009F3873">
            <w:pPr>
              <w:rPr>
                <w:color w:val="000000"/>
                <w:sz w:val="18"/>
                <w:szCs w:val="18"/>
              </w:rPr>
            </w:pPr>
            <w:r w:rsidRPr="00253DE9">
              <w:rPr>
                <w:color w:val="000000"/>
                <w:sz w:val="18"/>
                <w:szCs w:val="18"/>
              </w:rPr>
              <w:t>[0.004, 0.024]</w:t>
            </w:r>
          </w:p>
        </w:tc>
        <w:tc>
          <w:tcPr>
            <w:tcW w:w="1701" w:type="dxa"/>
            <w:tcBorders>
              <w:top w:val="nil"/>
              <w:left w:val="nil"/>
              <w:bottom w:val="nil"/>
              <w:right w:val="nil"/>
            </w:tcBorders>
            <w:shd w:val="clear" w:color="auto" w:fill="auto"/>
            <w:noWrap/>
            <w:vAlign w:val="center"/>
            <w:hideMark/>
          </w:tcPr>
          <w:p w14:paraId="5E6212B3" w14:textId="77777777" w:rsidR="005F6E08" w:rsidRPr="00253DE9" w:rsidRDefault="005F6E08" w:rsidP="009F3873">
            <w:pPr>
              <w:rPr>
                <w:color w:val="000000"/>
                <w:sz w:val="18"/>
                <w:szCs w:val="18"/>
              </w:rPr>
            </w:pPr>
            <w:r w:rsidRPr="00253DE9">
              <w:rPr>
                <w:color w:val="000000"/>
                <w:sz w:val="18"/>
                <w:szCs w:val="18"/>
              </w:rPr>
              <w:t>[0.007, 0.047]</w:t>
            </w:r>
          </w:p>
        </w:tc>
      </w:tr>
      <w:tr w:rsidR="004A4962" w:rsidRPr="00F65976" w14:paraId="178B5D91" w14:textId="77777777" w:rsidTr="00253DE9">
        <w:trPr>
          <w:trHeight w:val="312"/>
        </w:trPr>
        <w:tc>
          <w:tcPr>
            <w:tcW w:w="2943" w:type="dxa"/>
            <w:tcBorders>
              <w:top w:val="nil"/>
              <w:left w:val="nil"/>
              <w:right w:val="nil"/>
            </w:tcBorders>
            <w:vAlign w:val="bottom"/>
          </w:tcPr>
          <w:p w14:paraId="4E46DEDA" w14:textId="77777777" w:rsidR="005F6E08" w:rsidRPr="00253DE9" w:rsidRDefault="005F6E08" w:rsidP="009F3873">
            <w:pPr>
              <w:rPr>
                <w:color w:val="000000"/>
              </w:rPr>
            </w:pPr>
            <w:r w:rsidRPr="00253DE9">
              <w:rPr>
                <w:color w:val="000000"/>
                <w:lang w:eastAsia="en-CA"/>
              </w:rPr>
              <w:t>PCET to   WSQ4</w:t>
            </w:r>
          </w:p>
        </w:tc>
        <w:tc>
          <w:tcPr>
            <w:tcW w:w="1701" w:type="dxa"/>
            <w:tcBorders>
              <w:top w:val="nil"/>
              <w:left w:val="nil"/>
              <w:right w:val="nil"/>
            </w:tcBorders>
            <w:shd w:val="clear" w:color="auto" w:fill="auto"/>
            <w:noWrap/>
            <w:vAlign w:val="center"/>
            <w:hideMark/>
          </w:tcPr>
          <w:p w14:paraId="0FE03108" w14:textId="77777777" w:rsidR="005F6E08" w:rsidRPr="00253DE9" w:rsidRDefault="005F6E08" w:rsidP="009F3873">
            <w:pPr>
              <w:rPr>
                <w:b/>
                <w:color w:val="000000"/>
              </w:rPr>
            </w:pPr>
            <w:r w:rsidRPr="00253DE9">
              <w:rPr>
                <w:b/>
                <w:color w:val="000000"/>
              </w:rPr>
              <w:t>-0.098***</w:t>
            </w:r>
          </w:p>
        </w:tc>
        <w:tc>
          <w:tcPr>
            <w:tcW w:w="1701" w:type="dxa"/>
            <w:tcBorders>
              <w:top w:val="nil"/>
              <w:left w:val="nil"/>
              <w:right w:val="nil"/>
            </w:tcBorders>
            <w:shd w:val="clear" w:color="auto" w:fill="auto"/>
            <w:noWrap/>
            <w:vAlign w:val="center"/>
            <w:hideMark/>
          </w:tcPr>
          <w:p w14:paraId="26C5BF99" w14:textId="77777777" w:rsidR="005F6E08" w:rsidRPr="00253DE9" w:rsidRDefault="005F6E08" w:rsidP="009F3873">
            <w:pPr>
              <w:rPr>
                <w:b/>
                <w:color w:val="000000"/>
              </w:rPr>
            </w:pPr>
            <w:r w:rsidRPr="00253DE9">
              <w:rPr>
                <w:b/>
                <w:color w:val="000000"/>
              </w:rPr>
              <w:t>-0.020***</w:t>
            </w:r>
          </w:p>
        </w:tc>
        <w:tc>
          <w:tcPr>
            <w:tcW w:w="1701" w:type="dxa"/>
            <w:tcBorders>
              <w:top w:val="nil"/>
              <w:left w:val="nil"/>
              <w:right w:val="nil"/>
            </w:tcBorders>
            <w:shd w:val="clear" w:color="auto" w:fill="auto"/>
            <w:noWrap/>
            <w:vAlign w:val="center"/>
            <w:hideMark/>
          </w:tcPr>
          <w:p w14:paraId="0B541332" w14:textId="77777777" w:rsidR="005F6E08" w:rsidRPr="00253DE9" w:rsidRDefault="005F6E08" w:rsidP="009F3873">
            <w:pPr>
              <w:rPr>
                <w:b/>
                <w:color w:val="000000"/>
              </w:rPr>
            </w:pPr>
            <w:r w:rsidRPr="00253DE9">
              <w:rPr>
                <w:b/>
                <w:color w:val="000000"/>
              </w:rPr>
              <w:t>0.040***</w:t>
            </w:r>
          </w:p>
        </w:tc>
        <w:tc>
          <w:tcPr>
            <w:tcW w:w="1701" w:type="dxa"/>
            <w:tcBorders>
              <w:top w:val="nil"/>
              <w:left w:val="nil"/>
              <w:right w:val="nil"/>
            </w:tcBorders>
            <w:shd w:val="clear" w:color="auto" w:fill="auto"/>
            <w:noWrap/>
            <w:vAlign w:val="center"/>
            <w:hideMark/>
          </w:tcPr>
          <w:p w14:paraId="33712B00" w14:textId="77777777" w:rsidR="005F6E08" w:rsidRPr="00253DE9" w:rsidRDefault="005F6E08" w:rsidP="009F3873">
            <w:pPr>
              <w:rPr>
                <w:b/>
                <w:bCs/>
              </w:rPr>
            </w:pPr>
            <w:r w:rsidRPr="00253DE9">
              <w:rPr>
                <w:b/>
                <w:bCs/>
              </w:rPr>
              <w:t>0.077</w:t>
            </w:r>
            <w:r w:rsidRPr="00253DE9">
              <w:rPr>
                <w:b/>
                <w:color w:val="000000"/>
              </w:rPr>
              <w:t>***</w:t>
            </w:r>
          </w:p>
        </w:tc>
      </w:tr>
      <w:tr w:rsidR="004A4962" w:rsidRPr="00F65976" w14:paraId="64D24D04" w14:textId="77777777" w:rsidTr="00253DE9">
        <w:trPr>
          <w:trHeight w:val="240"/>
        </w:trPr>
        <w:tc>
          <w:tcPr>
            <w:tcW w:w="2943" w:type="dxa"/>
            <w:tcBorders>
              <w:top w:val="nil"/>
              <w:left w:val="nil"/>
              <w:bottom w:val="single" w:sz="4" w:space="0" w:color="auto"/>
              <w:right w:val="nil"/>
            </w:tcBorders>
            <w:vAlign w:val="bottom"/>
          </w:tcPr>
          <w:p w14:paraId="589150DA" w14:textId="77777777" w:rsidR="005F6E08" w:rsidRPr="00253DE9" w:rsidRDefault="005F6E08" w:rsidP="009F3873">
            <w:pPr>
              <w:rPr>
                <w:color w:val="000000"/>
                <w:sz w:val="20"/>
                <w:szCs w:val="20"/>
              </w:rPr>
            </w:pPr>
          </w:p>
        </w:tc>
        <w:tc>
          <w:tcPr>
            <w:tcW w:w="1701" w:type="dxa"/>
            <w:tcBorders>
              <w:top w:val="nil"/>
              <w:left w:val="nil"/>
              <w:bottom w:val="single" w:sz="4" w:space="0" w:color="auto"/>
              <w:right w:val="nil"/>
            </w:tcBorders>
            <w:shd w:val="clear" w:color="auto" w:fill="auto"/>
            <w:noWrap/>
            <w:vAlign w:val="center"/>
            <w:hideMark/>
          </w:tcPr>
          <w:p w14:paraId="59D7987B" w14:textId="77777777" w:rsidR="005F6E08" w:rsidRPr="00253DE9" w:rsidRDefault="005F6E08" w:rsidP="009F3873">
            <w:pPr>
              <w:rPr>
                <w:color w:val="000000"/>
                <w:sz w:val="18"/>
                <w:szCs w:val="18"/>
              </w:rPr>
            </w:pPr>
            <w:r w:rsidRPr="00253DE9">
              <w:rPr>
                <w:color w:val="000000"/>
                <w:sz w:val="18"/>
                <w:szCs w:val="18"/>
              </w:rPr>
              <w:t>[-0.112,-0.066]</w:t>
            </w:r>
          </w:p>
        </w:tc>
        <w:tc>
          <w:tcPr>
            <w:tcW w:w="1701" w:type="dxa"/>
            <w:tcBorders>
              <w:top w:val="nil"/>
              <w:left w:val="nil"/>
              <w:bottom w:val="single" w:sz="4" w:space="0" w:color="auto"/>
              <w:right w:val="nil"/>
            </w:tcBorders>
            <w:shd w:val="clear" w:color="auto" w:fill="auto"/>
            <w:noWrap/>
            <w:vAlign w:val="center"/>
            <w:hideMark/>
          </w:tcPr>
          <w:p w14:paraId="3F0185FE" w14:textId="77777777" w:rsidR="005F6E08" w:rsidRPr="00253DE9" w:rsidRDefault="005F6E08" w:rsidP="009F3873">
            <w:pPr>
              <w:rPr>
                <w:color w:val="000000"/>
                <w:sz w:val="18"/>
                <w:szCs w:val="18"/>
              </w:rPr>
            </w:pPr>
            <w:r w:rsidRPr="00253DE9">
              <w:rPr>
                <w:color w:val="000000"/>
                <w:sz w:val="18"/>
                <w:szCs w:val="18"/>
              </w:rPr>
              <w:t>[-0.025, -0.014]</w:t>
            </w:r>
          </w:p>
        </w:tc>
        <w:tc>
          <w:tcPr>
            <w:tcW w:w="1701" w:type="dxa"/>
            <w:tcBorders>
              <w:top w:val="nil"/>
              <w:left w:val="nil"/>
              <w:bottom w:val="single" w:sz="4" w:space="0" w:color="auto"/>
              <w:right w:val="nil"/>
            </w:tcBorders>
            <w:shd w:val="clear" w:color="auto" w:fill="auto"/>
            <w:noWrap/>
            <w:vAlign w:val="center"/>
            <w:hideMark/>
          </w:tcPr>
          <w:p w14:paraId="387E3CE9" w14:textId="77777777" w:rsidR="005F6E08" w:rsidRPr="00253DE9" w:rsidRDefault="005F6E08" w:rsidP="009F3873">
            <w:pPr>
              <w:rPr>
                <w:color w:val="000000"/>
                <w:sz w:val="18"/>
                <w:szCs w:val="18"/>
              </w:rPr>
            </w:pPr>
            <w:r w:rsidRPr="00253DE9">
              <w:rPr>
                <w:color w:val="000000"/>
                <w:sz w:val="18"/>
                <w:szCs w:val="18"/>
              </w:rPr>
              <w:t>[0.029, 0.051]</w:t>
            </w:r>
          </w:p>
        </w:tc>
        <w:tc>
          <w:tcPr>
            <w:tcW w:w="1701" w:type="dxa"/>
            <w:tcBorders>
              <w:top w:val="nil"/>
              <w:left w:val="nil"/>
              <w:bottom w:val="single" w:sz="4" w:space="0" w:color="auto"/>
              <w:right w:val="nil"/>
            </w:tcBorders>
            <w:shd w:val="clear" w:color="auto" w:fill="auto"/>
            <w:noWrap/>
            <w:vAlign w:val="center"/>
            <w:hideMark/>
          </w:tcPr>
          <w:p w14:paraId="5DF3961A" w14:textId="77777777" w:rsidR="005F6E08" w:rsidRPr="00253DE9" w:rsidRDefault="005F6E08" w:rsidP="009F3873">
            <w:pPr>
              <w:rPr>
                <w:color w:val="000000"/>
                <w:sz w:val="18"/>
                <w:szCs w:val="18"/>
              </w:rPr>
            </w:pPr>
            <w:r w:rsidRPr="00253DE9">
              <w:rPr>
                <w:color w:val="000000"/>
                <w:sz w:val="18"/>
                <w:szCs w:val="18"/>
              </w:rPr>
              <w:t>[0.058, 0.097]</w:t>
            </w:r>
          </w:p>
        </w:tc>
      </w:tr>
      <w:tr w:rsidR="004A4962" w:rsidRPr="00F65976" w14:paraId="53654503" w14:textId="77777777" w:rsidTr="00253DE9">
        <w:trPr>
          <w:trHeight w:val="312"/>
        </w:trPr>
        <w:tc>
          <w:tcPr>
            <w:tcW w:w="2943" w:type="dxa"/>
            <w:tcBorders>
              <w:top w:val="single" w:sz="4" w:space="0" w:color="auto"/>
              <w:left w:val="nil"/>
              <w:bottom w:val="nil"/>
              <w:right w:val="nil"/>
            </w:tcBorders>
            <w:vAlign w:val="center"/>
          </w:tcPr>
          <w:p w14:paraId="72E19008" w14:textId="77777777" w:rsidR="005F6E08" w:rsidRPr="00253DE9" w:rsidRDefault="005F6E08" w:rsidP="007F1434">
            <w:pPr>
              <w:rPr>
                <w:lang w:eastAsia="en-CA"/>
              </w:rPr>
            </w:pPr>
            <w:r w:rsidRPr="00253DE9">
              <w:rPr>
                <w:b/>
                <w:lang w:eastAsia="en-CA"/>
              </w:rPr>
              <w:t>Time</w:t>
            </w:r>
            <w:r w:rsidRPr="00253DE9">
              <w:rPr>
                <w:lang w:eastAsia="en-CA"/>
              </w:rPr>
              <w:t xml:space="preserve">: </w:t>
            </w:r>
            <w:r w:rsidRPr="00253DE9">
              <w:rPr>
                <w:sz w:val="20"/>
                <w:szCs w:val="20"/>
                <w:lang w:eastAsia="en-CA"/>
              </w:rPr>
              <w:t>(ref. Cycle 1: 1994)</w:t>
            </w:r>
          </w:p>
        </w:tc>
        <w:tc>
          <w:tcPr>
            <w:tcW w:w="1701" w:type="dxa"/>
            <w:tcBorders>
              <w:top w:val="single" w:sz="4" w:space="0" w:color="auto"/>
              <w:left w:val="nil"/>
              <w:bottom w:val="nil"/>
              <w:right w:val="nil"/>
            </w:tcBorders>
            <w:shd w:val="clear" w:color="auto" w:fill="auto"/>
            <w:noWrap/>
            <w:vAlign w:val="center"/>
          </w:tcPr>
          <w:p w14:paraId="525F6D3B" w14:textId="77777777" w:rsidR="005F6E08" w:rsidRPr="00253DE9" w:rsidRDefault="005F6E08" w:rsidP="00AF3882">
            <w:pPr>
              <w:rPr>
                <w:bCs/>
                <w:sz w:val="20"/>
                <w:szCs w:val="20"/>
              </w:rPr>
            </w:pPr>
          </w:p>
        </w:tc>
        <w:tc>
          <w:tcPr>
            <w:tcW w:w="1701" w:type="dxa"/>
            <w:tcBorders>
              <w:top w:val="single" w:sz="4" w:space="0" w:color="auto"/>
              <w:left w:val="nil"/>
              <w:bottom w:val="nil"/>
              <w:right w:val="nil"/>
            </w:tcBorders>
            <w:shd w:val="clear" w:color="auto" w:fill="auto"/>
            <w:noWrap/>
            <w:vAlign w:val="center"/>
          </w:tcPr>
          <w:p w14:paraId="31EE40AF" w14:textId="77777777" w:rsidR="005F6E08" w:rsidRPr="00253DE9" w:rsidRDefault="005F6E08" w:rsidP="0038287D">
            <w:pPr>
              <w:rPr>
                <w:sz w:val="20"/>
                <w:szCs w:val="20"/>
              </w:rPr>
            </w:pPr>
          </w:p>
        </w:tc>
        <w:tc>
          <w:tcPr>
            <w:tcW w:w="1701" w:type="dxa"/>
            <w:tcBorders>
              <w:top w:val="single" w:sz="4" w:space="0" w:color="auto"/>
              <w:left w:val="nil"/>
              <w:bottom w:val="nil"/>
              <w:right w:val="nil"/>
            </w:tcBorders>
            <w:shd w:val="clear" w:color="auto" w:fill="auto"/>
            <w:noWrap/>
            <w:vAlign w:val="center"/>
          </w:tcPr>
          <w:p w14:paraId="1C3441A8" w14:textId="77777777" w:rsidR="005F6E08" w:rsidRPr="00253DE9" w:rsidRDefault="005F6E08" w:rsidP="0038287D">
            <w:pPr>
              <w:rPr>
                <w:sz w:val="20"/>
                <w:szCs w:val="20"/>
              </w:rPr>
            </w:pPr>
          </w:p>
        </w:tc>
        <w:tc>
          <w:tcPr>
            <w:tcW w:w="1701" w:type="dxa"/>
            <w:tcBorders>
              <w:top w:val="single" w:sz="4" w:space="0" w:color="auto"/>
              <w:left w:val="nil"/>
              <w:bottom w:val="nil"/>
              <w:right w:val="nil"/>
            </w:tcBorders>
            <w:shd w:val="clear" w:color="auto" w:fill="auto"/>
            <w:noWrap/>
            <w:vAlign w:val="center"/>
          </w:tcPr>
          <w:p w14:paraId="1BC799D5" w14:textId="77777777" w:rsidR="005F6E08" w:rsidRPr="00253DE9" w:rsidRDefault="005F6E08" w:rsidP="0038287D">
            <w:pPr>
              <w:rPr>
                <w:sz w:val="20"/>
                <w:szCs w:val="20"/>
              </w:rPr>
            </w:pPr>
          </w:p>
        </w:tc>
      </w:tr>
      <w:tr w:rsidR="004A4962" w:rsidRPr="00F65976" w14:paraId="192DEC01" w14:textId="77777777" w:rsidTr="00253DE9">
        <w:trPr>
          <w:trHeight w:val="312"/>
        </w:trPr>
        <w:tc>
          <w:tcPr>
            <w:tcW w:w="2943" w:type="dxa"/>
            <w:tcBorders>
              <w:top w:val="nil"/>
              <w:left w:val="nil"/>
              <w:bottom w:val="nil"/>
              <w:right w:val="nil"/>
            </w:tcBorders>
            <w:vAlign w:val="center"/>
          </w:tcPr>
          <w:p w14:paraId="6F156C9D" w14:textId="77777777" w:rsidR="005F6E08" w:rsidRPr="00253DE9" w:rsidRDefault="005F6E08" w:rsidP="007F1434">
            <w:pPr>
              <w:rPr>
                <w:bCs/>
              </w:rPr>
            </w:pPr>
            <w:r w:rsidRPr="00253DE9">
              <w:rPr>
                <w:lang w:eastAsia="en-CA"/>
              </w:rPr>
              <w:t xml:space="preserve">Cycle 2: 1996  </w:t>
            </w:r>
          </w:p>
        </w:tc>
        <w:tc>
          <w:tcPr>
            <w:tcW w:w="1701" w:type="dxa"/>
            <w:tcBorders>
              <w:top w:val="nil"/>
              <w:left w:val="nil"/>
              <w:bottom w:val="nil"/>
              <w:right w:val="nil"/>
            </w:tcBorders>
            <w:shd w:val="clear" w:color="auto" w:fill="auto"/>
            <w:noWrap/>
            <w:vAlign w:val="center"/>
            <w:hideMark/>
          </w:tcPr>
          <w:p w14:paraId="23F4ABC9" w14:textId="77777777" w:rsidR="005F6E08" w:rsidRPr="00253DE9" w:rsidRDefault="005F6E08" w:rsidP="00AF3882">
            <w:pPr>
              <w:rPr>
                <w:bCs/>
              </w:rPr>
            </w:pPr>
            <w:r w:rsidRPr="00253DE9">
              <w:rPr>
                <w:bCs/>
              </w:rPr>
              <w:t>0.002</w:t>
            </w:r>
          </w:p>
        </w:tc>
        <w:tc>
          <w:tcPr>
            <w:tcW w:w="1701" w:type="dxa"/>
            <w:tcBorders>
              <w:top w:val="nil"/>
              <w:left w:val="nil"/>
              <w:bottom w:val="nil"/>
              <w:right w:val="nil"/>
            </w:tcBorders>
            <w:shd w:val="clear" w:color="auto" w:fill="auto"/>
            <w:noWrap/>
            <w:vAlign w:val="center"/>
            <w:hideMark/>
          </w:tcPr>
          <w:p w14:paraId="7C6F154F" w14:textId="77777777" w:rsidR="005F6E08" w:rsidRPr="00253DE9" w:rsidRDefault="005F6E08" w:rsidP="0038287D">
            <w:r w:rsidRPr="00253DE9">
              <w:t>0.000</w:t>
            </w:r>
          </w:p>
        </w:tc>
        <w:tc>
          <w:tcPr>
            <w:tcW w:w="1701" w:type="dxa"/>
            <w:tcBorders>
              <w:top w:val="nil"/>
              <w:left w:val="nil"/>
              <w:bottom w:val="nil"/>
              <w:right w:val="nil"/>
            </w:tcBorders>
            <w:shd w:val="clear" w:color="auto" w:fill="auto"/>
            <w:noWrap/>
            <w:vAlign w:val="center"/>
            <w:hideMark/>
          </w:tcPr>
          <w:p w14:paraId="4C9168FE" w14:textId="77777777" w:rsidR="005F6E08" w:rsidRPr="00253DE9" w:rsidRDefault="005F6E08" w:rsidP="0038287D">
            <w:r w:rsidRPr="00253DE9">
              <w:t>0.000</w:t>
            </w:r>
          </w:p>
        </w:tc>
        <w:tc>
          <w:tcPr>
            <w:tcW w:w="1701" w:type="dxa"/>
            <w:tcBorders>
              <w:top w:val="nil"/>
              <w:left w:val="nil"/>
              <w:bottom w:val="nil"/>
              <w:right w:val="nil"/>
            </w:tcBorders>
            <w:shd w:val="clear" w:color="auto" w:fill="auto"/>
            <w:noWrap/>
            <w:vAlign w:val="center"/>
            <w:hideMark/>
          </w:tcPr>
          <w:p w14:paraId="0175A454" w14:textId="77777777" w:rsidR="005F6E08" w:rsidRPr="00253DE9" w:rsidRDefault="005F6E08" w:rsidP="0038287D">
            <w:r w:rsidRPr="00253DE9">
              <w:t>0.000</w:t>
            </w:r>
          </w:p>
        </w:tc>
      </w:tr>
      <w:tr w:rsidR="004A4962" w:rsidRPr="00F65976" w14:paraId="043D0604" w14:textId="77777777" w:rsidTr="00253DE9">
        <w:trPr>
          <w:trHeight w:val="312"/>
        </w:trPr>
        <w:tc>
          <w:tcPr>
            <w:tcW w:w="2943" w:type="dxa"/>
            <w:tcBorders>
              <w:top w:val="nil"/>
              <w:left w:val="nil"/>
              <w:bottom w:val="nil"/>
              <w:right w:val="nil"/>
            </w:tcBorders>
            <w:vAlign w:val="center"/>
          </w:tcPr>
          <w:p w14:paraId="11C3B2C4" w14:textId="77777777" w:rsidR="005F6E08" w:rsidRPr="00253DE9" w:rsidRDefault="005F6E08" w:rsidP="007F1434">
            <w:pPr>
              <w:rPr>
                <w:sz w:val="20"/>
                <w:szCs w:val="20"/>
              </w:rPr>
            </w:pPr>
          </w:p>
        </w:tc>
        <w:tc>
          <w:tcPr>
            <w:tcW w:w="1701" w:type="dxa"/>
            <w:tcBorders>
              <w:top w:val="nil"/>
              <w:left w:val="nil"/>
              <w:bottom w:val="nil"/>
              <w:right w:val="nil"/>
            </w:tcBorders>
            <w:shd w:val="clear" w:color="auto" w:fill="auto"/>
            <w:noWrap/>
            <w:vAlign w:val="center"/>
            <w:hideMark/>
          </w:tcPr>
          <w:p w14:paraId="1BADC45D" w14:textId="77777777" w:rsidR="005F6E08" w:rsidRPr="00253DE9" w:rsidRDefault="005F6E08" w:rsidP="00AF3882">
            <w:pPr>
              <w:rPr>
                <w:sz w:val="18"/>
                <w:szCs w:val="18"/>
              </w:rPr>
            </w:pPr>
            <w:r w:rsidRPr="00253DE9">
              <w:rPr>
                <w:sz w:val="18"/>
                <w:szCs w:val="18"/>
              </w:rPr>
              <w:t>[-0.020, 0.024]</w:t>
            </w:r>
          </w:p>
        </w:tc>
        <w:tc>
          <w:tcPr>
            <w:tcW w:w="1701" w:type="dxa"/>
            <w:tcBorders>
              <w:top w:val="nil"/>
              <w:left w:val="nil"/>
              <w:bottom w:val="nil"/>
              <w:right w:val="nil"/>
            </w:tcBorders>
            <w:shd w:val="clear" w:color="auto" w:fill="auto"/>
            <w:noWrap/>
            <w:vAlign w:val="center"/>
            <w:hideMark/>
          </w:tcPr>
          <w:p w14:paraId="7452D3A0" w14:textId="77777777" w:rsidR="005F6E08" w:rsidRPr="00253DE9" w:rsidRDefault="005F6E08" w:rsidP="0038287D">
            <w:pPr>
              <w:rPr>
                <w:sz w:val="18"/>
                <w:szCs w:val="18"/>
              </w:rPr>
            </w:pPr>
            <w:r w:rsidRPr="00253DE9">
              <w:rPr>
                <w:sz w:val="18"/>
                <w:szCs w:val="18"/>
              </w:rPr>
              <w:t>[0.002, 0.003]</w:t>
            </w:r>
          </w:p>
        </w:tc>
        <w:tc>
          <w:tcPr>
            <w:tcW w:w="1701" w:type="dxa"/>
            <w:tcBorders>
              <w:top w:val="nil"/>
              <w:left w:val="nil"/>
              <w:bottom w:val="nil"/>
              <w:right w:val="nil"/>
            </w:tcBorders>
            <w:shd w:val="clear" w:color="auto" w:fill="auto"/>
            <w:noWrap/>
            <w:vAlign w:val="center"/>
            <w:hideMark/>
          </w:tcPr>
          <w:p w14:paraId="288D8D49" w14:textId="77777777" w:rsidR="005F6E08" w:rsidRPr="00253DE9" w:rsidRDefault="005F6E08" w:rsidP="0038287D">
            <w:pPr>
              <w:rPr>
                <w:sz w:val="18"/>
                <w:szCs w:val="18"/>
              </w:rPr>
            </w:pPr>
            <w:r w:rsidRPr="00253DE9">
              <w:rPr>
                <w:sz w:val="18"/>
                <w:szCs w:val="18"/>
              </w:rPr>
              <w:t>[0.011, 0.009]</w:t>
            </w:r>
          </w:p>
        </w:tc>
        <w:tc>
          <w:tcPr>
            <w:tcW w:w="1701" w:type="dxa"/>
            <w:tcBorders>
              <w:top w:val="nil"/>
              <w:left w:val="nil"/>
              <w:bottom w:val="nil"/>
              <w:right w:val="nil"/>
            </w:tcBorders>
            <w:shd w:val="clear" w:color="auto" w:fill="auto"/>
            <w:noWrap/>
            <w:vAlign w:val="center"/>
            <w:hideMark/>
          </w:tcPr>
          <w:p w14:paraId="5971F7D2" w14:textId="77777777" w:rsidR="005F6E08" w:rsidRPr="00253DE9" w:rsidRDefault="005F6E08" w:rsidP="0038287D">
            <w:pPr>
              <w:rPr>
                <w:sz w:val="18"/>
                <w:szCs w:val="18"/>
              </w:rPr>
            </w:pPr>
            <w:r w:rsidRPr="00253DE9">
              <w:rPr>
                <w:sz w:val="18"/>
                <w:szCs w:val="18"/>
              </w:rPr>
              <w:t>[0.011, 0.009]</w:t>
            </w:r>
          </w:p>
        </w:tc>
      </w:tr>
      <w:tr w:rsidR="004A4962" w:rsidRPr="00F65976" w14:paraId="21E5D1DF" w14:textId="77777777" w:rsidTr="00253DE9">
        <w:trPr>
          <w:trHeight w:val="312"/>
        </w:trPr>
        <w:tc>
          <w:tcPr>
            <w:tcW w:w="2943" w:type="dxa"/>
            <w:tcBorders>
              <w:top w:val="nil"/>
              <w:left w:val="nil"/>
              <w:bottom w:val="nil"/>
              <w:right w:val="nil"/>
            </w:tcBorders>
            <w:vAlign w:val="center"/>
          </w:tcPr>
          <w:p w14:paraId="341C68F2" w14:textId="77777777" w:rsidR="005F6E08" w:rsidRPr="00253DE9" w:rsidRDefault="005F6E08" w:rsidP="007F1434">
            <w:pPr>
              <w:rPr>
                <w:bCs/>
              </w:rPr>
            </w:pPr>
            <w:r w:rsidRPr="00253DE9">
              <w:rPr>
                <w:lang w:eastAsia="en-CA"/>
              </w:rPr>
              <w:t xml:space="preserve">Cycle 3: 1998  </w:t>
            </w:r>
          </w:p>
        </w:tc>
        <w:tc>
          <w:tcPr>
            <w:tcW w:w="1701" w:type="dxa"/>
            <w:tcBorders>
              <w:top w:val="nil"/>
              <w:left w:val="nil"/>
              <w:bottom w:val="nil"/>
              <w:right w:val="nil"/>
            </w:tcBorders>
            <w:shd w:val="clear" w:color="auto" w:fill="auto"/>
            <w:noWrap/>
            <w:vAlign w:val="center"/>
            <w:hideMark/>
          </w:tcPr>
          <w:p w14:paraId="40F2ED2C" w14:textId="77777777" w:rsidR="005F6E08" w:rsidRPr="00253DE9" w:rsidRDefault="005F6E08" w:rsidP="00AF3882">
            <w:pPr>
              <w:rPr>
                <w:bCs/>
              </w:rPr>
            </w:pPr>
            <w:r w:rsidRPr="00253DE9">
              <w:rPr>
                <w:bCs/>
              </w:rPr>
              <w:t>0.008</w:t>
            </w:r>
          </w:p>
        </w:tc>
        <w:tc>
          <w:tcPr>
            <w:tcW w:w="1701" w:type="dxa"/>
            <w:tcBorders>
              <w:top w:val="nil"/>
              <w:left w:val="nil"/>
              <w:bottom w:val="nil"/>
              <w:right w:val="nil"/>
            </w:tcBorders>
            <w:shd w:val="clear" w:color="auto" w:fill="auto"/>
            <w:noWrap/>
            <w:vAlign w:val="center"/>
            <w:hideMark/>
          </w:tcPr>
          <w:p w14:paraId="428181FB" w14:textId="77777777" w:rsidR="005F6E08" w:rsidRPr="00253DE9" w:rsidRDefault="005F6E08" w:rsidP="0038287D">
            <w:r w:rsidRPr="00253DE9">
              <w:t>0.009</w:t>
            </w:r>
          </w:p>
        </w:tc>
        <w:tc>
          <w:tcPr>
            <w:tcW w:w="1701" w:type="dxa"/>
            <w:tcBorders>
              <w:top w:val="nil"/>
              <w:left w:val="nil"/>
              <w:bottom w:val="nil"/>
              <w:right w:val="nil"/>
            </w:tcBorders>
            <w:shd w:val="clear" w:color="auto" w:fill="auto"/>
            <w:noWrap/>
            <w:vAlign w:val="center"/>
            <w:hideMark/>
          </w:tcPr>
          <w:p w14:paraId="7D646195" w14:textId="77777777" w:rsidR="005F6E08" w:rsidRPr="00253DE9" w:rsidRDefault="005F6E08" w:rsidP="0038287D">
            <w:r w:rsidRPr="00253DE9">
              <w:t>-0.004</w:t>
            </w:r>
          </w:p>
        </w:tc>
        <w:tc>
          <w:tcPr>
            <w:tcW w:w="1701" w:type="dxa"/>
            <w:tcBorders>
              <w:top w:val="nil"/>
              <w:left w:val="nil"/>
              <w:bottom w:val="nil"/>
              <w:right w:val="nil"/>
            </w:tcBorders>
            <w:shd w:val="clear" w:color="auto" w:fill="auto"/>
            <w:noWrap/>
            <w:vAlign w:val="center"/>
            <w:hideMark/>
          </w:tcPr>
          <w:p w14:paraId="0F008472" w14:textId="77777777" w:rsidR="005F6E08" w:rsidRPr="00253DE9" w:rsidRDefault="005F6E08" w:rsidP="0038287D">
            <w:r w:rsidRPr="00253DE9">
              <w:t>-0.006</w:t>
            </w:r>
          </w:p>
        </w:tc>
      </w:tr>
      <w:tr w:rsidR="004A4962" w:rsidRPr="00F65976" w14:paraId="15E4C5A2" w14:textId="77777777" w:rsidTr="00253DE9">
        <w:trPr>
          <w:trHeight w:val="312"/>
        </w:trPr>
        <w:tc>
          <w:tcPr>
            <w:tcW w:w="2943" w:type="dxa"/>
            <w:tcBorders>
              <w:top w:val="nil"/>
              <w:left w:val="nil"/>
              <w:bottom w:val="nil"/>
              <w:right w:val="nil"/>
            </w:tcBorders>
            <w:vAlign w:val="center"/>
          </w:tcPr>
          <w:p w14:paraId="08B1244B" w14:textId="77777777" w:rsidR="005F6E08" w:rsidRPr="00253DE9" w:rsidRDefault="005F6E08" w:rsidP="007F1434">
            <w:pPr>
              <w:rPr>
                <w:sz w:val="20"/>
                <w:szCs w:val="20"/>
              </w:rPr>
            </w:pPr>
          </w:p>
        </w:tc>
        <w:tc>
          <w:tcPr>
            <w:tcW w:w="1701" w:type="dxa"/>
            <w:tcBorders>
              <w:top w:val="nil"/>
              <w:left w:val="nil"/>
              <w:bottom w:val="nil"/>
              <w:right w:val="nil"/>
            </w:tcBorders>
            <w:shd w:val="clear" w:color="auto" w:fill="auto"/>
            <w:noWrap/>
            <w:vAlign w:val="center"/>
            <w:hideMark/>
          </w:tcPr>
          <w:p w14:paraId="0ECA0147" w14:textId="77777777" w:rsidR="005F6E08" w:rsidRPr="00253DE9" w:rsidRDefault="005F6E08" w:rsidP="00AF3882">
            <w:pPr>
              <w:rPr>
                <w:sz w:val="18"/>
                <w:szCs w:val="18"/>
              </w:rPr>
            </w:pPr>
            <w:r w:rsidRPr="00253DE9">
              <w:rPr>
                <w:sz w:val="18"/>
                <w:szCs w:val="18"/>
              </w:rPr>
              <w:t>[-0.012, 0.029]</w:t>
            </w:r>
          </w:p>
        </w:tc>
        <w:tc>
          <w:tcPr>
            <w:tcW w:w="1701" w:type="dxa"/>
            <w:tcBorders>
              <w:top w:val="nil"/>
              <w:left w:val="nil"/>
              <w:bottom w:val="nil"/>
              <w:right w:val="nil"/>
            </w:tcBorders>
            <w:shd w:val="clear" w:color="auto" w:fill="auto"/>
            <w:noWrap/>
            <w:vAlign w:val="center"/>
            <w:hideMark/>
          </w:tcPr>
          <w:p w14:paraId="769FC4D3" w14:textId="77777777" w:rsidR="005F6E08" w:rsidRPr="00253DE9" w:rsidRDefault="005F6E08" w:rsidP="0038287D">
            <w:pPr>
              <w:rPr>
                <w:sz w:val="18"/>
                <w:szCs w:val="18"/>
              </w:rPr>
            </w:pPr>
            <w:r w:rsidRPr="00253DE9">
              <w:rPr>
                <w:sz w:val="18"/>
                <w:szCs w:val="18"/>
              </w:rPr>
              <w:t>[-0.014, 0.032]</w:t>
            </w:r>
          </w:p>
        </w:tc>
        <w:tc>
          <w:tcPr>
            <w:tcW w:w="1701" w:type="dxa"/>
            <w:tcBorders>
              <w:top w:val="nil"/>
              <w:left w:val="nil"/>
              <w:bottom w:val="nil"/>
              <w:right w:val="nil"/>
            </w:tcBorders>
            <w:shd w:val="clear" w:color="auto" w:fill="auto"/>
            <w:noWrap/>
            <w:vAlign w:val="center"/>
            <w:hideMark/>
          </w:tcPr>
          <w:p w14:paraId="6A4ED028" w14:textId="77777777" w:rsidR="005F6E08" w:rsidRPr="00253DE9" w:rsidRDefault="005F6E08" w:rsidP="0038287D">
            <w:pPr>
              <w:rPr>
                <w:sz w:val="18"/>
                <w:szCs w:val="18"/>
              </w:rPr>
            </w:pPr>
            <w:r w:rsidRPr="00253DE9">
              <w:rPr>
                <w:sz w:val="18"/>
                <w:szCs w:val="18"/>
              </w:rPr>
              <w:t>[-0.016, 0.007]</w:t>
            </w:r>
          </w:p>
        </w:tc>
        <w:tc>
          <w:tcPr>
            <w:tcW w:w="1701" w:type="dxa"/>
            <w:tcBorders>
              <w:top w:val="nil"/>
              <w:left w:val="nil"/>
              <w:bottom w:val="nil"/>
              <w:right w:val="nil"/>
            </w:tcBorders>
            <w:shd w:val="clear" w:color="auto" w:fill="auto"/>
            <w:noWrap/>
            <w:vAlign w:val="center"/>
            <w:hideMark/>
          </w:tcPr>
          <w:p w14:paraId="6C9471F5" w14:textId="77777777" w:rsidR="005F6E08" w:rsidRPr="00253DE9" w:rsidRDefault="005F6E08" w:rsidP="0038287D">
            <w:pPr>
              <w:rPr>
                <w:sz w:val="18"/>
                <w:szCs w:val="18"/>
              </w:rPr>
            </w:pPr>
            <w:r w:rsidRPr="00253DE9">
              <w:rPr>
                <w:sz w:val="18"/>
                <w:szCs w:val="18"/>
              </w:rPr>
              <w:t>[-0.020, 0.009]</w:t>
            </w:r>
          </w:p>
        </w:tc>
      </w:tr>
      <w:tr w:rsidR="004A4962" w:rsidRPr="00F65976" w14:paraId="7CA8845A" w14:textId="77777777" w:rsidTr="00253DE9">
        <w:trPr>
          <w:trHeight w:val="312"/>
        </w:trPr>
        <w:tc>
          <w:tcPr>
            <w:tcW w:w="2943" w:type="dxa"/>
            <w:tcBorders>
              <w:top w:val="nil"/>
              <w:left w:val="nil"/>
              <w:bottom w:val="nil"/>
              <w:right w:val="nil"/>
            </w:tcBorders>
            <w:vAlign w:val="center"/>
          </w:tcPr>
          <w:p w14:paraId="047E9479" w14:textId="77777777" w:rsidR="005F6E08" w:rsidRPr="00253DE9" w:rsidRDefault="005F6E08" w:rsidP="007F1434">
            <w:pPr>
              <w:rPr>
                <w:bCs/>
              </w:rPr>
            </w:pPr>
            <w:r w:rsidRPr="00253DE9">
              <w:rPr>
                <w:lang w:eastAsia="en-CA"/>
              </w:rPr>
              <w:t xml:space="preserve">Cycle 4: 2000  </w:t>
            </w:r>
          </w:p>
        </w:tc>
        <w:tc>
          <w:tcPr>
            <w:tcW w:w="1701" w:type="dxa"/>
            <w:tcBorders>
              <w:top w:val="nil"/>
              <w:left w:val="nil"/>
              <w:bottom w:val="nil"/>
              <w:right w:val="nil"/>
            </w:tcBorders>
            <w:shd w:val="clear" w:color="auto" w:fill="auto"/>
            <w:noWrap/>
            <w:vAlign w:val="center"/>
            <w:hideMark/>
          </w:tcPr>
          <w:p w14:paraId="0712976A" w14:textId="77777777" w:rsidR="005F6E08" w:rsidRPr="00253DE9" w:rsidRDefault="005F6E08" w:rsidP="00AF3882">
            <w:pPr>
              <w:rPr>
                <w:b/>
                <w:bCs/>
              </w:rPr>
            </w:pPr>
            <w:r w:rsidRPr="00253DE9">
              <w:rPr>
                <w:b/>
                <w:bCs/>
              </w:rPr>
              <w:t>-0.046***</w:t>
            </w:r>
          </w:p>
        </w:tc>
        <w:tc>
          <w:tcPr>
            <w:tcW w:w="1701" w:type="dxa"/>
            <w:tcBorders>
              <w:top w:val="nil"/>
              <w:left w:val="nil"/>
              <w:bottom w:val="nil"/>
              <w:right w:val="nil"/>
            </w:tcBorders>
            <w:shd w:val="clear" w:color="auto" w:fill="auto"/>
            <w:noWrap/>
            <w:vAlign w:val="center"/>
            <w:hideMark/>
          </w:tcPr>
          <w:p w14:paraId="6F476C7C" w14:textId="77777777" w:rsidR="005F6E08" w:rsidRPr="00253DE9" w:rsidRDefault="005F6E08" w:rsidP="0038287D">
            <w:pPr>
              <w:rPr>
                <w:b/>
                <w:bCs/>
              </w:rPr>
            </w:pPr>
            <w:r w:rsidRPr="00253DE9">
              <w:rPr>
                <w:b/>
                <w:bCs/>
              </w:rPr>
              <w:t>-0.010***</w:t>
            </w:r>
          </w:p>
        </w:tc>
        <w:tc>
          <w:tcPr>
            <w:tcW w:w="1701" w:type="dxa"/>
            <w:tcBorders>
              <w:top w:val="nil"/>
              <w:left w:val="nil"/>
              <w:bottom w:val="nil"/>
              <w:right w:val="nil"/>
            </w:tcBorders>
            <w:shd w:val="clear" w:color="auto" w:fill="auto"/>
            <w:noWrap/>
            <w:vAlign w:val="center"/>
            <w:hideMark/>
          </w:tcPr>
          <w:p w14:paraId="2219CCFB" w14:textId="77777777" w:rsidR="005F6E08" w:rsidRPr="00253DE9" w:rsidRDefault="005F6E08" w:rsidP="0038287D">
            <w:pPr>
              <w:rPr>
                <w:b/>
                <w:bCs/>
              </w:rPr>
            </w:pPr>
            <w:r w:rsidRPr="00253DE9">
              <w:rPr>
                <w:b/>
                <w:bCs/>
              </w:rPr>
              <w:t>0.018***</w:t>
            </w:r>
          </w:p>
        </w:tc>
        <w:tc>
          <w:tcPr>
            <w:tcW w:w="1701" w:type="dxa"/>
            <w:tcBorders>
              <w:top w:val="nil"/>
              <w:left w:val="nil"/>
              <w:bottom w:val="nil"/>
              <w:right w:val="nil"/>
            </w:tcBorders>
            <w:shd w:val="clear" w:color="auto" w:fill="auto"/>
            <w:noWrap/>
            <w:vAlign w:val="center"/>
            <w:hideMark/>
          </w:tcPr>
          <w:p w14:paraId="52D97D4B" w14:textId="77777777" w:rsidR="005F6E08" w:rsidRPr="00253DE9" w:rsidRDefault="005F6E08" w:rsidP="0038287D">
            <w:pPr>
              <w:rPr>
                <w:b/>
              </w:rPr>
            </w:pPr>
            <w:r w:rsidRPr="00253DE9">
              <w:rPr>
                <w:b/>
              </w:rPr>
              <w:t>0.038</w:t>
            </w:r>
            <w:r w:rsidRPr="00253DE9">
              <w:rPr>
                <w:b/>
                <w:bCs/>
              </w:rPr>
              <w:t>***</w:t>
            </w:r>
          </w:p>
        </w:tc>
      </w:tr>
      <w:tr w:rsidR="004A4962" w:rsidRPr="00F65976" w14:paraId="42070A91" w14:textId="77777777" w:rsidTr="00253DE9">
        <w:trPr>
          <w:trHeight w:val="312"/>
        </w:trPr>
        <w:tc>
          <w:tcPr>
            <w:tcW w:w="2943" w:type="dxa"/>
            <w:tcBorders>
              <w:top w:val="nil"/>
              <w:left w:val="nil"/>
              <w:bottom w:val="nil"/>
              <w:right w:val="nil"/>
            </w:tcBorders>
            <w:vAlign w:val="center"/>
          </w:tcPr>
          <w:p w14:paraId="67EA764A" w14:textId="77777777" w:rsidR="005F6E08" w:rsidRPr="00253DE9" w:rsidRDefault="005F6E08" w:rsidP="007F1434">
            <w:pPr>
              <w:rPr>
                <w:sz w:val="20"/>
                <w:szCs w:val="20"/>
              </w:rPr>
            </w:pPr>
          </w:p>
        </w:tc>
        <w:tc>
          <w:tcPr>
            <w:tcW w:w="1701" w:type="dxa"/>
            <w:tcBorders>
              <w:top w:val="nil"/>
              <w:left w:val="nil"/>
              <w:bottom w:val="nil"/>
              <w:right w:val="nil"/>
            </w:tcBorders>
            <w:shd w:val="clear" w:color="auto" w:fill="auto"/>
            <w:noWrap/>
            <w:vAlign w:val="center"/>
            <w:hideMark/>
          </w:tcPr>
          <w:p w14:paraId="28C8EFFE" w14:textId="77777777" w:rsidR="005F6E08" w:rsidRPr="00253DE9" w:rsidRDefault="005F6E08" w:rsidP="00AF3882">
            <w:pPr>
              <w:rPr>
                <w:sz w:val="18"/>
                <w:szCs w:val="18"/>
              </w:rPr>
            </w:pPr>
            <w:r w:rsidRPr="00253DE9">
              <w:rPr>
                <w:sz w:val="18"/>
                <w:szCs w:val="18"/>
              </w:rPr>
              <w:t>[-0.066, -0.024]</w:t>
            </w:r>
          </w:p>
        </w:tc>
        <w:tc>
          <w:tcPr>
            <w:tcW w:w="1701" w:type="dxa"/>
            <w:tcBorders>
              <w:top w:val="nil"/>
              <w:left w:val="nil"/>
              <w:bottom w:val="nil"/>
              <w:right w:val="nil"/>
            </w:tcBorders>
            <w:shd w:val="clear" w:color="auto" w:fill="auto"/>
            <w:noWrap/>
            <w:vAlign w:val="center"/>
            <w:hideMark/>
          </w:tcPr>
          <w:p w14:paraId="3FABA775" w14:textId="77777777" w:rsidR="005F6E08" w:rsidRPr="00253DE9" w:rsidRDefault="005F6E08" w:rsidP="0038287D">
            <w:pPr>
              <w:rPr>
                <w:sz w:val="18"/>
                <w:szCs w:val="18"/>
              </w:rPr>
            </w:pPr>
            <w:r w:rsidRPr="00253DE9">
              <w:rPr>
                <w:sz w:val="18"/>
                <w:szCs w:val="18"/>
              </w:rPr>
              <w:t>[-0.016, -0.004]</w:t>
            </w:r>
          </w:p>
        </w:tc>
        <w:tc>
          <w:tcPr>
            <w:tcW w:w="1701" w:type="dxa"/>
            <w:tcBorders>
              <w:top w:val="nil"/>
              <w:left w:val="nil"/>
              <w:bottom w:val="nil"/>
              <w:right w:val="nil"/>
            </w:tcBorders>
            <w:shd w:val="clear" w:color="auto" w:fill="auto"/>
            <w:noWrap/>
            <w:vAlign w:val="center"/>
            <w:hideMark/>
          </w:tcPr>
          <w:p w14:paraId="37441895" w14:textId="77777777" w:rsidR="005F6E08" w:rsidRPr="00253DE9" w:rsidRDefault="005F6E08" w:rsidP="0038287D">
            <w:pPr>
              <w:rPr>
                <w:sz w:val="18"/>
                <w:szCs w:val="18"/>
              </w:rPr>
            </w:pPr>
            <w:r w:rsidRPr="00253DE9">
              <w:rPr>
                <w:sz w:val="18"/>
                <w:szCs w:val="18"/>
              </w:rPr>
              <w:t>[0.011,  0.026]</w:t>
            </w:r>
          </w:p>
        </w:tc>
        <w:tc>
          <w:tcPr>
            <w:tcW w:w="1701" w:type="dxa"/>
            <w:tcBorders>
              <w:top w:val="nil"/>
              <w:left w:val="nil"/>
              <w:bottom w:val="nil"/>
              <w:right w:val="nil"/>
            </w:tcBorders>
            <w:shd w:val="clear" w:color="auto" w:fill="auto"/>
            <w:noWrap/>
            <w:vAlign w:val="center"/>
            <w:hideMark/>
          </w:tcPr>
          <w:p w14:paraId="4A6FE73E" w14:textId="77777777" w:rsidR="005F6E08" w:rsidRPr="00253DE9" w:rsidRDefault="005F6E08" w:rsidP="0038287D">
            <w:pPr>
              <w:rPr>
                <w:sz w:val="18"/>
                <w:szCs w:val="18"/>
              </w:rPr>
            </w:pPr>
            <w:r w:rsidRPr="00253DE9">
              <w:rPr>
                <w:sz w:val="18"/>
                <w:szCs w:val="18"/>
              </w:rPr>
              <w:t>[0.018, 0.057]</w:t>
            </w:r>
          </w:p>
        </w:tc>
      </w:tr>
      <w:tr w:rsidR="004A4962" w:rsidRPr="00F65976" w14:paraId="2D200E72" w14:textId="77777777" w:rsidTr="00253DE9">
        <w:trPr>
          <w:trHeight w:val="312"/>
        </w:trPr>
        <w:tc>
          <w:tcPr>
            <w:tcW w:w="2943" w:type="dxa"/>
            <w:tcBorders>
              <w:top w:val="nil"/>
              <w:left w:val="nil"/>
              <w:bottom w:val="nil"/>
              <w:right w:val="nil"/>
            </w:tcBorders>
            <w:vAlign w:val="center"/>
          </w:tcPr>
          <w:p w14:paraId="232D3CBC" w14:textId="77777777" w:rsidR="005F6E08" w:rsidRPr="00253DE9" w:rsidRDefault="005F6E08" w:rsidP="007F1434">
            <w:pPr>
              <w:rPr>
                <w:bCs/>
              </w:rPr>
            </w:pPr>
            <w:r w:rsidRPr="00253DE9">
              <w:rPr>
                <w:lang w:eastAsia="en-CA"/>
              </w:rPr>
              <w:t>Cycle 5: 2002</w:t>
            </w:r>
          </w:p>
        </w:tc>
        <w:tc>
          <w:tcPr>
            <w:tcW w:w="1701" w:type="dxa"/>
            <w:tcBorders>
              <w:top w:val="nil"/>
              <w:left w:val="nil"/>
              <w:bottom w:val="nil"/>
              <w:right w:val="nil"/>
            </w:tcBorders>
            <w:shd w:val="clear" w:color="auto" w:fill="auto"/>
            <w:noWrap/>
            <w:vAlign w:val="center"/>
            <w:hideMark/>
          </w:tcPr>
          <w:p w14:paraId="197FCCE5" w14:textId="77777777" w:rsidR="005F6E08" w:rsidRPr="00253DE9" w:rsidRDefault="005F6E08" w:rsidP="00AF3882">
            <w:pPr>
              <w:rPr>
                <w:b/>
                <w:bCs/>
              </w:rPr>
            </w:pPr>
            <w:r w:rsidRPr="00253DE9">
              <w:rPr>
                <w:b/>
                <w:bCs/>
              </w:rPr>
              <w:t>-0.071***</w:t>
            </w:r>
          </w:p>
        </w:tc>
        <w:tc>
          <w:tcPr>
            <w:tcW w:w="1701" w:type="dxa"/>
            <w:tcBorders>
              <w:top w:val="nil"/>
              <w:left w:val="nil"/>
              <w:bottom w:val="nil"/>
              <w:right w:val="nil"/>
            </w:tcBorders>
            <w:shd w:val="clear" w:color="auto" w:fill="auto"/>
            <w:noWrap/>
            <w:vAlign w:val="center"/>
            <w:hideMark/>
          </w:tcPr>
          <w:p w14:paraId="56E42370" w14:textId="77777777" w:rsidR="005F6E08" w:rsidRPr="00253DE9" w:rsidRDefault="005F6E08" w:rsidP="0038287D">
            <w:pPr>
              <w:rPr>
                <w:b/>
              </w:rPr>
            </w:pPr>
            <w:r w:rsidRPr="00253DE9">
              <w:rPr>
                <w:b/>
              </w:rPr>
              <w:t>-0.020</w:t>
            </w:r>
            <w:r w:rsidRPr="00253DE9">
              <w:rPr>
                <w:b/>
                <w:bCs/>
              </w:rPr>
              <w:t>***</w:t>
            </w:r>
          </w:p>
        </w:tc>
        <w:tc>
          <w:tcPr>
            <w:tcW w:w="1701" w:type="dxa"/>
            <w:tcBorders>
              <w:top w:val="nil"/>
              <w:left w:val="nil"/>
              <w:bottom w:val="nil"/>
              <w:right w:val="nil"/>
            </w:tcBorders>
            <w:shd w:val="clear" w:color="auto" w:fill="auto"/>
            <w:noWrap/>
            <w:vAlign w:val="center"/>
            <w:hideMark/>
          </w:tcPr>
          <w:p w14:paraId="09306D03" w14:textId="77777777" w:rsidR="005F6E08" w:rsidRPr="00253DE9" w:rsidRDefault="005F6E08" w:rsidP="0038287D">
            <w:pPr>
              <w:rPr>
                <w:b/>
              </w:rPr>
            </w:pPr>
            <w:r w:rsidRPr="00253DE9">
              <w:rPr>
                <w:b/>
              </w:rPr>
              <w:t>0.023</w:t>
            </w:r>
            <w:r w:rsidRPr="00253DE9">
              <w:rPr>
                <w:b/>
                <w:bCs/>
              </w:rPr>
              <w:t>***</w:t>
            </w:r>
          </w:p>
        </w:tc>
        <w:tc>
          <w:tcPr>
            <w:tcW w:w="1701" w:type="dxa"/>
            <w:tcBorders>
              <w:top w:val="nil"/>
              <w:left w:val="nil"/>
              <w:bottom w:val="nil"/>
              <w:right w:val="nil"/>
            </w:tcBorders>
            <w:shd w:val="clear" w:color="auto" w:fill="auto"/>
            <w:noWrap/>
            <w:vAlign w:val="center"/>
            <w:hideMark/>
          </w:tcPr>
          <w:p w14:paraId="21D2C018" w14:textId="77777777" w:rsidR="005F6E08" w:rsidRPr="00253DE9" w:rsidRDefault="005F6E08" w:rsidP="0038287D">
            <w:pPr>
              <w:rPr>
                <w:b/>
                <w:bCs/>
              </w:rPr>
            </w:pPr>
            <w:r w:rsidRPr="00253DE9">
              <w:rPr>
                <w:b/>
                <w:bCs/>
              </w:rPr>
              <w:t>0.069***</w:t>
            </w:r>
          </w:p>
        </w:tc>
      </w:tr>
      <w:tr w:rsidR="004A4962" w:rsidRPr="00F65976" w14:paraId="38455DC3" w14:textId="77777777" w:rsidTr="00253DE9">
        <w:trPr>
          <w:trHeight w:val="312"/>
        </w:trPr>
        <w:tc>
          <w:tcPr>
            <w:tcW w:w="2943" w:type="dxa"/>
            <w:tcBorders>
              <w:top w:val="nil"/>
              <w:left w:val="nil"/>
              <w:bottom w:val="nil"/>
              <w:right w:val="nil"/>
            </w:tcBorders>
            <w:vAlign w:val="center"/>
          </w:tcPr>
          <w:p w14:paraId="41D6E7F5" w14:textId="77777777" w:rsidR="005F6E08" w:rsidRPr="00253DE9" w:rsidRDefault="005F6E08" w:rsidP="007F1434">
            <w:pPr>
              <w:rPr>
                <w:sz w:val="20"/>
                <w:szCs w:val="20"/>
              </w:rPr>
            </w:pPr>
          </w:p>
        </w:tc>
        <w:tc>
          <w:tcPr>
            <w:tcW w:w="1701" w:type="dxa"/>
            <w:tcBorders>
              <w:top w:val="nil"/>
              <w:left w:val="nil"/>
              <w:bottom w:val="nil"/>
              <w:right w:val="nil"/>
            </w:tcBorders>
            <w:shd w:val="clear" w:color="auto" w:fill="auto"/>
            <w:noWrap/>
            <w:vAlign w:val="center"/>
            <w:hideMark/>
          </w:tcPr>
          <w:p w14:paraId="6C8D72D9" w14:textId="77777777" w:rsidR="005F6E08" w:rsidRPr="00253DE9" w:rsidRDefault="005F6E08" w:rsidP="00AF3882">
            <w:pPr>
              <w:rPr>
                <w:sz w:val="18"/>
                <w:szCs w:val="18"/>
              </w:rPr>
            </w:pPr>
            <w:r w:rsidRPr="00253DE9">
              <w:rPr>
                <w:sz w:val="18"/>
                <w:szCs w:val="18"/>
              </w:rPr>
              <w:t>[-0.099, -0.053]</w:t>
            </w:r>
          </w:p>
        </w:tc>
        <w:tc>
          <w:tcPr>
            <w:tcW w:w="1701" w:type="dxa"/>
            <w:tcBorders>
              <w:top w:val="nil"/>
              <w:left w:val="nil"/>
              <w:bottom w:val="nil"/>
              <w:right w:val="nil"/>
            </w:tcBorders>
            <w:shd w:val="clear" w:color="auto" w:fill="auto"/>
            <w:noWrap/>
            <w:vAlign w:val="center"/>
            <w:hideMark/>
          </w:tcPr>
          <w:p w14:paraId="097BEEAA" w14:textId="77777777" w:rsidR="005F6E08" w:rsidRPr="00253DE9" w:rsidRDefault="005F6E08" w:rsidP="0038287D">
            <w:pPr>
              <w:rPr>
                <w:sz w:val="18"/>
                <w:szCs w:val="18"/>
              </w:rPr>
            </w:pPr>
            <w:r w:rsidRPr="00253DE9">
              <w:rPr>
                <w:sz w:val="18"/>
                <w:szCs w:val="18"/>
              </w:rPr>
              <w:t>[-0.028, -0.013]</w:t>
            </w:r>
          </w:p>
        </w:tc>
        <w:tc>
          <w:tcPr>
            <w:tcW w:w="1701" w:type="dxa"/>
            <w:tcBorders>
              <w:top w:val="nil"/>
              <w:left w:val="nil"/>
              <w:bottom w:val="nil"/>
              <w:right w:val="nil"/>
            </w:tcBorders>
            <w:shd w:val="clear" w:color="auto" w:fill="auto"/>
            <w:noWrap/>
            <w:vAlign w:val="center"/>
            <w:hideMark/>
          </w:tcPr>
          <w:p w14:paraId="727F9E96" w14:textId="77777777" w:rsidR="005F6E08" w:rsidRPr="00253DE9" w:rsidRDefault="005F6E08" w:rsidP="0038287D">
            <w:pPr>
              <w:rPr>
                <w:sz w:val="18"/>
                <w:szCs w:val="18"/>
              </w:rPr>
            </w:pPr>
            <w:r w:rsidRPr="00253DE9">
              <w:rPr>
                <w:sz w:val="18"/>
                <w:szCs w:val="18"/>
              </w:rPr>
              <w:t>[0.017, 0.029]</w:t>
            </w:r>
          </w:p>
        </w:tc>
        <w:tc>
          <w:tcPr>
            <w:tcW w:w="1701" w:type="dxa"/>
            <w:tcBorders>
              <w:top w:val="nil"/>
              <w:left w:val="nil"/>
              <w:bottom w:val="nil"/>
              <w:right w:val="nil"/>
            </w:tcBorders>
            <w:shd w:val="clear" w:color="auto" w:fill="auto"/>
            <w:noWrap/>
            <w:vAlign w:val="center"/>
            <w:hideMark/>
          </w:tcPr>
          <w:p w14:paraId="24F3CE7D" w14:textId="77777777" w:rsidR="005F6E08" w:rsidRPr="00253DE9" w:rsidRDefault="005F6E08" w:rsidP="0038287D">
            <w:pPr>
              <w:rPr>
                <w:sz w:val="18"/>
                <w:szCs w:val="18"/>
              </w:rPr>
            </w:pPr>
            <w:r w:rsidRPr="00253DE9">
              <w:rPr>
                <w:sz w:val="18"/>
                <w:szCs w:val="18"/>
              </w:rPr>
              <w:t>[0.046, 0.092]</w:t>
            </w:r>
          </w:p>
        </w:tc>
      </w:tr>
      <w:tr w:rsidR="004A4962" w:rsidRPr="00F65976" w14:paraId="3F6765B2" w14:textId="77777777" w:rsidTr="00253DE9">
        <w:trPr>
          <w:trHeight w:val="312"/>
        </w:trPr>
        <w:tc>
          <w:tcPr>
            <w:tcW w:w="2943" w:type="dxa"/>
            <w:tcBorders>
              <w:top w:val="nil"/>
              <w:left w:val="nil"/>
              <w:bottom w:val="nil"/>
              <w:right w:val="nil"/>
            </w:tcBorders>
            <w:vAlign w:val="center"/>
          </w:tcPr>
          <w:p w14:paraId="582ADF33" w14:textId="77777777" w:rsidR="005F6E08" w:rsidRPr="00253DE9" w:rsidRDefault="005F6E08" w:rsidP="007F1434">
            <w:pPr>
              <w:rPr>
                <w:bCs/>
              </w:rPr>
            </w:pPr>
            <w:r w:rsidRPr="00253DE9">
              <w:rPr>
                <w:lang w:eastAsia="en-CA"/>
              </w:rPr>
              <w:t xml:space="preserve">Cycle 6: 2004  </w:t>
            </w:r>
          </w:p>
        </w:tc>
        <w:tc>
          <w:tcPr>
            <w:tcW w:w="1701" w:type="dxa"/>
            <w:tcBorders>
              <w:top w:val="nil"/>
              <w:left w:val="nil"/>
              <w:bottom w:val="nil"/>
              <w:right w:val="nil"/>
            </w:tcBorders>
            <w:shd w:val="clear" w:color="auto" w:fill="auto"/>
            <w:noWrap/>
            <w:vAlign w:val="center"/>
            <w:hideMark/>
          </w:tcPr>
          <w:p w14:paraId="7FC18DCD" w14:textId="77777777" w:rsidR="005F6E08" w:rsidRPr="00253DE9" w:rsidRDefault="005F6E08" w:rsidP="00AF3882">
            <w:pPr>
              <w:rPr>
                <w:b/>
                <w:bCs/>
              </w:rPr>
            </w:pPr>
            <w:r w:rsidRPr="00253DE9">
              <w:rPr>
                <w:b/>
                <w:bCs/>
              </w:rPr>
              <w:t>-0.072***</w:t>
            </w:r>
          </w:p>
        </w:tc>
        <w:tc>
          <w:tcPr>
            <w:tcW w:w="1701" w:type="dxa"/>
            <w:tcBorders>
              <w:top w:val="nil"/>
              <w:left w:val="nil"/>
              <w:bottom w:val="nil"/>
              <w:right w:val="nil"/>
            </w:tcBorders>
            <w:shd w:val="clear" w:color="auto" w:fill="auto"/>
            <w:noWrap/>
            <w:vAlign w:val="center"/>
            <w:hideMark/>
          </w:tcPr>
          <w:p w14:paraId="3F69EF5A" w14:textId="77777777" w:rsidR="005F6E08" w:rsidRPr="00253DE9" w:rsidRDefault="005F6E08" w:rsidP="0038287D">
            <w:pPr>
              <w:rPr>
                <w:b/>
              </w:rPr>
            </w:pPr>
            <w:r w:rsidRPr="00253DE9">
              <w:rPr>
                <w:b/>
              </w:rPr>
              <w:t>-0.021</w:t>
            </w:r>
            <w:r w:rsidRPr="00253DE9">
              <w:rPr>
                <w:b/>
                <w:bCs/>
              </w:rPr>
              <w:t>***</w:t>
            </w:r>
          </w:p>
        </w:tc>
        <w:tc>
          <w:tcPr>
            <w:tcW w:w="1701" w:type="dxa"/>
            <w:tcBorders>
              <w:top w:val="nil"/>
              <w:left w:val="nil"/>
              <w:bottom w:val="nil"/>
              <w:right w:val="nil"/>
            </w:tcBorders>
            <w:shd w:val="clear" w:color="auto" w:fill="auto"/>
            <w:noWrap/>
            <w:vAlign w:val="center"/>
            <w:hideMark/>
          </w:tcPr>
          <w:p w14:paraId="5E102F87" w14:textId="77777777" w:rsidR="005F6E08" w:rsidRPr="00253DE9" w:rsidRDefault="005F6E08" w:rsidP="0038287D">
            <w:pPr>
              <w:rPr>
                <w:b/>
                <w:bCs/>
              </w:rPr>
            </w:pPr>
            <w:r w:rsidRPr="00253DE9">
              <w:rPr>
                <w:b/>
                <w:bCs/>
              </w:rPr>
              <w:t>0.023***</w:t>
            </w:r>
          </w:p>
        </w:tc>
        <w:tc>
          <w:tcPr>
            <w:tcW w:w="1701" w:type="dxa"/>
            <w:tcBorders>
              <w:top w:val="nil"/>
              <w:left w:val="nil"/>
              <w:bottom w:val="nil"/>
              <w:right w:val="nil"/>
            </w:tcBorders>
            <w:shd w:val="clear" w:color="auto" w:fill="auto"/>
            <w:noWrap/>
            <w:vAlign w:val="center"/>
            <w:hideMark/>
          </w:tcPr>
          <w:p w14:paraId="2DFC3419" w14:textId="77777777" w:rsidR="005F6E08" w:rsidRPr="00253DE9" w:rsidRDefault="005F6E08" w:rsidP="0038287D">
            <w:pPr>
              <w:rPr>
                <w:b/>
                <w:bCs/>
              </w:rPr>
            </w:pPr>
            <w:r w:rsidRPr="00253DE9">
              <w:rPr>
                <w:b/>
                <w:bCs/>
              </w:rPr>
              <w:t>0.070***</w:t>
            </w:r>
          </w:p>
        </w:tc>
      </w:tr>
      <w:tr w:rsidR="004A4962" w:rsidRPr="00F65976" w14:paraId="61359B9D" w14:textId="77777777" w:rsidTr="00253DE9">
        <w:trPr>
          <w:trHeight w:val="312"/>
        </w:trPr>
        <w:tc>
          <w:tcPr>
            <w:tcW w:w="2943" w:type="dxa"/>
            <w:tcBorders>
              <w:top w:val="nil"/>
              <w:left w:val="nil"/>
              <w:right w:val="nil"/>
            </w:tcBorders>
            <w:vAlign w:val="center"/>
          </w:tcPr>
          <w:p w14:paraId="7CB5237E" w14:textId="77777777" w:rsidR="005F6E08" w:rsidRPr="00253DE9" w:rsidRDefault="005F6E08" w:rsidP="007F1434">
            <w:pPr>
              <w:rPr>
                <w:sz w:val="20"/>
                <w:szCs w:val="20"/>
              </w:rPr>
            </w:pPr>
          </w:p>
        </w:tc>
        <w:tc>
          <w:tcPr>
            <w:tcW w:w="1701" w:type="dxa"/>
            <w:tcBorders>
              <w:top w:val="nil"/>
              <w:left w:val="nil"/>
              <w:right w:val="nil"/>
            </w:tcBorders>
            <w:shd w:val="clear" w:color="auto" w:fill="auto"/>
            <w:noWrap/>
            <w:vAlign w:val="center"/>
            <w:hideMark/>
          </w:tcPr>
          <w:p w14:paraId="4C1FA411" w14:textId="77777777" w:rsidR="005F6E08" w:rsidRPr="00253DE9" w:rsidRDefault="005F6E08" w:rsidP="00AF3882">
            <w:pPr>
              <w:rPr>
                <w:sz w:val="18"/>
                <w:szCs w:val="18"/>
              </w:rPr>
            </w:pPr>
            <w:r w:rsidRPr="00253DE9">
              <w:rPr>
                <w:sz w:val="18"/>
                <w:szCs w:val="18"/>
              </w:rPr>
              <w:t>[-0.094, -0.049]</w:t>
            </w:r>
          </w:p>
        </w:tc>
        <w:tc>
          <w:tcPr>
            <w:tcW w:w="1701" w:type="dxa"/>
            <w:tcBorders>
              <w:top w:val="nil"/>
              <w:left w:val="nil"/>
              <w:right w:val="nil"/>
            </w:tcBorders>
            <w:shd w:val="clear" w:color="auto" w:fill="auto"/>
            <w:noWrap/>
            <w:vAlign w:val="center"/>
            <w:hideMark/>
          </w:tcPr>
          <w:p w14:paraId="74E5ED6D" w14:textId="77777777" w:rsidR="005F6E08" w:rsidRPr="00253DE9" w:rsidRDefault="005F6E08" w:rsidP="0038287D">
            <w:pPr>
              <w:rPr>
                <w:sz w:val="18"/>
                <w:szCs w:val="18"/>
              </w:rPr>
            </w:pPr>
            <w:r w:rsidRPr="00253DE9">
              <w:rPr>
                <w:sz w:val="18"/>
                <w:szCs w:val="18"/>
              </w:rPr>
              <w:t>[-0.028, -0.013]</w:t>
            </w:r>
          </w:p>
        </w:tc>
        <w:tc>
          <w:tcPr>
            <w:tcW w:w="1701" w:type="dxa"/>
            <w:tcBorders>
              <w:top w:val="nil"/>
              <w:left w:val="nil"/>
              <w:right w:val="nil"/>
            </w:tcBorders>
            <w:shd w:val="clear" w:color="auto" w:fill="auto"/>
            <w:noWrap/>
            <w:vAlign w:val="center"/>
            <w:hideMark/>
          </w:tcPr>
          <w:p w14:paraId="33D252DA" w14:textId="77777777" w:rsidR="005F6E08" w:rsidRPr="00253DE9" w:rsidRDefault="005F6E08" w:rsidP="0038287D">
            <w:pPr>
              <w:rPr>
                <w:sz w:val="18"/>
                <w:szCs w:val="18"/>
              </w:rPr>
            </w:pPr>
            <w:r w:rsidRPr="00253DE9">
              <w:rPr>
                <w:sz w:val="18"/>
                <w:szCs w:val="18"/>
              </w:rPr>
              <w:t>[0.017, 0.029]</w:t>
            </w:r>
          </w:p>
        </w:tc>
        <w:tc>
          <w:tcPr>
            <w:tcW w:w="1701" w:type="dxa"/>
            <w:tcBorders>
              <w:top w:val="nil"/>
              <w:left w:val="nil"/>
              <w:right w:val="nil"/>
            </w:tcBorders>
            <w:shd w:val="clear" w:color="auto" w:fill="auto"/>
            <w:noWrap/>
            <w:vAlign w:val="center"/>
            <w:hideMark/>
          </w:tcPr>
          <w:p w14:paraId="26C15063" w14:textId="77777777" w:rsidR="005F6E08" w:rsidRPr="00253DE9" w:rsidRDefault="005F6E08" w:rsidP="0038287D">
            <w:pPr>
              <w:rPr>
                <w:sz w:val="18"/>
                <w:szCs w:val="18"/>
              </w:rPr>
            </w:pPr>
            <w:r w:rsidRPr="00253DE9">
              <w:rPr>
                <w:sz w:val="18"/>
                <w:szCs w:val="18"/>
              </w:rPr>
              <w:t>[0.046, 0.094]</w:t>
            </w:r>
          </w:p>
        </w:tc>
      </w:tr>
      <w:tr w:rsidR="004A4962" w:rsidRPr="00F65976" w14:paraId="6BC998C2" w14:textId="77777777" w:rsidTr="00253DE9">
        <w:trPr>
          <w:trHeight w:val="312"/>
        </w:trPr>
        <w:tc>
          <w:tcPr>
            <w:tcW w:w="2943" w:type="dxa"/>
            <w:tcBorders>
              <w:top w:val="nil"/>
              <w:left w:val="nil"/>
              <w:right w:val="nil"/>
            </w:tcBorders>
            <w:vAlign w:val="center"/>
          </w:tcPr>
          <w:p w14:paraId="609FB1F8" w14:textId="77777777" w:rsidR="005F6E08" w:rsidRPr="00253DE9" w:rsidRDefault="005F6E08" w:rsidP="007F1434">
            <w:pPr>
              <w:rPr>
                <w:bCs/>
              </w:rPr>
            </w:pPr>
            <w:r w:rsidRPr="00253DE9">
              <w:rPr>
                <w:lang w:eastAsia="en-CA"/>
              </w:rPr>
              <w:t xml:space="preserve">Cycle 7: 2006 </w:t>
            </w:r>
          </w:p>
        </w:tc>
        <w:tc>
          <w:tcPr>
            <w:tcW w:w="1701" w:type="dxa"/>
            <w:tcBorders>
              <w:top w:val="nil"/>
              <w:left w:val="nil"/>
              <w:right w:val="nil"/>
            </w:tcBorders>
            <w:shd w:val="clear" w:color="auto" w:fill="auto"/>
            <w:noWrap/>
            <w:vAlign w:val="center"/>
            <w:hideMark/>
          </w:tcPr>
          <w:p w14:paraId="697B726C" w14:textId="77777777" w:rsidR="005F6E08" w:rsidRPr="00253DE9" w:rsidRDefault="005F6E08" w:rsidP="00AF3882">
            <w:pPr>
              <w:rPr>
                <w:b/>
                <w:bCs/>
              </w:rPr>
            </w:pPr>
            <w:r w:rsidRPr="00253DE9">
              <w:rPr>
                <w:b/>
                <w:bCs/>
              </w:rPr>
              <w:t>-0.097***</w:t>
            </w:r>
          </w:p>
        </w:tc>
        <w:tc>
          <w:tcPr>
            <w:tcW w:w="1701" w:type="dxa"/>
            <w:tcBorders>
              <w:top w:val="nil"/>
              <w:left w:val="nil"/>
              <w:right w:val="nil"/>
            </w:tcBorders>
            <w:shd w:val="clear" w:color="auto" w:fill="auto"/>
            <w:noWrap/>
            <w:vAlign w:val="center"/>
            <w:hideMark/>
          </w:tcPr>
          <w:p w14:paraId="3FE198B0" w14:textId="77777777" w:rsidR="005F6E08" w:rsidRPr="00253DE9" w:rsidRDefault="005F6E08" w:rsidP="0038287D">
            <w:pPr>
              <w:rPr>
                <w:b/>
                <w:bCs/>
              </w:rPr>
            </w:pPr>
            <w:r w:rsidRPr="00253DE9">
              <w:rPr>
                <w:b/>
                <w:bCs/>
              </w:rPr>
              <w:t>-0.035***</w:t>
            </w:r>
          </w:p>
        </w:tc>
        <w:tc>
          <w:tcPr>
            <w:tcW w:w="1701" w:type="dxa"/>
            <w:tcBorders>
              <w:top w:val="nil"/>
              <w:left w:val="nil"/>
              <w:right w:val="nil"/>
            </w:tcBorders>
            <w:shd w:val="clear" w:color="auto" w:fill="auto"/>
            <w:noWrap/>
            <w:vAlign w:val="center"/>
            <w:hideMark/>
          </w:tcPr>
          <w:p w14:paraId="4CAB70A7" w14:textId="77777777" w:rsidR="005F6E08" w:rsidRPr="00253DE9" w:rsidRDefault="005F6E08" w:rsidP="0038287D">
            <w:pPr>
              <w:rPr>
                <w:b/>
                <w:bCs/>
              </w:rPr>
            </w:pPr>
            <w:r w:rsidRPr="00253DE9">
              <w:rPr>
                <w:b/>
                <w:bCs/>
              </w:rPr>
              <w:t>0.176***</w:t>
            </w:r>
          </w:p>
        </w:tc>
        <w:tc>
          <w:tcPr>
            <w:tcW w:w="1701" w:type="dxa"/>
            <w:tcBorders>
              <w:top w:val="nil"/>
              <w:left w:val="nil"/>
              <w:right w:val="nil"/>
            </w:tcBorders>
            <w:shd w:val="clear" w:color="auto" w:fill="auto"/>
            <w:noWrap/>
            <w:vAlign w:val="center"/>
            <w:hideMark/>
          </w:tcPr>
          <w:p w14:paraId="680D92E7" w14:textId="77777777" w:rsidR="005F6E08" w:rsidRPr="00253DE9" w:rsidRDefault="005F6E08" w:rsidP="0038287D">
            <w:pPr>
              <w:rPr>
                <w:b/>
                <w:bCs/>
              </w:rPr>
            </w:pPr>
            <w:r w:rsidRPr="00253DE9">
              <w:rPr>
                <w:b/>
                <w:bCs/>
              </w:rPr>
              <w:t>0.114***</w:t>
            </w:r>
          </w:p>
        </w:tc>
      </w:tr>
      <w:tr w:rsidR="004A4962" w:rsidRPr="00B67028" w14:paraId="0E3B9AFB" w14:textId="77777777" w:rsidTr="00253DE9">
        <w:trPr>
          <w:trHeight w:val="411"/>
        </w:trPr>
        <w:tc>
          <w:tcPr>
            <w:tcW w:w="2943" w:type="dxa"/>
            <w:tcBorders>
              <w:left w:val="nil"/>
              <w:bottom w:val="single" w:sz="12" w:space="0" w:color="auto"/>
              <w:right w:val="nil"/>
            </w:tcBorders>
            <w:vAlign w:val="center"/>
          </w:tcPr>
          <w:p w14:paraId="2FF63972" w14:textId="77777777" w:rsidR="005F6E08" w:rsidRPr="00253DE9" w:rsidRDefault="005F6E08" w:rsidP="00EC498B">
            <w:pPr>
              <w:rPr>
                <w:sz w:val="20"/>
                <w:szCs w:val="20"/>
              </w:rPr>
            </w:pPr>
          </w:p>
        </w:tc>
        <w:tc>
          <w:tcPr>
            <w:tcW w:w="1701" w:type="dxa"/>
            <w:tcBorders>
              <w:left w:val="nil"/>
              <w:bottom w:val="single" w:sz="12" w:space="0" w:color="auto"/>
              <w:right w:val="nil"/>
            </w:tcBorders>
            <w:shd w:val="clear" w:color="auto" w:fill="auto"/>
            <w:noWrap/>
            <w:vAlign w:val="center"/>
            <w:hideMark/>
          </w:tcPr>
          <w:p w14:paraId="1406A4B5" w14:textId="77777777" w:rsidR="005F6E08" w:rsidRPr="006E4ABE" w:rsidRDefault="005F6E08" w:rsidP="00D83242">
            <w:pPr>
              <w:rPr>
                <w:sz w:val="18"/>
                <w:szCs w:val="18"/>
              </w:rPr>
            </w:pPr>
            <w:r w:rsidRPr="006E4ABE">
              <w:rPr>
                <w:sz w:val="18"/>
                <w:szCs w:val="18"/>
              </w:rPr>
              <w:t>[-0.115, -0.078]</w:t>
            </w:r>
          </w:p>
        </w:tc>
        <w:tc>
          <w:tcPr>
            <w:tcW w:w="1701" w:type="dxa"/>
            <w:tcBorders>
              <w:left w:val="nil"/>
              <w:bottom w:val="single" w:sz="12" w:space="0" w:color="auto"/>
              <w:right w:val="nil"/>
            </w:tcBorders>
            <w:shd w:val="clear" w:color="auto" w:fill="auto"/>
            <w:noWrap/>
            <w:vAlign w:val="center"/>
            <w:hideMark/>
          </w:tcPr>
          <w:p w14:paraId="5DE96282" w14:textId="77777777" w:rsidR="005F6E08" w:rsidRPr="006E4ABE" w:rsidRDefault="005F6E08" w:rsidP="00D83242">
            <w:pPr>
              <w:rPr>
                <w:sz w:val="18"/>
                <w:szCs w:val="18"/>
              </w:rPr>
            </w:pPr>
            <w:r w:rsidRPr="006E4ABE">
              <w:rPr>
                <w:sz w:val="18"/>
                <w:szCs w:val="18"/>
              </w:rPr>
              <w:t>[-0.044, -0.025]</w:t>
            </w:r>
          </w:p>
        </w:tc>
        <w:tc>
          <w:tcPr>
            <w:tcW w:w="1701" w:type="dxa"/>
            <w:tcBorders>
              <w:left w:val="nil"/>
              <w:bottom w:val="single" w:sz="12" w:space="0" w:color="auto"/>
              <w:right w:val="nil"/>
            </w:tcBorders>
            <w:shd w:val="clear" w:color="auto" w:fill="auto"/>
            <w:noWrap/>
            <w:vAlign w:val="center"/>
            <w:hideMark/>
          </w:tcPr>
          <w:p w14:paraId="5D74FC40" w14:textId="77777777" w:rsidR="005F6E08" w:rsidRPr="006E4ABE" w:rsidRDefault="005F6E08" w:rsidP="00D83242">
            <w:pPr>
              <w:rPr>
                <w:sz w:val="18"/>
                <w:szCs w:val="18"/>
              </w:rPr>
            </w:pPr>
            <w:r w:rsidRPr="006E4ABE">
              <w:rPr>
                <w:sz w:val="18"/>
                <w:szCs w:val="18"/>
              </w:rPr>
              <w:t>[0.009 ,0.025]</w:t>
            </w:r>
          </w:p>
        </w:tc>
        <w:tc>
          <w:tcPr>
            <w:tcW w:w="1701" w:type="dxa"/>
            <w:tcBorders>
              <w:left w:val="nil"/>
              <w:bottom w:val="single" w:sz="12" w:space="0" w:color="auto"/>
              <w:right w:val="nil"/>
            </w:tcBorders>
            <w:shd w:val="clear" w:color="auto" w:fill="auto"/>
            <w:noWrap/>
            <w:vAlign w:val="center"/>
            <w:hideMark/>
          </w:tcPr>
          <w:p w14:paraId="6BFE1A15" w14:textId="77777777" w:rsidR="005F6E08" w:rsidRPr="006E4ABE" w:rsidRDefault="005F6E08" w:rsidP="00D83242">
            <w:pPr>
              <w:rPr>
                <w:sz w:val="18"/>
                <w:szCs w:val="18"/>
              </w:rPr>
            </w:pPr>
            <w:r w:rsidRPr="006E4ABE">
              <w:rPr>
                <w:sz w:val="18"/>
                <w:szCs w:val="18"/>
              </w:rPr>
              <w:t>[0.085, 0.143]</w:t>
            </w:r>
          </w:p>
        </w:tc>
      </w:tr>
    </w:tbl>
    <w:p w14:paraId="1FB552B2" w14:textId="77777777" w:rsidR="00651C2C" w:rsidRDefault="00651C2C" w:rsidP="00EC498B">
      <w:pPr>
        <w:pStyle w:val="MediumGrid21"/>
        <w:rPr>
          <w:rFonts w:ascii="Times New Roman" w:hAnsi="Times New Roman"/>
          <w:i/>
          <w:sz w:val="20"/>
          <w:szCs w:val="20"/>
        </w:rPr>
      </w:pPr>
    </w:p>
    <w:p w14:paraId="0A324365" w14:textId="77777777" w:rsidR="00A4311A" w:rsidRPr="00EA77E4" w:rsidRDefault="00EA77E4" w:rsidP="00D83242">
      <w:pPr>
        <w:pStyle w:val="MediumGrid21"/>
        <w:rPr>
          <w:rFonts w:ascii="Times New Roman" w:hAnsi="Times New Roman"/>
          <w:i/>
          <w:sz w:val="20"/>
          <w:szCs w:val="20"/>
        </w:rPr>
      </w:pPr>
      <w:r w:rsidRPr="00EA77E4">
        <w:rPr>
          <w:rFonts w:ascii="Times New Roman" w:hAnsi="Times New Roman"/>
          <w:i/>
          <w:sz w:val="20"/>
          <w:szCs w:val="20"/>
        </w:rPr>
        <w:t xml:space="preserve">**statistically significant at 95% confidence </w:t>
      </w:r>
      <w:r w:rsidR="00E040C0">
        <w:rPr>
          <w:rFonts w:ascii="Times New Roman" w:hAnsi="Times New Roman"/>
          <w:i/>
          <w:sz w:val="20"/>
          <w:szCs w:val="20"/>
        </w:rPr>
        <w:t>level</w:t>
      </w:r>
    </w:p>
    <w:p w14:paraId="2FE19C4B" w14:textId="443DC948" w:rsidR="00EA77E4" w:rsidRPr="00EA77E4" w:rsidRDefault="00EA77E4" w:rsidP="00EA77E4">
      <w:pPr>
        <w:pStyle w:val="MediumGrid21"/>
        <w:rPr>
          <w:rFonts w:ascii="Times New Roman" w:hAnsi="Times New Roman"/>
          <w:i/>
          <w:color w:val="000000"/>
          <w:sz w:val="20"/>
          <w:szCs w:val="20"/>
          <w:lang w:eastAsia="en-CA"/>
        </w:rPr>
      </w:pPr>
      <w:r w:rsidRPr="00EA77E4">
        <w:rPr>
          <w:rFonts w:ascii="Times New Roman" w:hAnsi="Times New Roman"/>
          <w:i/>
          <w:sz w:val="20"/>
          <w:szCs w:val="20"/>
        </w:rPr>
        <w:t xml:space="preserve">****statistically significant at 99% confidence </w:t>
      </w:r>
      <w:r w:rsidR="00E040C0">
        <w:rPr>
          <w:rFonts w:ascii="Times New Roman" w:hAnsi="Times New Roman"/>
          <w:i/>
          <w:sz w:val="20"/>
          <w:szCs w:val="20"/>
        </w:rPr>
        <w:t>leve</w:t>
      </w:r>
      <w:r w:rsidR="004A4962">
        <w:rPr>
          <w:rFonts w:ascii="Times New Roman" w:hAnsi="Times New Roman"/>
          <w:i/>
          <w:color w:val="000000"/>
          <w:sz w:val="20"/>
          <w:szCs w:val="20"/>
          <w:lang w:eastAsia="en-CA"/>
        </w:rPr>
        <w:t>l</w:t>
      </w:r>
    </w:p>
    <w:p w14:paraId="7D35C2A2" w14:textId="1FC03AD8" w:rsidR="00A4311A" w:rsidRPr="00EA77E4" w:rsidRDefault="00DB274F" w:rsidP="00E36C5D">
      <w:pPr>
        <w:pStyle w:val="MediumGrid21"/>
        <w:rPr>
          <w:rFonts w:ascii="Times New Roman" w:hAnsi="Times New Roman"/>
          <w:i/>
          <w:iCs/>
          <w:sz w:val="20"/>
          <w:szCs w:val="20"/>
        </w:rPr>
      </w:pPr>
      <w:r w:rsidRPr="00EA77E4">
        <w:rPr>
          <w:rFonts w:ascii="Times New Roman" w:hAnsi="Times New Roman"/>
          <w:i/>
          <w:color w:val="000000"/>
          <w:sz w:val="20"/>
          <w:szCs w:val="20"/>
          <w:lang w:eastAsia="en-CA"/>
        </w:rPr>
        <w:t xml:space="preserve">*The marginal effects show the </w:t>
      </w:r>
      <w:r w:rsidRPr="00EA77E4">
        <w:rPr>
          <w:rFonts w:ascii="Times New Roman" w:hAnsi="Times New Roman"/>
          <w:i/>
          <w:sz w:val="20"/>
          <w:szCs w:val="20"/>
        </w:rPr>
        <w:t xml:space="preserve">change in probability of a particular alternative as a function </w:t>
      </w:r>
      <w:r w:rsidR="004A4962" w:rsidRPr="00EA77E4">
        <w:rPr>
          <w:rFonts w:ascii="Times New Roman" w:hAnsi="Times New Roman"/>
          <w:i/>
          <w:sz w:val="20"/>
          <w:szCs w:val="20"/>
        </w:rPr>
        <w:t>of a</w:t>
      </w:r>
      <w:r w:rsidRPr="00EA77E4">
        <w:rPr>
          <w:rFonts w:ascii="Times New Roman" w:hAnsi="Times New Roman"/>
          <w:i/>
          <w:sz w:val="20"/>
          <w:szCs w:val="20"/>
        </w:rPr>
        <w:t xml:space="preserve"> unit change in the independent variable. </w:t>
      </w:r>
      <w:r w:rsidRPr="00EA77E4">
        <w:rPr>
          <w:rFonts w:ascii="Times New Roman" w:hAnsi="Times New Roman"/>
          <w:i/>
          <w:iCs/>
          <w:sz w:val="20"/>
          <w:szCs w:val="20"/>
        </w:rPr>
        <w:t>For categorical independent variables with more than two possible values, the marginal effect show</w:t>
      </w:r>
      <w:r w:rsidR="007138D6" w:rsidRPr="00EA77E4">
        <w:rPr>
          <w:rFonts w:ascii="Times New Roman" w:hAnsi="Times New Roman"/>
          <w:i/>
          <w:iCs/>
          <w:sz w:val="20"/>
          <w:szCs w:val="20"/>
        </w:rPr>
        <w:t>s</w:t>
      </w:r>
      <w:r w:rsidRPr="00EA77E4">
        <w:rPr>
          <w:rFonts w:ascii="Times New Roman" w:hAnsi="Times New Roman"/>
          <w:i/>
          <w:iCs/>
          <w:sz w:val="20"/>
          <w:szCs w:val="20"/>
        </w:rPr>
        <w:t xml:space="preserve"> the difference in the predicted probabilities for cases in one category relative to the reference category. For continuous independent variables, the marginal effect measures </w:t>
      </w:r>
      <w:r w:rsidR="009360B3" w:rsidRPr="00EA77E4">
        <w:rPr>
          <w:rFonts w:ascii="Times New Roman" w:hAnsi="Times New Roman"/>
          <w:i/>
          <w:iCs/>
          <w:sz w:val="20"/>
          <w:szCs w:val="20"/>
        </w:rPr>
        <w:t xml:space="preserve">the </w:t>
      </w:r>
      <w:r w:rsidRPr="00EA77E4">
        <w:rPr>
          <w:rFonts w:ascii="Times New Roman" w:hAnsi="Times New Roman"/>
          <w:i/>
          <w:iCs/>
          <w:sz w:val="20"/>
          <w:szCs w:val="20"/>
        </w:rPr>
        <w:t xml:space="preserve">change in probability due to a small change in the independent </w:t>
      </w:r>
      <w:r w:rsidR="005C2C19" w:rsidRPr="00EA77E4">
        <w:rPr>
          <w:rFonts w:ascii="Times New Roman" w:hAnsi="Times New Roman"/>
          <w:i/>
          <w:iCs/>
          <w:sz w:val="20"/>
          <w:szCs w:val="20"/>
        </w:rPr>
        <w:t>variable (instantaneous change)</w:t>
      </w:r>
      <w:r w:rsidRPr="00EA77E4">
        <w:rPr>
          <w:rFonts w:ascii="Times New Roman" w:hAnsi="Times New Roman"/>
          <w:i/>
          <w:iCs/>
          <w:sz w:val="20"/>
          <w:szCs w:val="20"/>
        </w:rPr>
        <w:t>. The value is obtained by differentiating the probability expression with respect to the independent variab</w:t>
      </w:r>
      <w:r w:rsidR="000844AC" w:rsidRPr="00EA77E4">
        <w:rPr>
          <w:rFonts w:ascii="Times New Roman" w:hAnsi="Times New Roman"/>
          <w:i/>
          <w:iCs/>
          <w:sz w:val="20"/>
          <w:szCs w:val="20"/>
        </w:rPr>
        <w:t xml:space="preserve">le and is computed </w:t>
      </w:r>
      <w:r w:rsidR="00A4311A" w:rsidRPr="00EA77E4">
        <w:rPr>
          <w:rFonts w:ascii="Times New Roman" w:hAnsi="Times New Roman"/>
          <w:i/>
          <w:iCs/>
          <w:sz w:val="20"/>
          <w:szCs w:val="20"/>
        </w:rPr>
        <w:t>using differential equation</w:t>
      </w:r>
      <w:r w:rsidR="00AC5B21" w:rsidRPr="00EA77E4">
        <w:rPr>
          <w:rFonts w:ascii="Times New Roman" w:hAnsi="Times New Roman"/>
          <w:i/>
          <w:iCs/>
          <w:sz w:val="20"/>
          <w:szCs w:val="20"/>
        </w:rPr>
        <w:t xml:space="preserve">s in </w:t>
      </w:r>
      <w:r w:rsidR="00096CF4">
        <w:rPr>
          <w:rFonts w:ascii="Times New Roman" w:hAnsi="Times New Roman"/>
          <w:i/>
          <w:iCs/>
          <w:sz w:val="20"/>
          <w:szCs w:val="20"/>
        </w:rPr>
        <w:t>analytical</w:t>
      </w:r>
      <w:r w:rsidR="00AC5B21" w:rsidRPr="00EA77E4">
        <w:rPr>
          <w:rFonts w:ascii="Times New Roman" w:hAnsi="Times New Roman"/>
          <w:i/>
          <w:iCs/>
          <w:sz w:val="20"/>
          <w:szCs w:val="20"/>
        </w:rPr>
        <w:t xml:space="preserve"> statistical softwar</w:t>
      </w:r>
      <w:r w:rsidR="00096CF4">
        <w:rPr>
          <w:rFonts w:ascii="Times New Roman" w:hAnsi="Times New Roman"/>
          <w:i/>
          <w:iCs/>
          <w:sz w:val="20"/>
          <w:szCs w:val="20"/>
        </w:rPr>
        <w:t>e (Stata 13)</w:t>
      </w:r>
    </w:p>
    <w:p w14:paraId="1278B571" w14:textId="77777777" w:rsidR="00CC5993" w:rsidRPr="00284E03" w:rsidRDefault="00CC5993" w:rsidP="00D83242">
      <w:pPr>
        <w:pStyle w:val="MediumGrid21"/>
        <w:spacing w:before="240" w:after="240" w:line="480" w:lineRule="auto"/>
        <w:rPr>
          <w:rFonts w:ascii="Times New Roman" w:hAnsi="Times New Roman"/>
          <w:b/>
          <w:iCs/>
          <w:sz w:val="24"/>
          <w:szCs w:val="24"/>
        </w:rPr>
      </w:pPr>
      <w:r w:rsidRPr="00284E03">
        <w:rPr>
          <w:rFonts w:ascii="Times New Roman" w:hAnsi="Times New Roman"/>
          <w:b/>
          <w:iCs/>
          <w:sz w:val="24"/>
          <w:szCs w:val="24"/>
        </w:rPr>
        <w:t xml:space="preserve">Binary fixed </w:t>
      </w:r>
      <w:r w:rsidR="0019440B" w:rsidRPr="00284E03">
        <w:rPr>
          <w:rFonts w:ascii="Times New Roman" w:hAnsi="Times New Roman"/>
          <w:b/>
          <w:iCs/>
          <w:sz w:val="24"/>
          <w:szCs w:val="24"/>
        </w:rPr>
        <w:t>effects regression</w:t>
      </w:r>
      <w:r w:rsidRPr="00284E03">
        <w:rPr>
          <w:rFonts w:ascii="Times New Roman" w:hAnsi="Times New Roman"/>
          <w:b/>
          <w:iCs/>
          <w:sz w:val="24"/>
          <w:szCs w:val="24"/>
        </w:rPr>
        <w:t xml:space="preserve"> analysis for movers:</w:t>
      </w:r>
    </w:p>
    <w:p w14:paraId="3BD57BCE" w14:textId="4C473D98" w:rsidR="00651C2C" w:rsidRDefault="00CC5993" w:rsidP="00253DE9">
      <w:pPr>
        <w:spacing w:before="240" w:after="240" w:line="480" w:lineRule="auto"/>
        <w:ind w:firstLine="720"/>
      </w:pPr>
      <w:r w:rsidRPr="00C94226">
        <w:t xml:space="preserve">We also </w:t>
      </w:r>
      <w:r>
        <w:t>estimated</w:t>
      </w:r>
      <w:r w:rsidRPr="00C94226">
        <w:t xml:space="preserve"> </w:t>
      </w:r>
      <w:r>
        <w:t>a binary</w:t>
      </w:r>
      <w:r w:rsidRPr="00C94226">
        <w:t xml:space="preserve"> logistic regression </w:t>
      </w:r>
      <w:r>
        <w:t xml:space="preserve">model </w:t>
      </w:r>
      <w:r w:rsidRPr="00C94226">
        <w:t xml:space="preserve">for </w:t>
      </w:r>
      <w:r>
        <w:t xml:space="preserve">those who </w:t>
      </w:r>
      <w:r w:rsidR="00F651AE">
        <w:t xml:space="preserve">changed residence during </w:t>
      </w:r>
      <w:r>
        <w:t xml:space="preserve">the study period </w:t>
      </w:r>
      <w:r w:rsidRPr="00C94226">
        <w:t>(i.e.</w:t>
      </w:r>
      <w:r>
        <w:t>,</w:t>
      </w:r>
      <w:r w:rsidRPr="00C94226">
        <w:t xml:space="preserve"> respondents who</w:t>
      </w:r>
      <w:r>
        <w:t xml:space="preserve"> </w:t>
      </w:r>
      <w:r w:rsidR="000942E3">
        <w:t>“changed</w:t>
      </w:r>
      <w:r w:rsidR="00B60544">
        <w:t>/ moved</w:t>
      </w:r>
      <w:r>
        <w:t xml:space="preserve">” 2 or 3 </w:t>
      </w:r>
      <w:r w:rsidR="00DC05D5">
        <w:t>Walk Score®</w:t>
      </w:r>
      <w:r>
        <w:t xml:space="preserve"> quartiles in either direction after relocation</w:t>
      </w:r>
      <w:r w:rsidR="000E3DB5">
        <w:t xml:space="preserve"> compared to other movers</w:t>
      </w:r>
      <w:r w:rsidRPr="00C94226">
        <w:t>)</w:t>
      </w:r>
      <w:r w:rsidR="00C014CE">
        <w:t>.</w:t>
      </w:r>
      <w:r w:rsidR="00337A8E">
        <w:t xml:space="preserve"> </w:t>
      </w:r>
      <w:r w:rsidR="00AA3085">
        <w:t>M</w:t>
      </w:r>
      <w:r w:rsidRPr="0073421E">
        <w:t>oving from low to high walkable neighbourhoods increase</w:t>
      </w:r>
      <w:r w:rsidRPr="00253DE9">
        <w:t>d</w:t>
      </w:r>
      <w:r w:rsidRPr="0073421E">
        <w:t xml:space="preserve"> the odds of moderate and high utilitarian </w:t>
      </w:r>
      <w:r w:rsidR="00E81DA4" w:rsidRPr="0073421E">
        <w:t>walking by</w:t>
      </w:r>
      <w:r w:rsidRPr="0073421E">
        <w:t xml:space="preserve"> 59% (95% C.I 3%, 140%)</w:t>
      </w:r>
      <w:r w:rsidR="005C2C19">
        <w:t>,</w:t>
      </w:r>
      <w:r w:rsidR="005C2C19" w:rsidRPr="0073421E">
        <w:t xml:space="preserve"> compared</w:t>
      </w:r>
      <w:r w:rsidRPr="0073421E">
        <w:t xml:space="preserve"> to moving to a neighbourhood with </w:t>
      </w:r>
      <w:r w:rsidR="00F651AE">
        <w:t>a similar</w:t>
      </w:r>
      <w:r w:rsidR="00F651AE" w:rsidRPr="0073421E">
        <w:t xml:space="preserve"> </w:t>
      </w:r>
      <w:r w:rsidRPr="0073421E">
        <w:t>walkability level</w:t>
      </w:r>
      <w:r w:rsidR="000E3DB5">
        <w:t xml:space="preserve">, </w:t>
      </w:r>
      <w:r w:rsidR="00F651AE">
        <w:t xml:space="preserve">(i.e., within </w:t>
      </w:r>
      <w:r w:rsidR="000E3DB5">
        <w:t xml:space="preserve">one </w:t>
      </w:r>
      <w:r w:rsidR="00DC05D5">
        <w:t>Walk Score®</w:t>
      </w:r>
      <w:r w:rsidR="000E3DB5">
        <w:t xml:space="preserve"> quartile change</w:t>
      </w:r>
      <w:r w:rsidR="00F651AE">
        <w:t>)</w:t>
      </w:r>
      <w:r w:rsidRPr="0073421E">
        <w:t xml:space="preserve">. </w:t>
      </w:r>
      <w:r w:rsidR="00AA3085">
        <w:t>In terms of covariates, t</w:t>
      </w:r>
      <w:r w:rsidRPr="00CC5993">
        <w:t>he odd</w:t>
      </w:r>
      <w:r w:rsidR="00AA3085">
        <w:t>s</w:t>
      </w:r>
      <w:r w:rsidRPr="00CC5993">
        <w:t xml:space="preserve"> of moderate or high utilitarian walking </w:t>
      </w:r>
      <w:r w:rsidR="00AA3085">
        <w:t>were</w:t>
      </w:r>
      <w:r w:rsidR="00AA3085" w:rsidRPr="00CC5993">
        <w:t xml:space="preserve"> </w:t>
      </w:r>
      <w:r w:rsidR="00C47269">
        <w:t>approximately 28%</w:t>
      </w:r>
      <w:r w:rsidRPr="00CC5993">
        <w:t xml:space="preserve"> </w:t>
      </w:r>
      <w:r w:rsidR="00AA3085">
        <w:t xml:space="preserve">higher </w:t>
      </w:r>
      <w:r w:rsidRPr="00CC5993">
        <w:t xml:space="preserve">for active people compared to inactive people (Table </w:t>
      </w:r>
      <w:r w:rsidR="00AA077B">
        <w:t>4</w:t>
      </w:r>
      <w:r w:rsidRPr="00CC5993">
        <w:t xml:space="preserve">). </w:t>
      </w:r>
      <w:r w:rsidR="00130BA9">
        <w:t xml:space="preserve"> </w:t>
      </w:r>
      <w:r w:rsidR="00AA3085">
        <w:t>Recall that sex</w:t>
      </w:r>
      <w:r w:rsidR="00AA3085" w:rsidRPr="0046646A">
        <w:t xml:space="preserve"> </w:t>
      </w:r>
      <w:r w:rsidRPr="0046646A">
        <w:t xml:space="preserve">and post-secondary education are time constant variables and therefore do not have direct estimates in the fixed effects binary </w:t>
      </w:r>
      <w:r w:rsidR="00203904" w:rsidRPr="0046646A">
        <w:t>model</w:t>
      </w:r>
      <w:r w:rsidR="00AA3085">
        <w:t>. The</w:t>
      </w:r>
      <w:r w:rsidR="00F3488C">
        <w:t xml:space="preserve"> </w:t>
      </w:r>
      <w:r w:rsidR="00AA3085">
        <w:t>estimation of effects in this model</w:t>
      </w:r>
      <w:r w:rsidR="00F3488C">
        <w:t xml:space="preserve"> </w:t>
      </w:r>
      <w:r w:rsidR="00096CF4">
        <w:t>was</w:t>
      </w:r>
      <w:r w:rsidR="00F3488C">
        <w:t xml:space="preserve"> based entirely on within-person </w:t>
      </w:r>
      <w:r w:rsidR="00337A8E">
        <w:t>changes;</w:t>
      </w:r>
      <w:r w:rsidR="00F3488C">
        <w:t xml:space="preserve"> hence there is no potential bias from measured or </w:t>
      </w:r>
      <w:r w:rsidR="00E963B4">
        <w:t>unmeasured</w:t>
      </w:r>
      <w:r w:rsidR="00F3488C">
        <w:t xml:space="preserve"> time-constant confounders. </w:t>
      </w:r>
    </w:p>
    <w:p w14:paraId="07FB59D1" w14:textId="77777777" w:rsidR="00651C2C" w:rsidRDefault="00651C2C" w:rsidP="009F3873">
      <w:pPr>
        <w:spacing w:before="240" w:after="240" w:line="480" w:lineRule="auto"/>
      </w:pPr>
    </w:p>
    <w:p w14:paraId="50B16172" w14:textId="77777777" w:rsidR="00651C2C" w:rsidRDefault="00651C2C" w:rsidP="009F3873">
      <w:pPr>
        <w:spacing w:before="240" w:after="240" w:line="480" w:lineRule="auto"/>
      </w:pPr>
    </w:p>
    <w:p w14:paraId="3FF426EF" w14:textId="77777777" w:rsidR="00A80ED9" w:rsidRDefault="00A80ED9" w:rsidP="009F3873">
      <w:pPr>
        <w:spacing w:before="240" w:after="240" w:line="480" w:lineRule="auto"/>
      </w:pPr>
    </w:p>
    <w:p w14:paraId="16D04746" w14:textId="77777777" w:rsidR="004A4962" w:rsidRDefault="004A4962" w:rsidP="009F3873">
      <w:pPr>
        <w:spacing w:before="240" w:after="240" w:line="480" w:lineRule="auto"/>
      </w:pPr>
    </w:p>
    <w:p w14:paraId="16049BC5" w14:textId="77777777" w:rsidR="00E36C5D" w:rsidRDefault="00E36C5D" w:rsidP="009F3873">
      <w:pPr>
        <w:spacing w:before="240" w:after="240" w:line="480" w:lineRule="auto"/>
      </w:pPr>
    </w:p>
    <w:p w14:paraId="49D89D2C" w14:textId="77777777" w:rsidR="00E36C5D" w:rsidRPr="004E42FB" w:rsidRDefault="00E36C5D" w:rsidP="009F3873">
      <w:pPr>
        <w:spacing w:before="240" w:after="240" w:line="480" w:lineRule="auto"/>
      </w:pPr>
    </w:p>
    <w:p w14:paraId="052EEAAD" w14:textId="7EFC0E47" w:rsidR="002F7F03" w:rsidRDefault="00AA077B" w:rsidP="00D83242">
      <w:pPr>
        <w:pStyle w:val="MediumGrid21"/>
        <w:rPr>
          <w:rFonts w:ascii="Times New Roman" w:hAnsi="Times New Roman"/>
          <w:color w:val="000000"/>
          <w:sz w:val="24"/>
          <w:szCs w:val="24"/>
        </w:rPr>
      </w:pPr>
      <w:r w:rsidRPr="00D83242">
        <w:rPr>
          <w:rFonts w:ascii="Times New Roman" w:hAnsi="Times New Roman"/>
          <w:b/>
          <w:color w:val="000000"/>
          <w:sz w:val="24"/>
          <w:szCs w:val="24"/>
        </w:rPr>
        <w:t>Table 4</w:t>
      </w:r>
      <w:r>
        <w:rPr>
          <w:rFonts w:ascii="Times New Roman" w:hAnsi="Times New Roman"/>
          <w:b/>
          <w:color w:val="000000"/>
          <w:sz w:val="24"/>
          <w:szCs w:val="24"/>
        </w:rPr>
        <w:t xml:space="preserve">: </w:t>
      </w:r>
      <w:r w:rsidR="00EE5663" w:rsidRPr="0032538D">
        <w:rPr>
          <w:rFonts w:ascii="Times New Roman" w:hAnsi="Times New Roman"/>
          <w:sz w:val="24"/>
          <w:szCs w:val="24"/>
        </w:rPr>
        <w:t xml:space="preserve"> </w:t>
      </w:r>
      <w:r w:rsidR="00EE5663">
        <w:rPr>
          <w:rFonts w:ascii="Times New Roman" w:hAnsi="Times New Roman"/>
          <w:sz w:val="24"/>
          <w:szCs w:val="24"/>
        </w:rPr>
        <w:t xml:space="preserve">Odds ratio </w:t>
      </w:r>
      <w:r w:rsidR="00EE5663" w:rsidRPr="0032538D">
        <w:rPr>
          <w:rFonts w:ascii="Times New Roman" w:hAnsi="Times New Roman"/>
          <w:sz w:val="24"/>
          <w:szCs w:val="24"/>
        </w:rPr>
        <w:t>of</w:t>
      </w:r>
      <w:r w:rsidR="00EE5663">
        <w:rPr>
          <w:rFonts w:ascii="Times New Roman" w:hAnsi="Times New Roman"/>
          <w:sz w:val="24"/>
          <w:szCs w:val="24"/>
        </w:rPr>
        <w:t xml:space="preserve"> a fixed</w:t>
      </w:r>
      <w:r w:rsidR="00EE5663" w:rsidRPr="0032538D">
        <w:rPr>
          <w:rFonts w:ascii="Times New Roman" w:hAnsi="Times New Roman"/>
          <w:sz w:val="24"/>
          <w:szCs w:val="24"/>
        </w:rPr>
        <w:t xml:space="preserve"> effects </w:t>
      </w:r>
      <w:r w:rsidR="00EE5663">
        <w:rPr>
          <w:rFonts w:ascii="Times New Roman" w:hAnsi="Times New Roman"/>
          <w:sz w:val="24"/>
          <w:szCs w:val="24"/>
        </w:rPr>
        <w:t>binary</w:t>
      </w:r>
      <w:r w:rsidR="00EE5663" w:rsidRPr="0032538D">
        <w:rPr>
          <w:rFonts w:ascii="Times New Roman" w:hAnsi="Times New Roman"/>
          <w:sz w:val="24"/>
          <w:szCs w:val="24"/>
        </w:rPr>
        <w:t xml:space="preserve"> logistic regression </w:t>
      </w:r>
      <w:r w:rsidR="00EE5663" w:rsidRPr="0032538D">
        <w:rPr>
          <w:rFonts w:ascii="Times New Roman" w:hAnsi="Times New Roman"/>
          <w:color w:val="000000"/>
          <w:sz w:val="24"/>
          <w:szCs w:val="24"/>
        </w:rPr>
        <w:t xml:space="preserve">model </w:t>
      </w:r>
      <w:r w:rsidR="00EE5663">
        <w:rPr>
          <w:rFonts w:ascii="Times New Roman" w:hAnsi="Times New Roman"/>
          <w:color w:val="000000"/>
          <w:sz w:val="24"/>
          <w:szCs w:val="24"/>
        </w:rPr>
        <w:t>of utilitarian walking</w:t>
      </w:r>
    </w:p>
    <w:p w14:paraId="73EDA278" w14:textId="77777777" w:rsidR="008D0AFB" w:rsidRPr="00D83242" w:rsidRDefault="008D0AFB" w:rsidP="00D83242">
      <w:pPr>
        <w:pStyle w:val="MediumGrid21"/>
        <w:rPr>
          <w:rFonts w:ascii="Times New Roman" w:hAnsi="Times New Roman"/>
          <w:color w:val="000000"/>
          <w:sz w:val="24"/>
          <w:szCs w:val="24"/>
        </w:rPr>
      </w:pPr>
    </w:p>
    <w:tbl>
      <w:tblPr>
        <w:tblpPr w:leftFromText="180" w:rightFromText="180" w:vertAnchor="text" w:tblpY="1"/>
        <w:tblOverlap w:val="never"/>
        <w:tblW w:w="10173" w:type="dxa"/>
        <w:tblLook w:val="04A0" w:firstRow="1" w:lastRow="0" w:firstColumn="1" w:lastColumn="0" w:noHBand="0" w:noVBand="1"/>
      </w:tblPr>
      <w:tblGrid>
        <w:gridCol w:w="5920"/>
        <w:gridCol w:w="4253"/>
      </w:tblGrid>
      <w:tr w:rsidR="002F7F03" w:rsidRPr="00F65976" w14:paraId="2AC9C812" w14:textId="77777777" w:rsidTr="00D83242">
        <w:trPr>
          <w:trHeight w:val="312"/>
        </w:trPr>
        <w:tc>
          <w:tcPr>
            <w:tcW w:w="5920" w:type="dxa"/>
            <w:tcBorders>
              <w:top w:val="single" w:sz="12" w:space="0" w:color="auto"/>
              <w:left w:val="nil"/>
              <w:right w:val="nil"/>
            </w:tcBorders>
          </w:tcPr>
          <w:p w14:paraId="7E7EDB90" w14:textId="77777777" w:rsidR="00EF5E49" w:rsidRDefault="002F7F03" w:rsidP="00C55C60">
            <w:pPr>
              <w:rPr>
                <w:b/>
                <w:color w:val="000000"/>
                <w:lang w:eastAsia="en-CA"/>
              </w:rPr>
            </w:pPr>
            <w:r w:rsidRPr="000114C0">
              <w:rPr>
                <w:b/>
                <w:color w:val="000000"/>
                <w:lang w:eastAsia="en-CA"/>
              </w:rPr>
              <w:t>Dependent Variable</w:t>
            </w:r>
            <w:r w:rsidR="00EF5E49">
              <w:rPr>
                <w:b/>
                <w:color w:val="000000"/>
                <w:lang w:eastAsia="en-CA"/>
              </w:rPr>
              <w:t xml:space="preserve"> </w:t>
            </w:r>
          </w:p>
          <w:p w14:paraId="63BA1AD2" w14:textId="77777777" w:rsidR="002F7F03" w:rsidRPr="00D83242" w:rsidRDefault="00AA077B" w:rsidP="00D83242">
            <w:pPr>
              <w:rPr>
                <w:color w:val="000000"/>
                <w:lang w:eastAsia="en-CA"/>
              </w:rPr>
            </w:pPr>
            <w:r w:rsidRPr="00253DE9">
              <w:rPr>
                <w:color w:val="000000"/>
                <w:sz w:val="22"/>
                <w:lang w:eastAsia="en-CA"/>
              </w:rPr>
              <w:t>(reference: none or low utilitarian walking)</w:t>
            </w:r>
          </w:p>
        </w:tc>
        <w:tc>
          <w:tcPr>
            <w:tcW w:w="4253" w:type="dxa"/>
            <w:tcBorders>
              <w:top w:val="single" w:sz="12" w:space="0" w:color="auto"/>
              <w:left w:val="nil"/>
              <w:right w:val="nil"/>
            </w:tcBorders>
          </w:tcPr>
          <w:p w14:paraId="75A3DFB3" w14:textId="77777777" w:rsidR="002F7F03" w:rsidRPr="00F65976" w:rsidRDefault="00C55C60" w:rsidP="00283CAC">
            <w:pPr>
              <w:jc w:val="center"/>
              <w:rPr>
                <w:color w:val="000000"/>
              </w:rPr>
            </w:pPr>
            <w:r>
              <w:rPr>
                <w:b/>
                <w:color w:val="000000"/>
                <w:lang w:eastAsia="en-CA"/>
              </w:rPr>
              <w:t>(</w:t>
            </w:r>
            <w:r w:rsidRPr="000114C0">
              <w:rPr>
                <w:color w:val="000000"/>
                <w:sz w:val="20"/>
                <w:szCs w:val="20"/>
              </w:rPr>
              <w:t xml:space="preserve"> Moderate or high utilitarian </w:t>
            </w:r>
            <w:r>
              <w:rPr>
                <w:color w:val="000000"/>
                <w:sz w:val="20"/>
                <w:szCs w:val="20"/>
              </w:rPr>
              <w:t>w</w:t>
            </w:r>
            <w:r w:rsidRPr="000114C0">
              <w:rPr>
                <w:color w:val="000000"/>
                <w:sz w:val="20"/>
                <w:szCs w:val="20"/>
              </w:rPr>
              <w:t>alking per week</w:t>
            </w:r>
            <w:r>
              <w:rPr>
                <w:color w:val="000000"/>
                <w:sz w:val="20"/>
                <w:szCs w:val="20"/>
              </w:rPr>
              <w:t>)</w:t>
            </w:r>
          </w:p>
        </w:tc>
      </w:tr>
      <w:tr w:rsidR="002F7F03" w:rsidRPr="00F65976" w14:paraId="42C64C6E" w14:textId="77777777" w:rsidTr="00381E06">
        <w:trPr>
          <w:trHeight w:val="420"/>
        </w:trPr>
        <w:tc>
          <w:tcPr>
            <w:tcW w:w="5920" w:type="dxa"/>
            <w:tcBorders>
              <w:left w:val="nil"/>
              <w:right w:val="nil"/>
            </w:tcBorders>
          </w:tcPr>
          <w:p w14:paraId="1A0D1F8D" w14:textId="77777777" w:rsidR="002F7F03" w:rsidRPr="000114C0" w:rsidRDefault="002F7F03" w:rsidP="00EF5E49">
            <w:pPr>
              <w:jc w:val="center"/>
              <w:rPr>
                <w:color w:val="000000"/>
                <w:sz w:val="20"/>
                <w:szCs w:val="20"/>
              </w:rPr>
            </w:pPr>
          </w:p>
        </w:tc>
        <w:tc>
          <w:tcPr>
            <w:tcW w:w="4253" w:type="dxa"/>
            <w:tcBorders>
              <w:left w:val="nil"/>
              <w:right w:val="nil"/>
            </w:tcBorders>
            <w:vAlign w:val="bottom"/>
          </w:tcPr>
          <w:p w14:paraId="048022DE" w14:textId="77777777" w:rsidR="002F7F03" w:rsidRPr="006E4ABE" w:rsidRDefault="002F7F03" w:rsidP="00283CAC">
            <w:pPr>
              <w:jc w:val="center"/>
              <w:rPr>
                <w:color w:val="000000"/>
                <w:sz w:val="20"/>
                <w:szCs w:val="20"/>
              </w:rPr>
            </w:pPr>
            <w:r>
              <w:rPr>
                <w:color w:val="000000"/>
                <w:sz w:val="20"/>
                <w:szCs w:val="20"/>
                <w:lang w:eastAsia="en-CA"/>
              </w:rPr>
              <w:t>Odds Ratio</w:t>
            </w:r>
          </w:p>
        </w:tc>
      </w:tr>
      <w:tr w:rsidR="002F7F03" w:rsidRPr="00F65976" w14:paraId="49EE06D1" w14:textId="77777777" w:rsidTr="00381E06">
        <w:trPr>
          <w:trHeight w:val="224"/>
        </w:trPr>
        <w:tc>
          <w:tcPr>
            <w:tcW w:w="5920" w:type="dxa"/>
            <w:tcBorders>
              <w:top w:val="nil"/>
              <w:left w:val="nil"/>
              <w:bottom w:val="single" w:sz="12" w:space="0" w:color="auto"/>
              <w:right w:val="nil"/>
            </w:tcBorders>
          </w:tcPr>
          <w:p w14:paraId="4C6EF120" w14:textId="77777777" w:rsidR="002F7F03" w:rsidRPr="00F65976" w:rsidRDefault="002F7F03" w:rsidP="00283CAC">
            <w:pPr>
              <w:jc w:val="center"/>
              <w:rPr>
                <w:color w:val="000000"/>
              </w:rPr>
            </w:pPr>
          </w:p>
        </w:tc>
        <w:tc>
          <w:tcPr>
            <w:tcW w:w="4253" w:type="dxa"/>
            <w:tcBorders>
              <w:top w:val="nil"/>
              <w:left w:val="nil"/>
              <w:bottom w:val="single" w:sz="12" w:space="0" w:color="auto"/>
              <w:right w:val="nil"/>
            </w:tcBorders>
            <w:vAlign w:val="bottom"/>
          </w:tcPr>
          <w:p w14:paraId="5725384F" w14:textId="77777777" w:rsidR="002F7F03" w:rsidRPr="006E4ABE" w:rsidRDefault="002F7F03" w:rsidP="00283CAC">
            <w:pPr>
              <w:jc w:val="center"/>
              <w:rPr>
                <w:color w:val="000000"/>
                <w:sz w:val="16"/>
                <w:szCs w:val="16"/>
              </w:rPr>
            </w:pPr>
            <w:r w:rsidRPr="006E4ABE">
              <w:rPr>
                <w:color w:val="000000"/>
                <w:sz w:val="16"/>
                <w:szCs w:val="16"/>
                <w:lang w:eastAsia="en-CA"/>
              </w:rPr>
              <w:t>[95% Conf. Interval]</w:t>
            </w:r>
          </w:p>
        </w:tc>
      </w:tr>
      <w:tr w:rsidR="002F7F03" w:rsidRPr="00F65976" w14:paraId="746201A1" w14:textId="77777777" w:rsidTr="00381E06">
        <w:trPr>
          <w:trHeight w:val="312"/>
        </w:trPr>
        <w:tc>
          <w:tcPr>
            <w:tcW w:w="5920" w:type="dxa"/>
            <w:tcBorders>
              <w:top w:val="single" w:sz="12" w:space="0" w:color="auto"/>
              <w:left w:val="nil"/>
              <w:bottom w:val="nil"/>
              <w:right w:val="nil"/>
            </w:tcBorders>
          </w:tcPr>
          <w:p w14:paraId="4B884AC7" w14:textId="77777777" w:rsidR="002F7F03" w:rsidRPr="00EA123C" w:rsidRDefault="002F7F03" w:rsidP="00283CAC">
            <w:pPr>
              <w:rPr>
                <w:b/>
              </w:rPr>
            </w:pPr>
            <w:r w:rsidRPr="00EA123C">
              <w:rPr>
                <w:b/>
              </w:rPr>
              <w:t>Good perceived health</w:t>
            </w:r>
          </w:p>
        </w:tc>
        <w:tc>
          <w:tcPr>
            <w:tcW w:w="4253" w:type="dxa"/>
            <w:tcBorders>
              <w:top w:val="single" w:sz="12" w:space="0" w:color="auto"/>
              <w:left w:val="nil"/>
              <w:bottom w:val="nil"/>
              <w:right w:val="nil"/>
            </w:tcBorders>
          </w:tcPr>
          <w:p w14:paraId="46A99FBD" w14:textId="7B16B168" w:rsidR="002F7F03" w:rsidRPr="00D51C44" w:rsidRDefault="002F7F03" w:rsidP="00E36C5D">
            <w:pPr>
              <w:jc w:val="center"/>
            </w:pPr>
            <w:r w:rsidRPr="00D51C44">
              <w:t>1.</w:t>
            </w:r>
            <w:r w:rsidR="00E36C5D" w:rsidRPr="00D51C44">
              <w:t>1</w:t>
            </w:r>
            <w:r w:rsidR="00E36C5D">
              <w:t>8</w:t>
            </w:r>
          </w:p>
        </w:tc>
      </w:tr>
      <w:tr w:rsidR="002F7F03" w:rsidRPr="00F65976" w14:paraId="23D6BA3F" w14:textId="77777777" w:rsidTr="00931440">
        <w:trPr>
          <w:trHeight w:val="205"/>
        </w:trPr>
        <w:tc>
          <w:tcPr>
            <w:tcW w:w="5920" w:type="dxa"/>
            <w:tcBorders>
              <w:top w:val="nil"/>
              <w:left w:val="nil"/>
              <w:bottom w:val="single" w:sz="4" w:space="0" w:color="auto"/>
              <w:right w:val="nil"/>
            </w:tcBorders>
          </w:tcPr>
          <w:p w14:paraId="6EE573DF" w14:textId="77777777" w:rsidR="002F7F03" w:rsidRPr="00253DE9" w:rsidRDefault="002F7F03" w:rsidP="00283CAC">
            <w:pPr>
              <w:rPr>
                <w:i/>
              </w:rPr>
            </w:pPr>
            <w:r w:rsidRPr="00253DE9">
              <w:rPr>
                <w:i/>
                <w:sz w:val="20"/>
              </w:rPr>
              <w:t>(ref. unhealthy)</w:t>
            </w:r>
          </w:p>
        </w:tc>
        <w:tc>
          <w:tcPr>
            <w:tcW w:w="4253" w:type="dxa"/>
            <w:tcBorders>
              <w:top w:val="nil"/>
              <w:left w:val="nil"/>
              <w:bottom w:val="single" w:sz="4" w:space="0" w:color="auto"/>
              <w:right w:val="nil"/>
            </w:tcBorders>
          </w:tcPr>
          <w:p w14:paraId="739B31E9" w14:textId="443EF7D6" w:rsidR="002F7F03" w:rsidRPr="00AE2270" w:rsidRDefault="002F7F03" w:rsidP="00283CAC">
            <w:pPr>
              <w:jc w:val="center"/>
              <w:rPr>
                <w:sz w:val="20"/>
                <w:szCs w:val="20"/>
              </w:rPr>
            </w:pPr>
            <w:r w:rsidRPr="00AE2270">
              <w:rPr>
                <w:sz w:val="20"/>
                <w:szCs w:val="20"/>
              </w:rPr>
              <w:t>[0.90, 1.53]</w:t>
            </w:r>
          </w:p>
        </w:tc>
      </w:tr>
      <w:tr w:rsidR="002F7F03" w:rsidRPr="00F65976" w14:paraId="54ABCB37" w14:textId="77777777" w:rsidTr="00931440">
        <w:trPr>
          <w:trHeight w:val="330"/>
        </w:trPr>
        <w:tc>
          <w:tcPr>
            <w:tcW w:w="5920" w:type="dxa"/>
            <w:tcBorders>
              <w:top w:val="single" w:sz="4" w:space="0" w:color="auto"/>
              <w:left w:val="nil"/>
              <w:bottom w:val="nil"/>
              <w:right w:val="nil"/>
            </w:tcBorders>
            <w:vAlign w:val="bottom"/>
          </w:tcPr>
          <w:p w14:paraId="7FB3CD70" w14:textId="77777777" w:rsidR="002F7F03" w:rsidRPr="00EA123C" w:rsidRDefault="002F7F03" w:rsidP="00283CAC">
            <w:pPr>
              <w:rPr>
                <w:b/>
                <w:color w:val="000000"/>
              </w:rPr>
            </w:pPr>
            <w:r w:rsidRPr="00EA123C">
              <w:rPr>
                <w:b/>
                <w:lang w:eastAsia="en-CA"/>
              </w:rPr>
              <w:t>Active in leisure time</w:t>
            </w:r>
          </w:p>
        </w:tc>
        <w:tc>
          <w:tcPr>
            <w:tcW w:w="4253" w:type="dxa"/>
            <w:tcBorders>
              <w:top w:val="single" w:sz="4" w:space="0" w:color="auto"/>
              <w:left w:val="nil"/>
              <w:bottom w:val="nil"/>
              <w:right w:val="nil"/>
            </w:tcBorders>
            <w:vAlign w:val="center"/>
          </w:tcPr>
          <w:p w14:paraId="2FDD37A0" w14:textId="7DF98CA1" w:rsidR="002F7F03" w:rsidRPr="00AE2270" w:rsidRDefault="002F7F03" w:rsidP="00283CAC">
            <w:pPr>
              <w:jc w:val="center"/>
              <w:rPr>
                <w:b/>
                <w:color w:val="000000"/>
              </w:rPr>
            </w:pPr>
            <w:r w:rsidRPr="00AE2270">
              <w:rPr>
                <w:b/>
                <w:color w:val="000000"/>
              </w:rPr>
              <w:t>1.2</w:t>
            </w:r>
            <w:r w:rsidR="00E36C5D">
              <w:rPr>
                <w:b/>
                <w:color w:val="000000"/>
              </w:rPr>
              <w:t>8</w:t>
            </w:r>
            <w:r w:rsidR="00A45974">
              <w:rPr>
                <w:b/>
                <w:color w:val="000000"/>
              </w:rPr>
              <w:t>**</w:t>
            </w:r>
          </w:p>
        </w:tc>
      </w:tr>
      <w:tr w:rsidR="002F7F03" w:rsidRPr="00F65976" w14:paraId="3BE69449" w14:textId="77777777" w:rsidTr="00931440">
        <w:trPr>
          <w:trHeight w:val="287"/>
        </w:trPr>
        <w:tc>
          <w:tcPr>
            <w:tcW w:w="5920" w:type="dxa"/>
            <w:tcBorders>
              <w:top w:val="nil"/>
              <w:left w:val="nil"/>
              <w:bottom w:val="single" w:sz="4" w:space="0" w:color="auto"/>
              <w:right w:val="nil"/>
            </w:tcBorders>
            <w:vAlign w:val="bottom"/>
          </w:tcPr>
          <w:p w14:paraId="5D9FF1DE" w14:textId="77777777" w:rsidR="002F7F03" w:rsidRPr="00F65976" w:rsidRDefault="002F7F03" w:rsidP="00283CAC">
            <w:pPr>
              <w:rPr>
                <w:color w:val="000000"/>
                <w:sz w:val="20"/>
                <w:szCs w:val="20"/>
              </w:rPr>
            </w:pPr>
            <w:r w:rsidRPr="00F65976">
              <w:rPr>
                <w:i/>
                <w:color w:val="000000"/>
                <w:sz w:val="20"/>
                <w:szCs w:val="20"/>
                <w:lang w:eastAsia="en-CA"/>
              </w:rPr>
              <w:t xml:space="preserve">(ref. </w:t>
            </w:r>
            <w:r>
              <w:rPr>
                <w:i/>
                <w:color w:val="000000"/>
                <w:sz w:val="20"/>
                <w:szCs w:val="20"/>
                <w:lang w:eastAsia="en-CA"/>
              </w:rPr>
              <w:t>inactive</w:t>
            </w:r>
            <w:r w:rsidRPr="004804E7">
              <w:rPr>
                <w:i/>
                <w:color w:val="000000"/>
                <w:sz w:val="20"/>
                <w:szCs w:val="20"/>
                <w:lang w:eastAsia="en-CA"/>
              </w:rPr>
              <w:t>)</w:t>
            </w:r>
          </w:p>
        </w:tc>
        <w:tc>
          <w:tcPr>
            <w:tcW w:w="4253" w:type="dxa"/>
            <w:tcBorders>
              <w:top w:val="nil"/>
              <w:left w:val="nil"/>
              <w:bottom w:val="single" w:sz="4" w:space="0" w:color="auto"/>
              <w:right w:val="nil"/>
            </w:tcBorders>
            <w:vAlign w:val="center"/>
          </w:tcPr>
          <w:p w14:paraId="5C0EB946" w14:textId="6CF99A5D" w:rsidR="002F7F03" w:rsidRPr="00706938" w:rsidRDefault="002F7F03" w:rsidP="00283CAC">
            <w:pPr>
              <w:jc w:val="center"/>
              <w:rPr>
                <w:color w:val="000000"/>
                <w:sz w:val="18"/>
                <w:szCs w:val="18"/>
              </w:rPr>
            </w:pPr>
            <w:r w:rsidRPr="00706938">
              <w:rPr>
                <w:color w:val="000000"/>
                <w:sz w:val="18"/>
                <w:szCs w:val="18"/>
              </w:rPr>
              <w:t>[1.11, 1.4</w:t>
            </w:r>
            <w:r w:rsidR="00E36C5D">
              <w:rPr>
                <w:color w:val="000000"/>
                <w:sz w:val="18"/>
                <w:szCs w:val="18"/>
              </w:rPr>
              <w:t>7</w:t>
            </w:r>
            <w:r w:rsidRPr="00706938">
              <w:rPr>
                <w:color w:val="000000"/>
                <w:sz w:val="18"/>
                <w:szCs w:val="18"/>
              </w:rPr>
              <w:t>]</w:t>
            </w:r>
          </w:p>
        </w:tc>
      </w:tr>
      <w:tr w:rsidR="002F7F03" w:rsidRPr="00F65976" w14:paraId="32569A83" w14:textId="77777777" w:rsidTr="00931440">
        <w:trPr>
          <w:trHeight w:val="312"/>
        </w:trPr>
        <w:tc>
          <w:tcPr>
            <w:tcW w:w="5920" w:type="dxa"/>
            <w:tcBorders>
              <w:top w:val="single" w:sz="4" w:space="0" w:color="auto"/>
              <w:left w:val="nil"/>
              <w:bottom w:val="nil"/>
              <w:right w:val="nil"/>
            </w:tcBorders>
          </w:tcPr>
          <w:p w14:paraId="17D396E7" w14:textId="77777777" w:rsidR="00A45974" w:rsidRDefault="002F7F03" w:rsidP="00283CAC">
            <w:pPr>
              <w:rPr>
                <w:color w:val="000000"/>
                <w:lang w:eastAsia="en-CA"/>
              </w:rPr>
            </w:pPr>
            <w:r w:rsidRPr="00AE2270">
              <w:rPr>
                <w:b/>
                <w:color w:val="000000"/>
                <w:lang w:eastAsia="en-CA"/>
              </w:rPr>
              <w:t>Moving between neighbourhoods</w:t>
            </w:r>
            <w:r>
              <w:rPr>
                <w:color w:val="000000"/>
                <w:lang w:eastAsia="en-CA"/>
              </w:rPr>
              <w:t xml:space="preserve"> </w:t>
            </w:r>
          </w:p>
          <w:p w14:paraId="2B50E25A" w14:textId="77777777" w:rsidR="002F7F03" w:rsidRPr="00F65976" w:rsidRDefault="002F7F03" w:rsidP="00283CAC">
            <w:pPr>
              <w:rPr>
                <w:color w:val="000000"/>
              </w:rPr>
            </w:pPr>
            <w:r w:rsidRPr="000114C0">
              <w:rPr>
                <w:i/>
                <w:color w:val="000000"/>
                <w:sz w:val="20"/>
                <w:szCs w:val="20"/>
                <w:lang w:eastAsia="en-CA"/>
              </w:rPr>
              <w:t xml:space="preserve">(ref. moving to a  neighborhood with the same </w:t>
            </w:r>
            <w:r w:rsidR="00DC05D5">
              <w:rPr>
                <w:i/>
                <w:color w:val="000000"/>
                <w:sz w:val="20"/>
                <w:szCs w:val="20"/>
                <w:lang w:eastAsia="en-CA"/>
              </w:rPr>
              <w:t>Walk Score®</w:t>
            </w:r>
            <w:r>
              <w:rPr>
                <w:i/>
                <w:color w:val="000000"/>
                <w:sz w:val="20"/>
                <w:szCs w:val="20"/>
                <w:lang w:eastAsia="en-CA"/>
              </w:rPr>
              <w:t xml:space="preserve"> </w:t>
            </w:r>
            <w:r w:rsidRPr="000114C0">
              <w:rPr>
                <w:i/>
                <w:color w:val="000000"/>
                <w:sz w:val="20"/>
                <w:szCs w:val="20"/>
                <w:lang w:eastAsia="en-CA"/>
              </w:rPr>
              <w:t xml:space="preserve"> quartile</w:t>
            </w:r>
            <w:r w:rsidR="00A45974">
              <w:rPr>
                <w:i/>
                <w:color w:val="000000"/>
                <w:sz w:val="20"/>
                <w:szCs w:val="20"/>
                <w:lang w:eastAsia="en-CA"/>
              </w:rPr>
              <w:t xml:space="preserve">, or change of one </w:t>
            </w:r>
            <w:r w:rsidR="00DC05D5">
              <w:rPr>
                <w:i/>
                <w:color w:val="000000"/>
                <w:sz w:val="20"/>
                <w:szCs w:val="20"/>
                <w:lang w:eastAsia="en-CA"/>
              </w:rPr>
              <w:t>Walk Score®</w:t>
            </w:r>
            <w:r w:rsidR="00A45974">
              <w:rPr>
                <w:i/>
                <w:color w:val="000000"/>
                <w:sz w:val="20"/>
                <w:szCs w:val="20"/>
                <w:lang w:eastAsia="en-CA"/>
              </w:rPr>
              <w:t xml:space="preserve">  quartile </w:t>
            </w:r>
            <w:r w:rsidRPr="000114C0">
              <w:rPr>
                <w:i/>
                <w:color w:val="000000"/>
                <w:sz w:val="20"/>
                <w:szCs w:val="20"/>
                <w:lang w:eastAsia="en-CA"/>
              </w:rPr>
              <w:t xml:space="preserve"> )</w:t>
            </w:r>
          </w:p>
        </w:tc>
        <w:tc>
          <w:tcPr>
            <w:tcW w:w="4253" w:type="dxa"/>
            <w:tcBorders>
              <w:top w:val="single" w:sz="4" w:space="0" w:color="auto"/>
              <w:left w:val="nil"/>
              <w:bottom w:val="nil"/>
              <w:right w:val="nil"/>
            </w:tcBorders>
            <w:vAlign w:val="center"/>
          </w:tcPr>
          <w:p w14:paraId="590866A5" w14:textId="77777777" w:rsidR="002F7F03" w:rsidRPr="00F65976" w:rsidRDefault="002F7F03" w:rsidP="00283CAC">
            <w:pPr>
              <w:jc w:val="center"/>
              <w:rPr>
                <w:color w:val="000000"/>
              </w:rPr>
            </w:pPr>
          </w:p>
        </w:tc>
      </w:tr>
      <w:tr w:rsidR="002F7F03" w:rsidRPr="00F65976" w14:paraId="783040D6" w14:textId="77777777" w:rsidTr="00931440">
        <w:trPr>
          <w:trHeight w:val="312"/>
        </w:trPr>
        <w:tc>
          <w:tcPr>
            <w:tcW w:w="5920" w:type="dxa"/>
            <w:tcBorders>
              <w:top w:val="nil"/>
              <w:left w:val="nil"/>
              <w:bottom w:val="nil"/>
              <w:right w:val="nil"/>
            </w:tcBorders>
            <w:vAlign w:val="bottom"/>
          </w:tcPr>
          <w:p w14:paraId="3F7273E0" w14:textId="77777777" w:rsidR="002F7F03" w:rsidRPr="00F65976" w:rsidRDefault="002F7F03" w:rsidP="00283CAC">
            <w:pPr>
              <w:rPr>
                <w:color w:val="000000"/>
              </w:rPr>
            </w:pPr>
            <w:r>
              <w:rPr>
                <w:color w:val="000000"/>
                <w:lang w:eastAsia="en-CA"/>
              </w:rPr>
              <w:t xml:space="preserve">Moving from low to high </w:t>
            </w:r>
            <w:r>
              <w:t xml:space="preserve"> </w:t>
            </w:r>
            <w:r w:rsidRPr="00AE2270">
              <w:rPr>
                <w:color w:val="000000"/>
                <w:lang w:eastAsia="en-CA"/>
              </w:rPr>
              <w:t>walkable</w:t>
            </w:r>
          </w:p>
        </w:tc>
        <w:tc>
          <w:tcPr>
            <w:tcW w:w="4253" w:type="dxa"/>
            <w:tcBorders>
              <w:top w:val="nil"/>
              <w:left w:val="nil"/>
              <w:bottom w:val="nil"/>
              <w:right w:val="nil"/>
            </w:tcBorders>
          </w:tcPr>
          <w:p w14:paraId="24D41B83" w14:textId="3EA3D4CD" w:rsidR="002F7F03" w:rsidRPr="00227838" w:rsidRDefault="002F7F03" w:rsidP="00283CAC">
            <w:pPr>
              <w:jc w:val="center"/>
              <w:rPr>
                <w:b/>
              </w:rPr>
            </w:pPr>
            <w:r w:rsidRPr="00227838">
              <w:rPr>
                <w:b/>
              </w:rPr>
              <w:t>1.59***</w:t>
            </w:r>
          </w:p>
        </w:tc>
      </w:tr>
      <w:tr w:rsidR="002F7F03" w:rsidRPr="00F65976" w14:paraId="43C685DF" w14:textId="77777777" w:rsidTr="00931440">
        <w:trPr>
          <w:trHeight w:val="195"/>
        </w:trPr>
        <w:tc>
          <w:tcPr>
            <w:tcW w:w="5920" w:type="dxa"/>
            <w:tcBorders>
              <w:top w:val="nil"/>
              <w:left w:val="nil"/>
              <w:bottom w:val="nil"/>
              <w:right w:val="nil"/>
            </w:tcBorders>
            <w:vAlign w:val="bottom"/>
          </w:tcPr>
          <w:p w14:paraId="6E34402F" w14:textId="77777777" w:rsidR="002F7F03" w:rsidRPr="00F65976" w:rsidRDefault="00A45974" w:rsidP="00283CAC">
            <w:pPr>
              <w:rPr>
                <w:color w:val="000000"/>
                <w:sz w:val="20"/>
                <w:szCs w:val="20"/>
              </w:rPr>
            </w:pPr>
            <w:r w:rsidRPr="00BC4263">
              <w:rPr>
                <w:color w:val="000000"/>
              </w:rPr>
              <w:t>N</w:t>
            </w:r>
            <w:r w:rsidR="002F7F03" w:rsidRPr="00BC4263">
              <w:rPr>
                <w:color w:val="000000"/>
              </w:rPr>
              <w:t>eighbourhood</w:t>
            </w:r>
            <w:r>
              <w:rPr>
                <w:color w:val="000000"/>
              </w:rPr>
              <w:t>*</w:t>
            </w:r>
          </w:p>
        </w:tc>
        <w:tc>
          <w:tcPr>
            <w:tcW w:w="4253" w:type="dxa"/>
            <w:tcBorders>
              <w:top w:val="nil"/>
              <w:left w:val="nil"/>
              <w:bottom w:val="nil"/>
              <w:right w:val="nil"/>
            </w:tcBorders>
          </w:tcPr>
          <w:p w14:paraId="658F413C" w14:textId="614493BE" w:rsidR="002F7F03" w:rsidRPr="00706938" w:rsidRDefault="002F7F03" w:rsidP="00283CAC">
            <w:pPr>
              <w:jc w:val="center"/>
              <w:rPr>
                <w:sz w:val="18"/>
                <w:szCs w:val="18"/>
              </w:rPr>
            </w:pPr>
            <w:r w:rsidRPr="00706938">
              <w:rPr>
                <w:sz w:val="18"/>
                <w:szCs w:val="18"/>
              </w:rPr>
              <w:t>[1.03, 2.4</w:t>
            </w:r>
            <w:r w:rsidR="00E36C5D">
              <w:rPr>
                <w:sz w:val="18"/>
                <w:szCs w:val="18"/>
              </w:rPr>
              <w:t>6</w:t>
            </w:r>
            <w:r w:rsidRPr="00706938">
              <w:rPr>
                <w:sz w:val="18"/>
                <w:szCs w:val="18"/>
              </w:rPr>
              <w:t>]</w:t>
            </w:r>
          </w:p>
        </w:tc>
      </w:tr>
      <w:tr w:rsidR="002F7F03" w:rsidRPr="00F65976" w14:paraId="7115E96B" w14:textId="77777777" w:rsidTr="00931440">
        <w:trPr>
          <w:trHeight w:val="312"/>
        </w:trPr>
        <w:tc>
          <w:tcPr>
            <w:tcW w:w="5920" w:type="dxa"/>
            <w:tcBorders>
              <w:top w:val="nil"/>
              <w:left w:val="nil"/>
              <w:bottom w:val="nil"/>
              <w:right w:val="nil"/>
            </w:tcBorders>
            <w:vAlign w:val="bottom"/>
          </w:tcPr>
          <w:p w14:paraId="320A8525" w14:textId="77777777" w:rsidR="002F7F03" w:rsidRPr="00BC4263" w:rsidRDefault="002F7F03" w:rsidP="00283CAC">
            <w:pPr>
              <w:rPr>
                <w:color w:val="000000"/>
              </w:rPr>
            </w:pPr>
            <w:r w:rsidRPr="00BC4263">
              <w:rPr>
                <w:color w:val="000000"/>
                <w:lang w:eastAsia="en-CA"/>
              </w:rPr>
              <w:t xml:space="preserve">Moving from high to </w:t>
            </w:r>
            <w:r>
              <w:rPr>
                <w:color w:val="000000"/>
                <w:lang w:eastAsia="en-CA"/>
              </w:rPr>
              <w:t xml:space="preserve">low </w:t>
            </w:r>
            <w:r>
              <w:rPr>
                <w:color w:val="000000"/>
              </w:rPr>
              <w:t xml:space="preserve"> w</w:t>
            </w:r>
            <w:r w:rsidRPr="00BC4263">
              <w:rPr>
                <w:color w:val="000000"/>
              </w:rPr>
              <w:t>alkable</w:t>
            </w:r>
          </w:p>
        </w:tc>
        <w:tc>
          <w:tcPr>
            <w:tcW w:w="4253" w:type="dxa"/>
            <w:tcBorders>
              <w:top w:val="nil"/>
              <w:left w:val="nil"/>
              <w:bottom w:val="nil"/>
              <w:right w:val="nil"/>
            </w:tcBorders>
          </w:tcPr>
          <w:p w14:paraId="58A29AB5" w14:textId="1EE4D883" w:rsidR="002F7F03" w:rsidRPr="00CF7EC1" w:rsidRDefault="002F7F03" w:rsidP="00283CAC">
            <w:pPr>
              <w:jc w:val="center"/>
            </w:pPr>
            <w:r w:rsidRPr="00CF7EC1">
              <w:t>1.07</w:t>
            </w:r>
          </w:p>
        </w:tc>
      </w:tr>
      <w:tr w:rsidR="002F7F03" w:rsidRPr="00F65976" w14:paraId="1A4F5FA3" w14:textId="77777777" w:rsidTr="00931440">
        <w:trPr>
          <w:trHeight w:val="263"/>
        </w:trPr>
        <w:tc>
          <w:tcPr>
            <w:tcW w:w="5920" w:type="dxa"/>
            <w:tcBorders>
              <w:top w:val="nil"/>
              <w:left w:val="nil"/>
              <w:bottom w:val="single" w:sz="4" w:space="0" w:color="auto"/>
              <w:right w:val="nil"/>
            </w:tcBorders>
            <w:vAlign w:val="bottom"/>
          </w:tcPr>
          <w:p w14:paraId="70A89BA3" w14:textId="77777777" w:rsidR="002F7F03" w:rsidRPr="00BC4263" w:rsidRDefault="00A45974" w:rsidP="00283CAC">
            <w:pPr>
              <w:rPr>
                <w:color w:val="000000"/>
              </w:rPr>
            </w:pPr>
            <w:r w:rsidRPr="00BC4263">
              <w:rPr>
                <w:color w:val="000000"/>
              </w:rPr>
              <w:t>N</w:t>
            </w:r>
            <w:r w:rsidR="002F7F03" w:rsidRPr="00BC4263">
              <w:rPr>
                <w:color w:val="000000"/>
              </w:rPr>
              <w:t>eighbourhood</w:t>
            </w:r>
            <w:r>
              <w:rPr>
                <w:color w:val="000000"/>
              </w:rPr>
              <w:t>*</w:t>
            </w:r>
          </w:p>
        </w:tc>
        <w:tc>
          <w:tcPr>
            <w:tcW w:w="4253" w:type="dxa"/>
            <w:tcBorders>
              <w:top w:val="nil"/>
              <w:left w:val="nil"/>
              <w:bottom w:val="single" w:sz="4" w:space="0" w:color="auto"/>
              <w:right w:val="nil"/>
            </w:tcBorders>
          </w:tcPr>
          <w:p w14:paraId="0F67C077" w14:textId="73ECA7D8" w:rsidR="002F7F03" w:rsidRPr="00706938" w:rsidRDefault="002F7F03" w:rsidP="00283CAC">
            <w:pPr>
              <w:jc w:val="center"/>
              <w:rPr>
                <w:sz w:val="18"/>
                <w:szCs w:val="18"/>
              </w:rPr>
            </w:pPr>
            <w:r w:rsidRPr="00706938">
              <w:rPr>
                <w:sz w:val="18"/>
                <w:szCs w:val="18"/>
              </w:rPr>
              <w:t>[0.78, 1.4</w:t>
            </w:r>
            <w:r w:rsidR="00E36C5D">
              <w:rPr>
                <w:sz w:val="18"/>
                <w:szCs w:val="18"/>
              </w:rPr>
              <w:t>8</w:t>
            </w:r>
            <w:r w:rsidRPr="00706938">
              <w:rPr>
                <w:sz w:val="18"/>
                <w:szCs w:val="18"/>
              </w:rPr>
              <w:t>]</w:t>
            </w:r>
          </w:p>
        </w:tc>
      </w:tr>
      <w:tr w:rsidR="002F7F03" w:rsidRPr="00F65976" w14:paraId="24EDED42" w14:textId="77777777" w:rsidTr="00931440">
        <w:trPr>
          <w:trHeight w:val="312"/>
        </w:trPr>
        <w:tc>
          <w:tcPr>
            <w:tcW w:w="5920" w:type="dxa"/>
            <w:tcBorders>
              <w:top w:val="single" w:sz="4" w:space="0" w:color="auto"/>
              <w:left w:val="nil"/>
              <w:bottom w:val="nil"/>
              <w:right w:val="nil"/>
            </w:tcBorders>
            <w:vAlign w:val="bottom"/>
          </w:tcPr>
          <w:p w14:paraId="7214B1D9" w14:textId="77777777" w:rsidR="002F7F03" w:rsidRPr="00EA123C" w:rsidRDefault="002F7F03" w:rsidP="00283CAC">
            <w:pPr>
              <w:rPr>
                <w:b/>
                <w:lang w:eastAsia="en-CA"/>
              </w:rPr>
            </w:pPr>
            <w:r w:rsidRPr="00EA123C">
              <w:rPr>
                <w:b/>
                <w:lang w:eastAsia="en-CA"/>
              </w:rPr>
              <w:t xml:space="preserve">Time: </w:t>
            </w:r>
            <w:r w:rsidRPr="00EA123C">
              <w:rPr>
                <w:b/>
                <w:sz w:val="20"/>
                <w:szCs w:val="20"/>
                <w:lang w:eastAsia="en-CA"/>
              </w:rPr>
              <w:t>(ref. Cycle 1: 1994)</w:t>
            </w:r>
          </w:p>
        </w:tc>
        <w:tc>
          <w:tcPr>
            <w:tcW w:w="4253" w:type="dxa"/>
            <w:tcBorders>
              <w:top w:val="single" w:sz="4" w:space="0" w:color="auto"/>
              <w:left w:val="nil"/>
              <w:bottom w:val="nil"/>
              <w:right w:val="nil"/>
            </w:tcBorders>
            <w:vAlign w:val="center"/>
          </w:tcPr>
          <w:p w14:paraId="1EF7D688" w14:textId="77777777" w:rsidR="002F7F03" w:rsidRPr="00E3015D" w:rsidRDefault="002F7F03" w:rsidP="00283CAC">
            <w:pPr>
              <w:jc w:val="center"/>
              <w:rPr>
                <w:bCs/>
                <w:sz w:val="20"/>
                <w:szCs w:val="20"/>
              </w:rPr>
            </w:pPr>
          </w:p>
        </w:tc>
      </w:tr>
      <w:tr w:rsidR="002F7F03" w:rsidRPr="00F65976" w14:paraId="4CC73163" w14:textId="77777777" w:rsidTr="00931440">
        <w:trPr>
          <w:trHeight w:val="312"/>
        </w:trPr>
        <w:tc>
          <w:tcPr>
            <w:tcW w:w="5920" w:type="dxa"/>
            <w:tcBorders>
              <w:top w:val="nil"/>
              <w:left w:val="nil"/>
              <w:bottom w:val="nil"/>
              <w:right w:val="nil"/>
            </w:tcBorders>
            <w:vAlign w:val="bottom"/>
          </w:tcPr>
          <w:p w14:paraId="56B3CC40" w14:textId="77777777" w:rsidR="002F7F03" w:rsidRPr="00F65976" w:rsidRDefault="002F7F03" w:rsidP="00283CAC">
            <w:pPr>
              <w:rPr>
                <w:bCs/>
              </w:rPr>
            </w:pPr>
            <w:r w:rsidRPr="00F65976">
              <w:rPr>
                <w:lang w:eastAsia="en-CA"/>
              </w:rPr>
              <w:t>Cycle 2: 1996</w:t>
            </w:r>
          </w:p>
        </w:tc>
        <w:tc>
          <w:tcPr>
            <w:tcW w:w="4253" w:type="dxa"/>
            <w:tcBorders>
              <w:top w:val="nil"/>
              <w:left w:val="nil"/>
              <w:bottom w:val="nil"/>
              <w:right w:val="nil"/>
            </w:tcBorders>
          </w:tcPr>
          <w:p w14:paraId="4AAF93D5" w14:textId="77777777" w:rsidR="002F7F03" w:rsidRPr="00BD6D89" w:rsidRDefault="002F7F03" w:rsidP="00283CAC">
            <w:pPr>
              <w:jc w:val="center"/>
            </w:pPr>
            <w:r w:rsidRPr="00BD6D89">
              <w:t>1.07</w:t>
            </w:r>
          </w:p>
        </w:tc>
      </w:tr>
      <w:tr w:rsidR="002F7F03" w:rsidRPr="00F65976" w14:paraId="665676AF" w14:textId="77777777" w:rsidTr="00931440">
        <w:trPr>
          <w:trHeight w:val="225"/>
        </w:trPr>
        <w:tc>
          <w:tcPr>
            <w:tcW w:w="5920" w:type="dxa"/>
            <w:tcBorders>
              <w:top w:val="nil"/>
              <w:left w:val="nil"/>
              <w:bottom w:val="nil"/>
              <w:right w:val="nil"/>
            </w:tcBorders>
            <w:vAlign w:val="bottom"/>
          </w:tcPr>
          <w:p w14:paraId="10BE8918" w14:textId="77777777" w:rsidR="002F7F03" w:rsidRPr="00706938" w:rsidRDefault="002F7F03" w:rsidP="00283CAC">
            <w:pPr>
              <w:rPr>
                <w:sz w:val="18"/>
                <w:szCs w:val="18"/>
              </w:rPr>
            </w:pPr>
          </w:p>
        </w:tc>
        <w:tc>
          <w:tcPr>
            <w:tcW w:w="4253" w:type="dxa"/>
            <w:tcBorders>
              <w:top w:val="nil"/>
              <w:left w:val="nil"/>
              <w:bottom w:val="nil"/>
              <w:right w:val="nil"/>
            </w:tcBorders>
          </w:tcPr>
          <w:p w14:paraId="789E274C" w14:textId="5724BE00" w:rsidR="002F7F03" w:rsidRPr="00182EE1" w:rsidRDefault="002F7F03" w:rsidP="00283CAC">
            <w:pPr>
              <w:jc w:val="center"/>
              <w:rPr>
                <w:sz w:val="18"/>
                <w:szCs w:val="18"/>
              </w:rPr>
            </w:pPr>
            <w:r w:rsidRPr="00182EE1">
              <w:rPr>
                <w:sz w:val="18"/>
                <w:szCs w:val="18"/>
              </w:rPr>
              <w:t>[0.89, 1.2</w:t>
            </w:r>
            <w:r w:rsidR="00E36C5D">
              <w:rPr>
                <w:sz w:val="18"/>
                <w:szCs w:val="18"/>
              </w:rPr>
              <w:t>8</w:t>
            </w:r>
            <w:r w:rsidRPr="00182EE1">
              <w:rPr>
                <w:sz w:val="18"/>
                <w:szCs w:val="18"/>
              </w:rPr>
              <w:t>]</w:t>
            </w:r>
          </w:p>
        </w:tc>
      </w:tr>
      <w:tr w:rsidR="002F7F03" w:rsidRPr="00F65976" w14:paraId="332A0E43" w14:textId="77777777" w:rsidTr="00931440">
        <w:trPr>
          <w:trHeight w:val="312"/>
        </w:trPr>
        <w:tc>
          <w:tcPr>
            <w:tcW w:w="5920" w:type="dxa"/>
            <w:tcBorders>
              <w:top w:val="nil"/>
              <w:left w:val="nil"/>
              <w:bottom w:val="nil"/>
              <w:right w:val="nil"/>
            </w:tcBorders>
            <w:vAlign w:val="bottom"/>
          </w:tcPr>
          <w:p w14:paraId="1E13FCF4" w14:textId="77777777" w:rsidR="002F7F03" w:rsidRPr="00F65976" w:rsidRDefault="002F7F03" w:rsidP="00283CAC">
            <w:pPr>
              <w:rPr>
                <w:bCs/>
              </w:rPr>
            </w:pPr>
            <w:r w:rsidRPr="00F65976">
              <w:rPr>
                <w:lang w:eastAsia="en-CA"/>
              </w:rPr>
              <w:t>Cycle 3: 1998</w:t>
            </w:r>
          </w:p>
        </w:tc>
        <w:tc>
          <w:tcPr>
            <w:tcW w:w="4253" w:type="dxa"/>
            <w:tcBorders>
              <w:top w:val="nil"/>
              <w:left w:val="nil"/>
              <w:bottom w:val="nil"/>
              <w:right w:val="nil"/>
            </w:tcBorders>
          </w:tcPr>
          <w:p w14:paraId="7FDBED43" w14:textId="77777777" w:rsidR="002F7F03" w:rsidRPr="00182EE1" w:rsidRDefault="002F7F03" w:rsidP="00283CAC">
            <w:pPr>
              <w:jc w:val="center"/>
            </w:pPr>
            <w:r w:rsidRPr="00182EE1">
              <w:t>1.12</w:t>
            </w:r>
          </w:p>
        </w:tc>
      </w:tr>
      <w:tr w:rsidR="002F7F03" w:rsidRPr="00F65976" w14:paraId="56F2F59E" w14:textId="77777777" w:rsidTr="00931440">
        <w:trPr>
          <w:trHeight w:val="163"/>
        </w:trPr>
        <w:tc>
          <w:tcPr>
            <w:tcW w:w="5920" w:type="dxa"/>
            <w:tcBorders>
              <w:top w:val="nil"/>
              <w:left w:val="nil"/>
              <w:bottom w:val="nil"/>
              <w:right w:val="nil"/>
            </w:tcBorders>
            <w:vAlign w:val="bottom"/>
          </w:tcPr>
          <w:p w14:paraId="6F7201F8" w14:textId="77777777" w:rsidR="002F7F03" w:rsidRPr="00F65976" w:rsidRDefault="002F7F03" w:rsidP="00283CAC">
            <w:pPr>
              <w:rPr>
                <w:sz w:val="20"/>
                <w:szCs w:val="20"/>
              </w:rPr>
            </w:pPr>
          </w:p>
        </w:tc>
        <w:tc>
          <w:tcPr>
            <w:tcW w:w="4253" w:type="dxa"/>
            <w:tcBorders>
              <w:top w:val="nil"/>
              <w:left w:val="nil"/>
              <w:bottom w:val="nil"/>
              <w:right w:val="nil"/>
            </w:tcBorders>
          </w:tcPr>
          <w:p w14:paraId="03C27AF0" w14:textId="7390FC07" w:rsidR="002F7F03" w:rsidRPr="00182EE1" w:rsidRDefault="002F7F03" w:rsidP="00283CAC">
            <w:pPr>
              <w:jc w:val="center"/>
              <w:rPr>
                <w:sz w:val="18"/>
                <w:szCs w:val="18"/>
              </w:rPr>
            </w:pPr>
            <w:r w:rsidRPr="00182EE1">
              <w:rPr>
                <w:sz w:val="18"/>
                <w:szCs w:val="18"/>
              </w:rPr>
              <w:t>[0.93, 1.3</w:t>
            </w:r>
            <w:r w:rsidR="00E36C5D">
              <w:rPr>
                <w:sz w:val="18"/>
                <w:szCs w:val="18"/>
              </w:rPr>
              <w:t>5</w:t>
            </w:r>
            <w:r w:rsidRPr="00182EE1">
              <w:rPr>
                <w:sz w:val="18"/>
                <w:szCs w:val="18"/>
              </w:rPr>
              <w:t>]</w:t>
            </w:r>
          </w:p>
        </w:tc>
      </w:tr>
      <w:tr w:rsidR="002F7F03" w:rsidRPr="00F65976" w14:paraId="606987DC" w14:textId="77777777" w:rsidTr="00931440">
        <w:trPr>
          <w:trHeight w:val="312"/>
        </w:trPr>
        <w:tc>
          <w:tcPr>
            <w:tcW w:w="5920" w:type="dxa"/>
            <w:tcBorders>
              <w:top w:val="nil"/>
              <w:left w:val="nil"/>
              <w:bottom w:val="nil"/>
              <w:right w:val="nil"/>
            </w:tcBorders>
            <w:vAlign w:val="bottom"/>
          </w:tcPr>
          <w:p w14:paraId="41C5A396" w14:textId="77777777" w:rsidR="002F7F03" w:rsidRPr="00F65976" w:rsidRDefault="002F7F03" w:rsidP="00283CAC">
            <w:pPr>
              <w:rPr>
                <w:bCs/>
              </w:rPr>
            </w:pPr>
            <w:r w:rsidRPr="00F65976">
              <w:rPr>
                <w:lang w:eastAsia="en-CA"/>
              </w:rPr>
              <w:t>Cycle 4: 2000</w:t>
            </w:r>
          </w:p>
        </w:tc>
        <w:tc>
          <w:tcPr>
            <w:tcW w:w="4253" w:type="dxa"/>
            <w:tcBorders>
              <w:top w:val="nil"/>
              <w:left w:val="nil"/>
              <w:bottom w:val="nil"/>
              <w:right w:val="nil"/>
            </w:tcBorders>
          </w:tcPr>
          <w:p w14:paraId="56218EA1" w14:textId="1C2180FF" w:rsidR="002F7F03" w:rsidRPr="00182EE1" w:rsidRDefault="002F7F03" w:rsidP="00283CAC">
            <w:pPr>
              <w:jc w:val="center"/>
            </w:pPr>
            <w:r w:rsidRPr="00182EE1">
              <w:t>1.10</w:t>
            </w:r>
          </w:p>
        </w:tc>
      </w:tr>
      <w:tr w:rsidR="002F7F03" w:rsidRPr="00F65976" w14:paraId="218B4655" w14:textId="77777777" w:rsidTr="00931440">
        <w:trPr>
          <w:trHeight w:val="185"/>
        </w:trPr>
        <w:tc>
          <w:tcPr>
            <w:tcW w:w="5920" w:type="dxa"/>
            <w:tcBorders>
              <w:top w:val="nil"/>
              <w:left w:val="nil"/>
              <w:bottom w:val="nil"/>
              <w:right w:val="nil"/>
            </w:tcBorders>
            <w:vAlign w:val="bottom"/>
          </w:tcPr>
          <w:p w14:paraId="4B8DE6CD" w14:textId="77777777" w:rsidR="002F7F03" w:rsidRPr="00F65976" w:rsidRDefault="002F7F03" w:rsidP="00283CAC">
            <w:pPr>
              <w:rPr>
                <w:sz w:val="20"/>
                <w:szCs w:val="20"/>
              </w:rPr>
            </w:pPr>
          </w:p>
        </w:tc>
        <w:tc>
          <w:tcPr>
            <w:tcW w:w="4253" w:type="dxa"/>
            <w:tcBorders>
              <w:top w:val="nil"/>
              <w:left w:val="nil"/>
              <w:bottom w:val="nil"/>
              <w:right w:val="nil"/>
            </w:tcBorders>
          </w:tcPr>
          <w:p w14:paraId="1DDC252F" w14:textId="4C5E720E" w:rsidR="002F7F03" w:rsidRPr="00182EE1" w:rsidRDefault="002F7F03" w:rsidP="00283CAC">
            <w:pPr>
              <w:jc w:val="center"/>
              <w:rPr>
                <w:sz w:val="18"/>
                <w:szCs w:val="18"/>
              </w:rPr>
            </w:pPr>
            <w:r w:rsidRPr="00182EE1">
              <w:rPr>
                <w:sz w:val="18"/>
                <w:szCs w:val="18"/>
              </w:rPr>
              <w:t>[0.91, 1.33]</w:t>
            </w:r>
          </w:p>
        </w:tc>
      </w:tr>
      <w:tr w:rsidR="002F7F03" w:rsidRPr="00F65976" w14:paraId="72E18F11" w14:textId="77777777" w:rsidTr="00931440">
        <w:trPr>
          <w:trHeight w:val="312"/>
        </w:trPr>
        <w:tc>
          <w:tcPr>
            <w:tcW w:w="5920" w:type="dxa"/>
            <w:tcBorders>
              <w:top w:val="nil"/>
              <w:left w:val="nil"/>
              <w:bottom w:val="nil"/>
              <w:right w:val="nil"/>
            </w:tcBorders>
            <w:vAlign w:val="bottom"/>
          </w:tcPr>
          <w:p w14:paraId="7715DE94" w14:textId="77777777" w:rsidR="002F7F03" w:rsidRPr="00F65976" w:rsidRDefault="002F7F03" w:rsidP="00283CAC">
            <w:pPr>
              <w:rPr>
                <w:bCs/>
              </w:rPr>
            </w:pPr>
            <w:r w:rsidRPr="00F65976">
              <w:rPr>
                <w:lang w:eastAsia="en-CA"/>
              </w:rPr>
              <w:t>Cycle 5: 2002</w:t>
            </w:r>
          </w:p>
        </w:tc>
        <w:tc>
          <w:tcPr>
            <w:tcW w:w="4253" w:type="dxa"/>
            <w:tcBorders>
              <w:top w:val="nil"/>
              <w:left w:val="nil"/>
              <w:bottom w:val="nil"/>
              <w:right w:val="nil"/>
            </w:tcBorders>
          </w:tcPr>
          <w:p w14:paraId="1D08BA58" w14:textId="5E4A5E7F" w:rsidR="002F7F03" w:rsidRPr="00182EE1" w:rsidRDefault="002F7F03" w:rsidP="00283CAC">
            <w:pPr>
              <w:jc w:val="center"/>
              <w:rPr>
                <w:b/>
              </w:rPr>
            </w:pPr>
            <w:r w:rsidRPr="00182EE1">
              <w:rPr>
                <w:b/>
              </w:rPr>
              <w:t>1.45***</w:t>
            </w:r>
          </w:p>
        </w:tc>
      </w:tr>
      <w:tr w:rsidR="002F7F03" w:rsidRPr="00F65976" w14:paraId="453EBC2C" w14:textId="77777777" w:rsidTr="00931440">
        <w:trPr>
          <w:trHeight w:val="165"/>
        </w:trPr>
        <w:tc>
          <w:tcPr>
            <w:tcW w:w="5920" w:type="dxa"/>
            <w:tcBorders>
              <w:top w:val="nil"/>
              <w:left w:val="nil"/>
              <w:bottom w:val="nil"/>
              <w:right w:val="nil"/>
            </w:tcBorders>
            <w:vAlign w:val="bottom"/>
          </w:tcPr>
          <w:p w14:paraId="523A7BDB" w14:textId="77777777" w:rsidR="002F7F03" w:rsidRPr="00F65976" w:rsidRDefault="002F7F03" w:rsidP="00283CAC">
            <w:pPr>
              <w:rPr>
                <w:sz w:val="20"/>
                <w:szCs w:val="20"/>
              </w:rPr>
            </w:pPr>
          </w:p>
        </w:tc>
        <w:tc>
          <w:tcPr>
            <w:tcW w:w="4253" w:type="dxa"/>
            <w:tcBorders>
              <w:top w:val="nil"/>
              <w:left w:val="nil"/>
              <w:bottom w:val="nil"/>
              <w:right w:val="nil"/>
            </w:tcBorders>
          </w:tcPr>
          <w:p w14:paraId="28AE63FD" w14:textId="3ED3C87D" w:rsidR="002F7F03" w:rsidRPr="00182EE1" w:rsidRDefault="002F7F03" w:rsidP="00283CAC">
            <w:pPr>
              <w:jc w:val="center"/>
              <w:rPr>
                <w:sz w:val="18"/>
                <w:szCs w:val="18"/>
              </w:rPr>
            </w:pPr>
            <w:r w:rsidRPr="00182EE1">
              <w:rPr>
                <w:sz w:val="18"/>
                <w:szCs w:val="18"/>
              </w:rPr>
              <w:t>[1.19, 1.7</w:t>
            </w:r>
            <w:r w:rsidR="00E36C5D">
              <w:rPr>
                <w:sz w:val="18"/>
                <w:szCs w:val="18"/>
              </w:rPr>
              <w:t>8</w:t>
            </w:r>
            <w:r w:rsidRPr="00182EE1">
              <w:rPr>
                <w:sz w:val="18"/>
                <w:szCs w:val="18"/>
              </w:rPr>
              <w:t>]</w:t>
            </w:r>
          </w:p>
        </w:tc>
      </w:tr>
      <w:tr w:rsidR="002F7F03" w:rsidRPr="00F65976" w14:paraId="5D36D534" w14:textId="77777777" w:rsidTr="00931440">
        <w:trPr>
          <w:trHeight w:val="312"/>
        </w:trPr>
        <w:tc>
          <w:tcPr>
            <w:tcW w:w="5920" w:type="dxa"/>
            <w:tcBorders>
              <w:top w:val="nil"/>
              <w:left w:val="nil"/>
              <w:bottom w:val="nil"/>
              <w:right w:val="nil"/>
            </w:tcBorders>
            <w:vAlign w:val="bottom"/>
          </w:tcPr>
          <w:p w14:paraId="12C5C6F8" w14:textId="77777777" w:rsidR="002F7F03" w:rsidRPr="00F65976" w:rsidRDefault="002F7F03" w:rsidP="00283CAC">
            <w:pPr>
              <w:rPr>
                <w:bCs/>
              </w:rPr>
            </w:pPr>
            <w:r w:rsidRPr="00F65976">
              <w:rPr>
                <w:lang w:eastAsia="en-CA"/>
              </w:rPr>
              <w:t>Cycle 6: 2004</w:t>
            </w:r>
          </w:p>
        </w:tc>
        <w:tc>
          <w:tcPr>
            <w:tcW w:w="4253" w:type="dxa"/>
            <w:tcBorders>
              <w:top w:val="nil"/>
              <w:left w:val="nil"/>
              <w:bottom w:val="nil"/>
              <w:right w:val="nil"/>
            </w:tcBorders>
          </w:tcPr>
          <w:p w14:paraId="486EC98C" w14:textId="0AEB8574" w:rsidR="002F7F03" w:rsidRPr="00182EE1" w:rsidRDefault="002F7F03" w:rsidP="00283CAC">
            <w:pPr>
              <w:jc w:val="center"/>
              <w:rPr>
                <w:b/>
              </w:rPr>
            </w:pPr>
            <w:r w:rsidRPr="00182EE1">
              <w:rPr>
                <w:b/>
              </w:rPr>
              <w:t>1.4</w:t>
            </w:r>
            <w:r w:rsidR="00E36C5D">
              <w:rPr>
                <w:b/>
              </w:rPr>
              <w:t>8</w:t>
            </w:r>
            <w:r w:rsidRPr="00182EE1">
              <w:rPr>
                <w:b/>
              </w:rPr>
              <w:t>***</w:t>
            </w:r>
          </w:p>
        </w:tc>
      </w:tr>
      <w:tr w:rsidR="002F7F03" w:rsidRPr="00F65976" w14:paraId="0EF987EF" w14:textId="77777777" w:rsidTr="00931440">
        <w:trPr>
          <w:trHeight w:val="145"/>
        </w:trPr>
        <w:tc>
          <w:tcPr>
            <w:tcW w:w="5920" w:type="dxa"/>
            <w:tcBorders>
              <w:top w:val="nil"/>
              <w:left w:val="nil"/>
              <w:right w:val="nil"/>
            </w:tcBorders>
            <w:vAlign w:val="bottom"/>
          </w:tcPr>
          <w:p w14:paraId="1B9E0176" w14:textId="77777777" w:rsidR="002F7F03" w:rsidRPr="00706938" w:rsidRDefault="002F7F03" w:rsidP="00283CAC">
            <w:pPr>
              <w:rPr>
                <w:sz w:val="18"/>
                <w:szCs w:val="18"/>
              </w:rPr>
            </w:pPr>
          </w:p>
        </w:tc>
        <w:tc>
          <w:tcPr>
            <w:tcW w:w="4253" w:type="dxa"/>
            <w:tcBorders>
              <w:top w:val="nil"/>
              <w:left w:val="nil"/>
              <w:right w:val="nil"/>
            </w:tcBorders>
          </w:tcPr>
          <w:p w14:paraId="17AACFFB" w14:textId="1C801F3C" w:rsidR="002F7F03" w:rsidRPr="00182EE1" w:rsidRDefault="002F7F03" w:rsidP="00283CAC">
            <w:pPr>
              <w:jc w:val="center"/>
              <w:rPr>
                <w:sz w:val="18"/>
                <w:szCs w:val="18"/>
              </w:rPr>
            </w:pPr>
            <w:r w:rsidRPr="00182EE1">
              <w:rPr>
                <w:sz w:val="18"/>
                <w:szCs w:val="18"/>
              </w:rPr>
              <w:t>[1.2</w:t>
            </w:r>
            <w:r w:rsidR="00E36C5D">
              <w:rPr>
                <w:sz w:val="18"/>
                <w:szCs w:val="18"/>
              </w:rPr>
              <w:t>2</w:t>
            </w:r>
            <w:r w:rsidRPr="00182EE1">
              <w:rPr>
                <w:sz w:val="18"/>
                <w:szCs w:val="18"/>
              </w:rPr>
              <w:t>, 1.84]</w:t>
            </w:r>
          </w:p>
        </w:tc>
      </w:tr>
      <w:tr w:rsidR="002F7F03" w:rsidRPr="00F65976" w14:paraId="3C31B176" w14:textId="77777777" w:rsidTr="00381E06">
        <w:trPr>
          <w:trHeight w:val="312"/>
        </w:trPr>
        <w:tc>
          <w:tcPr>
            <w:tcW w:w="5920" w:type="dxa"/>
            <w:tcBorders>
              <w:top w:val="nil"/>
              <w:left w:val="nil"/>
              <w:right w:val="nil"/>
            </w:tcBorders>
            <w:vAlign w:val="bottom"/>
          </w:tcPr>
          <w:p w14:paraId="15E094B3" w14:textId="77777777" w:rsidR="002F7F03" w:rsidRPr="00F65976" w:rsidRDefault="002F7F03" w:rsidP="00283CAC">
            <w:pPr>
              <w:rPr>
                <w:bCs/>
              </w:rPr>
            </w:pPr>
            <w:r w:rsidRPr="00F65976">
              <w:rPr>
                <w:lang w:eastAsia="en-CA"/>
              </w:rPr>
              <w:t>Cycle 7: 2006</w:t>
            </w:r>
          </w:p>
        </w:tc>
        <w:tc>
          <w:tcPr>
            <w:tcW w:w="4253" w:type="dxa"/>
            <w:tcBorders>
              <w:top w:val="nil"/>
              <w:left w:val="nil"/>
              <w:right w:val="nil"/>
            </w:tcBorders>
          </w:tcPr>
          <w:p w14:paraId="63B54555" w14:textId="6E46AC3F" w:rsidR="002F7F03" w:rsidRPr="00182EE1" w:rsidRDefault="002F7F03" w:rsidP="00283CAC">
            <w:pPr>
              <w:jc w:val="center"/>
              <w:rPr>
                <w:b/>
              </w:rPr>
            </w:pPr>
            <w:r w:rsidRPr="00182EE1">
              <w:rPr>
                <w:b/>
              </w:rPr>
              <w:t>1.</w:t>
            </w:r>
            <w:r w:rsidR="00E36C5D">
              <w:rPr>
                <w:b/>
              </w:rPr>
              <w:t>90</w:t>
            </w:r>
            <w:r w:rsidRPr="00182EE1">
              <w:rPr>
                <w:b/>
              </w:rPr>
              <w:t>***</w:t>
            </w:r>
          </w:p>
        </w:tc>
      </w:tr>
      <w:tr w:rsidR="002F7F03" w:rsidRPr="00B67028" w14:paraId="5795FC8D" w14:textId="77777777" w:rsidTr="00D83242">
        <w:trPr>
          <w:trHeight w:val="232"/>
        </w:trPr>
        <w:tc>
          <w:tcPr>
            <w:tcW w:w="5920" w:type="dxa"/>
            <w:tcBorders>
              <w:left w:val="nil"/>
              <w:bottom w:val="single" w:sz="12" w:space="0" w:color="auto"/>
              <w:right w:val="nil"/>
            </w:tcBorders>
            <w:vAlign w:val="bottom"/>
          </w:tcPr>
          <w:p w14:paraId="5971BEB4" w14:textId="77777777" w:rsidR="002F7F03" w:rsidRPr="00B67028" w:rsidRDefault="002F7F03" w:rsidP="00283CAC">
            <w:pPr>
              <w:rPr>
                <w:sz w:val="20"/>
                <w:szCs w:val="20"/>
              </w:rPr>
            </w:pPr>
          </w:p>
        </w:tc>
        <w:tc>
          <w:tcPr>
            <w:tcW w:w="4253" w:type="dxa"/>
            <w:tcBorders>
              <w:left w:val="nil"/>
              <w:bottom w:val="single" w:sz="12" w:space="0" w:color="auto"/>
              <w:right w:val="nil"/>
            </w:tcBorders>
          </w:tcPr>
          <w:p w14:paraId="7BADDA20" w14:textId="2F43F158" w:rsidR="002F7F03" w:rsidRPr="00182EE1" w:rsidRDefault="002F7F03" w:rsidP="00283CAC">
            <w:pPr>
              <w:jc w:val="center"/>
              <w:rPr>
                <w:sz w:val="18"/>
                <w:szCs w:val="18"/>
              </w:rPr>
            </w:pPr>
            <w:r w:rsidRPr="00182EE1">
              <w:rPr>
                <w:sz w:val="18"/>
                <w:szCs w:val="18"/>
              </w:rPr>
              <w:t>[1.5</w:t>
            </w:r>
            <w:r w:rsidR="00E36C5D">
              <w:rPr>
                <w:sz w:val="18"/>
                <w:szCs w:val="18"/>
              </w:rPr>
              <w:t>3</w:t>
            </w:r>
            <w:r w:rsidRPr="00182EE1">
              <w:rPr>
                <w:sz w:val="18"/>
                <w:szCs w:val="18"/>
              </w:rPr>
              <w:t>, 2.35]</w:t>
            </w:r>
          </w:p>
        </w:tc>
      </w:tr>
    </w:tbl>
    <w:p w14:paraId="3006A1E3" w14:textId="77777777" w:rsidR="002F7F03" w:rsidRDefault="00A45974" w:rsidP="00A45974">
      <w:pPr>
        <w:pStyle w:val="MediumGrid21"/>
        <w:spacing w:line="480" w:lineRule="auto"/>
        <w:jc w:val="right"/>
        <w:rPr>
          <w:rFonts w:cs="Calibri"/>
          <w:sz w:val="18"/>
          <w:szCs w:val="18"/>
          <w:lang w:val="en-CA" w:eastAsia="en-CA"/>
        </w:rPr>
      </w:pPr>
      <w:r>
        <w:rPr>
          <w:rFonts w:cs="Calibri"/>
          <w:sz w:val="18"/>
          <w:szCs w:val="18"/>
          <w:lang w:val="en-CA" w:eastAsia="en-CA"/>
        </w:rPr>
        <w:t xml:space="preserve">*Moved/changed 2 to 3 </w:t>
      </w:r>
      <w:r w:rsidR="00DC05D5">
        <w:rPr>
          <w:rFonts w:cs="Calibri"/>
          <w:sz w:val="18"/>
          <w:szCs w:val="18"/>
          <w:lang w:val="en-CA" w:eastAsia="en-CA"/>
        </w:rPr>
        <w:t>Walk Score®</w:t>
      </w:r>
      <w:r>
        <w:rPr>
          <w:rFonts w:cs="Calibri"/>
          <w:sz w:val="18"/>
          <w:szCs w:val="18"/>
          <w:lang w:val="en-CA" w:eastAsia="en-CA"/>
        </w:rPr>
        <w:t xml:space="preserve"> quartiles</w:t>
      </w:r>
    </w:p>
    <w:p w14:paraId="097D5430" w14:textId="77777777" w:rsidR="00EA77E4" w:rsidRPr="00EA77E4" w:rsidRDefault="00EA77E4" w:rsidP="00EA77E4">
      <w:pPr>
        <w:pStyle w:val="MediumGrid21"/>
        <w:rPr>
          <w:rFonts w:ascii="Times New Roman" w:hAnsi="Times New Roman"/>
          <w:i/>
          <w:sz w:val="20"/>
          <w:szCs w:val="20"/>
        </w:rPr>
      </w:pPr>
      <w:r w:rsidRPr="00EA77E4">
        <w:rPr>
          <w:rFonts w:ascii="Times New Roman" w:hAnsi="Times New Roman"/>
          <w:i/>
          <w:sz w:val="20"/>
          <w:szCs w:val="20"/>
        </w:rPr>
        <w:t xml:space="preserve">**statistically significant at 95% confidence </w:t>
      </w:r>
      <w:r w:rsidR="00CD0D7F">
        <w:rPr>
          <w:rFonts w:ascii="Times New Roman" w:hAnsi="Times New Roman"/>
          <w:i/>
          <w:sz w:val="20"/>
          <w:szCs w:val="20"/>
        </w:rPr>
        <w:t>level</w:t>
      </w:r>
    </w:p>
    <w:p w14:paraId="28137D4C" w14:textId="77777777" w:rsidR="00EA77E4" w:rsidRPr="00EA77E4" w:rsidRDefault="00EA77E4" w:rsidP="00EA77E4">
      <w:pPr>
        <w:pStyle w:val="MediumGrid21"/>
        <w:rPr>
          <w:rFonts w:ascii="Times New Roman" w:hAnsi="Times New Roman"/>
          <w:i/>
          <w:sz w:val="20"/>
          <w:szCs w:val="20"/>
        </w:rPr>
      </w:pPr>
      <w:r w:rsidRPr="00EA77E4">
        <w:rPr>
          <w:rFonts w:ascii="Times New Roman" w:hAnsi="Times New Roman"/>
          <w:i/>
          <w:sz w:val="20"/>
          <w:szCs w:val="20"/>
        </w:rPr>
        <w:t xml:space="preserve">****statistically significant at 99% confidence </w:t>
      </w:r>
      <w:r w:rsidR="00CD0D7F">
        <w:rPr>
          <w:rFonts w:ascii="Times New Roman" w:hAnsi="Times New Roman"/>
          <w:i/>
          <w:sz w:val="20"/>
          <w:szCs w:val="20"/>
        </w:rPr>
        <w:t>level</w:t>
      </w:r>
    </w:p>
    <w:p w14:paraId="0EBA8782" w14:textId="77777777" w:rsidR="00983F5D" w:rsidRDefault="00983F5D" w:rsidP="00D83242">
      <w:pPr>
        <w:pStyle w:val="MediumGrid21"/>
        <w:spacing w:line="480" w:lineRule="auto"/>
        <w:rPr>
          <w:rFonts w:ascii="Times New Roman" w:hAnsi="Times New Roman"/>
          <w:b/>
          <w:sz w:val="24"/>
          <w:szCs w:val="24"/>
        </w:rPr>
      </w:pPr>
    </w:p>
    <w:p w14:paraId="24ED30DD" w14:textId="77777777" w:rsidR="003C6E6B" w:rsidRPr="00D83242" w:rsidRDefault="002936F9" w:rsidP="00D83242">
      <w:pPr>
        <w:rPr>
          <w:b/>
          <w:sz w:val="32"/>
          <w:szCs w:val="32"/>
        </w:rPr>
      </w:pPr>
      <w:r w:rsidRPr="00D83242">
        <w:rPr>
          <w:b/>
          <w:sz w:val="32"/>
          <w:szCs w:val="32"/>
        </w:rPr>
        <w:t>DISCUSSION</w:t>
      </w:r>
    </w:p>
    <w:p w14:paraId="3A784F53" w14:textId="77777777" w:rsidR="00F80624" w:rsidRDefault="00F80624" w:rsidP="009F3873">
      <w:pPr>
        <w:pStyle w:val="ListParagraph"/>
        <w:rPr>
          <w:b/>
          <w:sz w:val="32"/>
          <w:szCs w:val="32"/>
        </w:rPr>
      </w:pPr>
    </w:p>
    <w:p w14:paraId="3487F01B" w14:textId="77777777" w:rsidR="00F80624" w:rsidRPr="00F01EC9" w:rsidRDefault="00EB7B4D" w:rsidP="009F3873">
      <w:pPr>
        <w:pStyle w:val="MediumGrid21"/>
        <w:spacing w:after="120" w:line="480" w:lineRule="auto"/>
        <w:ind w:firstLine="720"/>
        <w:rPr>
          <w:rFonts w:ascii="Times New Roman" w:hAnsi="Times New Roman"/>
          <w:sz w:val="24"/>
          <w:szCs w:val="24"/>
        </w:rPr>
      </w:pPr>
      <w:r>
        <w:rPr>
          <w:rFonts w:ascii="Times New Roman" w:hAnsi="Times New Roman"/>
          <w:sz w:val="24"/>
          <w:szCs w:val="24"/>
        </w:rPr>
        <w:t>C</w:t>
      </w:r>
      <w:r w:rsidR="00F80624" w:rsidRPr="00D72570">
        <w:rPr>
          <w:rFonts w:ascii="Times New Roman" w:hAnsi="Times New Roman"/>
          <w:sz w:val="24"/>
          <w:szCs w:val="24"/>
        </w:rPr>
        <w:t>umulative exposure to highly walkable neighborhoods (3</w:t>
      </w:r>
      <w:r w:rsidR="00F80624" w:rsidRPr="00D72570">
        <w:rPr>
          <w:rFonts w:ascii="Times New Roman" w:hAnsi="Times New Roman"/>
          <w:sz w:val="24"/>
          <w:szCs w:val="24"/>
          <w:vertAlign w:val="superscript"/>
        </w:rPr>
        <w:t>rd</w:t>
      </w:r>
      <w:r w:rsidR="00F80624" w:rsidRPr="00D72570">
        <w:rPr>
          <w:rFonts w:ascii="Times New Roman" w:hAnsi="Times New Roman"/>
          <w:sz w:val="24"/>
          <w:szCs w:val="24"/>
        </w:rPr>
        <w:t xml:space="preserve"> and 4</w:t>
      </w:r>
      <w:r w:rsidR="00F80624" w:rsidRPr="00D72570">
        <w:rPr>
          <w:rFonts w:ascii="Times New Roman" w:hAnsi="Times New Roman"/>
          <w:sz w:val="24"/>
          <w:szCs w:val="24"/>
          <w:vertAlign w:val="superscript"/>
        </w:rPr>
        <w:t>th</w:t>
      </w:r>
      <w:r w:rsidR="00F80624" w:rsidRPr="00D72570">
        <w:rPr>
          <w:rFonts w:ascii="Times New Roman" w:hAnsi="Times New Roman"/>
          <w:sz w:val="24"/>
          <w:szCs w:val="24"/>
        </w:rPr>
        <w:t xml:space="preserve"> </w:t>
      </w:r>
      <w:r w:rsidR="00DC05D5">
        <w:rPr>
          <w:rFonts w:ascii="Times New Roman" w:hAnsi="Times New Roman"/>
          <w:sz w:val="24"/>
          <w:szCs w:val="24"/>
        </w:rPr>
        <w:t>Walk Score®</w:t>
      </w:r>
      <w:r w:rsidR="00F80624" w:rsidRPr="00D72570">
        <w:rPr>
          <w:rFonts w:ascii="Times New Roman" w:hAnsi="Times New Roman"/>
          <w:sz w:val="24"/>
          <w:szCs w:val="24"/>
        </w:rPr>
        <w:t xml:space="preserve"> quartiles) </w:t>
      </w:r>
      <w:r>
        <w:rPr>
          <w:rFonts w:ascii="Times New Roman" w:hAnsi="Times New Roman"/>
          <w:sz w:val="24"/>
          <w:szCs w:val="24"/>
        </w:rPr>
        <w:t>was</w:t>
      </w:r>
      <w:r w:rsidRPr="00D72570">
        <w:rPr>
          <w:rFonts w:ascii="Times New Roman" w:hAnsi="Times New Roman"/>
          <w:sz w:val="24"/>
          <w:szCs w:val="24"/>
        </w:rPr>
        <w:t xml:space="preserve"> </w:t>
      </w:r>
      <w:r w:rsidR="00F80624" w:rsidRPr="00D72570">
        <w:rPr>
          <w:rFonts w:ascii="Times New Roman" w:hAnsi="Times New Roman"/>
          <w:sz w:val="24"/>
          <w:szCs w:val="24"/>
        </w:rPr>
        <w:t xml:space="preserve">associated with increased utilitarian walking. Long term exposure to </w:t>
      </w:r>
      <w:r w:rsidR="00F80624">
        <w:rPr>
          <w:rFonts w:ascii="Times New Roman" w:hAnsi="Times New Roman"/>
          <w:sz w:val="24"/>
          <w:szCs w:val="24"/>
        </w:rPr>
        <w:t>high and medium</w:t>
      </w:r>
      <w:r w:rsidR="00F80624" w:rsidRPr="00D72570">
        <w:rPr>
          <w:rFonts w:ascii="Times New Roman" w:hAnsi="Times New Roman"/>
          <w:sz w:val="24"/>
          <w:szCs w:val="24"/>
        </w:rPr>
        <w:t xml:space="preserve"> walkable neighbourhoods </w:t>
      </w:r>
      <w:r w:rsidRPr="00D72570">
        <w:rPr>
          <w:rFonts w:ascii="Times New Roman" w:hAnsi="Times New Roman"/>
          <w:sz w:val="24"/>
          <w:szCs w:val="24"/>
        </w:rPr>
        <w:t>reduce</w:t>
      </w:r>
      <w:r>
        <w:rPr>
          <w:rFonts w:ascii="Times New Roman" w:hAnsi="Times New Roman"/>
          <w:sz w:val="24"/>
          <w:szCs w:val="24"/>
        </w:rPr>
        <w:t>d</w:t>
      </w:r>
      <w:r w:rsidRPr="00D72570">
        <w:rPr>
          <w:rFonts w:ascii="Times New Roman" w:hAnsi="Times New Roman"/>
          <w:sz w:val="24"/>
          <w:szCs w:val="24"/>
        </w:rPr>
        <w:t xml:space="preserve"> </w:t>
      </w:r>
      <w:r w:rsidR="00F80624" w:rsidRPr="00D72570">
        <w:rPr>
          <w:rFonts w:ascii="Times New Roman" w:hAnsi="Times New Roman"/>
          <w:sz w:val="24"/>
          <w:szCs w:val="24"/>
        </w:rPr>
        <w:t xml:space="preserve">the likelihood of no utilitarian walking incrementally more than exposure to </w:t>
      </w:r>
      <w:r w:rsidR="00F80624">
        <w:rPr>
          <w:rFonts w:ascii="Times New Roman" w:hAnsi="Times New Roman"/>
          <w:sz w:val="24"/>
          <w:szCs w:val="24"/>
        </w:rPr>
        <w:t xml:space="preserve">low </w:t>
      </w:r>
      <w:r w:rsidR="00F80624" w:rsidRPr="00D72570">
        <w:rPr>
          <w:rFonts w:ascii="Times New Roman" w:hAnsi="Times New Roman"/>
          <w:sz w:val="24"/>
          <w:szCs w:val="24"/>
        </w:rPr>
        <w:t xml:space="preserve">walkable neighbourhoods. </w:t>
      </w:r>
      <w:r w:rsidR="00F80624">
        <w:rPr>
          <w:rFonts w:ascii="Times New Roman" w:hAnsi="Times New Roman"/>
          <w:sz w:val="24"/>
          <w:szCs w:val="24"/>
        </w:rPr>
        <w:t xml:space="preserve">Moving to higher walkable neighbourhoods </w:t>
      </w:r>
      <w:r w:rsidR="00F80624" w:rsidRPr="00F01EC9">
        <w:rPr>
          <w:rFonts w:ascii="Times New Roman" w:hAnsi="Times New Roman"/>
          <w:sz w:val="24"/>
          <w:szCs w:val="24"/>
        </w:rPr>
        <w:t xml:space="preserve">increased utilitarian walking while moving to lower walkable neighbourhoods did not show a significant decrease in utilitarian walking. </w:t>
      </w:r>
    </w:p>
    <w:p w14:paraId="5E130430" w14:textId="4FF0B10D" w:rsidR="00F01EC9" w:rsidRPr="00F01EC9" w:rsidRDefault="00F80624" w:rsidP="009F3873">
      <w:pPr>
        <w:pStyle w:val="MediumGrid21"/>
        <w:spacing w:after="120" w:line="480" w:lineRule="auto"/>
        <w:ind w:firstLine="720"/>
        <w:rPr>
          <w:rFonts w:ascii="Times New Roman" w:hAnsi="Times New Roman"/>
          <w:sz w:val="24"/>
          <w:szCs w:val="24"/>
        </w:rPr>
      </w:pPr>
      <w:r w:rsidRPr="00F01EC9">
        <w:rPr>
          <w:rFonts w:ascii="Times New Roman" w:hAnsi="Times New Roman"/>
          <w:sz w:val="24"/>
          <w:szCs w:val="24"/>
        </w:rPr>
        <w:t xml:space="preserve">Our </w:t>
      </w:r>
      <w:r w:rsidR="00D41F60" w:rsidRPr="00F01EC9">
        <w:rPr>
          <w:rFonts w:ascii="Times New Roman" w:hAnsi="Times New Roman"/>
          <w:sz w:val="24"/>
          <w:szCs w:val="24"/>
        </w:rPr>
        <w:t>findings align</w:t>
      </w:r>
      <w:r w:rsidRPr="00F01EC9">
        <w:rPr>
          <w:rFonts w:ascii="Times New Roman" w:hAnsi="Times New Roman"/>
          <w:sz w:val="24"/>
          <w:szCs w:val="24"/>
        </w:rPr>
        <w:t xml:space="preserve"> </w:t>
      </w:r>
      <w:r w:rsidR="00C972B9" w:rsidRPr="00F01EC9">
        <w:rPr>
          <w:rFonts w:ascii="Times New Roman" w:hAnsi="Times New Roman"/>
          <w:sz w:val="24"/>
          <w:szCs w:val="24"/>
        </w:rPr>
        <w:t xml:space="preserve">with two longitudinal studies of utilitarian walking. </w:t>
      </w:r>
      <w:r w:rsidR="001F4C18" w:rsidRPr="00F01EC9">
        <w:rPr>
          <w:rFonts w:ascii="Times New Roman" w:hAnsi="Times New Roman"/>
          <w:sz w:val="24"/>
          <w:szCs w:val="24"/>
        </w:rPr>
        <w:t>The first</w:t>
      </w:r>
      <w:r w:rsidR="00C00152" w:rsidRPr="00F01EC9">
        <w:rPr>
          <w:rFonts w:ascii="Times New Roman" w:hAnsi="Times New Roman"/>
          <w:sz w:val="24"/>
          <w:szCs w:val="24"/>
        </w:rPr>
        <w:t xml:space="preserve"> is the Multi-Ethnic Study of Atherosclerosis (MESA) Study</w:t>
      </w:r>
      <w:r w:rsidR="001F4C18" w:rsidRPr="00F01EC9">
        <w:rPr>
          <w:rFonts w:ascii="Times New Roman" w:hAnsi="Times New Roman"/>
          <w:sz w:val="24"/>
          <w:szCs w:val="24"/>
        </w:rPr>
        <w:t xml:space="preserve">, </w:t>
      </w:r>
      <w:r w:rsidR="00DB274F" w:rsidRPr="00F01EC9">
        <w:rPr>
          <w:rFonts w:ascii="Times New Roman" w:hAnsi="Times New Roman"/>
          <w:sz w:val="24"/>
          <w:szCs w:val="24"/>
        </w:rPr>
        <w:fldChar w:fldCharType="begin"/>
      </w:r>
      <w:r w:rsidR="00FB121F">
        <w:rPr>
          <w:rFonts w:ascii="Times New Roman" w:hAnsi="Times New Roman"/>
          <w:sz w:val="24"/>
          <w:szCs w:val="24"/>
        </w:rPr>
        <w:instrText xml:space="preserve"> ADDIN EN.CITE &lt;EndNote&gt;&lt;Cite&gt;&lt;Author&gt;Hirsch&lt;/Author&gt;&lt;Year&gt;2014&lt;/Year&gt;&lt;RecNum&gt;48&lt;/RecNum&gt;&lt;DisplayText&gt;(Hirsch, Diez Roux et al. 2014)&lt;/DisplayText&gt;&lt;record&gt;&lt;rec-number&gt;48&lt;/rec-number&gt;&lt;foreign-keys&gt;&lt;key app="EN" db-id="dp0x5dweyf5fpve0aecvexej50xdfspe0wdp"&gt;48&lt;/key&gt;&lt;/foreign-keys&gt;&lt;ref-type name="Journal Article"&gt;17&lt;/ref-type&gt;&lt;contributors&gt;&lt;authors&gt;&lt;author&gt;Hirsch, J.&lt;/author&gt;&lt;author&gt;Diez Roux, A.&lt;/author&gt;&lt;author&gt;Moore, K.&lt;/author&gt;&lt;author&gt;Evenson, K. &lt;/author&gt;&lt;author&gt;Rodriguez, D.&lt;/author&gt;&lt;/authors&gt;&lt;/contributors&gt;&lt;titles&gt;&lt;title&gt;Change in walking and body mass index following residential relocation: The multi-ethnic study of atherosclerosis&lt;/title&gt;&lt;secondary-title&gt;American Journal of  Public Health &lt;/secondary-title&gt;&lt;/titles&gt;&lt;periodical&gt;&lt;full-title&gt;American Journal of  Public Health&lt;/full-title&gt;&lt;/periodical&gt;&lt;pages&gt;e49-e56&lt;/pages&gt;&lt;volume&gt;104&lt;/volume&gt;&lt;number&gt;3&lt;/number&gt;&lt;dates&gt;&lt;year&gt;2014&lt;/year&gt;&lt;/dates&gt;&lt;urls&gt;&lt;/urls&gt;&lt;/record&gt;&lt;/Cite&gt;&lt;/EndNote&gt;</w:instrText>
      </w:r>
      <w:r w:rsidR="00DB274F" w:rsidRPr="00F01EC9">
        <w:rPr>
          <w:rFonts w:ascii="Times New Roman" w:hAnsi="Times New Roman"/>
          <w:sz w:val="24"/>
          <w:szCs w:val="24"/>
        </w:rPr>
        <w:fldChar w:fldCharType="separate"/>
      </w:r>
      <w:r w:rsidRPr="00F01EC9">
        <w:rPr>
          <w:rFonts w:ascii="Times New Roman" w:hAnsi="Times New Roman"/>
          <w:noProof/>
          <w:sz w:val="24"/>
          <w:szCs w:val="24"/>
        </w:rPr>
        <w:t>(</w:t>
      </w:r>
      <w:hyperlink w:anchor="_ENREF_21" w:tooltip="Hirsch, 2014 #48" w:history="1">
        <w:r w:rsidR="00DD02A3" w:rsidRPr="00F01EC9">
          <w:rPr>
            <w:rFonts w:ascii="Times New Roman" w:hAnsi="Times New Roman"/>
            <w:noProof/>
            <w:sz w:val="24"/>
            <w:szCs w:val="24"/>
          </w:rPr>
          <w:t>Hirsch, Diez Roux et al. 2014</w:t>
        </w:r>
      </w:hyperlink>
      <w:r w:rsidRPr="00F01EC9">
        <w:rPr>
          <w:rFonts w:ascii="Times New Roman" w:hAnsi="Times New Roman"/>
          <w:noProof/>
          <w:sz w:val="24"/>
          <w:szCs w:val="24"/>
        </w:rPr>
        <w:t>)</w:t>
      </w:r>
      <w:r w:rsidR="00DB274F" w:rsidRPr="00F01EC9">
        <w:rPr>
          <w:rFonts w:ascii="Times New Roman" w:hAnsi="Times New Roman"/>
          <w:sz w:val="24"/>
          <w:szCs w:val="24"/>
        </w:rPr>
        <w:fldChar w:fldCharType="end"/>
      </w:r>
      <w:r w:rsidR="001F4C18" w:rsidRPr="00F01EC9">
        <w:rPr>
          <w:rFonts w:ascii="Times New Roman" w:hAnsi="Times New Roman"/>
          <w:sz w:val="24"/>
          <w:szCs w:val="24"/>
        </w:rPr>
        <w:t xml:space="preserve"> </w:t>
      </w:r>
      <w:r w:rsidR="00686D97" w:rsidRPr="00F01EC9">
        <w:rPr>
          <w:rFonts w:ascii="Times New Roman" w:hAnsi="Times New Roman"/>
          <w:sz w:val="24"/>
          <w:szCs w:val="24"/>
        </w:rPr>
        <w:t xml:space="preserve">which </w:t>
      </w:r>
      <w:r w:rsidR="000E0336" w:rsidRPr="000E0336">
        <w:rPr>
          <w:rFonts w:ascii="Times New Roman" w:hAnsi="Times New Roman"/>
          <w:sz w:val="24"/>
          <w:szCs w:val="24"/>
        </w:rPr>
        <w:t>measured utilitarian walking before and after relocation to new</w:t>
      </w:r>
      <w:r w:rsidR="000E0336" w:rsidRPr="00717061">
        <w:rPr>
          <w:rFonts w:ascii="Times New Roman" w:hAnsi="Times New Roman"/>
          <w:sz w:val="24"/>
          <w:szCs w:val="24"/>
          <w:lang w:val="en-GB"/>
        </w:rPr>
        <w:t xml:space="preserve"> </w:t>
      </w:r>
      <w:r w:rsidR="00717061" w:rsidRPr="00717061">
        <w:rPr>
          <w:rFonts w:ascii="Times New Roman" w:hAnsi="Times New Roman"/>
          <w:sz w:val="24"/>
          <w:szCs w:val="24"/>
          <w:lang w:val="en-GB"/>
        </w:rPr>
        <w:t>neighbourhoods</w:t>
      </w:r>
      <w:r w:rsidR="000E0336" w:rsidRPr="000E0336">
        <w:rPr>
          <w:rFonts w:ascii="Times New Roman" w:hAnsi="Times New Roman"/>
          <w:sz w:val="24"/>
          <w:szCs w:val="24"/>
        </w:rPr>
        <w:t xml:space="preserve">. </w:t>
      </w:r>
      <w:r w:rsidR="00B86B1D">
        <w:rPr>
          <w:rFonts w:ascii="Times New Roman" w:hAnsi="Times New Roman"/>
          <w:sz w:val="24"/>
          <w:szCs w:val="24"/>
        </w:rPr>
        <w:t>M</w:t>
      </w:r>
      <w:r w:rsidR="000E0336" w:rsidRPr="000E0336">
        <w:rPr>
          <w:rFonts w:ascii="Times New Roman" w:hAnsi="Times New Roman"/>
          <w:sz w:val="24"/>
          <w:szCs w:val="24"/>
        </w:rPr>
        <w:t>oving</w:t>
      </w:r>
      <w:r w:rsidR="00D41F60" w:rsidRPr="000E0336">
        <w:rPr>
          <w:rFonts w:ascii="Times New Roman" w:hAnsi="Times New Roman"/>
          <w:sz w:val="24"/>
          <w:szCs w:val="24"/>
        </w:rPr>
        <w:t xml:space="preserve"> to a more walkable neighbourhood (a 10 point higher </w:t>
      </w:r>
      <w:r w:rsidR="00DC05D5">
        <w:rPr>
          <w:rFonts w:ascii="Times New Roman" w:hAnsi="Times New Roman"/>
          <w:sz w:val="24"/>
          <w:szCs w:val="24"/>
        </w:rPr>
        <w:t>Walk Score®</w:t>
      </w:r>
      <w:r w:rsidR="00D41F60" w:rsidRPr="000E0336">
        <w:rPr>
          <w:rFonts w:ascii="Times New Roman" w:hAnsi="Times New Roman"/>
          <w:sz w:val="24"/>
          <w:szCs w:val="24"/>
        </w:rPr>
        <w:t xml:space="preserve">) was associated with an increase </w:t>
      </w:r>
      <w:r w:rsidR="00D55247">
        <w:rPr>
          <w:rFonts w:ascii="Times New Roman" w:hAnsi="Times New Roman"/>
          <w:sz w:val="24"/>
          <w:szCs w:val="24"/>
        </w:rPr>
        <w:t xml:space="preserve">in </w:t>
      </w:r>
      <w:r w:rsidR="000E0336" w:rsidRPr="000E0336">
        <w:rPr>
          <w:rFonts w:ascii="Times New Roman" w:hAnsi="Times New Roman"/>
          <w:sz w:val="24"/>
          <w:szCs w:val="24"/>
        </w:rPr>
        <w:t xml:space="preserve"> the odds of meeting “ Every Body Walk” campaign goals (≥ 150 minutes/week of walking) by 11</w:t>
      </w:r>
      <w:r w:rsidR="000C7143">
        <w:rPr>
          <w:rFonts w:ascii="Times New Roman" w:hAnsi="Times New Roman"/>
          <w:sz w:val="24"/>
          <w:szCs w:val="24"/>
        </w:rPr>
        <w:t xml:space="preserve">% </w:t>
      </w:r>
      <w:r w:rsidR="000E0336" w:rsidRPr="000E0336">
        <w:rPr>
          <w:rFonts w:ascii="Times New Roman" w:hAnsi="Times New Roman"/>
          <w:sz w:val="24"/>
          <w:szCs w:val="24"/>
        </w:rPr>
        <w:t xml:space="preserve">(95% C.I. 0.2% , 21% ))  </w:t>
      </w:r>
      <w:r w:rsidR="001F4C18" w:rsidRPr="000E0336">
        <w:rPr>
          <w:rFonts w:ascii="Times New Roman" w:hAnsi="Times New Roman"/>
          <w:sz w:val="24"/>
          <w:szCs w:val="24"/>
        </w:rPr>
        <w:t>for middle-aged to older adults</w:t>
      </w:r>
      <w:r w:rsidR="00EC50A0" w:rsidRPr="000E0336">
        <w:rPr>
          <w:rFonts w:ascii="Times New Roman" w:hAnsi="Times New Roman"/>
          <w:sz w:val="24"/>
          <w:szCs w:val="24"/>
        </w:rPr>
        <w:t xml:space="preserve">. </w:t>
      </w:r>
      <w:r w:rsidR="000E0336">
        <w:rPr>
          <w:rFonts w:ascii="Times New Roman" w:hAnsi="Times New Roman"/>
          <w:sz w:val="24"/>
          <w:szCs w:val="24"/>
        </w:rPr>
        <w:t xml:space="preserve">In our study, </w:t>
      </w:r>
      <w:r w:rsidR="00B86B1D">
        <w:rPr>
          <w:rFonts w:ascii="Times New Roman" w:hAnsi="Times New Roman"/>
          <w:sz w:val="24"/>
          <w:szCs w:val="24"/>
        </w:rPr>
        <w:t>we estimated that</w:t>
      </w:r>
      <w:r w:rsidR="000E0336">
        <w:rPr>
          <w:rFonts w:ascii="Times New Roman" w:hAnsi="Times New Roman"/>
          <w:sz w:val="24"/>
          <w:szCs w:val="24"/>
        </w:rPr>
        <w:t xml:space="preserve"> moving</w:t>
      </w:r>
      <w:r w:rsidR="00FF3549">
        <w:rPr>
          <w:rFonts w:ascii="Times New Roman" w:hAnsi="Times New Roman"/>
          <w:sz w:val="24"/>
          <w:szCs w:val="24"/>
        </w:rPr>
        <w:t xml:space="preserve"> to neighbourhoods </w:t>
      </w:r>
      <w:r w:rsidR="009360B3">
        <w:rPr>
          <w:rFonts w:ascii="Times New Roman" w:hAnsi="Times New Roman"/>
          <w:sz w:val="24"/>
          <w:szCs w:val="24"/>
        </w:rPr>
        <w:t>of 2</w:t>
      </w:r>
      <w:r w:rsidR="000E0336">
        <w:rPr>
          <w:rFonts w:ascii="Times New Roman" w:hAnsi="Times New Roman"/>
          <w:sz w:val="24"/>
          <w:szCs w:val="24"/>
        </w:rPr>
        <w:t xml:space="preserve"> </w:t>
      </w:r>
      <w:r w:rsidR="00FF3549">
        <w:rPr>
          <w:rFonts w:ascii="Times New Roman" w:hAnsi="Times New Roman"/>
          <w:sz w:val="24"/>
          <w:szCs w:val="24"/>
        </w:rPr>
        <w:t>or 3 WalkScores</w:t>
      </w:r>
      <w:r w:rsidR="009360B3" w:rsidRPr="000E0336">
        <w:rPr>
          <w:rFonts w:ascii="Times New Roman" w:hAnsi="Times New Roman"/>
          <w:sz w:val="24"/>
          <w:szCs w:val="24"/>
        </w:rPr>
        <w:t>®</w:t>
      </w:r>
      <w:r w:rsidR="009360B3">
        <w:rPr>
          <w:rFonts w:ascii="Times New Roman" w:hAnsi="Times New Roman"/>
          <w:sz w:val="24"/>
          <w:szCs w:val="24"/>
        </w:rPr>
        <w:t xml:space="preserve"> quartile</w:t>
      </w:r>
      <w:r w:rsidR="00FF3549">
        <w:rPr>
          <w:rFonts w:ascii="Times New Roman" w:hAnsi="Times New Roman"/>
          <w:sz w:val="24"/>
          <w:szCs w:val="24"/>
        </w:rPr>
        <w:t xml:space="preserve"> higher (</w:t>
      </w:r>
      <w:r w:rsidR="00DA27A7">
        <w:rPr>
          <w:rFonts w:ascii="Times New Roman" w:hAnsi="Times New Roman"/>
          <w:sz w:val="24"/>
          <w:szCs w:val="24"/>
        </w:rPr>
        <w:t>1</w:t>
      </w:r>
      <w:r w:rsidR="00FF3549">
        <w:rPr>
          <w:rFonts w:ascii="Times New Roman" w:hAnsi="Times New Roman"/>
          <w:sz w:val="24"/>
          <w:szCs w:val="24"/>
        </w:rPr>
        <w:t xml:space="preserve">5 </w:t>
      </w:r>
      <w:r w:rsidR="009360B3">
        <w:rPr>
          <w:rFonts w:ascii="Times New Roman" w:hAnsi="Times New Roman"/>
          <w:sz w:val="24"/>
          <w:szCs w:val="24"/>
        </w:rPr>
        <w:t>to 45</w:t>
      </w:r>
      <w:r w:rsidR="00FF3549">
        <w:rPr>
          <w:rFonts w:ascii="Times New Roman" w:hAnsi="Times New Roman"/>
          <w:sz w:val="24"/>
          <w:szCs w:val="24"/>
        </w:rPr>
        <w:t xml:space="preserve"> points higher </w:t>
      </w:r>
      <w:r w:rsidR="00DC05D5">
        <w:rPr>
          <w:rFonts w:ascii="Times New Roman" w:hAnsi="Times New Roman"/>
          <w:sz w:val="24"/>
          <w:szCs w:val="24"/>
        </w:rPr>
        <w:t>Walk Score®</w:t>
      </w:r>
      <w:r w:rsidR="00FF3549">
        <w:rPr>
          <w:rFonts w:ascii="Times New Roman" w:hAnsi="Times New Roman"/>
          <w:sz w:val="24"/>
          <w:szCs w:val="24"/>
        </w:rPr>
        <w:t xml:space="preserve"> ) was associated with an increase in the odds of </w:t>
      </w:r>
      <w:r w:rsidR="009360B3">
        <w:rPr>
          <w:rFonts w:ascii="Times New Roman" w:hAnsi="Times New Roman"/>
          <w:sz w:val="24"/>
          <w:szCs w:val="24"/>
        </w:rPr>
        <w:t>m</w:t>
      </w:r>
      <w:r w:rsidR="009360B3" w:rsidRPr="009360B3">
        <w:rPr>
          <w:rFonts w:ascii="Times New Roman" w:hAnsi="Times New Roman"/>
          <w:sz w:val="24"/>
          <w:szCs w:val="24"/>
        </w:rPr>
        <w:t xml:space="preserve">oderate or high utilitarian walking per week </w:t>
      </w:r>
      <w:r w:rsidR="00FF3549">
        <w:rPr>
          <w:rFonts w:ascii="Times New Roman" w:hAnsi="Times New Roman"/>
          <w:sz w:val="24"/>
          <w:szCs w:val="24"/>
        </w:rPr>
        <w:t xml:space="preserve"> (</w:t>
      </w:r>
      <w:r w:rsidR="004851DF">
        <w:rPr>
          <w:rFonts w:ascii="Times New Roman" w:hAnsi="Times New Roman"/>
          <w:sz w:val="24"/>
          <w:szCs w:val="24"/>
        </w:rPr>
        <w:t xml:space="preserve"> &gt;= 60 minutes/ week of utilitarian walking)</w:t>
      </w:r>
      <w:r w:rsidR="000C7143">
        <w:rPr>
          <w:rFonts w:ascii="Times New Roman" w:hAnsi="Times New Roman"/>
          <w:sz w:val="24"/>
          <w:szCs w:val="24"/>
        </w:rPr>
        <w:t xml:space="preserve"> </w:t>
      </w:r>
      <w:r w:rsidR="00B86B1D">
        <w:rPr>
          <w:rFonts w:ascii="Times New Roman" w:hAnsi="Times New Roman"/>
          <w:sz w:val="24"/>
          <w:szCs w:val="24"/>
        </w:rPr>
        <w:t xml:space="preserve">of </w:t>
      </w:r>
      <w:r w:rsidR="000C7143">
        <w:rPr>
          <w:rFonts w:ascii="Times New Roman" w:hAnsi="Times New Roman"/>
          <w:sz w:val="24"/>
          <w:szCs w:val="24"/>
        </w:rPr>
        <w:t>59% (95% C.I. 0.33%, 145%)</w:t>
      </w:r>
      <w:r w:rsidR="009360B3">
        <w:rPr>
          <w:rFonts w:ascii="Times New Roman" w:hAnsi="Times New Roman"/>
          <w:sz w:val="24"/>
          <w:szCs w:val="24"/>
        </w:rPr>
        <w:t xml:space="preserve"> . </w:t>
      </w:r>
      <w:r w:rsidR="001F4C18" w:rsidRPr="00F01EC9">
        <w:rPr>
          <w:rFonts w:ascii="Times New Roman" w:hAnsi="Times New Roman"/>
          <w:sz w:val="24"/>
          <w:szCs w:val="24"/>
        </w:rPr>
        <w:t xml:space="preserve">The second </w:t>
      </w:r>
      <w:r w:rsidR="00C00152" w:rsidRPr="00F01EC9">
        <w:rPr>
          <w:rFonts w:ascii="Times New Roman" w:hAnsi="Times New Roman"/>
          <w:sz w:val="24"/>
          <w:szCs w:val="24"/>
        </w:rPr>
        <w:t xml:space="preserve">is the </w:t>
      </w:r>
      <w:r w:rsidRPr="00F01EC9">
        <w:rPr>
          <w:rFonts w:ascii="Times New Roman" w:hAnsi="Times New Roman"/>
          <w:sz w:val="24"/>
          <w:szCs w:val="24"/>
        </w:rPr>
        <w:t>RESIDE study in Perth, Australia</w:t>
      </w:r>
      <w:r w:rsidR="00C00152" w:rsidRPr="00F01EC9">
        <w:rPr>
          <w:rFonts w:ascii="Times New Roman" w:hAnsi="Times New Roman"/>
          <w:sz w:val="24"/>
          <w:szCs w:val="24"/>
        </w:rPr>
        <w:t xml:space="preserve">, </w:t>
      </w:r>
      <w:r w:rsidRPr="00F01EC9">
        <w:rPr>
          <w:rFonts w:ascii="Times New Roman" w:hAnsi="Times New Roman"/>
          <w:sz w:val="24"/>
          <w:szCs w:val="24"/>
        </w:rPr>
        <w:t>a quasi-experimental longitudinal study (n=1,813 at baseline) that tracked, over a 7 year period, the walking behaviour of subjects who relocated to new</w:t>
      </w:r>
      <w:r w:rsidR="00686D97" w:rsidRPr="00F01EC9">
        <w:rPr>
          <w:rFonts w:ascii="Times New Roman" w:hAnsi="Times New Roman"/>
          <w:sz w:val="24"/>
          <w:szCs w:val="24"/>
        </w:rPr>
        <w:t xml:space="preserve"> suburban</w:t>
      </w:r>
      <w:r w:rsidRPr="00F01EC9">
        <w:rPr>
          <w:rFonts w:ascii="Times New Roman" w:hAnsi="Times New Roman"/>
          <w:sz w:val="24"/>
          <w:szCs w:val="24"/>
        </w:rPr>
        <w:t xml:space="preserve"> housing developments</w:t>
      </w:r>
      <w:r w:rsidR="00455159" w:rsidRPr="00F01EC9">
        <w:rPr>
          <w:rFonts w:ascii="Times New Roman" w:hAnsi="Times New Roman"/>
          <w:sz w:val="24"/>
          <w:szCs w:val="24"/>
        </w:rPr>
        <w:t xml:space="preserve">. </w:t>
      </w:r>
      <w:r w:rsidR="00337A8E" w:rsidRPr="00F01EC9">
        <w:rPr>
          <w:rFonts w:ascii="Times New Roman" w:hAnsi="Times New Roman"/>
          <w:sz w:val="24"/>
          <w:szCs w:val="24"/>
        </w:rPr>
        <w:t xml:space="preserve"> </w:t>
      </w:r>
      <w:r w:rsidR="004C4E4D" w:rsidRPr="00F01EC9">
        <w:rPr>
          <w:rFonts w:ascii="Times New Roman" w:hAnsi="Times New Roman"/>
          <w:sz w:val="24"/>
          <w:szCs w:val="24"/>
        </w:rPr>
        <w:t xml:space="preserve">The </w:t>
      </w:r>
      <w:r w:rsidR="00337A8E" w:rsidRPr="00F01EC9">
        <w:rPr>
          <w:rFonts w:ascii="Times New Roman" w:hAnsi="Times New Roman"/>
          <w:sz w:val="24"/>
          <w:szCs w:val="24"/>
        </w:rPr>
        <w:t xml:space="preserve">RESIDE </w:t>
      </w:r>
      <w:r w:rsidR="00735AD0" w:rsidRPr="00F01EC9">
        <w:rPr>
          <w:rFonts w:ascii="Times New Roman" w:hAnsi="Times New Roman"/>
          <w:sz w:val="24"/>
          <w:szCs w:val="24"/>
        </w:rPr>
        <w:t>study</w:t>
      </w:r>
      <w:r w:rsidR="00337A8E" w:rsidRPr="00F01EC9">
        <w:rPr>
          <w:rFonts w:ascii="Times New Roman" w:hAnsi="Times New Roman"/>
          <w:sz w:val="24"/>
          <w:szCs w:val="24"/>
        </w:rPr>
        <w:t xml:space="preserve"> </w:t>
      </w:r>
      <w:r w:rsidR="004C4E4D" w:rsidRPr="00F01EC9">
        <w:rPr>
          <w:rFonts w:ascii="Times New Roman" w:hAnsi="Times New Roman"/>
          <w:sz w:val="24"/>
          <w:szCs w:val="24"/>
        </w:rPr>
        <w:t>found that</w:t>
      </w:r>
      <w:r w:rsidR="00337A8E" w:rsidRPr="00F01EC9">
        <w:rPr>
          <w:rFonts w:ascii="Times New Roman" w:hAnsi="Times New Roman"/>
          <w:sz w:val="24"/>
          <w:szCs w:val="24"/>
        </w:rPr>
        <w:t xml:space="preserve"> the odds </w:t>
      </w:r>
      <w:r w:rsidR="00735AD0" w:rsidRPr="00F01EC9">
        <w:rPr>
          <w:rFonts w:ascii="Times New Roman" w:hAnsi="Times New Roman"/>
          <w:sz w:val="24"/>
          <w:szCs w:val="24"/>
        </w:rPr>
        <w:t>of walking for utilitarian purposes</w:t>
      </w:r>
      <w:r w:rsidR="00337A8E" w:rsidRPr="00F01EC9">
        <w:rPr>
          <w:rFonts w:ascii="Times New Roman" w:hAnsi="Times New Roman"/>
          <w:sz w:val="24"/>
          <w:szCs w:val="24"/>
        </w:rPr>
        <w:t xml:space="preserve"> </w:t>
      </w:r>
      <w:r w:rsidR="00735AD0" w:rsidRPr="00F01EC9">
        <w:rPr>
          <w:rFonts w:ascii="Times New Roman" w:hAnsi="Times New Roman"/>
          <w:sz w:val="24"/>
          <w:szCs w:val="24"/>
        </w:rPr>
        <w:t xml:space="preserve">had a positive association with </w:t>
      </w:r>
      <w:r w:rsidR="008E0C61">
        <w:rPr>
          <w:rFonts w:ascii="Times New Roman" w:hAnsi="Times New Roman"/>
          <w:sz w:val="24"/>
          <w:szCs w:val="24"/>
        </w:rPr>
        <w:t xml:space="preserve">local </w:t>
      </w:r>
      <w:r w:rsidR="00735AD0" w:rsidRPr="00F01EC9">
        <w:rPr>
          <w:rFonts w:ascii="Times New Roman" w:hAnsi="Times New Roman"/>
          <w:sz w:val="24"/>
          <w:szCs w:val="24"/>
        </w:rPr>
        <w:t>accessibility to amenities (measured as the number of amenities within 1,600 meters buffer</w:t>
      </w:r>
      <w:r w:rsidR="00A54032">
        <w:rPr>
          <w:rFonts w:ascii="Times New Roman" w:hAnsi="Times New Roman"/>
          <w:sz w:val="24"/>
          <w:szCs w:val="24"/>
        </w:rPr>
        <w:t xml:space="preserve"> from respondents homes</w:t>
      </w:r>
      <w:r w:rsidR="00735AD0" w:rsidRPr="00F01EC9">
        <w:rPr>
          <w:rFonts w:ascii="Times New Roman" w:hAnsi="Times New Roman"/>
          <w:sz w:val="24"/>
          <w:szCs w:val="24"/>
        </w:rPr>
        <w:t xml:space="preserve">).  </w:t>
      </w:r>
      <w:r w:rsidR="00F01EC9" w:rsidRPr="00F01EC9">
        <w:rPr>
          <w:rFonts w:ascii="Times New Roman" w:hAnsi="Times New Roman"/>
          <w:sz w:val="24"/>
          <w:szCs w:val="24"/>
        </w:rPr>
        <w:t xml:space="preserve">Being in a neighbourhood </w:t>
      </w:r>
      <w:r w:rsidR="00A54032">
        <w:rPr>
          <w:rFonts w:ascii="Times New Roman" w:hAnsi="Times New Roman"/>
          <w:sz w:val="24"/>
          <w:szCs w:val="24"/>
        </w:rPr>
        <w:t xml:space="preserve">with high </w:t>
      </w:r>
      <w:r w:rsidR="008E0C61">
        <w:rPr>
          <w:rFonts w:ascii="Times New Roman" w:hAnsi="Times New Roman"/>
          <w:sz w:val="24"/>
          <w:szCs w:val="24"/>
        </w:rPr>
        <w:t xml:space="preserve">local </w:t>
      </w:r>
      <w:r w:rsidR="00A54032">
        <w:rPr>
          <w:rFonts w:ascii="Times New Roman" w:hAnsi="Times New Roman"/>
          <w:sz w:val="24"/>
          <w:szCs w:val="24"/>
        </w:rPr>
        <w:t>accessibility (</w:t>
      </w:r>
      <w:r w:rsidR="00F01EC9" w:rsidRPr="00F01EC9">
        <w:rPr>
          <w:rFonts w:ascii="Times New Roman" w:hAnsi="Times New Roman"/>
          <w:sz w:val="24"/>
          <w:szCs w:val="24"/>
        </w:rPr>
        <w:t xml:space="preserve">8 to 15 amenities within </w:t>
      </w:r>
      <w:r w:rsidR="00B86B1D">
        <w:rPr>
          <w:rFonts w:ascii="Times New Roman" w:hAnsi="Times New Roman"/>
          <w:sz w:val="24"/>
          <w:szCs w:val="24"/>
        </w:rPr>
        <w:t xml:space="preserve">a </w:t>
      </w:r>
      <w:r w:rsidR="00F01EC9" w:rsidRPr="00F01EC9">
        <w:rPr>
          <w:rFonts w:ascii="Times New Roman" w:hAnsi="Times New Roman"/>
          <w:sz w:val="24"/>
          <w:szCs w:val="24"/>
        </w:rPr>
        <w:t>1,600</w:t>
      </w:r>
      <w:r w:rsidR="00B86B1D">
        <w:rPr>
          <w:rFonts w:ascii="Times New Roman" w:hAnsi="Times New Roman"/>
          <w:sz w:val="24"/>
          <w:szCs w:val="24"/>
        </w:rPr>
        <w:t>m buffer</w:t>
      </w:r>
      <w:r w:rsidR="00A54032">
        <w:rPr>
          <w:rFonts w:ascii="Times New Roman" w:hAnsi="Times New Roman"/>
          <w:sz w:val="24"/>
          <w:szCs w:val="24"/>
        </w:rPr>
        <w:t>)</w:t>
      </w:r>
      <w:r w:rsidR="00F01EC9" w:rsidRPr="00F01EC9">
        <w:rPr>
          <w:rFonts w:ascii="Times New Roman" w:hAnsi="Times New Roman"/>
          <w:sz w:val="24"/>
          <w:szCs w:val="24"/>
        </w:rPr>
        <w:t xml:space="preserve"> was associated with an increase in the odds of walking by around 30</w:t>
      </w:r>
      <w:r w:rsidR="00037491">
        <w:rPr>
          <w:rFonts w:ascii="Times New Roman" w:hAnsi="Times New Roman"/>
          <w:sz w:val="24"/>
          <w:szCs w:val="24"/>
        </w:rPr>
        <w:t xml:space="preserve">% </w:t>
      </w:r>
      <w:r w:rsidR="00F01EC9" w:rsidRPr="00F01EC9">
        <w:rPr>
          <w:rFonts w:ascii="Times New Roman" w:hAnsi="Times New Roman"/>
          <w:sz w:val="24"/>
          <w:szCs w:val="24"/>
        </w:rPr>
        <w:t>(p= 0.04</w:t>
      </w:r>
      <w:r w:rsidR="00037491" w:rsidRPr="00F01EC9">
        <w:rPr>
          <w:rFonts w:ascii="Times New Roman" w:hAnsi="Times New Roman"/>
          <w:sz w:val="24"/>
          <w:szCs w:val="24"/>
        </w:rPr>
        <w:t>) compared</w:t>
      </w:r>
      <w:r w:rsidR="00735AD0" w:rsidRPr="00F01EC9">
        <w:rPr>
          <w:rFonts w:ascii="Times New Roman" w:hAnsi="Times New Roman"/>
          <w:sz w:val="24"/>
          <w:szCs w:val="24"/>
        </w:rPr>
        <w:t xml:space="preserve"> to </w:t>
      </w:r>
      <w:r w:rsidR="00F01EC9" w:rsidRPr="00F01EC9">
        <w:rPr>
          <w:rFonts w:ascii="Times New Roman" w:hAnsi="Times New Roman"/>
          <w:sz w:val="24"/>
          <w:szCs w:val="24"/>
        </w:rPr>
        <w:t>being in a neighbourhood</w:t>
      </w:r>
      <w:r w:rsidR="00735AD0" w:rsidRPr="00F01EC9">
        <w:rPr>
          <w:rFonts w:ascii="Times New Roman" w:hAnsi="Times New Roman"/>
          <w:sz w:val="24"/>
          <w:szCs w:val="24"/>
        </w:rPr>
        <w:t xml:space="preserve"> with low local accessibility (0 to 3 </w:t>
      </w:r>
      <w:r w:rsidR="00F01EC9" w:rsidRPr="00F01EC9">
        <w:rPr>
          <w:rFonts w:ascii="Times New Roman" w:hAnsi="Times New Roman"/>
          <w:sz w:val="24"/>
          <w:szCs w:val="24"/>
        </w:rPr>
        <w:t>amenities</w:t>
      </w:r>
      <w:r w:rsidR="00735AD0" w:rsidRPr="00F01EC9">
        <w:rPr>
          <w:rFonts w:ascii="Times New Roman" w:hAnsi="Times New Roman"/>
          <w:sz w:val="24"/>
          <w:szCs w:val="24"/>
        </w:rPr>
        <w:t xml:space="preserve"> within </w:t>
      </w:r>
      <w:r w:rsidR="00B86B1D">
        <w:rPr>
          <w:rFonts w:ascii="Times New Roman" w:hAnsi="Times New Roman"/>
          <w:sz w:val="24"/>
          <w:szCs w:val="24"/>
        </w:rPr>
        <w:t xml:space="preserve">a </w:t>
      </w:r>
      <w:r w:rsidR="00735AD0" w:rsidRPr="00F01EC9">
        <w:rPr>
          <w:rFonts w:ascii="Times New Roman" w:hAnsi="Times New Roman"/>
          <w:sz w:val="24"/>
          <w:szCs w:val="24"/>
        </w:rPr>
        <w:t>1,600m buffer)</w:t>
      </w:r>
      <w:r w:rsidR="00F01EC9">
        <w:rPr>
          <w:rFonts w:ascii="Times New Roman" w:hAnsi="Times New Roman"/>
          <w:sz w:val="24"/>
          <w:szCs w:val="24"/>
        </w:rPr>
        <w:t>.</w:t>
      </w:r>
    </w:p>
    <w:p w14:paraId="1A94911D" w14:textId="26BCACCF" w:rsidR="00F80624" w:rsidRDefault="00EB7B4D" w:rsidP="009F3873">
      <w:pPr>
        <w:pStyle w:val="MediumGrid21"/>
        <w:spacing w:after="120" w:line="480" w:lineRule="auto"/>
        <w:ind w:firstLine="720"/>
        <w:rPr>
          <w:rFonts w:ascii="Times New Roman" w:hAnsi="Times New Roman"/>
          <w:sz w:val="24"/>
          <w:szCs w:val="24"/>
        </w:rPr>
      </w:pPr>
      <w:r>
        <w:rPr>
          <w:rFonts w:ascii="Times New Roman" w:hAnsi="Times New Roman"/>
          <w:sz w:val="24"/>
          <w:szCs w:val="24"/>
        </w:rPr>
        <w:t xml:space="preserve">Our </w:t>
      </w:r>
      <w:r w:rsidR="005409D1">
        <w:rPr>
          <w:rFonts w:ascii="Times New Roman" w:hAnsi="Times New Roman"/>
          <w:sz w:val="24"/>
          <w:szCs w:val="24"/>
        </w:rPr>
        <w:t xml:space="preserve">study </w:t>
      </w:r>
      <w:r>
        <w:rPr>
          <w:rFonts w:ascii="Times New Roman" w:hAnsi="Times New Roman"/>
          <w:sz w:val="24"/>
          <w:szCs w:val="24"/>
        </w:rPr>
        <w:t>differed from the</w:t>
      </w:r>
      <w:r w:rsidR="00F80624" w:rsidRPr="00F80624">
        <w:rPr>
          <w:rFonts w:ascii="Times New Roman" w:hAnsi="Times New Roman"/>
          <w:sz w:val="24"/>
          <w:szCs w:val="24"/>
        </w:rPr>
        <w:t xml:space="preserve"> MESA and RESIDE studies</w:t>
      </w:r>
      <w:r>
        <w:rPr>
          <w:rFonts w:ascii="Times New Roman" w:hAnsi="Times New Roman"/>
          <w:sz w:val="24"/>
          <w:szCs w:val="24"/>
        </w:rPr>
        <w:t xml:space="preserve"> in several ways</w:t>
      </w:r>
      <w:r w:rsidR="00F80624" w:rsidRPr="00F80624">
        <w:rPr>
          <w:rFonts w:ascii="Times New Roman" w:hAnsi="Times New Roman"/>
          <w:sz w:val="24"/>
          <w:szCs w:val="24"/>
        </w:rPr>
        <w:t xml:space="preserve">. First, our sample </w:t>
      </w:r>
      <w:r w:rsidR="00096CF4" w:rsidRPr="00F80624">
        <w:rPr>
          <w:rFonts w:ascii="Times New Roman" w:hAnsi="Times New Roman"/>
          <w:sz w:val="24"/>
          <w:szCs w:val="24"/>
        </w:rPr>
        <w:t>d</w:t>
      </w:r>
      <w:r w:rsidR="00096CF4">
        <w:rPr>
          <w:rFonts w:ascii="Times New Roman" w:hAnsi="Times New Roman"/>
          <w:sz w:val="24"/>
          <w:szCs w:val="24"/>
        </w:rPr>
        <w:t>id</w:t>
      </w:r>
      <w:r w:rsidR="00096CF4" w:rsidRPr="00F80624">
        <w:rPr>
          <w:rFonts w:ascii="Times New Roman" w:hAnsi="Times New Roman"/>
          <w:sz w:val="24"/>
          <w:szCs w:val="24"/>
        </w:rPr>
        <w:t xml:space="preserve"> </w:t>
      </w:r>
      <w:r w:rsidR="00F80624" w:rsidRPr="00F80624">
        <w:rPr>
          <w:rFonts w:ascii="Times New Roman" w:hAnsi="Times New Roman"/>
          <w:sz w:val="24"/>
          <w:szCs w:val="24"/>
        </w:rPr>
        <w:t>not only consist of movers but non-movers as well. Second, our outcome variable was modeled across several levels to capture more information about utilitarian walking.  Third, we accounted for confounding that may be introduced by health status and leisure time physical activity, providing increased precision in our estimates of the true influence of the environmental exposure (revealed as a limitation in the RESIDE study).</w:t>
      </w:r>
    </w:p>
    <w:p w14:paraId="508FB9AF" w14:textId="0B1D2360" w:rsidR="00337A8E" w:rsidRDefault="00F80624" w:rsidP="00253DE9">
      <w:pPr>
        <w:pStyle w:val="MediumGrid21"/>
        <w:spacing w:after="120" w:line="480" w:lineRule="auto"/>
        <w:ind w:firstLine="720"/>
        <w:rPr>
          <w:rFonts w:ascii="Times New Roman" w:hAnsi="Times New Roman"/>
          <w:sz w:val="24"/>
          <w:szCs w:val="24"/>
        </w:rPr>
      </w:pPr>
      <w:r w:rsidRPr="00D72570">
        <w:rPr>
          <w:rFonts w:ascii="Times New Roman" w:hAnsi="Times New Roman"/>
          <w:sz w:val="24"/>
          <w:szCs w:val="24"/>
        </w:rPr>
        <w:t xml:space="preserve">We detected an overall secular trend towards </w:t>
      </w:r>
      <w:r w:rsidR="00B86B1D" w:rsidRPr="00D72570">
        <w:rPr>
          <w:rFonts w:ascii="Times New Roman" w:hAnsi="Times New Roman"/>
          <w:sz w:val="24"/>
          <w:szCs w:val="24"/>
        </w:rPr>
        <w:t>increas</w:t>
      </w:r>
      <w:r w:rsidR="00B86B1D">
        <w:rPr>
          <w:rFonts w:ascii="Times New Roman" w:hAnsi="Times New Roman"/>
          <w:sz w:val="24"/>
          <w:szCs w:val="24"/>
        </w:rPr>
        <w:t>ed</w:t>
      </w:r>
      <w:r w:rsidR="00B86B1D" w:rsidRPr="00D72570">
        <w:rPr>
          <w:rFonts w:ascii="Times New Roman" w:hAnsi="Times New Roman"/>
          <w:sz w:val="24"/>
          <w:szCs w:val="24"/>
        </w:rPr>
        <w:t xml:space="preserve"> </w:t>
      </w:r>
      <w:r w:rsidRPr="00D72570">
        <w:rPr>
          <w:rFonts w:ascii="Times New Roman" w:hAnsi="Times New Roman"/>
          <w:sz w:val="24"/>
          <w:szCs w:val="24"/>
        </w:rPr>
        <w:t>utilitarian walking over time</w:t>
      </w:r>
      <w:r>
        <w:rPr>
          <w:rFonts w:ascii="Times New Roman" w:hAnsi="Times New Roman"/>
          <w:sz w:val="24"/>
          <w:szCs w:val="24"/>
        </w:rPr>
        <w:t>,</w:t>
      </w:r>
      <w:r w:rsidRPr="00D72570">
        <w:rPr>
          <w:rFonts w:ascii="Times New Roman" w:hAnsi="Times New Roman"/>
          <w:sz w:val="24"/>
          <w:szCs w:val="24"/>
        </w:rPr>
        <w:t xml:space="preserve"> starting in </w:t>
      </w:r>
      <w:r w:rsidR="0018303B">
        <w:rPr>
          <w:rFonts w:ascii="Times New Roman" w:hAnsi="Times New Roman"/>
          <w:sz w:val="24"/>
          <w:szCs w:val="24"/>
        </w:rPr>
        <w:t>2000</w:t>
      </w:r>
      <w:r w:rsidRPr="00D72570">
        <w:rPr>
          <w:rFonts w:ascii="Times New Roman" w:hAnsi="Times New Roman"/>
          <w:sz w:val="24"/>
          <w:szCs w:val="24"/>
        </w:rPr>
        <w:t>. This timeframe corresponds to the general trend of promoting active living that has been growing in</w:t>
      </w:r>
      <w:r w:rsidR="00C07F83">
        <w:rPr>
          <w:rFonts w:ascii="Times New Roman" w:hAnsi="Times New Roman"/>
          <w:sz w:val="24"/>
          <w:szCs w:val="24"/>
        </w:rPr>
        <w:t xml:space="preserve"> North America in response to the high rates of inactivity</w:t>
      </w:r>
      <w:r w:rsidRPr="00D72570">
        <w:rPr>
          <w:rFonts w:ascii="Times New Roman" w:hAnsi="Times New Roman"/>
          <w:sz w:val="24"/>
          <w:szCs w:val="24"/>
        </w:rPr>
        <w:t xml:space="preserve"> </w:t>
      </w:r>
      <w:r w:rsidR="00C07F83">
        <w:rPr>
          <w:rFonts w:ascii="Times New Roman" w:hAnsi="Times New Roman"/>
          <w:sz w:val="24"/>
          <w:szCs w:val="24"/>
        </w:rPr>
        <w:fldChar w:fldCharType="begin">
          <w:fldData xml:space="preserve">PEVuZE5vdGU+PENpdGU+PEF1dGhvcj5GZWRlcmFsLVByb3ZpbmNpYWwvVGVycml0b3JpYWwgQWR2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</w:fldData>
        </w:fldChar>
      </w:r>
      <w:r w:rsidR="00106F99">
        <w:rPr>
          <w:rFonts w:ascii="Times New Roman" w:hAnsi="Times New Roman"/>
          <w:sz w:val="24"/>
          <w:szCs w:val="24"/>
        </w:rPr>
        <w:instrText xml:space="preserve"> ADDIN EN.CITE </w:instrText>
      </w:r>
      <w:r w:rsidR="00106F99">
        <w:rPr>
          <w:rFonts w:ascii="Times New Roman" w:hAnsi="Times New Roman"/>
          <w:sz w:val="24"/>
          <w:szCs w:val="24"/>
        </w:rPr>
        <w:fldChar w:fldCharType="begin">
          <w:fldData xml:space="preserve">PEVuZE5vdGU+PENpdGU+PEF1dGhvcj5GZWRlcmFsLVByb3ZpbmNpYWwvVGVycml0b3JpYWwgQWR2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</w:fldData>
        </w:fldChar>
      </w:r>
      <w:r w:rsidR="00106F99">
        <w:rPr>
          <w:rFonts w:ascii="Times New Roman" w:hAnsi="Times New Roman"/>
          <w:sz w:val="24"/>
          <w:szCs w:val="24"/>
        </w:rPr>
        <w:instrText xml:space="preserve"> ADDIN EN.CITE.DATA </w:instrText>
      </w:r>
      <w:r w:rsidR="00106F99">
        <w:rPr>
          <w:rFonts w:ascii="Times New Roman" w:hAnsi="Times New Roman"/>
          <w:sz w:val="24"/>
          <w:szCs w:val="24"/>
        </w:rPr>
      </w:r>
      <w:r w:rsidR="00106F99">
        <w:rPr>
          <w:rFonts w:ascii="Times New Roman" w:hAnsi="Times New Roman"/>
          <w:sz w:val="24"/>
          <w:szCs w:val="24"/>
        </w:rPr>
        <w:fldChar w:fldCharType="end"/>
      </w:r>
      <w:r w:rsidR="00C07F83">
        <w:rPr>
          <w:rFonts w:ascii="Times New Roman" w:hAnsi="Times New Roman"/>
          <w:sz w:val="24"/>
          <w:szCs w:val="24"/>
        </w:rPr>
      </w:r>
      <w:r w:rsidR="00C07F83">
        <w:rPr>
          <w:rFonts w:ascii="Times New Roman" w:hAnsi="Times New Roman"/>
          <w:sz w:val="24"/>
          <w:szCs w:val="24"/>
        </w:rPr>
        <w:fldChar w:fldCharType="separate"/>
      </w:r>
      <w:r w:rsidR="00106F99">
        <w:rPr>
          <w:rFonts w:ascii="Times New Roman" w:hAnsi="Times New Roman"/>
          <w:noProof/>
          <w:sz w:val="24"/>
          <w:szCs w:val="24"/>
        </w:rPr>
        <w:t>(</w:t>
      </w:r>
      <w:hyperlink w:anchor="_ENREF_10" w:tooltip="Federal-Provincial/Territorial Advisory Committee on Fitness and Recreation, 1997 #209" w:history="1">
        <w:r w:rsidR="00DD02A3">
          <w:rPr>
            <w:rFonts w:ascii="Times New Roman" w:hAnsi="Times New Roman"/>
            <w:noProof/>
            <w:sz w:val="24"/>
            <w:szCs w:val="24"/>
          </w:rPr>
          <w:t>Federal-Provincial/Territorial Advisory Committee on Fitness and Recreation 1997</w:t>
        </w:r>
      </w:hyperlink>
      <w:r w:rsidR="00106F99">
        <w:rPr>
          <w:rFonts w:ascii="Times New Roman" w:hAnsi="Times New Roman"/>
          <w:noProof/>
          <w:sz w:val="24"/>
          <w:szCs w:val="24"/>
        </w:rPr>
        <w:t xml:space="preserve">, </w:t>
      </w:r>
      <w:hyperlink w:anchor="_ENREF_24" w:tooltip="Lavizzo-Mourey, 2002 #210" w:history="1">
        <w:r w:rsidR="00DD02A3">
          <w:rPr>
            <w:rFonts w:ascii="Times New Roman" w:hAnsi="Times New Roman"/>
            <w:noProof/>
            <w:sz w:val="24"/>
            <w:szCs w:val="24"/>
          </w:rPr>
          <w:t>Lavizzo-Mourey and McGinnis 2002</w:t>
        </w:r>
      </w:hyperlink>
      <w:r w:rsidR="00106F99">
        <w:rPr>
          <w:rFonts w:ascii="Times New Roman" w:hAnsi="Times New Roman"/>
          <w:noProof/>
          <w:sz w:val="24"/>
          <w:szCs w:val="24"/>
        </w:rPr>
        <w:t xml:space="preserve">, </w:t>
      </w:r>
      <w:hyperlink w:anchor="_ENREF_35" w:tooltip="Wharf-Higgins, 2002 #208" w:history="1">
        <w:r w:rsidR="00DD02A3">
          <w:rPr>
            <w:rFonts w:ascii="Times New Roman" w:hAnsi="Times New Roman"/>
            <w:noProof/>
            <w:sz w:val="24"/>
            <w:szCs w:val="24"/>
          </w:rPr>
          <w:t>Wharf-Higgins 2002</w:t>
        </w:r>
      </w:hyperlink>
      <w:r w:rsidR="00106F99">
        <w:rPr>
          <w:rFonts w:ascii="Times New Roman" w:hAnsi="Times New Roman"/>
          <w:noProof/>
          <w:sz w:val="24"/>
          <w:szCs w:val="24"/>
        </w:rPr>
        <w:t xml:space="preserve">, </w:t>
      </w:r>
      <w:hyperlink w:anchor="_ENREF_33" w:tooltip="Transport Canada, 2005 #135" w:history="1">
        <w:r w:rsidR="00DD02A3">
          <w:rPr>
            <w:rFonts w:ascii="Times New Roman" w:hAnsi="Times New Roman"/>
            <w:noProof/>
            <w:sz w:val="24"/>
            <w:szCs w:val="24"/>
          </w:rPr>
          <w:t>Transport Canada 2005</w:t>
        </w:r>
      </w:hyperlink>
      <w:r w:rsidR="00106F99">
        <w:rPr>
          <w:rFonts w:ascii="Times New Roman" w:hAnsi="Times New Roman"/>
          <w:noProof/>
          <w:sz w:val="24"/>
          <w:szCs w:val="24"/>
        </w:rPr>
        <w:t>)</w:t>
      </w:r>
      <w:r w:rsidR="00C07F83">
        <w:rPr>
          <w:rFonts w:ascii="Times New Roman" w:hAnsi="Times New Roman"/>
          <w:sz w:val="24"/>
          <w:szCs w:val="24"/>
        </w:rPr>
        <w:fldChar w:fldCharType="end"/>
      </w:r>
      <w:r w:rsidR="00C07F83">
        <w:rPr>
          <w:rFonts w:ascii="Times New Roman" w:hAnsi="Times New Roman"/>
          <w:sz w:val="24"/>
          <w:szCs w:val="24"/>
        </w:rPr>
        <w:t xml:space="preserve">. </w:t>
      </w:r>
      <w:r w:rsidR="00096CF4">
        <w:rPr>
          <w:rFonts w:ascii="Times New Roman" w:hAnsi="Times New Roman"/>
          <w:sz w:val="24"/>
          <w:szCs w:val="24"/>
        </w:rPr>
        <w:t>The</w:t>
      </w:r>
      <w:r w:rsidR="00096CF4" w:rsidRPr="00E10D3D">
        <w:rPr>
          <w:rFonts w:ascii="Times New Roman" w:hAnsi="Times New Roman"/>
          <w:sz w:val="24"/>
          <w:szCs w:val="24"/>
        </w:rPr>
        <w:t xml:space="preserve"> </w:t>
      </w:r>
      <w:r w:rsidRPr="00E10D3D">
        <w:rPr>
          <w:rFonts w:ascii="Times New Roman" w:hAnsi="Times New Roman"/>
          <w:sz w:val="24"/>
          <w:szCs w:val="24"/>
        </w:rPr>
        <w:t xml:space="preserve">trend </w:t>
      </w:r>
      <w:r w:rsidR="00096CF4">
        <w:rPr>
          <w:rFonts w:ascii="Times New Roman" w:hAnsi="Times New Roman"/>
          <w:sz w:val="24"/>
          <w:szCs w:val="24"/>
        </w:rPr>
        <w:t xml:space="preserve">towards increased utilitarian walking </w:t>
      </w:r>
      <w:r w:rsidRPr="00E10D3D">
        <w:rPr>
          <w:rFonts w:ascii="Times New Roman" w:hAnsi="Times New Roman"/>
          <w:sz w:val="24"/>
          <w:szCs w:val="24"/>
        </w:rPr>
        <w:t>was more pronounced for high levels of utilitarian walking</w:t>
      </w:r>
      <w:r>
        <w:rPr>
          <w:rFonts w:ascii="Times New Roman" w:hAnsi="Times New Roman"/>
          <w:sz w:val="24"/>
          <w:szCs w:val="24"/>
        </w:rPr>
        <w:t xml:space="preserve"> </w:t>
      </w:r>
      <w:r w:rsidR="00CF281E">
        <w:rPr>
          <w:rFonts w:ascii="Times New Roman" w:hAnsi="Times New Roman"/>
          <w:sz w:val="24"/>
          <w:szCs w:val="24"/>
        </w:rPr>
        <w:t>than for</w:t>
      </w:r>
      <w:r>
        <w:rPr>
          <w:rFonts w:ascii="Times New Roman" w:hAnsi="Times New Roman"/>
          <w:sz w:val="24"/>
          <w:szCs w:val="24"/>
        </w:rPr>
        <w:t xml:space="preserve"> low ones</w:t>
      </w:r>
      <w:r w:rsidRPr="00D72570">
        <w:rPr>
          <w:rFonts w:ascii="Times New Roman" w:hAnsi="Times New Roman"/>
          <w:sz w:val="24"/>
          <w:szCs w:val="24"/>
        </w:rPr>
        <w:t xml:space="preserve">. </w:t>
      </w:r>
      <w:r>
        <w:rPr>
          <w:rFonts w:ascii="Times New Roman" w:hAnsi="Times New Roman"/>
          <w:sz w:val="24"/>
          <w:szCs w:val="24"/>
        </w:rPr>
        <w:t xml:space="preserve">This secular trend could be explained by recall bias, generated as a result of repeated self-reported measures over time </w:t>
      </w:r>
      <w:r w:rsidR="00DB274F">
        <w:fldChar w:fldCharType="begin"/>
      </w:r>
      <w:r w:rsidR="00FB121F">
        <w:instrText xml:space="preserve"> ADDIN EN.CITE &lt;EndNote&gt;&lt;Cite&gt;&lt;Author&gt;Hassan&lt;/Author&gt;&lt;Year&gt;2005 &lt;/Year&gt;&lt;RecNum&gt;177&lt;/RecNum&gt;&lt;DisplayText&gt;(Hassan 2005 )&lt;/DisplayText&gt;&lt;record&gt;&lt;rec-number&gt;177&lt;/rec-number&gt;&lt;foreign-keys&gt;&lt;key app="EN" db-id="dp0x5dweyf5fpve0aecvexej50xdfspe0wdp"&gt;177&lt;/key&gt;&lt;/foreign-keys&gt;&lt;ref-type name="Journal Article"&gt;17&lt;/ref-type&gt;&lt;contributors&gt;&lt;authors&gt;&lt;author&gt;Hassan, E.&lt;/author&gt;&lt;/authors&gt;&lt;/contributors&gt;&lt;titles&gt;&lt;title&gt;Recall Bias can be a Threat to Retrospective and Prospective Research Designs&lt;/title&gt;&lt;secondary-title&gt;The Internet Journal of Epidemiology&lt;/secondary-title&gt;&lt;/titles&gt;&lt;periodical&gt;&lt;full-title&gt;The Internet Journal of Epidemiology&lt;/full-title&gt;&lt;/periodical&gt;&lt;volume&gt;Volume 3&lt;/volume&gt;&lt;number&gt;Number 2&lt;/number&gt;&lt;dates&gt;&lt;year&gt;2005 &lt;/year&gt;&lt;/dates&gt;&lt;urls&gt;&lt;/urls&gt;&lt;/record&gt;&lt;/Cite&gt;&lt;/EndNote&gt;</w:instrText>
      </w:r>
      <w:r w:rsidR="00DB274F">
        <w:fldChar w:fldCharType="separate"/>
      </w:r>
      <w:r>
        <w:rPr>
          <w:rFonts w:ascii="Times New Roman" w:hAnsi="Times New Roman"/>
          <w:noProof/>
          <w:sz w:val="24"/>
          <w:szCs w:val="24"/>
        </w:rPr>
        <w:t>(</w:t>
      </w:r>
      <w:hyperlink w:anchor="_ENREF_20" w:tooltip="Hassan, 2005  #177" w:history="1">
        <w:r w:rsidR="00DD02A3">
          <w:rPr>
            <w:rFonts w:ascii="Times New Roman" w:hAnsi="Times New Roman"/>
            <w:noProof/>
            <w:sz w:val="24"/>
            <w:szCs w:val="24"/>
          </w:rPr>
          <w:t xml:space="preserve">Hassan 2005 </w:t>
        </w:r>
      </w:hyperlink>
      <w:r>
        <w:rPr>
          <w:rFonts w:ascii="Times New Roman" w:hAnsi="Times New Roman"/>
          <w:noProof/>
          <w:sz w:val="24"/>
          <w:szCs w:val="24"/>
        </w:rPr>
        <w:t>)</w:t>
      </w:r>
      <w:r w:rsidR="00DB274F">
        <w:fldChar w:fldCharType="end"/>
      </w:r>
      <w:r>
        <w:rPr>
          <w:rFonts w:ascii="Times New Roman" w:hAnsi="Times New Roman"/>
          <w:sz w:val="24"/>
          <w:szCs w:val="24"/>
        </w:rPr>
        <w:t>.</w:t>
      </w:r>
      <w:r w:rsidRPr="00D72570">
        <w:rPr>
          <w:rFonts w:ascii="Times New Roman" w:hAnsi="Times New Roman"/>
          <w:sz w:val="24"/>
          <w:szCs w:val="24"/>
        </w:rPr>
        <w:t xml:space="preserve"> </w:t>
      </w:r>
      <w:r>
        <w:rPr>
          <w:rFonts w:ascii="Times New Roman" w:hAnsi="Times New Roman"/>
          <w:sz w:val="24"/>
          <w:szCs w:val="24"/>
        </w:rPr>
        <w:t>If the increased trend were due to bias, however,</w:t>
      </w:r>
      <w:r w:rsidRPr="00D72570">
        <w:rPr>
          <w:rFonts w:ascii="Times New Roman" w:hAnsi="Times New Roman"/>
          <w:sz w:val="24"/>
          <w:szCs w:val="24"/>
        </w:rPr>
        <w:t xml:space="preserve"> </w:t>
      </w:r>
      <w:r>
        <w:rPr>
          <w:rFonts w:ascii="Times New Roman" w:hAnsi="Times New Roman"/>
          <w:sz w:val="24"/>
          <w:szCs w:val="24"/>
        </w:rPr>
        <w:t>we would have expected the same increas</w:t>
      </w:r>
      <w:r w:rsidRPr="00D72570">
        <w:rPr>
          <w:rFonts w:ascii="Times New Roman" w:hAnsi="Times New Roman"/>
          <w:sz w:val="24"/>
          <w:szCs w:val="24"/>
        </w:rPr>
        <w:t xml:space="preserve">e </w:t>
      </w:r>
      <w:r>
        <w:rPr>
          <w:rFonts w:ascii="Times New Roman" w:hAnsi="Times New Roman"/>
          <w:sz w:val="24"/>
          <w:szCs w:val="24"/>
        </w:rPr>
        <w:t xml:space="preserve">across all </w:t>
      </w:r>
      <w:r w:rsidRPr="00D72570">
        <w:rPr>
          <w:rFonts w:ascii="Times New Roman" w:hAnsi="Times New Roman"/>
          <w:sz w:val="24"/>
          <w:szCs w:val="24"/>
        </w:rPr>
        <w:t xml:space="preserve">levels of </w:t>
      </w:r>
      <w:r>
        <w:rPr>
          <w:rFonts w:ascii="Times New Roman" w:hAnsi="Times New Roman"/>
          <w:sz w:val="24"/>
          <w:szCs w:val="24"/>
        </w:rPr>
        <w:t xml:space="preserve">utilitarian walking.  New evidence in the US has found that people are driving less, and shifting towards more sustainable modes of transport </w:t>
      </w:r>
      <w:r w:rsidR="00DB274F">
        <w:fldChar w:fldCharType="begin"/>
      </w:r>
      <w:r w:rsidR="00FB121F">
        <w:instrText xml:space="preserve"> ADDIN EN.CITE &lt;EndNote&gt;&lt;Cite&gt;&lt;Author&gt;Tomer&lt;/Author&gt;&lt;Year&gt;2014&lt;/Year&gt;&lt;RecNum&gt;178&lt;/RecNum&gt;&lt;DisplayText&gt;(Tomer and Kane 2014)&lt;/DisplayText&gt;&lt;record&gt;&lt;rec-number&gt;178&lt;/rec-number&gt;&lt;foreign-keys&gt;&lt;key app="EN" db-id="dp0x5dweyf5fpve0aecvexej50xdfspe0wdp"&gt;178&lt;/key&gt;&lt;/foreign-keys&gt;&lt;ref-type name="Web Page"&gt;12&lt;/ref-type&gt;&lt;contributors&gt;&lt;authors&gt;&lt;author&gt;Tomer, A.&lt;/author&gt;&lt;author&gt;Kane, J.&lt;/author&gt;&lt;/authors&gt;&lt;/contributors&gt;&lt;titles&gt;&lt;title&gt;Most Americans Still Driving, but New Census Data Reveal Shifts at the Metro Level&lt;/title&gt;&lt;/titles&gt;&lt;volume&gt;2014&lt;/volume&gt;&lt;number&gt;29 September&lt;/number&gt;&lt;dates&gt;&lt;year&gt;2014&lt;/year&gt;&lt;/dates&gt;&lt;publisher&gt;Brookings Institute &lt;/publisher&gt;&lt;urls&gt;&lt;related-urls&gt;&lt;url&gt;http://www.brookings.edu/blogs/the-avenue/posts/2014/09/29-americans-driving-census-data-metro-tomer-kane#.VCq_FiZyIXc.mailto&lt;/url&gt;&lt;/related-urls&gt;&lt;/urls&gt;&lt;/record&gt;&lt;/Cite&gt;&lt;/EndNote&gt;</w:instrText>
      </w:r>
      <w:r w:rsidR="00DB274F">
        <w:fldChar w:fldCharType="separate"/>
      </w:r>
      <w:r>
        <w:rPr>
          <w:rFonts w:ascii="Times New Roman" w:hAnsi="Times New Roman"/>
          <w:noProof/>
          <w:sz w:val="24"/>
          <w:szCs w:val="24"/>
        </w:rPr>
        <w:t>(</w:t>
      </w:r>
      <w:hyperlink w:anchor="_ENREF_32" w:tooltip="Tomer, 2014 #178" w:history="1">
        <w:r w:rsidR="00DD02A3">
          <w:rPr>
            <w:rFonts w:ascii="Times New Roman" w:hAnsi="Times New Roman"/>
            <w:noProof/>
            <w:sz w:val="24"/>
            <w:szCs w:val="24"/>
          </w:rPr>
          <w:t>Tomer and Kane 2014</w:t>
        </w:r>
      </w:hyperlink>
      <w:r>
        <w:rPr>
          <w:rFonts w:ascii="Times New Roman" w:hAnsi="Times New Roman"/>
          <w:noProof/>
          <w:sz w:val="24"/>
          <w:szCs w:val="24"/>
        </w:rPr>
        <w:t>)</w:t>
      </w:r>
      <w:r w:rsidR="00DB274F">
        <w:fldChar w:fldCharType="end"/>
      </w:r>
      <w:r>
        <w:rPr>
          <w:rFonts w:ascii="Times New Roman" w:hAnsi="Times New Roman"/>
          <w:sz w:val="24"/>
          <w:szCs w:val="24"/>
        </w:rPr>
        <w:t xml:space="preserve">. This </w:t>
      </w:r>
      <w:r w:rsidRPr="00F93393">
        <w:rPr>
          <w:rFonts w:ascii="Times New Roman" w:hAnsi="Times New Roman"/>
          <w:sz w:val="24"/>
          <w:szCs w:val="24"/>
        </w:rPr>
        <w:t xml:space="preserve">increasing trend in utilitarian walking was not seen in the MESA study, possibly because of the advanced age of their sample </w:t>
      </w:r>
      <w:r w:rsidR="00DB274F" w:rsidRPr="00F93393">
        <w:fldChar w:fldCharType="begin"/>
      </w:r>
      <w:r w:rsidR="00FB121F">
        <w:instrText xml:space="preserve"> ADDIN EN.CITE &lt;EndNote&gt;&lt;Cite&gt;&lt;Author&gt;Hirsch&lt;/Author&gt;&lt;Year&gt;2014&lt;/Year&gt;&lt;RecNum&gt;48&lt;/RecNum&gt;&lt;DisplayText&gt;(Hirsch, Diez Roux et al. 2014)&lt;/DisplayText&gt;&lt;record&gt;&lt;rec-number&gt;48&lt;/rec-number&gt;&lt;foreign-keys&gt;&lt;key app="EN" db-id="dp0x5dweyf5fpve0aecvexej50xdfspe0wdp"&gt;48&lt;/key&gt;&lt;/foreign-keys&gt;&lt;ref-type name="Journal Article"&gt;17&lt;/ref-type&gt;&lt;contributors&gt;&lt;authors&gt;&lt;author&gt;Hirsch, J.&lt;/author&gt;&lt;author&gt;Diez Roux, A.&lt;/author&gt;&lt;author&gt;Moore, K.&lt;/author&gt;&lt;author&gt;Evenson, K. &lt;/author&gt;&lt;author&gt;Rodriguez, D.&lt;/author&gt;&lt;/authors&gt;&lt;/contributors&gt;&lt;titles&gt;&lt;title&gt;Change in walking and body mass index following residential relocation: The multi-ethnic study of atherosclerosis&lt;/title&gt;&lt;secondary-title&gt;American Journal of  Public Health &lt;/secondary-title&gt;&lt;/titles&gt;&lt;periodical&gt;&lt;full-title&gt;American Journal of  Public Health&lt;/full-title&gt;&lt;/periodical&gt;&lt;pages&gt;e49-e56&lt;/pages&gt;&lt;volume&gt;104&lt;/volume&gt;&lt;number&gt;3&lt;/number&gt;&lt;dates&gt;&lt;year&gt;2014&lt;/year&gt;&lt;/dates&gt;&lt;urls&gt;&lt;/urls&gt;&lt;/record&gt;&lt;/Cite&gt;&lt;/EndNote&gt;</w:instrText>
      </w:r>
      <w:r w:rsidR="00DB274F" w:rsidRPr="00F93393">
        <w:fldChar w:fldCharType="separate"/>
      </w:r>
      <w:r>
        <w:rPr>
          <w:rFonts w:ascii="Times New Roman" w:hAnsi="Times New Roman"/>
          <w:noProof/>
          <w:sz w:val="24"/>
          <w:szCs w:val="24"/>
        </w:rPr>
        <w:t>(</w:t>
      </w:r>
      <w:hyperlink w:anchor="_ENREF_21" w:tooltip="Hirsch, 2014 #48" w:history="1">
        <w:r w:rsidR="00DD02A3">
          <w:rPr>
            <w:rFonts w:ascii="Times New Roman" w:hAnsi="Times New Roman"/>
            <w:noProof/>
            <w:sz w:val="24"/>
            <w:szCs w:val="24"/>
          </w:rPr>
          <w:t>Hirsch, Diez Roux et al. 2014</w:t>
        </w:r>
      </w:hyperlink>
      <w:r>
        <w:rPr>
          <w:rFonts w:ascii="Times New Roman" w:hAnsi="Times New Roman"/>
          <w:noProof/>
          <w:sz w:val="24"/>
          <w:szCs w:val="24"/>
        </w:rPr>
        <w:t>)</w:t>
      </w:r>
      <w:r w:rsidR="00DB274F" w:rsidRPr="00F93393">
        <w:fldChar w:fldCharType="end"/>
      </w:r>
      <w:r w:rsidRPr="00F93393">
        <w:rPr>
          <w:rFonts w:ascii="Times New Roman" w:hAnsi="Times New Roman"/>
          <w:sz w:val="24"/>
          <w:szCs w:val="24"/>
        </w:rPr>
        <w:t xml:space="preserve"> nor in the RESIDE study </w:t>
      </w:r>
      <w:r w:rsidR="00DB274F" w:rsidRPr="00F93393">
        <w:fldChar w:fldCharType="begin"/>
      </w:r>
      <w:r w:rsidR="00FB121F">
        <w:instrText xml:space="preserve"> ADDIN EN.CITE &lt;EndNote&gt;&lt;Cite&gt;&lt;Author&gt;Knuiman&lt;/Author&gt;&lt;Year&gt;2014&lt;/Year&gt;&lt;RecNum&gt;47&lt;/RecNum&gt;&lt;DisplayText&gt;(Knuiman, Christian et al. 2014)&lt;/DisplayText&gt;&lt;record&gt;&lt;rec-number&gt;47&lt;/rec-number&gt;&lt;foreign-keys&gt;&lt;key app="EN" db-id="dp0x5dweyf5fpve0aecvexej50xdfspe0wdp"&gt;47&lt;/key&gt;&lt;/foreign-keys&gt;&lt;ref-type name="Journal Article"&gt;17&lt;/ref-type&gt;&lt;contributors&gt;&lt;authors&gt;&lt;author&gt;Knuiman, M.&lt;/author&gt;&lt;author&gt;Christian, H.&lt;/author&gt;&lt;author&gt;Divitini, M.&lt;/author&gt;&lt;author&gt;Foster, S.&lt;/author&gt;&lt;author&gt;Bull, F.&lt;/author&gt;&lt;author&gt;Badland, H.&lt;/author&gt;&lt;author&gt;Giles_Corti, B.&lt;/author&gt;&lt;/authors&gt;&lt;/contributors&gt;&lt;titles&gt;&lt;title&gt;A longitudinal analysis of the influence of the neighborhood built environment on walking for transportation&lt;/title&gt;&lt;secondary-title&gt;American Journal of  Epidemiology&lt;/secondary-title&gt;&lt;/titles&gt;&lt;periodical&gt;&lt;full-title&gt;American Journal of  Epidemiology&lt;/full-title&gt;&lt;/periodical&gt;&lt;pages&gt;453-461&lt;/pages&gt;&lt;volume&gt;180&lt;/volume&gt;&lt;number&gt;5&lt;/number&gt;&lt;dates&gt;&lt;year&gt;2014&lt;/year&gt;&lt;/dates&gt;&lt;urls&gt;&lt;/urls&gt;&lt;/record&gt;&lt;/Cite&gt;&lt;/EndNote&gt;</w:instrText>
      </w:r>
      <w:r w:rsidR="00DB274F" w:rsidRPr="00F93393">
        <w:fldChar w:fldCharType="separate"/>
      </w:r>
      <w:r>
        <w:rPr>
          <w:rFonts w:ascii="Times New Roman" w:hAnsi="Times New Roman"/>
          <w:noProof/>
          <w:sz w:val="24"/>
          <w:szCs w:val="24"/>
        </w:rPr>
        <w:t>(</w:t>
      </w:r>
      <w:hyperlink w:anchor="_ENREF_23" w:tooltip="Knuiman, 2014 #47" w:history="1">
        <w:r w:rsidR="00DD02A3">
          <w:rPr>
            <w:rFonts w:ascii="Times New Roman" w:hAnsi="Times New Roman"/>
            <w:noProof/>
            <w:sz w:val="24"/>
            <w:szCs w:val="24"/>
          </w:rPr>
          <w:t>Knuiman, Christian et al. 2014</w:t>
        </w:r>
      </w:hyperlink>
      <w:r>
        <w:rPr>
          <w:rFonts w:ascii="Times New Roman" w:hAnsi="Times New Roman"/>
          <w:noProof/>
          <w:sz w:val="24"/>
          <w:szCs w:val="24"/>
        </w:rPr>
        <w:t>)</w:t>
      </w:r>
      <w:r w:rsidR="00DB274F" w:rsidRPr="00F93393">
        <w:fldChar w:fldCharType="end"/>
      </w:r>
      <w:r w:rsidRPr="00F93393">
        <w:rPr>
          <w:rFonts w:ascii="Times New Roman" w:hAnsi="Times New Roman"/>
          <w:sz w:val="24"/>
          <w:szCs w:val="24"/>
        </w:rPr>
        <w:t>, which showed a decline in the frequency of utilitarian walking (9% decline from baseline)</w:t>
      </w:r>
      <w:r w:rsidRPr="004A20C7">
        <w:rPr>
          <w:rFonts w:ascii="Times New Roman" w:hAnsi="Times New Roman"/>
          <w:sz w:val="24"/>
          <w:szCs w:val="24"/>
        </w:rPr>
        <w:t xml:space="preserve"> after </w:t>
      </w:r>
      <w:r>
        <w:rPr>
          <w:rFonts w:ascii="Times New Roman" w:hAnsi="Times New Roman"/>
          <w:sz w:val="24"/>
          <w:szCs w:val="24"/>
        </w:rPr>
        <w:t xml:space="preserve">subjects relocated to new homes in suburban neighbourhoods around Perth, Australia. </w:t>
      </w:r>
    </w:p>
    <w:p w14:paraId="34D35899" w14:textId="77777777" w:rsidR="00CF281E" w:rsidRDefault="00455159" w:rsidP="0038287D">
      <w:pPr>
        <w:pStyle w:val="MediumGrid21"/>
        <w:spacing w:after="120" w:line="480" w:lineRule="auto"/>
        <w:ind w:firstLine="720"/>
        <w:rPr>
          <w:rFonts w:ascii="Times New Roman" w:hAnsi="Times New Roman"/>
          <w:color w:val="000000"/>
          <w:sz w:val="24"/>
          <w:szCs w:val="24"/>
        </w:rPr>
      </w:pPr>
      <w:r>
        <w:rPr>
          <w:rFonts w:ascii="Times New Roman" w:hAnsi="Times New Roman"/>
          <w:color w:val="000000"/>
          <w:sz w:val="24"/>
          <w:szCs w:val="24"/>
        </w:rPr>
        <w:t>In our study, t</w:t>
      </w:r>
      <w:r w:rsidRPr="00D72570">
        <w:rPr>
          <w:rFonts w:ascii="Times New Roman" w:hAnsi="Times New Roman"/>
          <w:color w:val="000000"/>
          <w:sz w:val="24"/>
          <w:szCs w:val="24"/>
        </w:rPr>
        <w:t xml:space="preserve">he </w:t>
      </w:r>
      <w:r w:rsidR="00F80624" w:rsidRPr="00D72570">
        <w:rPr>
          <w:rFonts w:ascii="Times New Roman" w:hAnsi="Times New Roman"/>
          <w:color w:val="000000"/>
          <w:sz w:val="24"/>
          <w:szCs w:val="24"/>
        </w:rPr>
        <w:t xml:space="preserve">highest walkable neighbourhoods had </w:t>
      </w:r>
      <w:r w:rsidR="00DC05D5">
        <w:rPr>
          <w:rFonts w:ascii="Times New Roman" w:hAnsi="Times New Roman"/>
          <w:color w:val="000000"/>
          <w:sz w:val="24"/>
          <w:szCs w:val="24"/>
        </w:rPr>
        <w:t>Walk Score®</w:t>
      </w:r>
      <w:r w:rsidR="00F80624" w:rsidRPr="00D72570">
        <w:rPr>
          <w:rFonts w:ascii="Times New Roman" w:hAnsi="Times New Roman"/>
          <w:color w:val="000000"/>
          <w:sz w:val="24"/>
          <w:szCs w:val="24"/>
        </w:rPr>
        <w:t xml:space="preserve"> values between 70 and 100 and represent neighbourhoods like one might find </w:t>
      </w:r>
      <w:r w:rsidR="00F80624">
        <w:rPr>
          <w:rFonts w:ascii="Times New Roman" w:hAnsi="Times New Roman"/>
          <w:color w:val="000000"/>
          <w:sz w:val="24"/>
          <w:szCs w:val="24"/>
        </w:rPr>
        <w:t>in the core of</w:t>
      </w:r>
      <w:r w:rsidR="00F80624" w:rsidRPr="00D72570">
        <w:rPr>
          <w:rFonts w:ascii="Times New Roman" w:hAnsi="Times New Roman"/>
          <w:color w:val="000000"/>
          <w:sz w:val="24"/>
          <w:szCs w:val="24"/>
        </w:rPr>
        <w:t xml:space="preserve"> densely populated urban areas</w:t>
      </w:r>
      <w:r w:rsidR="00F80624">
        <w:rPr>
          <w:rFonts w:ascii="Times New Roman" w:hAnsi="Times New Roman"/>
          <w:color w:val="000000"/>
          <w:sz w:val="24"/>
          <w:szCs w:val="24"/>
        </w:rPr>
        <w:t xml:space="preserve"> that have many amenities and where one could easily live without access to a private automobile</w:t>
      </w:r>
      <w:r w:rsidR="00F80624" w:rsidRPr="00D72570">
        <w:rPr>
          <w:rFonts w:ascii="Times New Roman" w:hAnsi="Times New Roman"/>
          <w:color w:val="000000"/>
          <w:sz w:val="24"/>
          <w:szCs w:val="24"/>
        </w:rPr>
        <w:t>.</w:t>
      </w:r>
      <w:r w:rsidR="00F80624">
        <w:rPr>
          <w:rFonts w:ascii="Times New Roman" w:hAnsi="Times New Roman"/>
          <w:color w:val="000000"/>
          <w:sz w:val="24"/>
          <w:szCs w:val="24"/>
        </w:rPr>
        <w:t xml:space="preserve"> It was these types of neighbourhoods that had the largest influences on increases in high levels of utilitarian walking over time and corresponding declines in low levels of utilitarian walking.</w:t>
      </w:r>
      <w:r w:rsidR="00F80624" w:rsidRPr="00D72570">
        <w:rPr>
          <w:rFonts w:ascii="Times New Roman" w:hAnsi="Times New Roman"/>
          <w:color w:val="000000"/>
          <w:sz w:val="24"/>
          <w:szCs w:val="24"/>
        </w:rPr>
        <w:t xml:space="preserve"> It suggests that land use planning needs to </w:t>
      </w:r>
      <w:r w:rsidR="00F80624">
        <w:rPr>
          <w:rFonts w:ascii="Times New Roman" w:hAnsi="Times New Roman"/>
          <w:color w:val="000000"/>
          <w:sz w:val="24"/>
          <w:szCs w:val="24"/>
        </w:rPr>
        <w:t xml:space="preserve">understand features of these </w:t>
      </w:r>
      <w:r w:rsidR="00F80624" w:rsidRPr="00D72570">
        <w:rPr>
          <w:rFonts w:ascii="Times New Roman" w:hAnsi="Times New Roman"/>
          <w:color w:val="000000"/>
          <w:sz w:val="24"/>
          <w:szCs w:val="24"/>
        </w:rPr>
        <w:t xml:space="preserve">very walkable places in order to have the largest possible impact on population level physical activity. Our study also suggests that any land use policies implemented to increase neighbourhood walkability </w:t>
      </w:r>
      <w:r w:rsidR="00F80624">
        <w:rPr>
          <w:rFonts w:ascii="Times New Roman" w:hAnsi="Times New Roman"/>
          <w:color w:val="000000"/>
          <w:sz w:val="24"/>
          <w:szCs w:val="24"/>
        </w:rPr>
        <w:t>may not prompt</w:t>
      </w:r>
      <w:r w:rsidR="00F80624" w:rsidRPr="00D72570">
        <w:rPr>
          <w:rFonts w:ascii="Times New Roman" w:hAnsi="Times New Roman"/>
          <w:color w:val="000000"/>
          <w:sz w:val="24"/>
          <w:szCs w:val="24"/>
        </w:rPr>
        <w:t xml:space="preserve"> an immediate change in utilitarian walking</w:t>
      </w:r>
      <w:r w:rsidR="00F80624">
        <w:rPr>
          <w:rFonts w:ascii="Times New Roman" w:hAnsi="Times New Roman"/>
          <w:color w:val="000000"/>
          <w:sz w:val="24"/>
          <w:szCs w:val="24"/>
        </w:rPr>
        <w:t xml:space="preserve">; </w:t>
      </w:r>
      <w:r w:rsidR="00F80624" w:rsidRPr="00D72570">
        <w:rPr>
          <w:rFonts w:ascii="Times New Roman" w:hAnsi="Times New Roman"/>
          <w:color w:val="000000"/>
          <w:sz w:val="24"/>
          <w:szCs w:val="24"/>
        </w:rPr>
        <w:t xml:space="preserve">exposure </w:t>
      </w:r>
      <w:r w:rsidR="00F80624">
        <w:rPr>
          <w:rFonts w:ascii="Times New Roman" w:hAnsi="Times New Roman"/>
          <w:color w:val="000000"/>
          <w:sz w:val="24"/>
          <w:szCs w:val="24"/>
        </w:rPr>
        <w:t>over time may be needed to detect an effect of environmental change</w:t>
      </w:r>
      <w:r w:rsidR="00CF281E">
        <w:rPr>
          <w:rFonts w:ascii="Times New Roman" w:hAnsi="Times New Roman"/>
          <w:color w:val="000000"/>
          <w:sz w:val="24"/>
          <w:szCs w:val="24"/>
        </w:rPr>
        <w:t>.</w:t>
      </w:r>
    </w:p>
    <w:p w14:paraId="2AFAC03F" w14:textId="77777777" w:rsidR="005F7F88" w:rsidRDefault="00F44A5F" w:rsidP="0038287D">
      <w:pPr>
        <w:pStyle w:val="MediumGrid21"/>
        <w:spacing w:after="120" w:line="480" w:lineRule="auto"/>
        <w:ind w:firstLine="720"/>
        <w:rPr>
          <w:rFonts w:ascii="Times New Roman" w:hAnsi="Times New Roman"/>
          <w:color w:val="000000" w:themeColor="text1"/>
          <w:sz w:val="24"/>
          <w:szCs w:val="24"/>
          <w:lang w:val="en-CA" w:eastAsia="en-CA"/>
        </w:rPr>
      </w:pPr>
      <w:r w:rsidRPr="00B81642">
        <w:rPr>
          <w:rFonts w:ascii="Times New Roman" w:hAnsi="Times New Roman"/>
          <w:color w:val="000000" w:themeColor="text1"/>
          <w:sz w:val="24"/>
          <w:szCs w:val="24"/>
          <w:lang w:eastAsia="en-CA"/>
        </w:rPr>
        <w:t xml:space="preserve"> </w:t>
      </w:r>
      <w:r w:rsidR="00F80624">
        <w:rPr>
          <w:rFonts w:ascii="Times New Roman" w:hAnsi="Times New Roman"/>
          <w:color w:val="000000"/>
          <w:sz w:val="24"/>
          <w:szCs w:val="24"/>
        </w:rPr>
        <w:t>T</w:t>
      </w:r>
      <w:r w:rsidR="00F80624" w:rsidRPr="00D72570">
        <w:rPr>
          <w:rFonts w:ascii="Times New Roman" w:hAnsi="Times New Roman"/>
          <w:color w:val="000000"/>
          <w:sz w:val="24"/>
          <w:szCs w:val="24"/>
        </w:rPr>
        <w:t>he assumption that</w:t>
      </w:r>
      <w:r w:rsidR="00F80624">
        <w:rPr>
          <w:rFonts w:ascii="Times New Roman" w:hAnsi="Times New Roman"/>
          <w:color w:val="000000"/>
          <w:sz w:val="24"/>
          <w:szCs w:val="24"/>
        </w:rPr>
        <w:t xml:space="preserve"> </w:t>
      </w:r>
      <w:r w:rsidR="00F80624" w:rsidRPr="00D72570">
        <w:rPr>
          <w:rFonts w:ascii="Times New Roman" w:hAnsi="Times New Roman"/>
          <w:color w:val="000000"/>
          <w:sz w:val="24"/>
          <w:szCs w:val="24"/>
        </w:rPr>
        <w:t xml:space="preserve">only active people will walk more in a supportive walkable environment did not hold true in our study. </w:t>
      </w:r>
      <w:r w:rsidR="00F80624" w:rsidRPr="00D72570">
        <w:rPr>
          <w:rFonts w:ascii="Times New Roman" w:hAnsi="Times New Roman"/>
          <w:sz w:val="24"/>
          <w:szCs w:val="24"/>
          <w:lang w:val="en-CA" w:eastAsia="en-CA"/>
        </w:rPr>
        <w:t>Longer cumulative exposure to highly walkable neighbourhoods was associated with increases in utilitarian walking</w:t>
      </w:r>
      <w:r w:rsidR="00F80624">
        <w:rPr>
          <w:rFonts w:ascii="Times New Roman" w:hAnsi="Times New Roman"/>
          <w:sz w:val="24"/>
          <w:szCs w:val="24"/>
          <w:lang w:val="en-CA" w:eastAsia="en-CA"/>
        </w:rPr>
        <w:t xml:space="preserve"> for both people who were active in their leisure time and those who were not</w:t>
      </w:r>
      <w:r w:rsidR="00F80624" w:rsidRPr="00D72570">
        <w:rPr>
          <w:rFonts w:ascii="Times New Roman" w:hAnsi="Times New Roman"/>
          <w:sz w:val="24"/>
          <w:szCs w:val="24"/>
          <w:lang w:val="en-CA" w:eastAsia="en-CA"/>
        </w:rPr>
        <w:t xml:space="preserve">. </w:t>
      </w:r>
      <w:r w:rsidR="00DE6EF2">
        <w:rPr>
          <w:rFonts w:ascii="Times New Roman" w:hAnsi="Times New Roman"/>
          <w:sz w:val="24"/>
          <w:szCs w:val="24"/>
          <w:lang w:val="en-CA" w:eastAsia="en-CA"/>
        </w:rPr>
        <w:t xml:space="preserve">That both leisure time active and inactive people increase their </w:t>
      </w:r>
      <w:r w:rsidR="00984175">
        <w:rPr>
          <w:rFonts w:ascii="Times New Roman" w:hAnsi="Times New Roman"/>
          <w:sz w:val="24"/>
          <w:szCs w:val="24"/>
          <w:lang w:val="en-CA" w:eastAsia="en-CA"/>
        </w:rPr>
        <w:t>utilitarian walking in response to a walkable environment speaks to the population-wide potential for built environment interventions aimed at increasing physical activity.</w:t>
      </w:r>
    </w:p>
    <w:p w14:paraId="70AE027B" w14:textId="1F1BCAE6" w:rsidR="00F85A9F" w:rsidRDefault="00F80624" w:rsidP="0038287D">
      <w:pPr>
        <w:pStyle w:val="MediumGrid21"/>
        <w:spacing w:after="120" w:line="480" w:lineRule="auto"/>
        <w:ind w:firstLine="720"/>
        <w:rPr>
          <w:rFonts w:ascii="Times New Roman" w:hAnsi="Times New Roman"/>
          <w:sz w:val="24"/>
          <w:szCs w:val="24"/>
        </w:rPr>
      </w:pPr>
      <w:r w:rsidRPr="00F80624">
        <w:rPr>
          <w:rFonts w:ascii="Times New Roman" w:hAnsi="Times New Roman"/>
          <w:sz w:val="24"/>
          <w:szCs w:val="24"/>
        </w:rPr>
        <w:t>Our study relies on self-reported information about utilitarian walking. Self-reported walking information is a clear limitation in cross-sectional studies. If, however, respondents over-report or under-report utilitarian walking levels, the direction of their misrepresentation is likely consistent over time</w:t>
      </w:r>
      <w:r w:rsidR="00CF281E">
        <w:rPr>
          <w:rFonts w:ascii="Times New Roman" w:hAnsi="Times New Roman"/>
          <w:sz w:val="24"/>
          <w:szCs w:val="24"/>
        </w:rPr>
        <w:t>.</w:t>
      </w:r>
      <w:r w:rsidRPr="00F80624">
        <w:rPr>
          <w:rFonts w:ascii="Times New Roman" w:hAnsi="Times New Roman"/>
          <w:sz w:val="24"/>
          <w:szCs w:val="24"/>
        </w:rPr>
        <w:t xml:space="preserve"> </w:t>
      </w:r>
      <w:r w:rsidR="00CF281E">
        <w:rPr>
          <w:rFonts w:ascii="Times New Roman" w:hAnsi="Times New Roman"/>
          <w:sz w:val="24"/>
          <w:szCs w:val="24"/>
        </w:rPr>
        <w:t>R</w:t>
      </w:r>
      <w:r w:rsidRPr="00F80624">
        <w:rPr>
          <w:rFonts w:ascii="Times New Roman" w:hAnsi="Times New Roman"/>
          <w:sz w:val="24"/>
          <w:szCs w:val="24"/>
        </w:rPr>
        <w:t xml:space="preserve">eporting bias is arguably less of a problem in longitudinal analyses. Longitudinal studies have several advantages over cross sectional studies yet the problem of controlling for confounding variables to obtain precise coefficient estimates </w:t>
      </w:r>
      <w:r w:rsidR="008373D1">
        <w:rPr>
          <w:rFonts w:ascii="Times New Roman" w:hAnsi="Times New Roman"/>
          <w:sz w:val="24"/>
          <w:szCs w:val="24"/>
        </w:rPr>
        <w:t>remains</w:t>
      </w:r>
      <w:r w:rsidRPr="00F80624">
        <w:rPr>
          <w:rFonts w:ascii="Times New Roman" w:hAnsi="Times New Roman"/>
          <w:sz w:val="24"/>
          <w:szCs w:val="24"/>
        </w:rPr>
        <w:t xml:space="preserve">. Fixed effects regression (used in our analysis) offers a solution as it is a statistical technique that controls for all confounding variables even without measuring them (e.g., attitudes and preferences about walking), as long as they do not change over time </w:t>
      </w:r>
      <w:r w:rsidR="00DB274F" w:rsidRPr="00F80624">
        <w:rPr>
          <w:rFonts w:ascii="Times New Roman" w:hAnsi="Times New Roman"/>
          <w:sz w:val="24"/>
          <w:szCs w:val="24"/>
        </w:rPr>
        <w:fldChar w:fldCharType="begin"/>
      </w:r>
      <w:r w:rsidR="000F1152">
        <w:rPr>
          <w:rFonts w:ascii="Times New Roman" w:hAnsi="Times New Roman"/>
          <w:sz w:val="24"/>
          <w:szCs w:val="24"/>
        </w:rPr>
        <w:instrText xml:space="preserve"> ADDIN EN.CITE &lt;EndNote&gt;&lt;Cite&gt;&lt;Author&gt;Frees&lt;/Author&gt;&lt;Year&gt;2004&lt;/Year&gt;&lt;RecNum&gt;39&lt;/RecNum&gt;&lt;DisplayText&gt;(Singer and Willet 2003, Frees 2004, Allison 2005)&lt;/DisplayText&gt;&lt;record&gt;&lt;rec-number&gt;39&lt;/rec-number&gt;&lt;foreign-keys&gt;&lt;key app="EN" db-id="dp0x5dweyf5fpve0aecvexej50xdfspe0wdp"&gt;39&lt;/key&gt;&lt;/foreign-keys&gt;&lt;ref-type name="Book"&gt;6&lt;/ref-type&gt;&lt;contributors&gt;&lt;authors&gt;&lt;author&gt;Frees, E.&lt;/author&gt;&lt;/authors&gt;&lt;/contributors&gt;&lt;titles&gt;&lt;title&gt;Longitudinal and panel data: Analysis and applications in the social sciences&lt;/title&gt;&lt;/titles&gt;&lt;dates&gt;&lt;year&gt;2004&lt;/year&gt;&lt;/dates&gt;&lt;pub-location&gt;New York&lt;/pub-location&gt;&lt;publisher&gt;Cambridge University Press&lt;/publisher&gt;&lt;urls&gt;&lt;/urls&gt;&lt;/record&gt;&lt;/Cite&gt;&lt;Cite&gt;&lt;Author&gt;Allison&lt;/Author&gt;&lt;Year&gt;2005&lt;/Year&gt;&lt;RecNum&gt;40&lt;/RecNum&gt;&lt;record&gt;&lt;rec-number&gt;40&lt;/rec-number&gt;&lt;foreign-keys&gt;&lt;key app="EN" db-id="v2aff2fs32ffzhepdayv000k9xppa0zvvdtw"&gt;40&lt;/key&gt;&lt;/foreign-keys&gt;&lt;ref-type name="Book"&gt;6&lt;/ref-type&gt;&lt;contributors&gt;&lt;authors&gt;&lt;author&gt;Allison, Paul D.&lt;/author&gt;&lt;/authors&gt;&lt;/contributors&gt;&lt;titles&gt;&lt;title&gt;Fixed effects regression methods for longitudinal data using SAS&lt;/title&gt;&lt;/titles&gt;&lt;dates&gt;&lt;year&gt;2005&lt;/year&gt;&lt;/dates&gt;&lt;pub-location&gt;Cary, NC&lt;/pub-location&gt;&lt;publisher&gt;SAS Institute, Inc&lt;/publisher&gt;&lt;urls&gt;&lt;/urls&gt;&lt;/record&gt;&lt;/Cite&gt;&lt;Cite&gt;&lt;Author&gt;Singer&lt;/Author&gt;&lt;Year&gt;2003&lt;/Year&gt;&lt;RecNum&gt;41&lt;/RecNum&gt;&lt;record&gt;&lt;rec-number&gt;41&lt;/rec-number&gt;&lt;foreign-keys&gt;&lt;key app="EN" db-id="dp0x5dweyf5fpve0aecvexej50xdfspe0wdp"&gt;41&lt;/key&gt;&lt;/foreign-keys&gt;&lt;ref-type name="Book"&gt;6&lt;/ref-type&gt;&lt;contributors&gt;&lt;authors&gt;&lt;author&gt;Singer, J.&lt;/author&gt;&lt;author&gt;Willet, J.&lt;/author&gt;&lt;/authors&gt;&lt;/contributors&gt;&lt;titles&gt;&lt;title&gt;Applied Longitudinal data analysis: Modelling change and event occurrence&lt;/title&gt;&lt;/titles&gt;&lt;dates&gt;&lt;year&gt;2003&lt;/year&gt;&lt;/dates&gt;&lt;pub-location&gt;New York&lt;/pub-location&gt;&lt;publisher&gt;Oxford University Press, Inc&lt;/publisher&gt;&lt;urls&gt;&lt;/urls&gt;&lt;/record&gt;&lt;/Cite&gt;&lt;/EndNote&gt;</w:instrText>
      </w:r>
      <w:r w:rsidR="00DB274F" w:rsidRPr="00F80624">
        <w:rPr>
          <w:rFonts w:ascii="Times New Roman" w:hAnsi="Times New Roman"/>
          <w:sz w:val="24"/>
          <w:szCs w:val="24"/>
        </w:rPr>
        <w:fldChar w:fldCharType="separate"/>
      </w:r>
      <w:r w:rsidR="00E56ABB">
        <w:rPr>
          <w:rFonts w:ascii="Times New Roman" w:hAnsi="Times New Roman"/>
          <w:noProof/>
          <w:sz w:val="24"/>
          <w:szCs w:val="24"/>
        </w:rPr>
        <w:t>(</w:t>
      </w:r>
      <w:hyperlink w:anchor="_ENREF_28" w:tooltip="Singer, 2003 #41" w:history="1">
        <w:r w:rsidR="00DD02A3">
          <w:rPr>
            <w:rFonts w:ascii="Times New Roman" w:hAnsi="Times New Roman"/>
            <w:noProof/>
            <w:sz w:val="24"/>
            <w:szCs w:val="24"/>
          </w:rPr>
          <w:t>Singer and Willet 2003</w:t>
        </w:r>
      </w:hyperlink>
      <w:r w:rsidR="00E56ABB">
        <w:rPr>
          <w:rFonts w:ascii="Times New Roman" w:hAnsi="Times New Roman"/>
          <w:noProof/>
          <w:sz w:val="24"/>
          <w:szCs w:val="24"/>
        </w:rPr>
        <w:t xml:space="preserve">, </w:t>
      </w:r>
      <w:hyperlink w:anchor="_ENREF_12" w:tooltip="Frees, 2004 #39" w:history="1">
        <w:r w:rsidR="00DD02A3">
          <w:rPr>
            <w:rFonts w:ascii="Times New Roman" w:hAnsi="Times New Roman"/>
            <w:noProof/>
            <w:sz w:val="24"/>
            <w:szCs w:val="24"/>
          </w:rPr>
          <w:t>Frees 2004</w:t>
        </w:r>
      </w:hyperlink>
      <w:r w:rsidR="00E56ABB">
        <w:rPr>
          <w:rFonts w:ascii="Times New Roman" w:hAnsi="Times New Roman"/>
          <w:noProof/>
          <w:sz w:val="24"/>
          <w:szCs w:val="24"/>
        </w:rPr>
        <w:t xml:space="preserve">, </w:t>
      </w:r>
      <w:hyperlink w:anchor="_ENREF_1" w:tooltip="Allison, 2005 #40" w:history="1">
        <w:r w:rsidR="00DD02A3">
          <w:rPr>
            <w:rFonts w:ascii="Times New Roman" w:hAnsi="Times New Roman"/>
            <w:noProof/>
            <w:sz w:val="24"/>
            <w:szCs w:val="24"/>
          </w:rPr>
          <w:t>Allison 2005</w:t>
        </w:r>
      </w:hyperlink>
      <w:r w:rsidR="00E56ABB">
        <w:rPr>
          <w:rFonts w:ascii="Times New Roman" w:hAnsi="Times New Roman"/>
          <w:noProof/>
          <w:sz w:val="24"/>
          <w:szCs w:val="24"/>
        </w:rPr>
        <w:t>)</w:t>
      </w:r>
      <w:r w:rsidR="00DB274F" w:rsidRPr="00F80624">
        <w:rPr>
          <w:rFonts w:ascii="Times New Roman" w:hAnsi="Times New Roman"/>
          <w:sz w:val="24"/>
          <w:szCs w:val="24"/>
        </w:rPr>
        <w:fldChar w:fldCharType="end"/>
      </w:r>
      <w:r w:rsidRPr="00F80624">
        <w:rPr>
          <w:rFonts w:ascii="Times New Roman" w:hAnsi="Times New Roman"/>
          <w:sz w:val="24"/>
          <w:szCs w:val="24"/>
        </w:rPr>
        <w:t xml:space="preserve">. Another possible limitation of our work is the </w:t>
      </w:r>
      <w:r w:rsidR="005B5076">
        <w:rPr>
          <w:rFonts w:ascii="Times New Roman" w:hAnsi="Times New Roman"/>
          <w:sz w:val="24"/>
          <w:szCs w:val="24"/>
        </w:rPr>
        <w:t xml:space="preserve">lack of </w:t>
      </w:r>
      <w:r w:rsidRPr="00F80624">
        <w:rPr>
          <w:rFonts w:ascii="Times New Roman" w:hAnsi="Times New Roman"/>
          <w:sz w:val="24"/>
          <w:szCs w:val="24"/>
        </w:rPr>
        <w:t xml:space="preserve">availability of historical </w:t>
      </w:r>
      <w:r w:rsidR="00DC05D5">
        <w:rPr>
          <w:rFonts w:ascii="Times New Roman" w:hAnsi="Times New Roman"/>
          <w:sz w:val="24"/>
          <w:szCs w:val="24"/>
        </w:rPr>
        <w:t>Walk Score®</w:t>
      </w:r>
      <w:r w:rsidRPr="00F80624">
        <w:rPr>
          <w:rFonts w:ascii="Times New Roman" w:hAnsi="Times New Roman"/>
          <w:sz w:val="24"/>
          <w:szCs w:val="24"/>
        </w:rPr>
        <w:t xml:space="preserve"> data. That said, neighbourhoods do not usually change their physical characteristics quickly and we tested other measures correlated with </w:t>
      </w:r>
      <w:r w:rsidR="00DC05D5">
        <w:rPr>
          <w:rFonts w:ascii="Times New Roman" w:hAnsi="Times New Roman"/>
          <w:sz w:val="24"/>
          <w:szCs w:val="24"/>
        </w:rPr>
        <w:t>Walk Score®</w:t>
      </w:r>
      <w:r w:rsidRPr="00F80624">
        <w:rPr>
          <w:rFonts w:ascii="Times New Roman" w:hAnsi="Times New Roman"/>
          <w:sz w:val="24"/>
          <w:szCs w:val="24"/>
        </w:rPr>
        <w:t xml:space="preserve"> (street connectivity and population density) that we computed from street network and Census data in 1996 and 2006</w:t>
      </w:r>
      <w:r w:rsidR="00C67433">
        <w:rPr>
          <w:rFonts w:ascii="Times New Roman" w:hAnsi="Times New Roman"/>
          <w:sz w:val="24"/>
          <w:szCs w:val="24"/>
        </w:rPr>
        <w:t xml:space="preserve"> for all the NPHS respondents residential neighbourhoods</w:t>
      </w:r>
      <w:r w:rsidRPr="00F80624">
        <w:rPr>
          <w:rFonts w:ascii="Times New Roman" w:hAnsi="Times New Roman"/>
          <w:sz w:val="24"/>
          <w:szCs w:val="24"/>
        </w:rPr>
        <w:t xml:space="preserve">. </w:t>
      </w:r>
      <w:r w:rsidR="00571C63" w:rsidRPr="00F80624">
        <w:rPr>
          <w:rFonts w:ascii="Times New Roman" w:hAnsi="Times New Roman"/>
          <w:sz w:val="24"/>
          <w:szCs w:val="24"/>
        </w:rPr>
        <w:t>Measures computed at the two time periods were highly correlated</w:t>
      </w:r>
      <w:r w:rsidR="00571C63">
        <w:rPr>
          <w:rFonts w:ascii="Times New Roman" w:hAnsi="Times New Roman"/>
          <w:sz w:val="24"/>
          <w:szCs w:val="24"/>
        </w:rPr>
        <w:t xml:space="preserve"> </w:t>
      </w:r>
      <w:r w:rsidR="00792A55">
        <w:rPr>
          <w:rFonts w:ascii="Times New Roman" w:hAnsi="Times New Roman"/>
          <w:sz w:val="24"/>
          <w:szCs w:val="24"/>
        </w:rPr>
        <w:t>(</w:t>
      </w:r>
      <w:r w:rsidR="00C26251">
        <w:rPr>
          <w:rFonts w:ascii="Times New Roman" w:hAnsi="Times New Roman"/>
          <w:sz w:val="24"/>
          <w:szCs w:val="24"/>
        </w:rPr>
        <w:t xml:space="preserve">Pearson correlation coefficient = </w:t>
      </w:r>
      <w:r w:rsidR="00571C63">
        <w:rPr>
          <w:rFonts w:ascii="Times New Roman" w:hAnsi="Times New Roman"/>
          <w:sz w:val="24"/>
          <w:szCs w:val="24"/>
        </w:rPr>
        <w:t>0.94</w:t>
      </w:r>
      <w:r w:rsidR="00C26251">
        <w:rPr>
          <w:rFonts w:ascii="Times New Roman" w:hAnsi="Times New Roman"/>
          <w:sz w:val="24"/>
          <w:szCs w:val="24"/>
        </w:rPr>
        <w:t>; p &lt; .01).</w:t>
      </w:r>
    </w:p>
    <w:p w14:paraId="5EA22177" w14:textId="4EE26698" w:rsidR="00DD5E76" w:rsidRDefault="00F80624" w:rsidP="00D83242">
      <w:pPr>
        <w:pStyle w:val="MediumGrid21"/>
        <w:spacing w:after="120" w:line="480" w:lineRule="auto"/>
        <w:ind w:firstLine="720"/>
      </w:pPr>
      <w:r w:rsidRPr="00F80624">
        <w:rPr>
          <w:rFonts w:ascii="Times New Roman" w:eastAsia="+mn-ea" w:hAnsi="Times New Roman"/>
          <w:kern w:val="24"/>
          <w:sz w:val="24"/>
          <w:szCs w:val="24"/>
        </w:rPr>
        <w:t>I</w:t>
      </w:r>
      <w:r w:rsidRPr="00F80624">
        <w:rPr>
          <w:rFonts w:ascii="Times New Roman" w:hAnsi="Times New Roman"/>
          <w:color w:val="000000"/>
          <w:sz w:val="24"/>
          <w:szCs w:val="24"/>
        </w:rPr>
        <w:t xml:space="preserve">ndividual and interpersonal factors, for example, </w:t>
      </w:r>
      <w:r w:rsidRPr="00F80624">
        <w:rPr>
          <w:rFonts w:ascii="Times New Roman" w:hAnsi="Times New Roman"/>
          <w:sz w:val="24"/>
          <w:szCs w:val="24"/>
          <w:lang w:val="en-CA" w:eastAsia="en-CA"/>
        </w:rPr>
        <w:t xml:space="preserve">personal attitudes and motivation, were measured in a number of studies, and found to be important for physical activity </w:t>
      </w:r>
      <w:r w:rsidR="00DB274F" w:rsidRPr="00F80624">
        <w:rPr>
          <w:rFonts w:ascii="Times New Roman" w:hAnsi="Times New Roman"/>
          <w:color w:val="000000"/>
          <w:sz w:val="24"/>
          <w:szCs w:val="24"/>
        </w:rPr>
        <w:fldChar w:fldCharType="begin"/>
      </w:r>
      <w:r w:rsidR="000F1152">
        <w:rPr>
          <w:rFonts w:ascii="Times New Roman" w:hAnsi="Times New Roman"/>
          <w:color w:val="000000"/>
          <w:sz w:val="24"/>
          <w:szCs w:val="24"/>
        </w:rPr>
        <w:instrText xml:space="preserve"> ADDIN EN.CITE &lt;EndNote&gt;&lt;Cite&gt;&lt;Author&gt;Handy&lt;/Author&gt;&lt;Year&gt;2005&lt;/Year&gt;&lt;RecNum&gt;129&lt;/RecNum&gt;&lt;DisplayText&gt;(Handy and Mokhtarian 2005)&lt;/DisplayText&gt;&lt;record&gt;&lt;rec-number&gt;129&lt;/rec-number&gt;&lt;foreign-keys&gt;&lt;key app="EN" db-id="dp0x5dweyf5fpve0aecvexej50xdfspe0wdp"&gt;129&lt;/key&gt;&lt;/foreign-keys&gt;&lt;ref-type name="Journal Article"&gt;17&lt;/ref-type&gt;&lt;contributors&gt;&lt;authors&gt;&lt;author&gt;Handy, S.&lt;/author&gt;&lt;author&gt;Mokhtarian, P.&lt;/author&gt;&lt;/authors&gt;&lt;/contributors&gt;&lt;titles&gt;&lt;title&gt;Which comes first: The neighborhood or the walking&lt;/title&gt;&lt;secondary-title&gt;Access&lt;/secondary-title&gt;&lt;/titles&gt;&lt;periodical&gt;&lt;full-title&gt;Access&lt;/full-title&gt;&lt;/periodical&gt;&lt;volume&gt;26&lt;/volume&gt;&lt;dates&gt;&lt;year&gt;2005&lt;/year&gt;&lt;/dates&gt;&lt;urls&gt;&lt;/urls&gt;&lt;/record&gt;&lt;/Cite&gt;&lt;/EndNote&gt;</w:instrText>
      </w:r>
      <w:r w:rsidR="00DB274F" w:rsidRPr="00F80624">
        <w:rPr>
          <w:rFonts w:ascii="Times New Roman" w:hAnsi="Times New Roman"/>
          <w:color w:val="000000"/>
          <w:sz w:val="24"/>
          <w:szCs w:val="24"/>
        </w:rPr>
        <w:fldChar w:fldCharType="separate"/>
      </w:r>
      <w:r w:rsidRPr="00F80624">
        <w:rPr>
          <w:rFonts w:ascii="Times New Roman" w:hAnsi="Times New Roman"/>
          <w:noProof/>
          <w:color w:val="000000"/>
          <w:sz w:val="24"/>
          <w:szCs w:val="24"/>
        </w:rPr>
        <w:t>(</w:t>
      </w:r>
      <w:hyperlink w:anchor="_ENREF_18" w:tooltip="Handy, 2005 #129" w:history="1">
        <w:r w:rsidR="00DD02A3" w:rsidRPr="00F80624">
          <w:rPr>
            <w:rFonts w:ascii="Times New Roman" w:hAnsi="Times New Roman"/>
            <w:noProof/>
            <w:color w:val="000000"/>
            <w:sz w:val="24"/>
            <w:szCs w:val="24"/>
          </w:rPr>
          <w:t>Handy and Mokhtarian 2005</w:t>
        </w:r>
      </w:hyperlink>
      <w:r w:rsidRPr="00F80624">
        <w:rPr>
          <w:rFonts w:ascii="Times New Roman" w:hAnsi="Times New Roman"/>
          <w:noProof/>
          <w:color w:val="000000"/>
          <w:sz w:val="24"/>
          <w:szCs w:val="24"/>
        </w:rPr>
        <w:t>)</w:t>
      </w:r>
      <w:r w:rsidR="00DB274F" w:rsidRPr="00F80624">
        <w:rPr>
          <w:rFonts w:ascii="Times New Roman" w:hAnsi="Times New Roman"/>
          <w:color w:val="000000"/>
          <w:sz w:val="24"/>
          <w:szCs w:val="24"/>
        </w:rPr>
        <w:fldChar w:fldCharType="end"/>
      </w:r>
      <w:r w:rsidRPr="00F80624">
        <w:rPr>
          <w:rFonts w:ascii="Times New Roman" w:hAnsi="Times New Roman"/>
          <w:sz w:val="24"/>
          <w:szCs w:val="24"/>
          <w:lang w:val="en-CA" w:eastAsia="en-CA"/>
        </w:rPr>
        <w:t xml:space="preserve">. Thus Handy </w:t>
      </w:r>
      <w:r w:rsidR="00DB274F" w:rsidRPr="00F80624">
        <w:rPr>
          <w:rFonts w:ascii="Times New Roman" w:hAnsi="Times New Roman"/>
          <w:sz w:val="24"/>
          <w:szCs w:val="24"/>
          <w:lang w:val="en-CA" w:eastAsia="en-CA"/>
        </w:rPr>
        <w:fldChar w:fldCharType="begin"/>
      </w:r>
      <w:r w:rsidR="000F1152">
        <w:rPr>
          <w:rFonts w:ascii="Times New Roman" w:hAnsi="Times New Roman"/>
          <w:sz w:val="24"/>
          <w:szCs w:val="24"/>
          <w:lang w:val="en-CA" w:eastAsia="en-CA"/>
        </w:rPr>
        <w:instrText xml:space="preserve"> ADDIN EN.CITE &lt;EndNote&gt;&lt;Cite ExcludeAuth="1"&gt;&lt;Author&gt;Handy&lt;/Author&gt;&lt;Year&gt;2005&lt;/Year&gt;&lt;RecNum&gt;42&lt;/RecNum&gt;&lt;DisplayText&gt;(2005)&lt;/DisplayText&gt;&lt;record&gt;&lt;rec-number&gt;42&lt;/rec-number&gt;&lt;foreign-keys&gt;&lt;key app="EN" db-id="dp0x5dweyf5fpve0aecvexej50xdfspe0wdp"&gt;42&lt;/key&gt;&lt;/foreign-keys&gt;&lt;ref-type name="Report"&gt;27&lt;/ref-type&gt;&lt;contributors&gt;&lt;authors&gt;&lt;author&gt;Handy, S.&lt;/author&gt;&lt;/authors&gt;&lt;/contributors&gt;&lt;titles&gt;&lt;title&gt;Does the built environment influence physical activity? Examining the evidence. Critical Assessment of the literature on the relationships among transportation, land use, and physical activity&lt;/title&gt;&lt;secondary-title&gt;TRB Special Report 282&lt;/secondary-title&gt;&lt;/titles&gt;&lt;dates&gt;&lt;year&gt;2005&lt;/year&gt;&lt;/dates&gt;&lt;pub-location&gt;Washington DC&lt;/pub-location&gt;&lt;publisher&gt;Transportation Research Board&lt;/publisher&gt;&lt;urls&gt;&lt;/urls&gt;&lt;/record&gt;&lt;/Cite&gt;&lt;/EndNote&gt;</w:instrText>
      </w:r>
      <w:r w:rsidR="00DB274F" w:rsidRPr="00F80624">
        <w:rPr>
          <w:rFonts w:ascii="Times New Roman" w:hAnsi="Times New Roman"/>
          <w:sz w:val="24"/>
          <w:szCs w:val="24"/>
          <w:lang w:val="en-CA" w:eastAsia="en-CA"/>
        </w:rPr>
        <w:fldChar w:fldCharType="separate"/>
      </w:r>
      <w:r w:rsidR="00803183">
        <w:rPr>
          <w:rFonts w:ascii="Times New Roman" w:hAnsi="Times New Roman"/>
          <w:noProof/>
          <w:sz w:val="24"/>
          <w:szCs w:val="24"/>
          <w:lang w:val="en-CA" w:eastAsia="en-CA"/>
        </w:rPr>
        <w:t>(</w:t>
      </w:r>
      <w:hyperlink w:anchor="_ENREF_15" w:tooltip="Handy, 2005 #42" w:history="1">
        <w:r w:rsidR="00DD02A3">
          <w:rPr>
            <w:rFonts w:ascii="Times New Roman" w:hAnsi="Times New Roman"/>
            <w:noProof/>
            <w:sz w:val="24"/>
            <w:szCs w:val="24"/>
            <w:lang w:val="en-CA" w:eastAsia="en-CA"/>
          </w:rPr>
          <w:t>2005</w:t>
        </w:r>
      </w:hyperlink>
      <w:r w:rsidR="00803183">
        <w:rPr>
          <w:rFonts w:ascii="Times New Roman" w:hAnsi="Times New Roman"/>
          <w:noProof/>
          <w:sz w:val="24"/>
          <w:szCs w:val="24"/>
          <w:lang w:val="en-CA" w:eastAsia="en-CA"/>
        </w:rPr>
        <w:t>)</w:t>
      </w:r>
      <w:r w:rsidR="00DB274F" w:rsidRPr="00F80624">
        <w:rPr>
          <w:rFonts w:ascii="Times New Roman" w:hAnsi="Times New Roman"/>
          <w:sz w:val="24"/>
          <w:szCs w:val="24"/>
          <w:lang w:val="en-CA" w:eastAsia="en-CA"/>
        </w:rPr>
        <w:fldChar w:fldCharType="end"/>
      </w:r>
      <w:r w:rsidRPr="00F80624">
        <w:rPr>
          <w:rFonts w:ascii="Times New Roman" w:hAnsi="Times New Roman"/>
          <w:sz w:val="24"/>
          <w:szCs w:val="24"/>
          <w:lang w:val="en-CA" w:eastAsia="en-CA"/>
        </w:rPr>
        <w:t xml:space="preserve"> has </w:t>
      </w:r>
      <w:r w:rsidRPr="00F80624">
        <w:rPr>
          <w:rFonts w:ascii="Times New Roman" w:hAnsi="Times New Roman"/>
          <w:color w:val="000000"/>
          <w:sz w:val="24"/>
          <w:szCs w:val="24"/>
        </w:rPr>
        <w:t xml:space="preserve">argued that a </w:t>
      </w:r>
      <w:r w:rsidRPr="00F80624">
        <w:rPr>
          <w:rFonts w:ascii="Times New Roman" w:hAnsi="Times New Roman"/>
          <w:sz w:val="24"/>
          <w:szCs w:val="24"/>
        </w:rPr>
        <w:t xml:space="preserve">supportive built environment is not </w:t>
      </w:r>
      <w:r w:rsidR="005B5076">
        <w:rPr>
          <w:rFonts w:ascii="Times New Roman" w:hAnsi="Times New Roman"/>
          <w:sz w:val="24"/>
          <w:szCs w:val="24"/>
        </w:rPr>
        <w:t>sufficient alone</w:t>
      </w:r>
      <w:r w:rsidR="005B5076" w:rsidRPr="00F80624">
        <w:rPr>
          <w:rFonts w:ascii="Times New Roman" w:hAnsi="Times New Roman"/>
          <w:sz w:val="24"/>
          <w:szCs w:val="24"/>
        </w:rPr>
        <w:t xml:space="preserve"> </w:t>
      </w:r>
      <w:r w:rsidRPr="00F80624">
        <w:rPr>
          <w:rFonts w:ascii="Times New Roman" w:hAnsi="Times New Roman"/>
          <w:sz w:val="24"/>
          <w:szCs w:val="24"/>
        </w:rPr>
        <w:t>to guarantee that people will be physically active. We found, however, that long term exposure to high walkable neighbourhoods was associated with higher reported levels of walking for utilitarian purposes in this 12-year follow-up of Canadians. This finding in a large sample across a wide age range suggests that features of neighbourhoods are, over the long term, influencing how much Canadians move</w:t>
      </w:r>
      <w:r w:rsidR="005B5076">
        <w:rPr>
          <w:rFonts w:ascii="Times New Roman" w:hAnsi="Times New Roman"/>
          <w:sz w:val="24"/>
          <w:szCs w:val="24"/>
        </w:rPr>
        <w:t>, at least for utilitarian purposes</w:t>
      </w:r>
      <w:r w:rsidRPr="00F80624">
        <w:rPr>
          <w:rFonts w:ascii="Times New Roman" w:hAnsi="Times New Roman"/>
          <w:sz w:val="24"/>
          <w:szCs w:val="24"/>
        </w:rPr>
        <w:t xml:space="preserve">. Sustained behaviour change to support better health is difficult to achieve. Our findings suggest that </w:t>
      </w:r>
      <w:r w:rsidRPr="00F80624">
        <w:rPr>
          <w:rFonts w:ascii="Times New Roman" w:hAnsi="Times New Roman"/>
          <w:sz w:val="24"/>
          <w:szCs w:val="24"/>
          <w:lang w:val="en-CA" w:eastAsia="en-CA"/>
        </w:rPr>
        <w:t>increasing neighbourhood walkability will lead to some increases in utilitarian walking, even for individuals who are otherwise inactive.</w:t>
      </w:r>
    </w:p>
    <w:p w14:paraId="0CEACAF2" w14:textId="77777777" w:rsidR="00F80624" w:rsidRPr="00D83242" w:rsidRDefault="00F80624" w:rsidP="00D83242">
      <w:pPr>
        <w:rPr>
          <w:b/>
          <w:sz w:val="32"/>
          <w:szCs w:val="32"/>
        </w:rPr>
      </w:pPr>
      <w:r w:rsidRPr="00D83242">
        <w:rPr>
          <w:b/>
          <w:sz w:val="32"/>
          <w:szCs w:val="32"/>
        </w:rPr>
        <w:t>CONCLUSION</w:t>
      </w:r>
    </w:p>
    <w:p w14:paraId="26784AEE" w14:textId="77777777" w:rsidR="006E4ABE" w:rsidRPr="00B67028" w:rsidRDefault="006E4ABE" w:rsidP="009F3873">
      <w:pPr>
        <w:rPr>
          <w:b/>
          <w:sz w:val="32"/>
          <w:szCs w:val="32"/>
        </w:rPr>
      </w:pPr>
    </w:p>
    <w:p w14:paraId="6FDF5BF5" w14:textId="481E4F25" w:rsidR="00AA775D" w:rsidRDefault="008373D1" w:rsidP="00D83242">
      <w:pPr>
        <w:spacing w:line="480" w:lineRule="auto"/>
        <w:ind w:firstLine="360"/>
        <w:rPr>
          <w:b/>
          <w:sz w:val="32"/>
          <w:szCs w:val="32"/>
        </w:rPr>
      </w:pPr>
      <w:r>
        <w:rPr>
          <w:lang w:val="en-CA" w:eastAsia="en-CA"/>
        </w:rPr>
        <w:t>This</w:t>
      </w:r>
      <w:r w:rsidR="00C873B0" w:rsidRPr="00240B6F">
        <w:t xml:space="preserve"> study is the first national level longitudinal study </w:t>
      </w:r>
      <w:r w:rsidR="00803183">
        <w:t>t</w:t>
      </w:r>
      <w:r w:rsidR="00EB7B4D">
        <w:t>o determine</w:t>
      </w:r>
      <w:r w:rsidR="00C873B0" w:rsidRPr="00240B6F">
        <w:t xml:space="preserve"> the impact of cumulative exposure to high walkable neighbourhoods on different levels of utilitarian walking. </w:t>
      </w:r>
      <w:r w:rsidR="006F3B35">
        <w:t xml:space="preserve"> </w:t>
      </w:r>
      <w:r w:rsidR="006F3B35" w:rsidRPr="006F3B35">
        <w:t xml:space="preserve">Previous studies </w:t>
      </w:r>
      <w:r w:rsidR="006F3B35">
        <w:t xml:space="preserve">do </w:t>
      </w:r>
      <w:r w:rsidR="006F3B35" w:rsidRPr="006F3B35">
        <w:t>signal associations between the built environment and utilitarian walking; however, research in this area has been plagued by problems of causal attribution from an almost exclusive reliance on cross-sectional studies</w:t>
      </w:r>
      <w:r w:rsidR="00F80624">
        <w:rPr>
          <w:lang w:val="en-CA" w:eastAsia="en-CA"/>
        </w:rPr>
        <w:t xml:space="preserve">. </w:t>
      </w:r>
      <w:r w:rsidR="00C873B0" w:rsidRPr="00240B6F">
        <w:t xml:space="preserve"> Longer exposure to highly walkable neighbourhoods increases utilitarian walking levels, even for individuals who are otherwise inactive, and should be included amongst policy options for </w:t>
      </w:r>
      <w:r w:rsidR="00CB3D47">
        <w:t xml:space="preserve">increasing </w:t>
      </w:r>
      <w:r w:rsidR="00C873B0" w:rsidRPr="00240B6F">
        <w:t>population level physical activity.</w:t>
      </w:r>
    </w:p>
    <w:p w14:paraId="66D7BB7D" w14:textId="77777777" w:rsidR="00C50AD6" w:rsidRPr="00DF1F5A" w:rsidRDefault="002936F9" w:rsidP="009F3873">
      <w:pPr>
        <w:spacing w:before="240" w:line="480" w:lineRule="auto"/>
      </w:pPr>
      <w:r>
        <w:rPr>
          <w:b/>
          <w:sz w:val="32"/>
          <w:szCs w:val="32"/>
        </w:rPr>
        <w:t>ACKNOWLEDGMENTS</w:t>
      </w:r>
    </w:p>
    <w:p w14:paraId="7D40A36A" w14:textId="1566AAC3" w:rsidR="00012BA1" w:rsidRDefault="00DF1F5A" w:rsidP="00D83242">
      <w:pPr>
        <w:spacing w:before="240" w:after="240" w:line="480" w:lineRule="auto"/>
        <w:ind w:firstLine="720"/>
        <w:rPr>
          <w:b/>
          <w:sz w:val="32"/>
          <w:szCs w:val="32"/>
        </w:rPr>
      </w:pPr>
      <w:r w:rsidRPr="001600C3">
        <w:t>The authors</w:t>
      </w:r>
      <w:r>
        <w:t xml:space="preserve"> gratefully acknowledge funding from the Canadian Institutes of Health Research (CIHR) Interdisciplinary Capacity Enhanced Team Grant (</w:t>
      </w:r>
      <w:hyperlink r:id="rId10" w:anchor="GS1" w:history="1">
        <w:r w:rsidR="005066EE" w:rsidRPr="00377273">
          <w:rPr>
            <w:rStyle w:val="Hyperlink"/>
            <w:color w:val="000000" w:themeColor="text1"/>
            <w:u w:val="none"/>
          </w:rPr>
          <w:t>HOA-80072</w:t>
        </w:r>
      </w:hyperlink>
      <w:r w:rsidR="005066EE" w:rsidRPr="00377273">
        <w:rPr>
          <w:color w:val="000000" w:themeColor="text1"/>
        </w:rPr>
        <w:t>),</w:t>
      </w:r>
      <w:r w:rsidRPr="00EF21EA">
        <w:t xml:space="preserve"> and</w:t>
      </w:r>
      <w:r>
        <w:t xml:space="preserve"> </w:t>
      </w:r>
      <w:r w:rsidRPr="004804E7">
        <w:t>the Quebec Inter-University Center for Social Statistics</w:t>
      </w:r>
      <w:r>
        <w:t xml:space="preserve"> (QICSS)</w:t>
      </w:r>
      <w:r w:rsidRPr="004804E7">
        <w:t xml:space="preserve"> </w:t>
      </w:r>
      <w:r w:rsidRPr="00F15650">
        <w:t>(2009 QICSS Matching Grants)</w:t>
      </w:r>
      <w:r>
        <w:t xml:space="preserve">. </w:t>
      </w:r>
      <w:r w:rsidR="00586365">
        <w:t>We acknowledge the Research Data Cen</w:t>
      </w:r>
      <w:r w:rsidR="002C0F35">
        <w:t xml:space="preserve">ter (RDC) employees at McGill University </w:t>
      </w:r>
      <w:r w:rsidR="00613DB2">
        <w:t>who have supported</w:t>
      </w:r>
      <w:r w:rsidR="00586365">
        <w:t xml:space="preserve"> </w:t>
      </w:r>
      <w:r w:rsidR="00366ADE">
        <w:t>our</w:t>
      </w:r>
      <w:r w:rsidR="00586365">
        <w:t xml:space="preserve"> project (</w:t>
      </w:r>
      <w:r w:rsidR="00613DB2">
        <w:t>#</w:t>
      </w:r>
      <w:r w:rsidR="00586365">
        <w:t>09-SSH-MCG-2068). Wasfi and Ross have signed oaths of confidentiality under the Statistics Act</w:t>
      </w:r>
      <w:r w:rsidR="00613DB2">
        <w:t xml:space="preserve"> of Canada</w:t>
      </w:r>
      <w:r w:rsidR="00586365">
        <w:t xml:space="preserve">. RDCs are extensions of </w:t>
      </w:r>
      <w:r w:rsidR="00613DB2">
        <w:t>the Canadian statistical agency’s offices located in Canadian universities. Each site has a full time employee of Statistics Canada who</w:t>
      </w:r>
      <w:r w:rsidR="00586365">
        <w:t xml:space="preserve"> </w:t>
      </w:r>
      <w:r w:rsidR="00EF21EA">
        <w:t>screens results</w:t>
      </w:r>
      <w:r w:rsidR="00586365">
        <w:t xml:space="preserve"> </w:t>
      </w:r>
      <w:r w:rsidR="00613DB2">
        <w:t>to</w:t>
      </w:r>
      <w:r w:rsidR="00586365">
        <w:t xml:space="preserve"> ensure </w:t>
      </w:r>
      <w:r w:rsidR="00613DB2">
        <w:t>respondent</w:t>
      </w:r>
      <w:r w:rsidR="00586365">
        <w:t xml:space="preserve"> confidentiality (see </w:t>
      </w:r>
      <w:hyperlink r:id="rId11" w:history="1">
        <w:r w:rsidR="00586365">
          <w:rPr>
            <w:rStyle w:val="Hyperlink"/>
          </w:rPr>
          <w:t>http://www.statcan.gc.ca/rdc-cdr/faq-rdc-cdr-eng.htm</w:t>
        </w:r>
      </w:hyperlink>
      <w:r w:rsidR="00586365">
        <w:t xml:space="preserve">). </w:t>
      </w:r>
      <w:r w:rsidR="00024706">
        <w:t xml:space="preserve">Lastly, </w:t>
      </w:r>
      <w:r w:rsidR="003D0F26">
        <w:t>we thank the anonymous reviewers</w:t>
      </w:r>
      <w:r w:rsidR="00726EC6">
        <w:t xml:space="preserve"> for their constructive </w:t>
      </w:r>
      <w:r w:rsidR="001B2070">
        <w:t>comments that enhanced the manuscript.</w:t>
      </w:r>
      <w:r w:rsidR="00024706">
        <w:t xml:space="preserve"> </w:t>
      </w:r>
      <w:r w:rsidR="00586365">
        <w:rPr>
          <w:i/>
        </w:rPr>
        <w:t>D</w:t>
      </w:r>
      <w:r w:rsidRPr="00DF1F5A">
        <w:rPr>
          <w:i/>
        </w:rPr>
        <w:t>isclaimer:</w:t>
      </w:r>
      <w:r>
        <w:rPr>
          <w:b/>
        </w:rPr>
        <w:t xml:space="preserve"> </w:t>
      </w:r>
      <w:r w:rsidRPr="0052692D">
        <w:t xml:space="preserve">While the research and analysis are based on data from </w:t>
      </w:r>
      <w:r w:rsidR="00613DB2">
        <w:t>S</w:t>
      </w:r>
      <w:r w:rsidR="00613DB2" w:rsidRPr="0052692D">
        <w:t xml:space="preserve">tatistics </w:t>
      </w:r>
      <w:r w:rsidRPr="0052692D">
        <w:t>Canada, the opinions expressed do not represent the views of Statistics Ca</w:t>
      </w:r>
      <w:r w:rsidRPr="0032538D">
        <w:t>nada.</w:t>
      </w:r>
    </w:p>
    <w:p w14:paraId="33CA2720" w14:textId="77777777" w:rsidR="00E54F1F" w:rsidRPr="00C61522" w:rsidRDefault="00803183" w:rsidP="009F3873">
      <w:pPr>
        <w:spacing w:before="240" w:after="240" w:line="480" w:lineRule="auto"/>
        <w:rPr>
          <w:b/>
          <w:sz w:val="32"/>
          <w:szCs w:val="32"/>
        </w:rPr>
      </w:pPr>
      <w:r w:rsidRPr="00C61522">
        <w:rPr>
          <w:b/>
          <w:sz w:val="32"/>
          <w:szCs w:val="32"/>
        </w:rPr>
        <w:t>REFERENCES</w:t>
      </w:r>
    </w:p>
    <w:p w14:paraId="047623E8" w14:textId="77777777" w:rsidR="00DD02A3" w:rsidRPr="00DD02A3" w:rsidRDefault="00DB274F" w:rsidP="00024706">
      <w:pPr>
        <w:pStyle w:val="MediumGrid21"/>
        <w:numPr>
          <w:ilvl w:val="0"/>
          <w:numId w:val="23"/>
        </w:numPr>
        <w:spacing w:line="480" w:lineRule="auto"/>
        <w:rPr>
          <w:rFonts w:ascii="Times New Roman" w:hAnsi="Times New Roman"/>
          <w:noProof/>
          <w:sz w:val="24"/>
        </w:rPr>
      </w:pPr>
      <w:r w:rsidRPr="00856C3F">
        <w:rPr>
          <w:rFonts w:ascii="Times New Roman" w:hAnsi="Times New Roman"/>
          <w:noProof/>
          <w:sz w:val="24"/>
          <w:szCs w:val="24"/>
        </w:rPr>
        <w:fldChar w:fldCharType="begin"/>
      </w:r>
      <w:r w:rsidR="00E54F1F" w:rsidRPr="0032538D">
        <w:instrText xml:space="preserve"> ADDIN EN.REFLIST </w:instrText>
      </w:r>
      <w:r w:rsidRPr="00856C3F">
        <w:rPr>
          <w:rFonts w:ascii="Times New Roman" w:hAnsi="Times New Roman"/>
          <w:noProof/>
          <w:sz w:val="24"/>
          <w:szCs w:val="24"/>
        </w:rPr>
        <w:fldChar w:fldCharType="separate"/>
      </w:r>
      <w:bookmarkStart w:id="2" w:name="_ENREF_1"/>
      <w:r w:rsidR="00DD02A3" w:rsidRPr="00DD02A3">
        <w:rPr>
          <w:rFonts w:ascii="Times New Roman" w:hAnsi="Times New Roman"/>
          <w:noProof/>
          <w:sz w:val="24"/>
        </w:rPr>
        <w:t xml:space="preserve">Allison, P. D. (2005). </w:t>
      </w:r>
      <w:r w:rsidR="00DD02A3" w:rsidRPr="00DD02A3">
        <w:rPr>
          <w:rFonts w:ascii="Times New Roman" w:hAnsi="Times New Roman"/>
          <w:noProof/>
          <w:sz w:val="24"/>
          <w:u w:val="single"/>
        </w:rPr>
        <w:t>Fixed effects regression methods for longitudinal data using SAS</w:t>
      </w:r>
      <w:r w:rsidR="00DD02A3" w:rsidRPr="00DD02A3">
        <w:rPr>
          <w:rFonts w:ascii="Times New Roman" w:hAnsi="Times New Roman"/>
          <w:noProof/>
          <w:sz w:val="24"/>
        </w:rPr>
        <w:t>. Cary, NC, SAS Institute, Inc.</w:t>
      </w:r>
      <w:bookmarkEnd w:id="2"/>
    </w:p>
    <w:p w14:paraId="1DFA80B5"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3" w:name="_ENREF_2"/>
      <w:r w:rsidRPr="00DD02A3">
        <w:rPr>
          <w:rFonts w:ascii="Times New Roman" w:hAnsi="Times New Roman"/>
          <w:noProof/>
          <w:sz w:val="24"/>
        </w:rPr>
        <w:t xml:space="preserve">Bauman, A., F. Bull, T. Chey, C. Craig, B. Ainsworth, J. Sallis, H. Bowles, M. Hagstromer, M. Sjostrom, M. Pratt and The IPS Group (2009). "The International Prevalence Study on Physical Activity: results from 20 countries." </w:t>
      </w:r>
      <w:r w:rsidRPr="00DD02A3">
        <w:rPr>
          <w:rFonts w:ascii="Times New Roman" w:hAnsi="Times New Roman"/>
          <w:noProof/>
          <w:sz w:val="24"/>
          <w:u w:val="single"/>
        </w:rPr>
        <w:t xml:space="preserve">International Journal of Behavioral Nutrition and Physical Activity , </w:t>
      </w:r>
      <w:r w:rsidRPr="00DD02A3">
        <w:rPr>
          <w:rFonts w:ascii="Times New Roman" w:hAnsi="Times New Roman"/>
          <w:noProof/>
          <w:sz w:val="24"/>
        </w:rPr>
        <w:t>: 6-21.</w:t>
      </w:r>
      <w:bookmarkEnd w:id="3"/>
    </w:p>
    <w:p w14:paraId="0C54F9C0"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4" w:name="_ENREF_3"/>
      <w:r w:rsidRPr="00DD02A3">
        <w:rPr>
          <w:rFonts w:ascii="Times New Roman" w:hAnsi="Times New Roman"/>
          <w:noProof/>
          <w:sz w:val="24"/>
        </w:rPr>
        <w:t xml:space="preserve">Besser, L. and A. Dannenberg (2005). "Walking to public transit: Steps to help meet physical activity recommendations." </w:t>
      </w:r>
      <w:r w:rsidRPr="00DD02A3">
        <w:rPr>
          <w:rFonts w:ascii="Times New Roman" w:hAnsi="Times New Roman"/>
          <w:noProof/>
          <w:sz w:val="24"/>
          <w:u w:val="single"/>
        </w:rPr>
        <w:t>American Journal of  Preventive Medicine</w:t>
      </w:r>
      <w:r w:rsidRPr="00DD02A3">
        <w:rPr>
          <w:rFonts w:ascii="Times New Roman" w:hAnsi="Times New Roman"/>
          <w:noProof/>
          <w:sz w:val="24"/>
        </w:rPr>
        <w:t xml:space="preserve"> </w:t>
      </w:r>
      <w:r w:rsidRPr="00DD02A3">
        <w:rPr>
          <w:rFonts w:ascii="Times New Roman" w:hAnsi="Times New Roman"/>
          <w:b/>
          <w:noProof/>
          <w:sz w:val="24"/>
        </w:rPr>
        <w:t>29</w:t>
      </w:r>
      <w:r w:rsidRPr="00DD02A3">
        <w:rPr>
          <w:rFonts w:ascii="Times New Roman" w:hAnsi="Times New Roman"/>
          <w:noProof/>
          <w:sz w:val="24"/>
        </w:rPr>
        <w:t>(4): 273-280.</w:t>
      </w:r>
      <w:bookmarkEnd w:id="4"/>
    </w:p>
    <w:p w14:paraId="0047C406"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5" w:name="_ENREF_4"/>
      <w:r w:rsidRPr="00DD02A3">
        <w:rPr>
          <w:rFonts w:ascii="Times New Roman" w:hAnsi="Times New Roman"/>
          <w:noProof/>
          <w:sz w:val="24"/>
        </w:rPr>
        <w:t xml:space="preserve">Blair, S., Y. Cheng and S. Holder (2001). "Is physical activity or physical fitness more important in defining health benefits?" </w:t>
      </w:r>
      <w:r w:rsidRPr="00DD02A3">
        <w:rPr>
          <w:rFonts w:ascii="Times New Roman" w:hAnsi="Times New Roman"/>
          <w:noProof/>
          <w:sz w:val="24"/>
          <w:u w:val="single"/>
        </w:rPr>
        <w:t>Medicine &amp; Science in Sports &amp; Exercise</w:t>
      </w:r>
      <w:r w:rsidRPr="00DD02A3">
        <w:rPr>
          <w:rFonts w:ascii="Times New Roman" w:hAnsi="Times New Roman"/>
          <w:noProof/>
          <w:sz w:val="24"/>
        </w:rPr>
        <w:t xml:space="preserve"> </w:t>
      </w:r>
      <w:r w:rsidRPr="00DD02A3">
        <w:rPr>
          <w:rFonts w:ascii="Times New Roman" w:hAnsi="Times New Roman"/>
          <w:b/>
          <w:noProof/>
          <w:sz w:val="24"/>
        </w:rPr>
        <w:t>33</w:t>
      </w:r>
      <w:r w:rsidRPr="00DD02A3">
        <w:rPr>
          <w:rFonts w:ascii="Times New Roman" w:hAnsi="Times New Roman"/>
          <w:noProof/>
          <w:sz w:val="24"/>
        </w:rPr>
        <w:t>(6, Suppl.): S379 –S399.</w:t>
      </w:r>
      <w:bookmarkEnd w:id="5"/>
    </w:p>
    <w:p w14:paraId="66015EDF"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6" w:name="_ENREF_5"/>
      <w:r w:rsidRPr="00DD02A3">
        <w:rPr>
          <w:rFonts w:ascii="Times New Roman" w:hAnsi="Times New Roman"/>
          <w:noProof/>
          <w:sz w:val="24"/>
        </w:rPr>
        <w:t xml:space="preserve">Cervero, R. and R. Gorham (1995). "Commuting in transit versus automobile neighborhoods." </w:t>
      </w:r>
      <w:r w:rsidRPr="00DD02A3">
        <w:rPr>
          <w:rFonts w:ascii="Times New Roman" w:hAnsi="Times New Roman"/>
          <w:noProof/>
          <w:sz w:val="24"/>
          <w:u w:val="single"/>
        </w:rPr>
        <w:t xml:space="preserve">Journal of the American Planning Association </w:t>
      </w:r>
      <w:r w:rsidRPr="00DD02A3">
        <w:rPr>
          <w:rFonts w:ascii="Times New Roman" w:hAnsi="Times New Roman"/>
          <w:b/>
          <w:noProof/>
          <w:sz w:val="24"/>
        </w:rPr>
        <w:t>61</w:t>
      </w:r>
      <w:r w:rsidRPr="00DD02A3">
        <w:rPr>
          <w:rFonts w:ascii="Times New Roman" w:hAnsi="Times New Roman"/>
          <w:noProof/>
          <w:sz w:val="24"/>
        </w:rPr>
        <w:t>: 210–225.</w:t>
      </w:r>
      <w:bookmarkEnd w:id="6"/>
    </w:p>
    <w:p w14:paraId="5412BEB5"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7" w:name="_ENREF_6"/>
      <w:r w:rsidRPr="00DD02A3">
        <w:rPr>
          <w:rFonts w:ascii="Times New Roman" w:hAnsi="Times New Roman"/>
          <w:noProof/>
          <w:sz w:val="24"/>
        </w:rPr>
        <w:t xml:space="preserve">Cervero, R. and C. Radisch (1996). "Travel choices in pedestrian versus automobile oriented neighborhoods." </w:t>
      </w:r>
      <w:r w:rsidRPr="00DD02A3">
        <w:rPr>
          <w:rFonts w:ascii="Times New Roman" w:hAnsi="Times New Roman"/>
          <w:noProof/>
          <w:sz w:val="24"/>
          <w:u w:val="single"/>
        </w:rPr>
        <w:t xml:space="preserve">Transport Policy </w:t>
      </w:r>
      <w:r w:rsidRPr="00DD02A3">
        <w:rPr>
          <w:rFonts w:ascii="Times New Roman" w:hAnsi="Times New Roman"/>
          <w:b/>
          <w:noProof/>
          <w:sz w:val="24"/>
        </w:rPr>
        <w:t>3</w:t>
      </w:r>
      <w:r w:rsidRPr="00DD02A3">
        <w:rPr>
          <w:rFonts w:ascii="Times New Roman" w:hAnsi="Times New Roman"/>
          <w:noProof/>
          <w:sz w:val="24"/>
        </w:rPr>
        <w:t>: 127–141.</w:t>
      </w:r>
      <w:bookmarkEnd w:id="7"/>
    </w:p>
    <w:p w14:paraId="776EC388"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8" w:name="_ENREF_7"/>
      <w:r w:rsidRPr="00DD02A3">
        <w:rPr>
          <w:rFonts w:ascii="Times New Roman" w:hAnsi="Times New Roman"/>
          <w:noProof/>
          <w:sz w:val="24"/>
        </w:rPr>
        <w:t xml:space="preserve">Eluru, N., C. Bhat and D. Hensher (2008). "A Mixed Generalized Ordered Response Model for Examining Pedestrian and Bicyclist Injury Severity Level in Traffic Crashes." </w:t>
      </w:r>
      <w:r w:rsidRPr="00DD02A3">
        <w:rPr>
          <w:rFonts w:ascii="Times New Roman" w:hAnsi="Times New Roman"/>
          <w:noProof/>
          <w:sz w:val="24"/>
          <w:u w:val="single"/>
        </w:rPr>
        <w:t>Accident Analysis &amp; Prevention</w:t>
      </w:r>
      <w:r w:rsidRPr="00DD02A3">
        <w:rPr>
          <w:rFonts w:ascii="Times New Roman" w:hAnsi="Times New Roman"/>
          <w:noProof/>
          <w:sz w:val="24"/>
        </w:rPr>
        <w:t xml:space="preserve"> </w:t>
      </w:r>
      <w:r w:rsidRPr="00DD02A3">
        <w:rPr>
          <w:rFonts w:ascii="Times New Roman" w:hAnsi="Times New Roman"/>
          <w:b/>
          <w:noProof/>
          <w:sz w:val="24"/>
        </w:rPr>
        <w:t>40</w:t>
      </w:r>
      <w:r w:rsidRPr="00DD02A3">
        <w:rPr>
          <w:rFonts w:ascii="Times New Roman" w:hAnsi="Times New Roman"/>
          <w:noProof/>
          <w:sz w:val="24"/>
        </w:rPr>
        <w:t>(3): 1033-1054.</w:t>
      </w:r>
      <w:bookmarkEnd w:id="8"/>
    </w:p>
    <w:p w14:paraId="7292F61C"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9" w:name="_ENREF_8"/>
      <w:r w:rsidRPr="00DD02A3">
        <w:rPr>
          <w:rFonts w:ascii="Times New Roman" w:hAnsi="Times New Roman"/>
          <w:noProof/>
          <w:sz w:val="24"/>
        </w:rPr>
        <w:t xml:space="preserve">Ewing, R. (2005). "Can the physical environment determine physical activity levels?" </w:t>
      </w:r>
      <w:r w:rsidRPr="00DD02A3">
        <w:rPr>
          <w:rFonts w:ascii="Times New Roman" w:hAnsi="Times New Roman"/>
          <w:noProof/>
          <w:sz w:val="24"/>
          <w:u w:val="single"/>
        </w:rPr>
        <w:t>Amercian College of Sports Medicine</w:t>
      </w:r>
      <w:r w:rsidRPr="00DD02A3">
        <w:rPr>
          <w:rFonts w:ascii="Times New Roman" w:hAnsi="Times New Roman"/>
          <w:noProof/>
          <w:sz w:val="24"/>
        </w:rPr>
        <w:t xml:space="preserve"> </w:t>
      </w:r>
      <w:r w:rsidRPr="00DD02A3">
        <w:rPr>
          <w:rFonts w:ascii="Times New Roman" w:hAnsi="Times New Roman"/>
          <w:b/>
          <w:noProof/>
          <w:sz w:val="24"/>
        </w:rPr>
        <w:t>33</w:t>
      </w:r>
      <w:r w:rsidRPr="00DD02A3">
        <w:rPr>
          <w:rFonts w:ascii="Times New Roman" w:hAnsi="Times New Roman"/>
          <w:noProof/>
          <w:sz w:val="24"/>
        </w:rPr>
        <w:t>(2): 69-75.</w:t>
      </w:r>
      <w:bookmarkEnd w:id="9"/>
    </w:p>
    <w:p w14:paraId="5C36053D"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10" w:name="_ENREF_9"/>
      <w:r w:rsidRPr="00DD02A3">
        <w:rPr>
          <w:rFonts w:ascii="Times New Roman" w:hAnsi="Times New Roman"/>
          <w:noProof/>
          <w:sz w:val="24"/>
        </w:rPr>
        <w:t xml:space="preserve">Ewing, R. and R. Cervero (2010). "Travel and the built environment." </w:t>
      </w:r>
      <w:r w:rsidRPr="00DD02A3">
        <w:rPr>
          <w:rFonts w:ascii="Times New Roman" w:hAnsi="Times New Roman"/>
          <w:noProof/>
          <w:sz w:val="24"/>
          <w:u w:val="single"/>
        </w:rPr>
        <w:t>Journal of the American Planning Association</w:t>
      </w:r>
      <w:r w:rsidRPr="00DD02A3">
        <w:rPr>
          <w:rFonts w:ascii="Times New Roman" w:hAnsi="Times New Roman"/>
          <w:noProof/>
          <w:sz w:val="24"/>
        </w:rPr>
        <w:t xml:space="preserve"> </w:t>
      </w:r>
      <w:r w:rsidRPr="00DD02A3">
        <w:rPr>
          <w:rFonts w:ascii="Times New Roman" w:hAnsi="Times New Roman"/>
          <w:b/>
          <w:noProof/>
          <w:sz w:val="24"/>
        </w:rPr>
        <w:t>76</w:t>
      </w:r>
      <w:r w:rsidRPr="00DD02A3">
        <w:rPr>
          <w:rFonts w:ascii="Times New Roman" w:hAnsi="Times New Roman"/>
          <w:noProof/>
          <w:sz w:val="24"/>
        </w:rPr>
        <w:t>(3): 265-294.</w:t>
      </w:r>
      <w:bookmarkEnd w:id="10"/>
    </w:p>
    <w:p w14:paraId="2771987A"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11" w:name="_ENREF_10"/>
      <w:r w:rsidRPr="00DD02A3">
        <w:rPr>
          <w:rFonts w:ascii="Times New Roman" w:hAnsi="Times New Roman"/>
          <w:noProof/>
          <w:sz w:val="24"/>
        </w:rPr>
        <w:t>Federal-Provincial/Territorial Advisory Committee on Fitness and Recreation (1997). A framework for action: Towards healthy, active living for Canadians. Ottawa, Federal-Provincial/Territorial Ministers responsible for fitness, active living, recreation and sport.</w:t>
      </w:r>
      <w:bookmarkEnd w:id="11"/>
    </w:p>
    <w:p w14:paraId="509D56AA"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12" w:name="_ENREF_11"/>
      <w:r w:rsidRPr="00DD02A3">
        <w:rPr>
          <w:rFonts w:ascii="Times New Roman" w:hAnsi="Times New Roman"/>
          <w:noProof/>
          <w:sz w:val="24"/>
        </w:rPr>
        <w:t xml:space="preserve">Forsyth, A., J. Oakes, K. Schmitz and M. Hearst (2007). "Does residential density increase walking and other physical activity?" </w:t>
      </w:r>
      <w:r w:rsidRPr="00DD02A3">
        <w:rPr>
          <w:rFonts w:ascii="Times New Roman" w:hAnsi="Times New Roman"/>
          <w:noProof/>
          <w:sz w:val="24"/>
          <w:u w:val="single"/>
        </w:rPr>
        <w:t>Urban Studies</w:t>
      </w:r>
      <w:r w:rsidRPr="00DD02A3">
        <w:rPr>
          <w:rFonts w:ascii="Times New Roman" w:hAnsi="Times New Roman"/>
          <w:noProof/>
          <w:sz w:val="24"/>
        </w:rPr>
        <w:t xml:space="preserve"> </w:t>
      </w:r>
      <w:r w:rsidRPr="00DD02A3">
        <w:rPr>
          <w:rFonts w:ascii="Times New Roman" w:hAnsi="Times New Roman"/>
          <w:b/>
          <w:noProof/>
          <w:sz w:val="24"/>
        </w:rPr>
        <w:t>44</w:t>
      </w:r>
      <w:r w:rsidRPr="00DD02A3">
        <w:rPr>
          <w:rFonts w:ascii="Times New Roman" w:hAnsi="Times New Roman"/>
          <w:noProof/>
          <w:sz w:val="24"/>
        </w:rPr>
        <w:t>(4): 679-697.</w:t>
      </w:r>
      <w:bookmarkEnd w:id="12"/>
    </w:p>
    <w:p w14:paraId="6A6BB5F3"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13" w:name="_ENREF_12"/>
      <w:r w:rsidRPr="00DD02A3">
        <w:rPr>
          <w:rFonts w:ascii="Times New Roman" w:hAnsi="Times New Roman"/>
          <w:noProof/>
          <w:sz w:val="24"/>
        </w:rPr>
        <w:t xml:space="preserve">Frees, E. (2004). </w:t>
      </w:r>
      <w:r w:rsidRPr="00DD02A3">
        <w:rPr>
          <w:rFonts w:ascii="Times New Roman" w:hAnsi="Times New Roman"/>
          <w:noProof/>
          <w:sz w:val="24"/>
          <w:u w:val="single"/>
        </w:rPr>
        <w:t>Longitudinal and panel data: Analysis and applications in the social sciences</w:t>
      </w:r>
      <w:r w:rsidRPr="00DD02A3">
        <w:rPr>
          <w:rFonts w:ascii="Times New Roman" w:hAnsi="Times New Roman"/>
          <w:noProof/>
          <w:sz w:val="24"/>
        </w:rPr>
        <w:t>. New York, Cambridge University Press.</w:t>
      </w:r>
      <w:bookmarkEnd w:id="13"/>
    </w:p>
    <w:p w14:paraId="5D8C9926"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14" w:name="_ENREF_13"/>
      <w:r w:rsidRPr="00DD02A3">
        <w:rPr>
          <w:rFonts w:ascii="Times New Roman" w:hAnsi="Times New Roman"/>
          <w:noProof/>
          <w:sz w:val="24"/>
        </w:rPr>
        <w:t xml:space="preserve">Grasser, G., D. Van Dyck, S. Titze and W. Stronegger (2013). "Objectively measured walkability and active transport and weight-related outcomes in adults: a systematic review." </w:t>
      </w:r>
      <w:r w:rsidRPr="00DD02A3">
        <w:rPr>
          <w:rFonts w:ascii="Times New Roman" w:hAnsi="Times New Roman"/>
          <w:noProof/>
          <w:sz w:val="24"/>
          <w:u w:val="single"/>
        </w:rPr>
        <w:t>International Journal of Public Health</w:t>
      </w:r>
      <w:r w:rsidRPr="00DD02A3">
        <w:rPr>
          <w:rFonts w:ascii="Times New Roman" w:hAnsi="Times New Roman"/>
          <w:noProof/>
          <w:sz w:val="24"/>
        </w:rPr>
        <w:t xml:space="preserve"> </w:t>
      </w:r>
      <w:r w:rsidRPr="00DD02A3">
        <w:rPr>
          <w:rFonts w:ascii="Times New Roman" w:hAnsi="Times New Roman"/>
          <w:b/>
          <w:noProof/>
          <w:sz w:val="24"/>
        </w:rPr>
        <w:t>58</w:t>
      </w:r>
      <w:r w:rsidRPr="00DD02A3">
        <w:rPr>
          <w:rFonts w:ascii="Times New Roman" w:hAnsi="Times New Roman"/>
          <w:noProof/>
          <w:sz w:val="24"/>
        </w:rPr>
        <w:t>: 615-625.</w:t>
      </w:r>
      <w:bookmarkEnd w:id="14"/>
    </w:p>
    <w:p w14:paraId="1C6982C0"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15" w:name="_ENREF_14"/>
      <w:r w:rsidRPr="00DD02A3">
        <w:rPr>
          <w:rFonts w:ascii="Times New Roman" w:hAnsi="Times New Roman"/>
          <w:noProof/>
          <w:sz w:val="24"/>
        </w:rPr>
        <w:t xml:space="preserve">Handy, S. (1996). "Urban form and pedestrian choices: Study of Austin neighborhoods." </w:t>
      </w:r>
      <w:r w:rsidRPr="00DD02A3">
        <w:rPr>
          <w:rFonts w:ascii="Times New Roman" w:hAnsi="Times New Roman"/>
          <w:noProof/>
          <w:sz w:val="24"/>
          <w:u w:val="single"/>
        </w:rPr>
        <w:t xml:space="preserve">Transportation Research Record </w:t>
      </w:r>
      <w:r w:rsidRPr="00DD02A3">
        <w:rPr>
          <w:rFonts w:ascii="Times New Roman" w:hAnsi="Times New Roman"/>
          <w:b/>
          <w:noProof/>
          <w:sz w:val="24"/>
        </w:rPr>
        <w:t>1552</w:t>
      </w:r>
      <w:r w:rsidRPr="00DD02A3">
        <w:rPr>
          <w:rFonts w:ascii="Times New Roman" w:hAnsi="Times New Roman"/>
          <w:noProof/>
          <w:sz w:val="24"/>
        </w:rPr>
        <w:t>: 135–144.</w:t>
      </w:r>
      <w:bookmarkEnd w:id="15"/>
    </w:p>
    <w:p w14:paraId="77D73101"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16" w:name="_ENREF_15"/>
      <w:r w:rsidRPr="00DD02A3">
        <w:rPr>
          <w:rFonts w:ascii="Times New Roman" w:hAnsi="Times New Roman"/>
          <w:noProof/>
          <w:sz w:val="24"/>
        </w:rPr>
        <w:t xml:space="preserve">Handy, S. (2005). Does the built environment influence physical activity? Examining the evidence. Critical Assessment of the literature on the relationships among transportation, land use, and physical activity. </w:t>
      </w:r>
      <w:r w:rsidRPr="00DD02A3">
        <w:rPr>
          <w:rFonts w:ascii="Times New Roman" w:hAnsi="Times New Roman"/>
          <w:noProof/>
          <w:sz w:val="24"/>
          <w:u w:val="single"/>
        </w:rPr>
        <w:t>TRB Special Report 282</w:t>
      </w:r>
      <w:r w:rsidRPr="00DD02A3">
        <w:rPr>
          <w:rFonts w:ascii="Times New Roman" w:hAnsi="Times New Roman"/>
          <w:noProof/>
          <w:sz w:val="24"/>
        </w:rPr>
        <w:t>. Washington DC, Transportation Research Board.</w:t>
      </w:r>
      <w:bookmarkEnd w:id="16"/>
    </w:p>
    <w:p w14:paraId="59EB39A4"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17" w:name="_ENREF_16"/>
      <w:r w:rsidRPr="00DD02A3">
        <w:rPr>
          <w:rFonts w:ascii="Times New Roman" w:hAnsi="Times New Roman"/>
          <w:noProof/>
          <w:sz w:val="24"/>
        </w:rPr>
        <w:t xml:space="preserve">Handy, S., M. Boarnet, R. Ewing and R. Killingsworth (2002). "How the built environment affects physical activity." </w:t>
      </w:r>
      <w:r w:rsidRPr="00DD02A3">
        <w:rPr>
          <w:rFonts w:ascii="Times New Roman" w:hAnsi="Times New Roman"/>
          <w:noProof/>
          <w:sz w:val="24"/>
          <w:u w:val="single"/>
        </w:rPr>
        <w:t>American Journal of Preventive Medicine</w:t>
      </w:r>
      <w:r w:rsidRPr="00DD02A3">
        <w:rPr>
          <w:rFonts w:ascii="Times New Roman" w:hAnsi="Times New Roman"/>
          <w:noProof/>
          <w:sz w:val="24"/>
        </w:rPr>
        <w:t xml:space="preserve"> </w:t>
      </w:r>
      <w:r w:rsidRPr="00DD02A3">
        <w:rPr>
          <w:rFonts w:ascii="Times New Roman" w:hAnsi="Times New Roman"/>
          <w:b/>
          <w:noProof/>
          <w:sz w:val="24"/>
        </w:rPr>
        <w:t>23</w:t>
      </w:r>
      <w:r w:rsidRPr="00DD02A3">
        <w:rPr>
          <w:rFonts w:ascii="Times New Roman" w:hAnsi="Times New Roman"/>
          <w:noProof/>
          <w:sz w:val="24"/>
        </w:rPr>
        <w:t>(2): 64–73.</w:t>
      </w:r>
      <w:bookmarkEnd w:id="17"/>
    </w:p>
    <w:p w14:paraId="5F432B74"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18" w:name="_ENREF_17"/>
      <w:r w:rsidRPr="00DD02A3">
        <w:rPr>
          <w:rFonts w:ascii="Times New Roman" w:hAnsi="Times New Roman"/>
          <w:noProof/>
          <w:sz w:val="24"/>
        </w:rPr>
        <w:t xml:space="preserve">Handy, S. and K. Clifton (2001). "Local shopping as a strategy for reducing automobile travel." </w:t>
      </w:r>
      <w:r w:rsidRPr="00DD02A3">
        <w:rPr>
          <w:rFonts w:ascii="Times New Roman" w:hAnsi="Times New Roman"/>
          <w:noProof/>
          <w:sz w:val="24"/>
          <w:u w:val="single"/>
        </w:rPr>
        <w:t>Transportation Research Part A</w:t>
      </w:r>
      <w:r w:rsidRPr="00DD02A3">
        <w:rPr>
          <w:rFonts w:ascii="Times New Roman" w:hAnsi="Times New Roman"/>
          <w:noProof/>
          <w:sz w:val="24"/>
        </w:rPr>
        <w:t xml:space="preserve"> </w:t>
      </w:r>
      <w:r w:rsidRPr="00DD02A3">
        <w:rPr>
          <w:rFonts w:ascii="Times New Roman" w:hAnsi="Times New Roman"/>
          <w:b/>
          <w:noProof/>
          <w:sz w:val="24"/>
        </w:rPr>
        <w:t>28</w:t>
      </w:r>
      <w:r w:rsidRPr="00DD02A3">
        <w:rPr>
          <w:rFonts w:ascii="Times New Roman" w:hAnsi="Times New Roman"/>
          <w:noProof/>
          <w:sz w:val="24"/>
        </w:rPr>
        <w:t>: 317–346.</w:t>
      </w:r>
      <w:bookmarkEnd w:id="18"/>
    </w:p>
    <w:p w14:paraId="695781C2"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19" w:name="_ENREF_18"/>
      <w:r w:rsidRPr="00DD02A3">
        <w:rPr>
          <w:rFonts w:ascii="Times New Roman" w:hAnsi="Times New Roman"/>
          <w:noProof/>
          <w:sz w:val="24"/>
        </w:rPr>
        <w:t xml:space="preserve">Handy, S. and P. Mokhtarian (2005). "Which comes first: The neighborhood or the walking." </w:t>
      </w:r>
      <w:r w:rsidRPr="00DD02A3">
        <w:rPr>
          <w:rFonts w:ascii="Times New Roman" w:hAnsi="Times New Roman"/>
          <w:noProof/>
          <w:sz w:val="24"/>
          <w:u w:val="single"/>
        </w:rPr>
        <w:t>Access</w:t>
      </w:r>
      <w:r w:rsidRPr="00DD02A3">
        <w:rPr>
          <w:rFonts w:ascii="Times New Roman" w:hAnsi="Times New Roman"/>
          <w:noProof/>
          <w:sz w:val="24"/>
        </w:rPr>
        <w:t xml:space="preserve"> </w:t>
      </w:r>
      <w:r w:rsidRPr="00DD02A3">
        <w:rPr>
          <w:rFonts w:ascii="Times New Roman" w:hAnsi="Times New Roman"/>
          <w:b/>
          <w:noProof/>
          <w:sz w:val="24"/>
        </w:rPr>
        <w:t>26</w:t>
      </w:r>
      <w:r w:rsidRPr="00DD02A3">
        <w:rPr>
          <w:rFonts w:ascii="Times New Roman" w:hAnsi="Times New Roman"/>
          <w:noProof/>
          <w:sz w:val="24"/>
        </w:rPr>
        <w:t>.</w:t>
      </w:r>
      <w:bookmarkEnd w:id="19"/>
    </w:p>
    <w:p w14:paraId="03622F09"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20" w:name="_ENREF_19"/>
      <w:r w:rsidRPr="00DD02A3">
        <w:rPr>
          <w:rFonts w:ascii="Times New Roman" w:hAnsi="Times New Roman"/>
          <w:noProof/>
          <w:sz w:val="24"/>
        </w:rPr>
        <w:t xml:space="preserve">Handy, S. and P. Mokhtarian (2005). Which Comes First: The Neighbourhood or The Walking?.  1(26), 16 - 21.  . </w:t>
      </w:r>
      <w:r w:rsidRPr="00DD02A3">
        <w:rPr>
          <w:rFonts w:ascii="Times New Roman" w:hAnsi="Times New Roman"/>
          <w:noProof/>
          <w:sz w:val="24"/>
          <w:u w:val="single"/>
        </w:rPr>
        <w:t>ACCESS Magazine,</w:t>
      </w:r>
      <w:r w:rsidRPr="00DD02A3">
        <w:rPr>
          <w:rFonts w:ascii="Times New Roman" w:hAnsi="Times New Roman"/>
          <w:noProof/>
          <w:sz w:val="24"/>
        </w:rPr>
        <w:t xml:space="preserve">. UC Berkeley, University of California Transportation Center. </w:t>
      </w:r>
      <w:r w:rsidRPr="00DD02A3">
        <w:rPr>
          <w:rFonts w:ascii="Times New Roman" w:hAnsi="Times New Roman"/>
          <w:b/>
          <w:noProof/>
          <w:sz w:val="24"/>
        </w:rPr>
        <w:t xml:space="preserve">1: </w:t>
      </w:r>
      <w:r w:rsidRPr="00DD02A3">
        <w:rPr>
          <w:rFonts w:ascii="Times New Roman" w:hAnsi="Times New Roman"/>
          <w:noProof/>
          <w:sz w:val="24"/>
        </w:rPr>
        <w:t>16-21.</w:t>
      </w:r>
      <w:bookmarkEnd w:id="20"/>
    </w:p>
    <w:p w14:paraId="3D2019AD"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21" w:name="_ENREF_20"/>
      <w:r w:rsidRPr="00DD02A3">
        <w:rPr>
          <w:rFonts w:ascii="Times New Roman" w:hAnsi="Times New Roman"/>
          <w:noProof/>
          <w:sz w:val="24"/>
        </w:rPr>
        <w:t xml:space="preserve">Hassan, E. (2005 ). "Recall Bias can be a Threat to Retrospective and Prospective Research Designs." </w:t>
      </w:r>
      <w:r w:rsidRPr="00DD02A3">
        <w:rPr>
          <w:rFonts w:ascii="Times New Roman" w:hAnsi="Times New Roman"/>
          <w:noProof/>
          <w:sz w:val="24"/>
          <w:u w:val="single"/>
        </w:rPr>
        <w:t>The Internet Journal of Epidemiology</w:t>
      </w:r>
      <w:r w:rsidRPr="00DD02A3">
        <w:rPr>
          <w:rFonts w:ascii="Times New Roman" w:hAnsi="Times New Roman"/>
          <w:noProof/>
          <w:sz w:val="24"/>
        </w:rPr>
        <w:t xml:space="preserve"> </w:t>
      </w:r>
      <w:r w:rsidRPr="00DD02A3">
        <w:rPr>
          <w:rFonts w:ascii="Times New Roman" w:hAnsi="Times New Roman"/>
          <w:b/>
          <w:noProof/>
          <w:sz w:val="24"/>
        </w:rPr>
        <w:t>Volume 3</w:t>
      </w:r>
      <w:r w:rsidRPr="00DD02A3">
        <w:rPr>
          <w:rFonts w:ascii="Times New Roman" w:hAnsi="Times New Roman"/>
          <w:noProof/>
          <w:sz w:val="24"/>
        </w:rPr>
        <w:t>(Number 2).</w:t>
      </w:r>
      <w:bookmarkEnd w:id="21"/>
    </w:p>
    <w:p w14:paraId="33E2B1E8"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22" w:name="_ENREF_21"/>
      <w:r w:rsidRPr="00DD02A3">
        <w:rPr>
          <w:rFonts w:ascii="Times New Roman" w:hAnsi="Times New Roman"/>
          <w:noProof/>
          <w:sz w:val="24"/>
        </w:rPr>
        <w:t xml:space="preserve">Hirsch, J., A. Diez Roux, K. Moore, K. Evenson and D. Rodriguez (2014). "Change in walking and body mass index following residential relocation: The multi-ethnic study of atherosclerosis." </w:t>
      </w:r>
      <w:r w:rsidRPr="00DD02A3">
        <w:rPr>
          <w:rFonts w:ascii="Times New Roman" w:hAnsi="Times New Roman"/>
          <w:noProof/>
          <w:sz w:val="24"/>
          <w:u w:val="single"/>
        </w:rPr>
        <w:t xml:space="preserve">American Journal of  Public Health </w:t>
      </w:r>
      <w:r w:rsidRPr="00DD02A3">
        <w:rPr>
          <w:rFonts w:ascii="Times New Roman" w:hAnsi="Times New Roman"/>
          <w:b/>
          <w:noProof/>
          <w:sz w:val="24"/>
        </w:rPr>
        <w:t>104</w:t>
      </w:r>
      <w:r w:rsidRPr="00DD02A3">
        <w:rPr>
          <w:rFonts w:ascii="Times New Roman" w:hAnsi="Times New Roman"/>
          <w:noProof/>
          <w:sz w:val="24"/>
        </w:rPr>
        <w:t>(3): e49-e56.</w:t>
      </w:r>
      <w:bookmarkEnd w:id="22"/>
    </w:p>
    <w:p w14:paraId="7E6B8562"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23" w:name="_ENREF_22"/>
      <w:r w:rsidRPr="00DD02A3">
        <w:rPr>
          <w:rFonts w:ascii="Times New Roman" w:hAnsi="Times New Roman"/>
          <w:noProof/>
          <w:sz w:val="24"/>
        </w:rPr>
        <w:t xml:space="preserve">Kitamura, R., P. Mokhtarian and L. Laidet (1997). "A micro-analysis of land use and travel in five neighborhoods in the San Francisco Bay area." </w:t>
      </w:r>
      <w:r w:rsidRPr="00DD02A3">
        <w:rPr>
          <w:rFonts w:ascii="Times New Roman" w:hAnsi="Times New Roman"/>
          <w:noProof/>
          <w:sz w:val="24"/>
          <w:u w:val="single"/>
        </w:rPr>
        <w:t>Transportation Research Part A</w:t>
      </w:r>
      <w:r w:rsidRPr="00DD02A3">
        <w:rPr>
          <w:rFonts w:ascii="Times New Roman" w:hAnsi="Times New Roman"/>
          <w:noProof/>
          <w:sz w:val="24"/>
        </w:rPr>
        <w:t xml:space="preserve"> </w:t>
      </w:r>
      <w:r w:rsidRPr="00DD02A3">
        <w:rPr>
          <w:rFonts w:ascii="Times New Roman" w:hAnsi="Times New Roman"/>
          <w:b/>
          <w:noProof/>
          <w:sz w:val="24"/>
        </w:rPr>
        <w:t>24</w:t>
      </w:r>
      <w:r w:rsidRPr="00DD02A3">
        <w:rPr>
          <w:rFonts w:ascii="Times New Roman" w:hAnsi="Times New Roman"/>
          <w:noProof/>
          <w:sz w:val="24"/>
        </w:rPr>
        <w:t>: 125–158.</w:t>
      </w:r>
      <w:bookmarkEnd w:id="23"/>
    </w:p>
    <w:p w14:paraId="74936A5F"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24" w:name="_ENREF_23"/>
      <w:r w:rsidRPr="00DD02A3">
        <w:rPr>
          <w:rFonts w:ascii="Times New Roman" w:hAnsi="Times New Roman"/>
          <w:noProof/>
          <w:sz w:val="24"/>
        </w:rPr>
        <w:t xml:space="preserve">Knuiman, M., H. Christian, M. Divitini, S. Foster, F. Bull, H. Badland and B. Giles_Corti (2014). "A longitudinal analysis of the influence of the neighborhood built environment on walking for transportation." </w:t>
      </w:r>
      <w:r w:rsidRPr="00DD02A3">
        <w:rPr>
          <w:rFonts w:ascii="Times New Roman" w:hAnsi="Times New Roman"/>
          <w:noProof/>
          <w:sz w:val="24"/>
          <w:u w:val="single"/>
        </w:rPr>
        <w:t>American Journal of  Epidemiology</w:t>
      </w:r>
      <w:r w:rsidRPr="00DD02A3">
        <w:rPr>
          <w:rFonts w:ascii="Times New Roman" w:hAnsi="Times New Roman"/>
          <w:noProof/>
          <w:sz w:val="24"/>
        </w:rPr>
        <w:t xml:space="preserve"> </w:t>
      </w:r>
      <w:r w:rsidRPr="00DD02A3">
        <w:rPr>
          <w:rFonts w:ascii="Times New Roman" w:hAnsi="Times New Roman"/>
          <w:b/>
          <w:noProof/>
          <w:sz w:val="24"/>
        </w:rPr>
        <w:t>180</w:t>
      </w:r>
      <w:r w:rsidRPr="00DD02A3">
        <w:rPr>
          <w:rFonts w:ascii="Times New Roman" w:hAnsi="Times New Roman"/>
          <w:noProof/>
          <w:sz w:val="24"/>
        </w:rPr>
        <w:t>(5): 453-461.</w:t>
      </w:r>
      <w:bookmarkEnd w:id="24"/>
    </w:p>
    <w:p w14:paraId="04E0A72E"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25" w:name="_ENREF_24"/>
      <w:r w:rsidRPr="00DD02A3">
        <w:rPr>
          <w:rFonts w:ascii="Times New Roman" w:hAnsi="Times New Roman"/>
          <w:noProof/>
          <w:sz w:val="24"/>
        </w:rPr>
        <w:t xml:space="preserve">Lavizzo-Mourey, R. and M. McGinnis (2002). "Making the Case for Active Living Communities." </w:t>
      </w:r>
      <w:r w:rsidRPr="00DD02A3">
        <w:rPr>
          <w:rFonts w:ascii="Times New Roman" w:hAnsi="Times New Roman"/>
          <w:noProof/>
          <w:sz w:val="24"/>
          <w:u w:val="single"/>
        </w:rPr>
        <w:t>American Journal of Public Health</w:t>
      </w:r>
      <w:r w:rsidRPr="00DD02A3">
        <w:rPr>
          <w:rFonts w:ascii="Times New Roman" w:hAnsi="Times New Roman"/>
          <w:noProof/>
          <w:sz w:val="24"/>
        </w:rPr>
        <w:t xml:space="preserve"> </w:t>
      </w:r>
      <w:r w:rsidRPr="00DD02A3">
        <w:rPr>
          <w:rFonts w:ascii="Times New Roman" w:hAnsi="Times New Roman"/>
          <w:b/>
          <w:noProof/>
          <w:sz w:val="24"/>
        </w:rPr>
        <w:t>93</w:t>
      </w:r>
      <w:r w:rsidRPr="00DD02A3">
        <w:rPr>
          <w:rFonts w:ascii="Times New Roman" w:hAnsi="Times New Roman"/>
          <w:noProof/>
          <w:sz w:val="24"/>
        </w:rPr>
        <w:t>(9): 1386-1388.</w:t>
      </w:r>
      <w:bookmarkEnd w:id="25"/>
    </w:p>
    <w:p w14:paraId="24EE7D67"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26" w:name="_ENREF_25"/>
      <w:r w:rsidRPr="00DD02A3">
        <w:rPr>
          <w:rFonts w:ascii="Times New Roman" w:hAnsi="Times New Roman"/>
          <w:noProof/>
          <w:sz w:val="24"/>
        </w:rPr>
        <w:t xml:space="preserve">Little, R. and D. Rubin (2002). </w:t>
      </w:r>
      <w:r w:rsidRPr="00DD02A3">
        <w:rPr>
          <w:rFonts w:ascii="Times New Roman" w:hAnsi="Times New Roman"/>
          <w:noProof/>
          <w:sz w:val="24"/>
          <w:u w:val="single"/>
        </w:rPr>
        <w:t>Statistical analysis with missing data</w:t>
      </w:r>
      <w:r w:rsidRPr="00DD02A3">
        <w:rPr>
          <w:rFonts w:ascii="Times New Roman" w:hAnsi="Times New Roman"/>
          <w:noProof/>
          <w:sz w:val="24"/>
        </w:rPr>
        <w:t>. Hoboken, New Jersey, John Wiley &amp; Sons, Inc.</w:t>
      </w:r>
      <w:bookmarkEnd w:id="26"/>
    </w:p>
    <w:p w14:paraId="7BA83CCD"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27" w:name="_ENREF_26"/>
      <w:r w:rsidRPr="00DD02A3">
        <w:rPr>
          <w:rFonts w:ascii="Times New Roman" w:hAnsi="Times New Roman"/>
          <w:noProof/>
          <w:sz w:val="24"/>
        </w:rPr>
        <w:t xml:space="preserve">Manaugh, K. and A. El-Geneidy (2011). "Validating walkability indices: How do different households respond to the walkability of their neighbourhood?" </w:t>
      </w:r>
      <w:r w:rsidRPr="00DD02A3">
        <w:rPr>
          <w:rFonts w:ascii="Times New Roman" w:hAnsi="Times New Roman"/>
          <w:noProof/>
          <w:sz w:val="24"/>
          <w:u w:val="single"/>
        </w:rPr>
        <w:t>Transportation research Part D: Transport and Environment</w:t>
      </w:r>
      <w:r w:rsidRPr="00DD02A3">
        <w:rPr>
          <w:rFonts w:ascii="Times New Roman" w:hAnsi="Times New Roman"/>
          <w:noProof/>
          <w:sz w:val="24"/>
        </w:rPr>
        <w:t xml:space="preserve"> </w:t>
      </w:r>
      <w:r w:rsidRPr="00DD02A3">
        <w:rPr>
          <w:rFonts w:ascii="Times New Roman" w:hAnsi="Times New Roman"/>
          <w:b/>
          <w:noProof/>
          <w:sz w:val="24"/>
        </w:rPr>
        <w:t>16</w:t>
      </w:r>
      <w:r w:rsidRPr="00DD02A3">
        <w:rPr>
          <w:rFonts w:ascii="Times New Roman" w:hAnsi="Times New Roman"/>
          <w:noProof/>
          <w:sz w:val="24"/>
        </w:rPr>
        <w:t>(4): 309-315.</w:t>
      </w:r>
      <w:bookmarkEnd w:id="27"/>
    </w:p>
    <w:p w14:paraId="1994BF0A"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28" w:name="_ENREF_27"/>
      <w:r w:rsidRPr="00DD02A3">
        <w:rPr>
          <w:rFonts w:ascii="Times New Roman" w:hAnsi="Times New Roman"/>
          <w:noProof/>
          <w:sz w:val="24"/>
        </w:rPr>
        <w:t xml:space="preserve">Saelens, B. and S. Handy (2008). "Built environment correlates of walking: A review." </w:t>
      </w:r>
      <w:r w:rsidRPr="00DD02A3">
        <w:rPr>
          <w:rFonts w:ascii="Times New Roman" w:hAnsi="Times New Roman"/>
          <w:noProof/>
          <w:sz w:val="24"/>
          <w:u w:val="single"/>
        </w:rPr>
        <w:t>Medicine and Science in Sports and Exercise</w:t>
      </w:r>
      <w:r w:rsidRPr="00DD02A3">
        <w:rPr>
          <w:rFonts w:ascii="Times New Roman" w:hAnsi="Times New Roman"/>
          <w:noProof/>
          <w:sz w:val="24"/>
        </w:rPr>
        <w:t xml:space="preserve"> </w:t>
      </w:r>
      <w:r w:rsidRPr="00DD02A3">
        <w:rPr>
          <w:rFonts w:ascii="Times New Roman" w:hAnsi="Times New Roman"/>
          <w:b/>
          <w:noProof/>
          <w:sz w:val="24"/>
        </w:rPr>
        <w:t>40</w:t>
      </w:r>
      <w:r w:rsidRPr="00DD02A3">
        <w:rPr>
          <w:rFonts w:ascii="Times New Roman" w:hAnsi="Times New Roman"/>
          <w:noProof/>
          <w:sz w:val="24"/>
        </w:rPr>
        <w:t>(7): 550-566.</w:t>
      </w:r>
      <w:bookmarkEnd w:id="28"/>
    </w:p>
    <w:p w14:paraId="7275906A"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29" w:name="_ENREF_28"/>
      <w:r w:rsidRPr="00DD02A3">
        <w:rPr>
          <w:rFonts w:ascii="Times New Roman" w:hAnsi="Times New Roman"/>
          <w:noProof/>
          <w:sz w:val="24"/>
        </w:rPr>
        <w:t xml:space="preserve">Singer, J. and J. Willet (2003). </w:t>
      </w:r>
      <w:r w:rsidRPr="00DD02A3">
        <w:rPr>
          <w:rFonts w:ascii="Times New Roman" w:hAnsi="Times New Roman"/>
          <w:noProof/>
          <w:sz w:val="24"/>
          <w:u w:val="single"/>
        </w:rPr>
        <w:t>Applied Longitudinal data analysis: Modelling change and event occurrence</w:t>
      </w:r>
      <w:r w:rsidRPr="00DD02A3">
        <w:rPr>
          <w:rFonts w:ascii="Times New Roman" w:hAnsi="Times New Roman"/>
          <w:noProof/>
          <w:sz w:val="24"/>
        </w:rPr>
        <w:t>. New York, Oxford University Press, Inc.</w:t>
      </w:r>
      <w:bookmarkEnd w:id="29"/>
    </w:p>
    <w:p w14:paraId="1EA25CCD"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30" w:name="_ENREF_29"/>
      <w:r w:rsidRPr="00DD02A3">
        <w:rPr>
          <w:rFonts w:ascii="Times New Roman" w:hAnsi="Times New Roman"/>
          <w:noProof/>
          <w:sz w:val="24"/>
        </w:rPr>
        <w:t xml:space="preserve">Smith, K., B. Brown, I. Yamada, L. Kowaleski-Jones, C. Zick and J. Fan (2008). "Walkability and body mass index: Density, design, and new diversity measures." </w:t>
      </w:r>
      <w:r w:rsidRPr="00DD02A3">
        <w:rPr>
          <w:rFonts w:ascii="Times New Roman" w:hAnsi="Times New Roman"/>
          <w:noProof/>
          <w:sz w:val="24"/>
          <w:u w:val="single"/>
        </w:rPr>
        <w:t>American Journal of Preventive Medicine</w:t>
      </w:r>
      <w:r w:rsidRPr="00DD02A3">
        <w:rPr>
          <w:rFonts w:ascii="Times New Roman" w:hAnsi="Times New Roman"/>
          <w:noProof/>
          <w:sz w:val="24"/>
        </w:rPr>
        <w:t xml:space="preserve"> </w:t>
      </w:r>
      <w:r w:rsidRPr="00DD02A3">
        <w:rPr>
          <w:rFonts w:ascii="Times New Roman" w:hAnsi="Times New Roman"/>
          <w:b/>
          <w:noProof/>
          <w:sz w:val="24"/>
        </w:rPr>
        <w:t>35</w:t>
      </w:r>
      <w:r w:rsidRPr="00DD02A3">
        <w:rPr>
          <w:rFonts w:ascii="Times New Roman" w:hAnsi="Times New Roman"/>
          <w:noProof/>
          <w:sz w:val="24"/>
        </w:rPr>
        <w:t>(3): 237-244.</w:t>
      </w:r>
      <w:bookmarkEnd w:id="30"/>
    </w:p>
    <w:p w14:paraId="5ECA326F"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31" w:name="_ENREF_30"/>
      <w:r w:rsidRPr="00DD02A3">
        <w:rPr>
          <w:rFonts w:ascii="Times New Roman" w:hAnsi="Times New Roman"/>
          <w:noProof/>
          <w:sz w:val="24"/>
        </w:rPr>
        <w:t>Statistics Canada (2009). National Population Health Survey. Household component documentation for the derived variables and the constant longitudinal variables (specifications). Cycles 1 to 7  (1994/1995 to 2006/2007) Ottawa, Statistics Canada.</w:t>
      </w:r>
      <w:bookmarkEnd w:id="31"/>
    </w:p>
    <w:p w14:paraId="5D366503"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32" w:name="_ENREF_31"/>
      <w:r w:rsidRPr="00DD02A3">
        <w:rPr>
          <w:rFonts w:ascii="Times New Roman" w:hAnsi="Times New Roman"/>
          <w:noProof/>
          <w:sz w:val="24"/>
        </w:rPr>
        <w:t xml:space="preserve">Thielman, J., L. Rosella, R. Copes, M. Lebenbaum and H. Manson (2015). "Neighbourhood walkability: differential associations with self-reported transport walking and leisure-time physical activity in Canadian towns and cities of all sizes." </w:t>
      </w:r>
      <w:r w:rsidRPr="00DD02A3">
        <w:rPr>
          <w:rFonts w:ascii="Times New Roman" w:hAnsi="Times New Roman"/>
          <w:noProof/>
          <w:sz w:val="24"/>
          <w:u w:val="single"/>
        </w:rPr>
        <w:t>Preventive Medicine</w:t>
      </w:r>
      <w:r w:rsidRPr="00DD02A3">
        <w:rPr>
          <w:rFonts w:ascii="Times New Roman" w:hAnsi="Times New Roman"/>
          <w:noProof/>
          <w:sz w:val="24"/>
        </w:rPr>
        <w:t xml:space="preserve"> </w:t>
      </w:r>
      <w:r w:rsidRPr="00DD02A3">
        <w:rPr>
          <w:rFonts w:ascii="Times New Roman" w:hAnsi="Times New Roman"/>
          <w:b/>
          <w:noProof/>
          <w:sz w:val="24"/>
        </w:rPr>
        <w:t>77</w:t>
      </w:r>
      <w:r w:rsidRPr="00DD02A3">
        <w:rPr>
          <w:rFonts w:ascii="Times New Roman" w:hAnsi="Times New Roman"/>
          <w:noProof/>
          <w:sz w:val="24"/>
        </w:rPr>
        <w:t>: 174-180.</w:t>
      </w:r>
      <w:bookmarkEnd w:id="32"/>
    </w:p>
    <w:p w14:paraId="3EED8211" w14:textId="3505DE5F" w:rsidR="00DD02A3" w:rsidRPr="00DD02A3" w:rsidRDefault="00DD02A3" w:rsidP="00024706">
      <w:pPr>
        <w:pStyle w:val="MediumGrid21"/>
        <w:numPr>
          <w:ilvl w:val="0"/>
          <w:numId w:val="23"/>
        </w:numPr>
        <w:spacing w:line="480" w:lineRule="auto"/>
        <w:rPr>
          <w:rFonts w:ascii="Times New Roman" w:hAnsi="Times New Roman"/>
          <w:noProof/>
          <w:sz w:val="24"/>
        </w:rPr>
      </w:pPr>
      <w:bookmarkStart w:id="33" w:name="_ENREF_32"/>
      <w:r w:rsidRPr="00DD02A3">
        <w:rPr>
          <w:rFonts w:ascii="Times New Roman" w:hAnsi="Times New Roman"/>
          <w:noProof/>
          <w:sz w:val="24"/>
        </w:rPr>
        <w:t xml:space="preserve">Tomer, A. and J. Kane. (2014). "Most Americans Still Driving, but New Census Data Reveal Shifts at the Metro Level."   Retrieved 29 September, 2014, from </w:t>
      </w:r>
      <w:hyperlink r:id="rId12" w:anchor=".VCq_FiZyIXc.mailto" w:history="1">
        <w:r w:rsidRPr="00DD02A3">
          <w:rPr>
            <w:rStyle w:val="Hyperlink"/>
            <w:rFonts w:ascii="Times New Roman" w:hAnsi="Times New Roman"/>
            <w:noProof/>
            <w:sz w:val="24"/>
          </w:rPr>
          <w:t>http://www.brookings.edu/blogs/the-avenue/posts/2014/09/29-americans-driving-census-data-metro-tomer-kane#.VCq_FiZyIXc.mailto</w:t>
        </w:r>
      </w:hyperlink>
      <w:r w:rsidRPr="00DD02A3">
        <w:rPr>
          <w:rFonts w:ascii="Times New Roman" w:hAnsi="Times New Roman"/>
          <w:noProof/>
          <w:sz w:val="24"/>
        </w:rPr>
        <w:t>.</w:t>
      </w:r>
      <w:bookmarkEnd w:id="33"/>
    </w:p>
    <w:p w14:paraId="5EE80B89"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34" w:name="_ENREF_33"/>
      <w:r w:rsidRPr="00DD02A3">
        <w:rPr>
          <w:rFonts w:ascii="Times New Roman" w:hAnsi="Times New Roman"/>
          <w:noProof/>
          <w:sz w:val="24"/>
        </w:rPr>
        <w:t>Transport Canada (2005). Moving on sustainable transportation program. A. r. 2005, Transports Canada.</w:t>
      </w:r>
      <w:bookmarkEnd w:id="34"/>
    </w:p>
    <w:p w14:paraId="75F9BB52"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35" w:name="_ENREF_34"/>
      <w:r w:rsidRPr="00DD02A3">
        <w:rPr>
          <w:rFonts w:ascii="Times New Roman" w:hAnsi="Times New Roman"/>
          <w:noProof/>
          <w:sz w:val="24"/>
        </w:rPr>
        <w:t xml:space="preserve">Wasfi, R., N. Ross and A. El-Geneidy (2013). "Achieving recommended daily physical activity levels through commuting by public transportation: Unpacking individual and contextual influences." </w:t>
      </w:r>
      <w:r w:rsidRPr="00DD02A3">
        <w:rPr>
          <w:rFonts w:ascii="Times New Roman" w:hAnsi="Times New Roman"/>
          <w:noProof/>
          <w:sz w:val="24"/>
          <w:u w:val="single"/>
        </w:rPr>
        <w:t>Health and Place</w:t>
      </w:r>
      <w:r w:rsidRPr="00DD02A3">
        <w:rPr>
          <w:rFonts w:ascii="Times New Roman" w:hAnsi="Times New Roman"/>
          <w:noProof/>
          <w:sz w:val="24"/>
        </w:rPr>
        <w:t xml:space="preserve"> </w:t>
      </w:r>
      <w:r w:rsidRPr="00DD02A3">
        <w:rPr>
          <w:rFonts w:ascii="Times New Roman" w:hAnsi="Times New Roman"/>
          <w:b/>
          <w:noProof/>
          <w:sz w:val="24"/>
        </w:rPr>
        <w:t>23</w:t>
      </w:r>
      <w:r w:rsidRPr="00DD02A3">
        <w:rPr>
          <w:rFonts w:ascii="Times New Roman" w:hAnsi="Times New Roman"/>
          <w:noProof/>
          <w:sz w:val="24"/>
        </w:rPr>
        <w:t>: 18-25.</w:t>
      </w:r>
      <w:bookmarkEnd w:id="35"/>
    </w:p>
    <w:p w14:paraId="3119919C" w14:textId="77777777" w:rsidR="00DD02A3" w:rsidRPr="00DD02A3" w:rsidRDefault="00DD02A3" w:rsidP="00024706">
      <w:pPr>
        <w:pStyle w:val="MediumGrid21"/>
        <w:numPr>
          <w:ilvl w:val="0"/>
          <w:numId w:val="23"/>
        </w:numPr>
        <w:spacing w:line="480" w:lineRule="auto"/>
        <w:rPr>
          <w:rFonts w:ascii="Times New Roman" w:hAnsi="Times New Roman"/>
          <w:noProof/>
          <w:sz w:val="24"/>
        </w:rPr>
      </w:pPr>
      <w:bookmarkStart w:id="36" w:name="_ENREF_35"/>
      <w:r w:rsidRPr="00DD02A3">
        <w:rPr>
          <w:rFonts w:ascii="Times New Roman" w:hAnsi="Times New Roman"/>
          <w:noProof/>
          <w:sz w:val="24"/>
        </w:rPr>
        <w:t>Wharf-Higgins, J. (2002). The Coalition for Active Living: Making the case for a crucial role for physical activity in the future of Canada’s health care system. Ottawa, Coalition for active living.</w:t>
      </w:r>
      <w:bookmarkEnd w:id="36"/>
    </w:p>
    <w:p w14:paraId="43C269B7" w14:textId="3897C2D1" w:rsidR="00DD02A3" w:rsidRDefault="00DD02A3" w:rsidP="00024706">
      <w:pPr>
        <w:pStyle w:val="MediumGrid21"/>
        <w:spacing w:line="480" w:lineRule="auto"/>
        <w:rPr>
          <w:rFonts w:ascii="Times New Roman" w:hAnsi="Times New Roman"/>
          <w:noProof/>
          <w:sz w:val="24"/>
        </w:rPr>
      </w:pPr>
    </w:p>
    <w:p w14:paraId="659BA091" w14:textId="75B3E092" w:rsidR="00BF620E" w:rsidRDefault="00DB274F" w:rsidP="009F3873">
      <w:pPr>
        <w:pStyle w:val="MediumGrid21"/>
        <w:spacing w:line="480" w:lineRule="auto"/>
        <w:rPr>
          <w:rFonts w:ascii="Times New Roman" w:hAnsi="Times New Roman"/>
          <w:b/>
          <w:sz w:val="24"/>
          <w:szCs w:val="24"/>
        </w:rPr>
      </w:pPr>
      <w:r w:rsidRPr="00856C3F">
        <w:fldChar w:fldCharType="end"/>
      </w:r>
    </w:p>
    <w:p w14:paraId="1E6BD6E9" w14:textId="77777777" w:rsidR="00BF620E" w:rsidRDefault="00BF620E" w:rsidP="009F3873">
      <w:pPr>
        <w:pStyle w:val="MediumGrid21"/>
        <w:spacing w:line="480" w:lineRule="auto"/>
        <w:rPr>
          <w:rFonts w:ascii="Times New Roman" w:hAnsi="Times New Roman"/>
          <w:b/>
          <w:sz w:val="24"/>
          <w:szCs w:val="24"/>
        </w:rPr>
      </w:pPr>
    </w:p>
    <w:p w14:paraId="2A206244" w14:textId="77777777" w:rsidR="00045B81" w:rsidRPr="00B26BEB" w:rsidRDefault="00045B81" w:rsidP="009F3873">
      <w:pPr>
        <w:spacing w:line="480" w:lineRule="auto"/>
        <w:rPr>
          <w:b/>
        </w:rPr>
      </w:pPr>
      <w:r w:rsidRPr="00B26BEB">
        <w:rPr>
          <w:b/>
        </w:rPr>
        <w:t xml:space="preserve">List of Figures: </w:t>
      </w:r>
    </w:p>
    <w:p w14:paraId="37669854" w14:textId="77777777" w:rsidR="00045B81" w:rsidRDefault="00045B81" w:rsidP="009F3873">
      <w:pPr>
        <w:spacing w:line="480" w:lineRule="auto"/>
      </w:pPr>
      <w:r w:rsidRPr="0032538D">
        <w:rPr>
          <w:b/>
        </w:rPr>
        <w:t>Figure 1:</w:t>
      </w:r>
      <w:r>
        <w:t xml:space="preserve"> </w:t>
      </w:r>
      <w:r w:rsidR="002D6ECD" w:rsidRPr="002D6ECD">
        <w:t>Construction of cohorts</w:t>
      </w:r>
    </w:p>
    <w:p w14:paraId="75EEAF3F" w14:textId="318EE8E1" w:rsidR="002D6ECD" w:rsidRDefault="00045B81" w:rsidP="009F3873">
      <w:pPr>
        <w:pStyle w:val="MediumGrid211"/>
        <w:spacing w:line="480" w:lineRule="auto"/>
        <w:ind w:right="-255"/>
        <w:rPr>
          <w:rFonts w:ascii="Times New Roman" w:hAnsi="Times New Roman"/>
          <w:iCs/>
          <w:sz w:val="24"/>
          <w:szCs w:val="24"/>
        </w:rPr>
      </w:pPr>
      <w:r w:rsidRPr="00B26BEB">
        <w:rPr>
          <w:rFonts w:ascii="Times New Roman" w:hAnsi="Times New Roman"/>
          <w:b/>
          <w:iCs/>
          <w:sz w:val="24"/>
          <w:szCs w:val="24"/>
        </w:rPr>
        <w:t>Figure 2:</w:t>
      </w:r>
      <w:r w:rsidRPr="00B26BEB">
        <w:rPr>
          <w:rFonts w:ascii="Times New Roman" w:hAnsi="Times New Roman"/>
          <w:iCs/>
          <w:sz w:val="24"/>
          <w:szCs w:val="24"/>
        </w:rPr>
        <w:t xml:space="preserve"> </w:t>
      </w:r>
      <w:r w:rsidR="002D6ECD" w:rsidRPr="00E44B04">
        <w:rPr>
          <w:rFonts w:ascii="Times New Roman" w:hAnsi="Times New Roman"/>
          <w:sz w:val="24"/>
          <w:szCs w:val="24"/>
        </w:rPr>
        <w:t xml:space="preserve">Change in utilitarian </w:t>
      </w:r>
      <w:r w:rsidR="001A13D8" w:rsidRPr="00E44B04">
        <w:rPr>
          <w:rFonts w:ascii="Times New Roman" w:hAnsi="Times New Roman"/>
          <w:sz w:val="24"/>
          <w:szCs w:val="24"/>
        </w:rPr>
        <w:t>walking</w:t>
      </w:r>
      <w:r w:rsidR="001A13D8">
        <w:rPr>
          <w:rFonts w:ascii="Times New Roman" w:hAnsi="Times New Roman"/>
          <w:sz w:val="24"/>
          <w:szCs w:val="24"/>
        </w:rPr>
        <w:t xml:space="preserve"> levels </w:t>
      </w:r>
      <w:r w:rsidR="002D6ECD" w:rsidRPr="00E44B04">
        <w:rPr>
          <w:rFonts w:ascii="Times New Roman" w:hAnsi="Times New Roman"/>
          <w:sz w:val="24"/>
          <w:szCs w:val="24"/>
        </w:rPr>
        <w:t xml:space="preserve">for urban dwelling “non-movers”, </w:t>
      </w:r>
      <w:r w:rsidR="002D6ECD" w:rsidRPr="00E44B04">
        <w:rPr>
          <w:rFonts w:ascii="Times New Roman" w:hAnsi="Times New Roman"/>
          <w:iCs/>
          <w:sz w:val="24"/>
          <w:szCs w:val="24"/>
        </w:rPr>
        <w:t>National Population Health Survey (1994/5-2006/7).</w:t>
      </w:r>
    </w:p>
    <w:p w14:paraId="60C5F0D5" w14:textId="537A4D4F" w:rsidR="00963D5B" w:rsidRPr="002B0B75" w:rsidRDefault="00045B81" w:rsidP="009F3873">
      <w:pPr>
        <w:pStyle w:val="MediumGrid211"/>
        <w:spacing w:line="480" w:lineRule="auto"/>
        <w:ind w:right="-255"/>
        <w:rPr>
          <w:rFonts w:ascii="Times New Roman" w:hAnsi="Times New Roman"/>
          <w:iCs/>
          <w:sz w:val="24"/>
          <w:szCs w:val="24"/>
        </w:rPr>
      </w:pPr>
      <w:r w:rsidRPr="003D171B">
        <w:rPr>
          <w:rFonts w:ascii="Times New Roman" w:hAnsi="Times New Roman"/>
          <w:b/>
          <w:iCs/>
          <w:sz w:val="24"/>
          <w:szCs w:val="24"/>
        </w:rPr>
        <w:t xml:space="preserve">Figure </w:t>
      </w:r>
      <w:r>
        <w:rPr>
          <w:rFonts w:ascii="Times New Roman" w:hAnsi="Times New Roman"/>
          <w:b/>
          <w:iCs/>
          <w:sz w:val="24"/>
          <w:szCs w:val="24"/>
        </w:rPr>
        <w:t>3</w:t>
      </w:r>
      <w:r w:rsidRPr="003D171B">
        <w:rPr>
          <w:rFonts w:ascii="Times New Roman" w:hAnsi="Times New Roman"/>
          <w:b/>
          <w:iCs/>
          <w:sz w:val="24"/>
          <w:szCs w:val="24"/>
        </w:rPr>
        <w:t>:</w:t>
      </w:r>
      <w:r w:rsidRPr="004804E7">
        <w:rPr>
          <w:rFonts w:ascii="Times New Roman" w:hAnsi="Times New Roman"/>
          <w:iCs/>
          <w:sz w:val="24"/>
          <w:szCs w:val="24"/>
        </w:rPr>
        <w:t xml:space="preserve"> Change in utilitarian walking </w:t>
      </w:r>
      <w:r>
        <w:rPr>
          <w:rFonts w:ascii="Times New Roman" w:hAnsi="Times New Roman"/>
          <w:iCs/>
          <w:sz w:val="24"/>
          <w:szCs w:val="24"/>
        </w:rPr>
        <w:t xml:space="preserve">for </w:t>
      </w:r>
      <w:r w:rsidRPr="004804E7">
        <w:rPr>
          <w:rFonts w:ascii="Times New Roman" w:hAnsi="Times New Roman"/>
          <w:iCs/>
          <w:sz w:val="24"/>
          <w:szCs w:val="24"/>
        </w:rPr>
        <w:t xml:space="preserve">urban dwelling </w:t>
      </w:r>
      <w:r>
        <w:rPr>
          <w:rFonts w:ascii="Times New Roman" w:hAnsi="Times New Roman"/>
          <w:iCs/>
          <w:sz w:val="24"/>
          <w:szCs w:val="24"/>
        </w:rPr>
        <w:t>“movers” from</w:t>
      </w:r>
      <w:r w:rsidRPr="004804E7">
        <w:rPr>
          <w:rFonts w:ascii="Times New Roman" w:hAnsi="Times New Roman"/>
          <w:iCs/>
          <w:sz w:val="24"/>
          <w:szCs w:val="24"/>
        </w:rPr>
        <w:t xml:space="preserve"> the National Population Health Survey</w:t>
      </w:r>
      <w:r>
        <w:rPr>
          <w:rFonts w:ascii="Times New Roman" w:hAnsi="Times New Roman"/>
          <w:iCs/>
          <w:sz w:val="24"/>
          <w:szCs w:val="24"/>
        </w:rPr>
        <w:t xml:space="preserve"> (1994/5-2006/7).</w:t>
      </w:r>
    </w:p>
    <w:sectPr w:rsidR="00963D5B" w:rsidRPr="002B0B75" w:rsidSect="0071098D">
      <w:headerReference w:type="default" r:id="rId13"/>
      <w:footerReference w:type="default" r:id="rId14"/>
      <w:pgSz w:w="12240" w:h="15840" w:code="1"/>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31C70" w14:textId="77777777" w:rsidR="00382810" w:rsidRDefault="00382810" w:rsidP="00531FF1">
      <w:r>
        <w:separator/>
      </w:r>
    </w:p>
  </w:endnote>
  <w:endnote w:type="continuationSeparator" w:id="0">
    <w:p w14:paraId="77B24846" w14:textId="77777777" w:rsidR="00382810" w:rsidRDefault="00382810" w:rsidP="0053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77757" w14:textId="77777777" w:rsidR="005A6957" w:rsidRDefault="005A6957">
    <w:pPr>
      <w:pStyle w:val="Footer"/>
      <w:jc w:val="right"/>
    </w:pPr>
    <w:r>
      <w:fldChar w:fldCharType="begin"/>
    </w:r>
    <w:r>
      <w:instrText xml:space="preserve"> PAGE   \* MERGEFORMAT </w:instrText>
    </w:r>
    <w:r>
      <w:fldChar w:fldCharType="separate"/>
    </w:r>
    <w:r w:rsidR="00386D00">
      <w:rPr>
        <w:noProof/>
      </w:rPr>
      <w:t>25</w:t>
    </w:r>
    <w:r>
      <w:rPr>
        <w:noProof/>
      </w:rPr>
      <w:fldChar w:fldCharType="end"/>
    </w:r>
  </w:p>
  <w:p w14:paraId="669A36CB" w14:textId="77777777" w:rsidR="005A6957" w:rsidRDefault="005A6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D19B2" w14:textId="77777777" w:rsidR="00382810" w:rsidRDefault="00382810" w:rsidP="00531FF1">
      <w:r>
        <w:separator/>
      </w:r>
    </w:p>
  </w:footnote>
  <w:footnote w:type="continuationSeparator" w:id="0">
    <w:p w14:paraId="2DA87ECB" w14:textId="77777777" w:rsidR="00382810" w:rsidRDefault="00382810" w:rsidP="00531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B7008" w14:textId="77777777" w:rsidR="005A6957" w:rsidRPr="0008552C" w:rsidRDefault="005A6957" w:rsidP="0008552C">
    <w:pPr>
      <w:pStyle w:val="Header"/>
      <w:rPr>
        <w:i/>
        <w:sz w:val="16"/>
        <w:szCs w:val="16"/>
        <w:lang w:val="en-CA"/>
      </w:rPr>
    </w:pPr>
    <w:r>
      <w:rPr>
        <w:i/>
        <w:sz w:val="16"/>
        <w:szCs w:val="16"/>
        <w:lang w:val="en-CA"/>
      </w:rPr>
      <w:tab/>
    </w:r>
    <w:r>
      <w:rPr>
        <w:i/>
        <w:sz w:val="16"/>
        <w:szCs w:val="16"/>
        <w:lang w:val="en-CA"/>
      </w:rPr>
      <w:tab/>
    </w:r>
    <w:r w:rsidRPr="0008552C">
      <w:rPr>
        <w:i/>
        <w:sz w:val="16"/>
        <w:szCs w:val="16"/>
      </w:rPr>
      <w:tab/>
    </w:r>
    <w:r w:rsidRPr="0008552C">
      <w:rPr>
        <w:i/>
        <w:sz w:val="16"/>
        <w:szCs w:val="16"/>
        <w:lang w:val="en-CA"/>
      </w:rPr>
      <w:tab/>
    </w:r>
  </w:p>
  <w:p w14:paraId="1095C3F1" w14:textId="77777777" w:rsidR="005A6957" w:rsidRPr="003C746A" w:rsidRDefault="005A6957">
    <w:pPr>
      <w:pStyle w:val="Header"/>
      <w:rPr>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D7AF6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97E66"/>
    <w:multiLevelType w:val="hybridMultilevel"/>
    <w:tmpl w:val="A7FAA0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FC5026"/>
    <w:multiLevelType w:val="hybridMultilevel"/>
    <w:tmpl w:val="0FDA7748"/>
    <w:lvl w:ilvl="0" w:tplc="A41A1F9C">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9E5BA6"/>
    <w:multiLevelType w:val="hybridMultilevel"/>
    <w:tmpl w:val="81D6668A"/>
    <w:lvl w:ilvl="0" w:tplc="8B14002C">
      <w:start w:val="1"/>
      <w:numFmt w:val="decimal"/>
      <w:lvlText w:val="3.3.%1"/>
      <w:lvlJc w:val="left"/>
      <w:pPr>
        <w:ind w:left="720" w:hanging="360"/>
      </w:pPr>
      <w:rPr>
        <w:rFonts w:hint="default"/>
        <w:b/>
        <w:sz w:val="28"/>
      </w:rPr>
    </w:lvl>
    <w:lvl w:ilvl="1" w:tplc="91B8D31E">
      <w:start w:val="1"/>
      <w:numFmt w:val="decimal"/>
      <w:lvlText w:val="3.3.2.%2"/>
      <w:lvlJc w:val="left"/>
      <w:pPr>
        <w:ind w:left="1440" w:hanging="360"/>
      </w:pPr>
      <w:rPr>
        <w:rFonts w:hint="default"/>
        <w:b/>
        <w:sz w:val="28"/>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EA16BF"/>
    <w:multiLevelType w:val="multilevel"/>
    <w:tmpl w:val="9E547D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E016460"/>
    <w:multiLevelType w:val="hybridMultilevel"/>
    <w:tmpl w:val="488C9334"/>
    <w:lvl w:ilvl="0" w:tplc="D0F01CB4">
      <w:start w:val="1"/>
      <w:numFmt w:val="decimal"/>
      <w:lvlText w:val="3.%1"/>
      <w:lvlJc w:val="left"/>
      <w:pPr>
        <w:ind w:left="720" w:hanging="360"/>
      </w:pPr>
      <w:rPr>
        <w:rFonts w:hint="default"/>
        <w:b/>
        <w:sz w:val="28"/>
      </w:rPr>
    </w:lvl>
    <w:lvl w:ilvl="1" w:tplc="D0F01CB4">
      <w:start w:val="1"/>
      <w:numFmt w:val="decimal"/>
      <w:lvlText w:val="3.%2"/>
      <w:lvlJc w:val="left"/>
      <w:pPr>
        <w:ind w:left="1440" w:hanging="360"/>
      </w:pPr>
      <w:rPr>
        <w:rFonts w:hint="default"/>
        <w:b/>
        <w:sz w:val="28"/>
      </w:r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0C26B4F"/>
    <w:multiLevelType w:val="multilevel"/>
    <w:tmpl w:val="D0A4C28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363377E"/>
    <w:multiLevelType w:val="hybridMultilevel"/>
    <w:tmpl w:val="14A67280"/>
    <w:lvl w:ilvl="0" w:tplc="7A268D82">
      <w:start w:val="1"/>
      <w:numFmt w:val="decimal"/>
      <w:lvlText w:val="2.%1"/>
      <w:lvlJc w:val="left"/>
      <w:pPr>
        <w:ind w:left="630" w:hanging="360"/>
      </w:pPr>
      <w:rPr>
        <w:rFonts w:hint="default"/>
        <w:b/>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94B6232"/>
    <w:multiLevelType w:val="hybridMultilevel"/>
    <w:tmpl w:val="A4B66D0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821C92"/>
    <w:multiLevelType w:val="hybridMultilevel"/>
    <w:tmpl w:val="C246A53C"/>
    <w:lvl w:ilvl="0" w:tplc="8B14002C">
      <w:start w:val="1"/>
      <w:numFmt w:val="decimal"/>
      <w:lvlText w:val="3.3.%1"/>
      <w:lvlJc w:val="left"/>
      <w:pPr>
        <w:ind w:left="644" w:hanging="360"/>
      </w:pPr>
      <w:rPr>
        <w:rFonts w:hint="default"/>
        <w:b/>
        <w:sz w:val="28"/>
      </w:rPr>
    </w:lvl>
    <w:lvl w:ilvl="1" w:tplc="91B8D31E">
      <w:start w:val="1"/>
      <w:numFmt w:val="decimal"/>
      <w:lvlText w:val="3.3.2.%2"/>
      <w:lvlJc w:val="left"/>
      <w:pPr>
        <w:ind w:left="1364" w:hanging="360"/>
      </w:pPr>
      <w:rPr>
        <w:rFonts w:hint="default"/>
        <w:b/>
        <w:sz w:val="28"/>
      </w:r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0" w15:restartNumberingAfterBreak="0">
    <w:nsid w:val="2C9C1C58"/>
    <w:multiLevelType w:val="hybridMultilevel"/>
    <w:tmpl w:val="271CA64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3F45ADB"/>
    <w:multiLevelType w:val="hybridMultilevel"/>
    <w:tmpl w:val="8A708AA6"/>
    <w:lvl w:ilvl="0" w:tplc="70C48FAE">
      <w:start w:val="1"/>
      <w:numFmt w:val="bullet"/>
      <w:lvlText w:val=""/>
      <w:lvlJc w:val="left"/>
      <w:pPr>
        <w:ind w:left="1069" w:hanging="360"/>
      </w:pPr>
      <w:rPr>
        <w:rFonts w:ascii="Symbol" w:eastAsia="Times New Roman" w:hAnsi="Symbol" w:cs="Times New Roman"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2" w15:restartNumberingAfterBreak="0">
    <w:nsid w:val="45342957"/>
    <w:multiLevelType w:val="hybridMultilevel"/>
    <w:tmpl w:val="C63A4F54"/>
    <w:lvl w:ilvl="0" w:tplc="BE322A9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311035D"/>
    <w:multiLevelType w:val="hybridMultilevel"/>
    <w:tmpl w:val="EF6CBCB2"/>
    <w:lvl w:ilvl="0" w:tplc="74BE2BE2">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63D6E6F"/>
    <w:multiLevelType w:val="hybridMultilevel"/>
    <w:tmpl w:val="F768F816"/>
    <w:lvl w:ilvl="0" w:tplc="F1B087EC">
      <w:start w:val="1"/>
      <w:numFmt w:val="decimal"/>
      <w:lvlText w:val="3.3.1.%1"/>
      <w:lvlJc w:val="left"/>
      <w:pPr>
        <w:ind w:left="1080" w:hanging="360"/>
      </w:pPr>
      <w:rPr>
        <w:rFonts w:hint="default"/>
        <w:b/>
        <w:sz w:val="28"/>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D297A31"/>
    <w:multiLevelType w:val="hybridMultilevel"/>
    <w:tmpl w:val="8A86BCA8"/>
    <w:lvl w:ilvl="0" w:tplc="1009000F">
      <w:start w:val="1"/>
      <w:numFmt w:val="decimal"/>
      <w:lvlText w:val="%1."/>
      <w:lvlJc w:val="left"/>
      <w:pPr>
        <w:ind w:left="720" w:hanging="360"/>
      </w:pPr>
    </w:lvl>
    <w:lvl w:ilvl="1" w:tplc="7A268D82">
      <w:start w:val="1"/>
      <w:numFmt w:val="decimal"/>
      <w:lvlText w:val="2.%2"/>
      <w:lvlJc w:val="left"/>
      <w:pPr>
        <w:ind w:left="1440" w:hanging="360"/>
      </w:pPr>
      <w:rPr>
        <w:rFonts w:hint="default"/>
        <w:b/>
        <w:sz w:val="28"/>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E352F79"/>
    <w:multiLevelType w:val="hybridMultilevel"/>
    <w:tmpl w:val="A8A0775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7"/>
  </w:num>
  <w:num w:numId="4">
    <w:abstractNumId w:val="5"/>
  </w:num>
  <w:num w:numId="5">
    <w:abstractNumId w:val="3"/>
  </w:num>
  <w:num w:numId="6">
    <w:abstractNumId w:val="14"/>
  </w:num>
  <w:num w:numId="7">
    <w:abstractNumId w:val="9"/>
  </w:num>
  <w:num w:numId="8">
    <w:abstractNumId w:val="1"/>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11"/>
  </w:num>
  <w:num w:numId="19">
    <w:abstractNumId w:val="13"/>
  </w:num>
  <w:num w:numId="20">
    <w:abstractNumId w:val="16"/>
  </w:num>
  <w:num w:numId="21">
    <w:abstractNumId w:val="10"/>
  </w:num>
  <w:num w:numId="22">
    <w:abstractNumId w:val="12"/>
  </w:num>
  <w:num w:numId="2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p0x5dweyf5fpve0aecvexej50xdfspe0wdp&quot;&gt;Wasfi_dissertation_3&lt;record-ids&gt;&lt;item&gt;23&lt;/item&gt;&lt;item&gt;24&lt;/item&gt;&lt;item&gt;25&lt;/item&gt;&lt;item&gt;26&lt;/item&gt;&lt;item&gt;27&lt;/item&gt;&lt;item&gt;28&lt;/item&gt;&lt;item&gt;29&lt;/item&gt;&lt;item&gt;30&lt;/item&gt;&lt;item&gt;31&lt;/item&gt;&lt;item&gt;38&lt;/item&gt;&lt;item&gt;39&lt;/item&gt;&lt;item&gt;41&lt;/item&gt;&lt;item&gt;42&lt;/item&gt;&lt;item&gt;47&lt;/item&gt;&lt;item&gt;48&lt;/item&gt;&lt;item&gt;79&lt;/item&gt;&lt;item&gt;82&lt;/item&gt;&lt;item&gt;107&lt;/item&gt;&lt;item&gt;112&lt;/item&gt;&lt;item&gt;113&lt;/item&gt;&lt;item&gt;127&lt;/item&gt;&lt;item&gt;129&lt;/item&gt;&lt;item&gt;135&lt;/item&gt;&lt;item&gt;172&lt;/item&gt;&lt;item&gt;173&lt;/item&gt;&lt;item&gt;174&lt;/item&gt;&lt;item&gt;175&lt;/item&gt;&lt;item&gt;176&lt;/item&gt;&lt;item&gt;177&lt;/item&gt;&lt;item&gt;178&lt;/item&gt;&lt;item&gt;208&lt;/item&gt;&lt;item&gt;209&lt;/item&gt;&lt;item&gt;210&lt;/item&gt;&lt;/record-ids&gt;&lt;/item&gt;&lt;item db-id=&quot;v0v0dxx91v5298ep0vqpdzd95wszw05aspwp&quot;&gt;Obesity_TB Copy&lt;record-ids&gt;&lt;item&gt;93&lt;/item&gt;&lt;/record-ids&gt;&lt;/item&gt;&lt;/Libraries&gt;"/>
  </w:docVars>
  <w:rsids>
    <w:rsidRoot w:val="00672129"/>
    <w:rsid w:val="000013A3"/>
    <w:rsid w:val="000040A6"/>
    <w:rsid w:val="000043FB"/>
    <w:rsid w:val="00006346"/>
    <w:rsid w:val="00006738"/>
    <w:rsid w:val="0000684A"/>
    <w:rsid w:val="000114C0"/>
    <w:rsid w:val="000116FA"/>
    <w:rsid w:val="000128EF"/>
    <w:rsid w:val="00012BA1"/>
    <w:rsid w:val="00013262"/>
    <w:rsid w:val="00013673"/>
    <w:rsid w:val="00013858"/>
    <w:rsid w:val="00013BAD"/>
    <w:rsid w:val="0001426A"/>
    <w:rsid w:val="00014558"/>
    <w:rsid w:val="00015BC8"/>
    <w:rsid w:val="000164BE"/>
    <w:rsid w:val="00016E18"/>
    <w:rsid w:val="00016FEC"/>
    <w:rsid w:val="00017086"/>
    <w:rsid w:val="000177C1"/>
    <w:rsid w:val="00017C92"/>
    <w:rsid w:val="00020B5E"/>
    <w:rsid w:val="00020BC2"/>
    <w:rsid w:val="00020CC9"/>
    <w:rsid w:val="00020E2E"/>
    <w:rsid w:val="00020F3A"/>
    <w:rsid w:val="00021900"/>
    <w:rsid w:val="00021A44"/>
    <w:rsid w:val="00021A56"/>
    <w:rsid w:val="000227EF"/>
    <w:rsid w:val="000230B5"/>
    <w:rsid w:val="000239CC"/>
    <w:rsid w:val="000244BE"/>
    <w:rsid w:val="00024706"/>
    <w:rsid w:val="000250FA"/>
    <w:rsid w:val="000253E9"/>
    <w:rsid w:val="00030CA8"/>
    <w:rsid w:val="000319BF"/>
    <w:rsid w:val="00032103"/>
    <w:rsid w:val="0003240C"/>
    <w:rsid w:val="000326E8"/>
    <w:rsid w:val="00032FC1"/>
    <w:rsid w:val="00033F4C"/>
    <w:rsid w:val="00034122"/>
    <w:rsid w:val="000341B2"/>
    <w:rsid w:val="0003507F"/>
    <w:rsid w:val="0003659D"/>
    <w:rsid w:val="0003692B"/>
    <w:rsid w:val="00036968"/>
    <w:rsid w:val="00037035"/>
    <w:rsid w:val="000371C5"/>
    <w:rsid w:val="00037491"/>
    <w:rsid w:val="000375FB"/>
    <w:rsid w:val="00040346"/>
    <w:rsid w:val="000426C8"/>
    <w:rsid w:val="00042C76"/>
    <w:rsid w:val="00043182"/>
    <w:rsid w:val="00043681"/>
    <w:rsid w:val="00043B1E"/>
    <w:rsid w:val="00044923"/>
    <w:rsid w:val="00045772"/>
    <w:rsid w:val="00045B81"/>
    <w:rsid w:val="000476CD"/>
    <w:rsid w:val="00050290"/>
    <w:rsid w:val="00050489"/>
    <w:rsid w:val="000522D9"/>
    <w:rsid w:val="00052461"/>
    <w:rsid w:val="00052465"/>
    <w:rsid w:val="000527BE"/>
    <w:rsid w:val="000527F3"/>
    <w:rsid w:val="00054822"/>
    <w:rsid w:val="00056592"/>
    <w:rsid w:val="000576C8"/>
    <w:rsid w:val="00057790"/>
    <w:rsid w:val="000615F5"/>
    <w:rsid w:val="000616CE"/>
    <w:rsid w:val="00061AAF"/>
    <w:rsid w:val="000620F5"/>
    <w:rsid w:val="000622E0"/>
    <w:rsid w:val="00062FCC"/>
    <w:rsid w:val="0006336E"/>
    <w:rsid w:val="0006438B"/>
    <w:rsid w:val="00064481"/>
    <w:rsid w:val="000668B1"/>
    <w:rsid w:val="00066E8A"/>
    <w:rsid w:val="00067107"/>
    <w:rsid w:val="000676DC"/>
    <w:rsid w:val="00067EE0"/>
    <w:rsid w:val="00071D70"/>
    <w:rsid w:val="00073E94"/>
    <w:rsid w:val="000745DD"/>
    <w:rsid w:val="0007461C"/>
    <w:rsid w:val="000749C2"/>
    <w:rsid w:val="0007618F"/>
    <w:rsid w:val="00076851"/>
    <w:rsid w:val="000778B7"/>
    <w:rsid w:val="0008009B"/>
    <w:rsid w:val="000832F8"/>
    <w:rsid w:val="000834BF"/>
    <w:rsid w:val="0008390D"/>
    <w:rsid w:val="000840E8"/>
    <w:rsid w:val="000844AC"/>
    <w:rsid w:val="000844F5"/>
    <w:rsid w:val="0008552C"/>
    <w:rsid w:val="00085D15"/>
    <w:rsid w:val="00085E95"/>
    <w:rsid w:val="0008676A"/>
    <w:rsid w:val="00086B08"/>
    <w:rsid w:val="00086C7F"/>
    <w:rsid w:val="000876FB"/>
    <w:rsid w:val="00087D49"/>
    <w:rsid w:val="000901B3"/>
    <w:rsid w:val="00090ADF"/>
    <w:rsid w:val="00090AE8"/>
    <w:rsid w:val="0009179B"/>
    <w:rsid w:val="00093127"/>
    <w:rsid w:val="0009319D"/>
    <w:rsid w:val="00093D8C"/>
    <w:rsid w:val="000942E3"/>
    <w:rsid w:val="0009678B"/>
    <w:rsid w:val="00096CF4"/>
    <w:rsid w:val="00097566"/>
    <w:rsid w:val="000A03A1"/>
    <w:rsid w:val="000A0AF8"/>
    <w:rsid w:val="000A0BBB"/>
    <w:rsid w:val="000A0CA0"/>
    <w:rsid w:val="000A20A1"/>
    <w:rsid w:val="000A2B56"/>
    <w:rsid w:val="000A37E9"/>
    <w:rsid w:val="000A381F"/>
    <w:rsid w:val="000A51DB"/>
    <w:rsid w:val="000A5778"/>
    <w:rsid w:val="000A5D51"/>
    <w:rsid w:val="000A6DD1"/>
    <w:rsid w:val="000A6FD5"/>
    <w:rsid w:val="000A7679"/>
    <w:rsid w:val="000A7B7F"/>
    <w:rsid w:val="000B028B"/>
    <w:rsid w:val="000B18FC"/>
    <w:rsid w:val="000B1AF5"/>
    <w:rsid w:val="000B2648"/>
    <w:rsid w:val="000B2BF9"/>
    <w:rsid w:val="000B2E97"/>
    <w:rsid w:val="000B48EC"/>
    <w:rsid w:val="000B4B39"/>
    <w:rsid w:val="000B5114"/>
    <w:rsid w:val="000B5640"/>
    <w:rsid w:val="000B5D82"/>
    <w:rsid w:val="000C1CC1"/>
    <w:rsid w:val="000C1F56"/>
    <w:rsid w:val="000C25C0"/>
    <w:rsid w:val="000C2910"/>
    <w:rsid w:val="000C311C"/>
    <w:rsid w:val="000C31D9"/>
    <w:rsid w:val="000C36C4"/>
    <w:rsid w:val="000C3F7F"/>
    <w:rsid w:val="000C58DF"/>
    <w:rsid w:val="000C6090"/>
    <w:rsid w:val="000C6C70"/>
    <w:rsid w:val="000C6D86"/>
    <w:rsid w:val="000C704A"/>
    <w:rsid w:val="000C7143"/>
    <w:rsid w:val="000D050D"/>
    <w:rsid w:val="000D1361"/>
    <w:rsid w:val="000D15B4"/>
    <w:rsid w:val="000D1EF9"/>
    <w:rsid w:val="000D2012"/>
    <w:rsid w:val="000D2E9E"/>
    <w:rsid w:val="000D37BD"/>
    <w:rsid w:val="000D5026"/>
    <w:rsid w:val="000D5C23"/>
    <w:rsid w:val="000D61DD"/>
    <w:rsid w:val="000D77EC"/>
    <w:rsid w:val="000D7921"/>
    <w:rsid w:val="000E0336"/>
    <w:rsid w:val="000E06E6"/>
    <w:rsid w:val="000E0ED2"/>
    <w:rsid w:val="000E11DC"/>
    <w:rsid w:val="000E204A"/>
    <w:rsid w:val="000E20CF"/>
    <w:rsid w:val="000E218A"/>
    <w:rsid w:val="000E21E1"/>
    <w:rsid w:val="000E2B48"/>
    <w:rsid w:val="000E3C81"/>
    <w:rsid w:val="000E3DB5"/>
    <w:rsid w:val="000E41A0"/>
    <w:rsid w:val="000E459E"/>
    <w:rsid w:val="000E4653"/>
    <w:rsid w:val="000E5023"/>
    <w:rsid w:val="000E535B"/>
    <w:rsid w:val="000E5741"/>
    <w:rsid w:val="000E5CA5"/>
    <w:rsid w:val="000E5F88"/>
    <w:rsid w:val="000E647B"/>
    <w:rsid w:val="000E6745"/>
    <w:rsid w:val="000E6C08"/>
    <w:rsid w:val="000E6EE5"/>
    <w:rsid w:val="000E79E4"/>
    <w:rsid w:val="000F0C7A"/>
    <w:rsid w:val="000F1152"/>
    <w:rsid w:val="000F17EB"/>
    <w:rsid w:val="000F23AB"/>
    <w:rsid w:val="000F2B03"/>
    <w:rsid w:val="000F3197"/>
    <w:rsid w:val="000F3D1B"/>
    <w:rsid w:val="000F3F14"/>
    <w:rsid w:val="000F3F61"/>
    <w:rsid w:val="000F4E3C"/>
    <w:rsid w:val="000F6030"/>
    <w:rsid w:val="000F6E79"/>
    <w:rsid w:val="000F789C"/>
    <w:rsid w:val="001002CC"/>
    <w:rsid w:val="00100A1D"/>
    <w:rsid w:val="00100FD2"/>
    <w:rsid w:val="001014A0"/>
    <w:rsid w:val="00101651"/>
    <w:rsid w:val="00102CD7"/>
    <w:rsid w:val="00102D11"/>
    <w:rsid w:val="00103041"/>
    <w:rsid w:val="00103EEB"/>
    <w:rsid w:val="00104BD0"/>
    <w:rsid w:val="00104BF6"/>
    <w:rsid w:val="00104D8D"/>
    <w:rsid w:val="00104F39"/>
    <w:rsid w:val="00105B1C"/>
    <w:rsid w:val="001067AE"/>
    <w:rsid w:val="00106B67"/>
    <w:rsid w:val="00106F99"/>
    <w:rsid w:val="00110D6A"/>
    <w:rsid w:val="00111103"/>
    <w:rsid w:val="00111AC8"/>
    <w:rsid w:val="0011326E"/>
    <w:rsid w:val="00113AC6"/>
    <w:rsid w:val="00113E65"/>
    <w:rsid w:val="00114878"/>
    <w:rsid w:val="00114DD6"/>
    <w:rsid w:val="00116576"/>
    <w:rsid w:val="0011699C"/>
    <w:rsid w:val="00116C4D"/>
    <w:rsid w:val="00116DCF"/>
    <w:rsid w:val="00117D94"/>
    <w:rsid w:val="00120281"/>
    <w:rsid w:val="001203B7"/>
    <w:rsid w:val="001219F8"/>
    <w:rsid w:val="00121D4E"/>
    <w:rsid w:val="00122687"/>
    <w:rsid w:val="00122AA9"/>
    <w:rsid w:val="0012434E"/>
    <w:rsid w:val="00124586"/>
    <w:rsid w:val="0012473C"/>
    <w:rsid w:val="00124CF0"/>
    <w:rsid w:val="00125260"/>
    <w:rsid w:val="001256B6"/>
    <w:rsid w:val="0012719F"/>
    <w:rsid w:val="0012763A"/>
    <w:rsid w:val="0013000D"/>
    <w:rsid w:val="001306F9"/>
    <w:rsid w:val="00130BA9"/>
    <w:rsid w:val="00130D12"/>
    <w:rsid w:val="00131300"/>
    <w:rsid w:val="00131A38"/>
    <w:rsid w:val="0013285B"/>
    <w:rsid w:val="00133449"/>
    <w:rsid w:val="00133B5E"/>
    <w:rsid w:val="00134A50"/>
    <w:rsid w:val="00134B76"/>
    <w:rsid w:val="00134BFE"/>
    <w:rsid w:val="0013588B"/>
    <w:rsid w:val="00135C7C"/>
    <w:rsid w:val="001363B9"/>
    <w:rsid w:val="00136C88"/>
    <w:rsid w:val="00136D33"/>
    <w:rsid w:val="001377E1"/>
    <w:rsid w:val="00137CCE"/>
    <w:rsid w:val="00140929"/>
    <w:rsid w:val="00140DA7"/>
    <w:rsid w:val="0014122E"/>
    <w:rsid w:val="0014165A"/>
    <w:rsid w:val="00141EBE"/>
    <w:rsid w:val="00142FF9"/>
    <w:rsid w:val="001430ED"/>
    <w:rsid w:val="001443BE"/>
    <w:rsid w:val="00144BF6"/>
    <w:rsid w:val="00145126"/>
    <w:rsid w:val="00145F90"/>
    <w:rsid w:val="00146377"/>
    <w:rsid w:val="00150421"/>
    <w:rsid w:val="001505F3"/>
    <w:rsid w:val="00150695"/>
    <w:rsid w:val="00150BE9"/>
    <w:rsid w:val="00151FC2"/>
    <w:rsid w:val="00152950"/>
    <w:rsid w:val="001538C7"/>
    <w:rsid w:val="001542A0"/>
    <w:rsid w:val="001542D4"/>
    <w:rsid w:val="0015430A"/>
    <w:rsid w:val="00155374"/>
    <w:rsid w:val="00156269"/>
    <w:rsid w:val="00157E90"/>
    <w:rsid w:val="001600C3"/>
    <w:rsid w:val="001603B5"/>
    <w:rsid w:val="00160763"/>
    <w:rsid w:val="00160A76"/>
    <w:rsid w:val="001612BB"/>
    <w:rsid w:val="0016199D"/>
    <w:rsid w:val="00161C78"/>
    <w:rsid w:val="001626B4"/>
    <w:rsid w:val="00162B84"/>
    <w:rsid w:val="001635AD"/>
    <w:rsid w:val="001637C3"/>
    <w:rsid w:val="0016423D"/>
    <w:rsid w:val="00164258"/>
    <w:rsid w:val="00164478"/>
    <w:rsid w:val="00164F47"/>
    <w:rsid w:val="00165AC2"/>
    <w:rsid w:val="0016614F"/>
    <w:rsid w:val="001668EE"/>
    <w:rsid w:val="00166EC6"/>
    <w:rsid w:val="00166F8D"/>
    <w:rsid w:val="001674B3"/>
    <w:rsid w:val="00167B70"/>
    <w:rsid w:val="001731CB"/>
    <w:rsid w:val="00173A52"/>
    <w:rsid w:val="00174295"/>
    <w:rsid w:val="00175CDA"/>
    <w:rsid w:val="00176946"/>
    <w:rsid w:val="001773F8"/>
    <w:rsid w:val="00177408"/>
    <w:rsid w:val="00180B4C"/>
    <w:rsid w:val="0018159E"/>
    <w:rsid w:val="001819DB"/>
    <w:rsid w:val="00181ABA"/>
    <w:rsid w:val="00181B1A"/>
    <w:rsid w:val="00182851"/>
    <w:rsid w:val="00182B9E"/>
    <w:rsid w:val="00182EE1"/>
    <w:rsid w:val="0018303B"/>
    <w:rsid w:val="001830FD"/>
    <w:rsid w:val="00183522"/>
    <w:rsid w:val="001841B9"/>
    <w:rsid w:val="00184219"/>
    <w:rsid w:val="00184B71"/>
    <w:rsid w:val="001851C5"/>
    <w:rsid w:val="0018566E"/>
    <w:rsid w:val="00185816"/>
    <w:rsid w:val="0018659B"/>
    <w:rsid w:val="001866E4"/>
    <w:rsid w:val="00187CAC"/>
    <w:rsid w:val="00190E35"/>
    <w:rsid w:val="001912D3"/>
    <w:rsid w:val="001917D3"/>
    <w:rsid w:val="00192597"/>
    <w:rsid w:val="00192B24"/>
    <w:rsid w:val="0019361A"/>
    <w:rsid w:val="0019440B"/>
    <w:rsid w:val="0019444D"/>
    <w:rsid w:val="0019558E"/>
    <w:rsid w:val="00195931"/>
    <w:rsid w:val="00195C3F"/>
    <w:rsid w:val="00195D0C"/>
    <w:rsid w:val="001A1320"/>
    <w:rsid w:val="001A13D8"/>
    <w:rsid w:val="001A2505"/>
    <w:rsid w:val="001A2720"/>
    <w:rsid w:val="001A304E"/>
    <w:rsid w:val="001A340E"/>
    <w:rsid w:val="001A46B2"/>
    <w:rsid w:val="001A4A1B"/>
    <w:rsid w:val="001A5F54"/>
    <w:rsid w:val="001A602E"/>
    <w:rsid w:val="001A635C"/>
    <w:rsid w:val="001A70A5"/>
    <w:rsid w:val="001A73DF"/>
    <w:rsid w:val="001B1064"/>
    <w:rsid w:val="001B146B"/>
    <w:rsid w:val="001B2070"/>
    <w:rsid w:val="001B3FF7"/>
    <w:rsid w:val="001B4353"/>
    <w:rsid w:val="001B4743"/>
    <w:rsid w:val="001B5725"/>
    <w:rsid w:val="001B5800"/>
    <w:rsid w:val="001B5B2E"/>
    <w:rsid w:val="001B7DE8"/>
    <w:rsid w:val="001C0A7A"/>
    <w:rsid w:val="001C1795"/>
    <w:rsid w:val="001C24F5"/>
    <w:rsid w:val="001C3640"/>
    <w:rsid w:val="001C3F44"/>
    <w:rsid w:val="001C429E"/>
    <w:rsid w:val="001C4387"/>
    <w:rsid w:val="001C452A"/>
    <w:rsid w:val="001C489D"/>
    <w:rsid w:val="001C4B88"/>
    <w:rsid w:val="001D003C"/>
    <w:rsid w:val="001D053B"/>
    <w:rsid w:val="001D0807"/>
    <w:rsid w:val="001D2084"/>
    <w:rsid w:val="001D22A0"/>
    <w:rsid w:val="001D27CA"/>
    <w:rsid w:val="001D2F35"/>
    <w:rsid w:val="001D421C"/>
    <w:rsid w:val="001D4B3A"/>
    <w:rsid w:val="001D4EAB"/>
    <w:rsid w:val="001D501D"/>
    <w:rsid w:val="001D50B6"/>
    <w:rsid w:val="001D51FD"/>
    <w:rsid w:val="001D6A5F"/>
    <w:rsid w:val="001D6A6F"/>
    <w:rsid w:val="001D6B14"/>
    <w:rsid w:val="001D6BB7"/>
    <w:rsid w:val="001D79EC"/>
    <w:rsid w:val="001E0292"/>
    <w:rsid w:val="001E0D22"/>
    <w:rsid w:val="001E11D4"/>
    <w:rsid w:val="001E1EE2"/>
    <w:rsid w:val="001E22B7"/>
    <w:rsid w:val="001E4D2B"/>
    <w:rsid w:val="001E4E93"/>
    <w:rsid w:val="001E536E"/>
    <w:rsid w:val="001E633D"/>
    <w:rsid w:val="001E6C39"/>
    <w:rsid w:val="001E7B7A"/>
    <w:rsid w:val="001F0395"/>
    <w:rsid w:val="001F1244"/>
    <w:rsid w:val="001F1CFC"/>
    <w:rsid w:val="001F1D9A"/>
    <w:rsid w:val="001F26E9"/>
    <w:rsid w:val="001F3947"/>
    <w:rsid w:val="001F4B65"/>
    <w:rsid w:val="001F4C18"/>
    <w:rsid w:val="001F5380"/>
    <w:rsid w:val="001F62EB"/>
    <w:rsid w:val="001F7695"/>
    <w:rsid w:val="0020002A"/>
    <w:rsid w:val="0020011C"/>
    <w:rsid w:val="002001EE"/>
    <w:rsid w:val="00200C76"/>
    <w:rsid w:val="00201030"/>
    <w:rsid w:val="00201217"/>
    <w:rsid w:val="00202A28"/>
    <w:rsid w:val="002033D2"/>
    <w:rsid w:val="00203904"/>
    <w:rsid w:val="00203C74"/>
    <w:rsid w:val="0020440E"/>
    <w:rsid w:val="0020533C"/>
    <w:rsid w:val="00205EC8"/>
    <w:rsid w:val="00206CE3"/>
    <w:rsid w:val="002073E9"/>
    <w:rsid w:val="00207606"/>
    <w:rsid w:val="00207637"/>
    <w:rsid w:val="002100D6"/>
    <w:rsid w:val="00210F25"/>
    <w:rsid w:val="00211C0D"/>
    <w:rsid w:val="0021278D"/>
    <w:rsid w:val="002131BC"/>
    <w:rsid w:val="00214652"/>
    <w:rsid w:val="002158F1"/>
    <w:rsid w:val="00215B87"/>
    <w:rsid w:val="00217330"/>
    <w:rsid w:val="00217FA2"/>
    <w:rsid w:val="00220C0D"/>
    <w:rsid w:val="00221851"/>
    <w:rsid w:val="00222341"/>
    <w:rsid w:val="002229D0"/>
    <w:rsid w:val="00222D8E"/>
    <w:rsid w:val="00223CFD"/>
    <w:rsid w:val="00223FEE"/>
    <w:rsid w:val="00224486"/>
    <w:rsid w:val="00224AE2"/>
    <w:rsid w:val="00227838"/>
    <w:rsid w:val="00227852"/>
    <w:rsid w:val="00230AE3"/>
    <w:rsid w:val="0023328C"/>
    <w:rsid w:val="002341CD"/>
    <w:rsid w:val="00234BB8"/>
    <w:rsid w:val="0023500A"/>
    <w:rsid w:val="00235E67"/>
    <w:rsid w:val="0023622E"/>
    <w:rsid w:val="00236716"/>
    <w:rsid w:val="002368C2"/>
    <w:rsid w:val="002369AC"/>
    <w:rsid w:val="00237D3C"/>
    <w:rsid w:val="002407FA"/>
    <w:rsid w:val="00240A87"/>
    <w:rsid w:val="00240B6F"/>
    <w:rsid w:val="002415A7"/>
    <w:rsid w:val="00241819"/>
    <w:rsid w:val="002419C9"/>
    <w:rsid w:val="00242F66"/>
    <w:rsid w:val="0024388D"/>
    <w:rsid w:val="0024388E"/>
    <w:rsid w:val="00244F05"/>
    <w:rsid w:val="002467B2"/>
    <w:rsid w:val="002479D5"/>
    <w:rsid w:val="00250392"/>
    <w:rsid w:val="0025261F"/>
    <w:rsid w:val="00252D47"/>
    <w:rsid w:val="0025377C"/>
    <w:rsid w:val="00253DE9"/>
    <w:rsid w:val="00254393"/>
    <w:rsid w:val="0025497D"/>
    <w:rsid w:val="00254BDE"/>
    <w:rsid w:val="002555E6"/>
    <w:rsid w:val="00256559"/>
    <w:rsid w:val="00256672"/>
    <w:rsid w:val="002577B5"/>
    <w:rsid w:val="00257CA3"/>
    <w:rsid w:val="00257D34"/>
    <w:rsid w:val="00260540"/>
    <w:rsid w:val="00262492"/>
    <w:rsid w:val="00262692"/>
    <w:rsid w:val="00263124"/>
    <w:rsid w:val="002639AA"/>
    <w:rsid w:val="00264476"/>
    <w:rsid w:val="00264B1D"/>
    <w:rsid w:val="0026574E"/>
    <w:rsid w:val="00270446"/>
    <w:rsid w:val="00270E0B"/>
    <w:rsid w:val="002711AB"/>
    <w:rsid w:val="00271292"/>
    <w:rsid w:val="002726F7"/>
    <w:rsid w:val="002729A2"/>
    <w:rsid w:val="002729DB"/>
    <w:rsid w:val="002731CE"/>
    <w:rsid w:val="00273278"/>
    <w:rsid w:val="00274482"/>
    <w:rsid w:val="002745F6"/>
    <w:rsid w:val="0027571A"/>
    <w:rsid w:val="00275CEC"/>
    <w:rsid w:val="00276238"/>
    <w:rsid w:val="00276949"/>
    <w:rsid w:val="00276A91"/>
    <w:rsid w:val="002770A9"/>
    <w:rsid w:val="002778A1"/>
    <w:rsid w:val="00281473"/>
    <w:rsid w:val="002817CB"/>
    <w:rsid w:val="00283847"/>
    <w:rsid w:val="00283AA4"/>
    <w:rsid w:val="00283CAC"/>
    <w:rsid w:val="00283D0C"/>
    <w:rsid w:val="00285242"/>
    <w:rsid w:val="0028531E"/>
    <w:rsid w:val="00286C6E"/>
    <w:rsid w:val="00287AC4"/>
    <w:rsid w:val="00291713"/>
    <w:rsid w:val="00291CB7"/>
    <w:rsid w:val="002936F9"/>
    <w:rsid w:val="00293B75"/>
    <w:rsid w:val="0029407A"/>
    <w:rsid w:val="00295446"/>
    <w:rsid w:val="00297BEF"/>
    <w:rsid w:val="00297E2E"/>
    <w:rsid w:val="002A0429"/>
    <w:rsid w:val="002A0655"/>
    <w:rsid w:val="002A090C"/>
    <w:rsid w:val="002A103F"/>
    <w:rsid w:val="002A26D1"/>
    <w:rsid w:val="002A2EB3"/>
    <w:rsid w:val="002A36DA"/>
    <w:rsid w:val="002A3ADA"/>
    <w:rsid w:val="002A3E9D"/>
    <w:rsid w:val="002A41A4"/>
    <w:rsid w:val="002A6A53"/>
    <w:rsid w:val="002A723B"/>
    <w:rsid w:val="002A7677"/>
    <w:rsid w:val="002B0B75"/>
    <w:rsid w:val="002B11AA"/>
    <w:rsid w:val="002B1423"/>
    <w:rsid w:val="002B14D9"/>
    <w:rsid w:val="002B1B52"/>
    <w:rsid w:val="002B1FEA"/>
    <w:rsid w:val="002B20F3"/>
    <w:rsid w:val="002B2742"/>
    <w:rsid w:val="002B2E03"/>
    <w:rsid w:val="002B3102"/>
    <w:rsid w:val="002B4FB4"/>
    <w:rsid w:val="002B554A"/>
    <w:rsid w:val="002B6186"/>
    <w:rsid w:val="002B6550"/>
    <w:rsid w:val="002B66F9"/>
    <w:rsid w:val="002B6ABF"/>
    <w:rsid w:val="002C089D"/>
    <w:rsid w:val="002C0F35"/>
    <w:rsid w:val="002C11FE"/>
    <w:rsid w:val="002C1A1C"/>
    <w:rsid w:val="002C2008"/>
    <w:rsid w:val="002C2361"/>
    <w:rsid w:val="002C3AB9"/>
    <w:rsid w:val="002C537F"/>
    <w:rsid w:val="002C5A59"/>
    <w:rsid w:val="002C5B96"/>
    <w:rsid w:val="002C5F5A"/>
    <w:rsid w:val="002C6C74"/>
    <w:rsid w:val="002C7046"/>
    <w:rsid w:val="002C72AB"/>
    <w:rsid w:val="002C78B9"/>
    <w:rsid w:val="002C78E4"/>
    <w:rsid w:val="002C7C8F"/>
    <w:rsid w:val="002D0DFB"/>
    <w:rsid w:val="002D12E3"/>
    <w:rsid w:val="002D1BA4"/>
    <w:rsid w:val="002D34B4"/>
    <w:rsid w:val="002D3A40"/>
    <w:rsid w:val="002D3FA6"/>
    <w:rsid w:val="002D46E7"/>
    <w:rsid w:val="002D4885"/>
    <w:rsid w:val="002D5370"/>
    <w:rsid w:val="002D5A02"/>
    <w:rsid w:val="002D63F0"/>
    <w:rsid w:val="002D6ECD"/>
    <w:rsid w:val="002D7550"/>
    <w:rsid w:val="002D7F44"/>
    <w:rsid w:val="002D7FA4"/>
    <w:rsid w:val="002D7FD0"/>
    <w:rsid w:val="002E22E5"/>
    <w:rsid w:val="002E35D4"/>
    <w:rsid w:val="002E3900"/>
    <w:rsid w:val="002E3F42"/>
    <w:rsid w:val="002E4232"/>
    <w:rsid w:val="002E48B7"/>
    <w:rsid w:val="002E7B87"/>
    <w:rsid w:val="002F05A0"/>
    <w:rsid w:val="002F0660"/>
    <w:rsid w:val="002F1D01"/>
    <w:rsid w:val="002F2968"/>
    <w:rsid w:val="002F3079"/>
    <w:rsid w:val="002F3EF0"/>
    <w:rsid w:val="002F597B"/>
    <w:rsid w:val="002F5E39"/>
    <w:rsid w:val="002F6240"/>
    <w:rsid w:val="002F675D"/>
    <w:rsid w:val="002F6897"/>
    <w:rsid w:val="002F7F03"/>
    <w:rsid w:val="003028C2"/>
    <w:rsid w:val="00302EE8"/>
    <w:rsid w:val="003032EF"/>
    <w:rsid w:val="003033D3"/>
    <w:rsid w:val="003037C9"/>
    <w:rsid w:val="00304044"/>
    <w:rsid w:val="003041F0"/>
    <w:rsid w:val="00305091"/>
    <w:rsid w:val="003067F1"/>
    <w:rsid w:val="0030693E"/>
    <w:rsid w:val="00306C05"/>
    <w:rsid w:val="00307BD1"/>
    <w:rsid w:val="00310D06"/>
    <w:rsid w:val="00310ECD"/>
    <w:rsid w:val="00311C02"/>
    <w:rsid w:val="003127F6"/>
    <w:rsid w:val="003138A3"/>
    <w:rsid w:val="00313BAC"/>
    <w:rsid w:val="00314300"/>
    <w:rsid w:val="003147B4"/>
    <w:rsid w:val="00314CEF"/>
    <w:rsid w:val="00314F39"/>
    <w:rsid w:val="00317B3A"/>
    <w:rsid w:val="00317C3F"/>
    <w:rsid w:val="00320F95"/>
    <w:rsid w:val="00321359"/>
    <w:rsid w:val="0032158C"/>
    <w:rsid w:val="0032181D"/>
    <w:rsid w:val="003220B7"/>
    <w:rsid w:val="00322C41"/>
    <w:rsid w:val="00322E33"/>
    <w:rsid w:val="003231E2"/>
    <w:rsid w:val="0032538D"/>
    <w:rsid w:val="003265E1"/>
    <w:rsid w:val="00326B43"/>
    <w:rsid w:val="00327F80"/>
    <w:rsid w:val="003311AB"/>
    <w:rsid w:val="00333FCD"/>
    <w:rsid w:val="003347D1"/>
    <w:rsid w:val="00334925"/>
    <w:rsid w:val="00336496"/>
    <w:rsid w:val="003373FE"/>
    <w:rsid w:val="003375E9"/>
    <w:rsid w:val="00337728"/>
    <w:rsid w:val="00337A8E"/>
    <w:rsid w:val="003413E9"/>
    <w:rsid w:val="0034204A"/>
    <w:rsid w:val="00342580"/>
    <w:rsid w:val="00342974"/>
    <w:rsid w:val="00343038"/>
    <w:rsid w:val="00343935"/>
    <w:rsid w:val="003477DD"/>
    <w:rsid w:val="00350304"/>
    <w:rsid w:val="00351160"/>
    <w:rsid w:val="003520F6"/>
    <w:rsid w:val="00352693"/>
    <w:rsid w:val="00352A62"/>
    <w:rsid w:val="00353D21"/>
    <w:rsid w:val="00353F82"/>
    <w:rsid w:val="00357044"/>
    <w:rsid w:val="0035761B"/>
    <w:rsid w:val="00357B9D"/>
    <w:rsid w:val="00357BCF"/>
    <w:rsid w:val="00357D45"/>
    <w:rsid w:val="003603F3"/>
    <w:rsid w:val="00360721"/>
    <w:rsid w:val="00360ABB"/>
    <w:rsid w:val="00360B1D"/>
    <w:rsid w:val="0036168C"/>
    <w:rsid w:val="00361912"/>
    <w:rsid w:val="00362790"/>
    <w:rsid w:val="003629E2"/>
    <w:rsid w:val="0036333B"/>
    <w:rsid w:val="00363AD0"/>
    <w:rsid w:val="00363CDC"/>
    <w:rsid w:val="003653D3"/>
    <w:rsid w:val="003659D1"/>
    <w:rsid w:val="00366ADE"/>
    <w:rsid w:val="003676F0"/>
    <w:rsid w:val="003707DD"/>
    <w:rsid w:val="0037098F"/>
    <w:rsid w:val="00370EE8"/>
    <w:rsid w:val="003717A4"/>
    <w:rsid w:val="0037181A"/>
    <w:rsid w:val="0037270A"/>
    <w:rsid w:val="00373501"/>
    <w:rsid w:val="00374177"/>
    <w:rsid w:val="003755CE"/>
    <w:rsid w:val="00376571"/>
    <w:rsid w:val="00376C7E"/>
    <w:rsid w:val="00376D37"/>
    <w:rsid w:val="003770B6"/>
    <w:rsid w:val="00377273"/>
    <w:rsid w:val="0038189F"/>
    <w:rsid w:val="00381E06"/>
    <w:rsid w:val="003827D8"/>
    <w:rsid w:val="00382810"/>
    <w:rsid w:val="0038287D"/>
    <w:rsid w:val="0038296C"/>
    <w:rsid w:val="003829B5"/>
    <w:rsid w:val="00382BAF"/>
    <w:rsid w:val="003831E1"/>
    <w:rsid w:val="00383525"/>
    <w:rsid w:val="00383A30"/>
    <w:rsid w:val="0038437D"/>
    <w:rsid w:val="003844C7"/>
    <w:rsid w:val="00384B0C"/>
    <w:rsid w:val="00384D90"/>
    <w:rsid w:val="003853EE"/>
    <w:rsid w:val="003858F3"/>
    <w:rsid w:val="00385FE0"/>
    <w:rsid w:val="00386D00"/>
    <w:rsid w:val="0038726E"/>
    <w:rsid w:val="00390080"/>
    <w:rsid w:val="00390569"/>
    <w:rsid w:val="003923F6"/>
    <w:rsid w:val="003926F6"/>
    <w:rsid w:val="003927B7"/>
    <w:rsid w:val="003931B6"/>
    <w:rsid w:val="00393A44"/>
    <w:rsid w:val="00393D5F"/>
    <w:rsid w:val="00394C30"/>
    <w:rsid w:val="00394CAC"/>
    <w:rsid w:val="00395068"/>
    <w:rsid w:val="003950CB"/>
    <w:rsid w:val="00395237"/>
    <w:rsid w:val="003952FB"/>
    <w:rsid w:val="003953A3"/>
    <w:rsid w:val="00395414"/>
    <w:rsid w:val="00395E36"/>
    <w:rsid w:val="00396B7A"/>
    <w:rsid w:val="00396F8E"/>
    <w:rsid w:val="003A0048"/>
    <w:rsid w:val="003A0298"/>
    <w:rsid w:val="003A048B"/>
    <w:rsid w:val="003A07EC"/>
    <w:rsid w:val="003A0B3F"/>
    <w:rsid w:val="003A1F55"/>
    <w:rsid w:val="003A3154"/>
    <w:rsid w:val="003A4919"/>
    <w:rsid w:val="003A4F70"/>
    <w:rsid w:val="003A4F7D"/>
    <w:rsid w:val="003A6A3D"/>
    <w:rsid w:val="003A7E6B"/>
    <w:rsid w:val="003B00AE"/>
    <w:rsid w:val="003B0E19"/>
    <w:rsid w:val="003B134B"/>
    <w:rsid w:val="003B1DC9"/>
    <w:rsid w:val="003B22E9"/>
    <w:rsid w:val="003B25CB"/>
    <w:rsid w:val="003B2C97"/>
    <w:rsid w:val="003B31C3"/>
    <w:rsid w:val="003B38EF"/>
    <w:rsid w:val="003B3F32"/>
    <w:rsid w:val="003B42E3"/>
    <w:rsid w:val="003B4819"/>
    <w:rsid w:val="003B4916"/>
    <w:rsid w:val="003B51C6"/>
    <w:rsid w:val="003B56A3"/>
    <w:rsid w:val="003B5939"/>
    <w:rsid w:val="003B624B"/>
    <w:rsid w:val="003B6CC8"/>
    <w:rsid w:val="003B6FCE"/>
    <w:rsid w:val="003B783C"/>
    <w:rsid w:val="003C0F47"/>
    <w:rsid w:val="003C2156"/>
    <w:rsid w:val="003C2938"/>
    <w:rsid w:val="003C3AEB"/>
    <w:rsid w:val="003C527D"/>
    <w:rsid w:val="003C5E67"/>
    <w:rsid w:val="003C6333"/>
    <w:rsid w:val="003C6E6B"/>
    <w:rsid w:val="003C746A"/>
    <w:rsid w:val="003C7C4D"/>
    <w:rsid w:val="003D0F26"/>
    <w:rsid w:val="003D1025"/>
    <w:rsid w:val="003D123B"/>
    <w:rsid w:val="003D1372"/>
    <w:rsid w:val="003D171B"/>
    <w:rsid w:val="003D200E"/>
    <w:rsid w:val="003D205C"/>
    <w:rsid w:val="003D23CF"/>
    <w:rsid w:val="003D3609"/>
    <w:rsid w:val="003D50C6"/>
    <w:rsid w:val="003D523B"/>
    <w:rsid w:val="003D57BC"/>
    <w:rsid w:val="003D5809"/>
    <w:rsid w:val="003D5AD2"/>
    <w:rsid w:val="003D6588"/>
    <w:rsid w:val="003D6C6E"/>
    <w:rsid w:val="003D75D9"/>
    <w:rsid w:val="003D75ED"/>
    <w:rsid w:val="003D76DA"/>
    <w:rsid w:val="003D780D"/>
    <w:rsid w:val="003E0374"/>
    <w:rsid w:val="003E3A3A"/>
    <w:rsid w:val="003E3EAD"/>
    <w:rsid w:val="003E5951"/>
    <w:rsid w:val="003E5DF7"/>
    <w:rsid w:val="003E6BA3"/>
    <w:rsid w:val="003E6DA4"/>
    <w:rsid w:val="003E74A9"/>
    <w:rsid w:val="003E7A79"/>
    <w:rsid w:val="003E7BE0"/>
    <w:rsid w:val="003F1B4F"/>
    <w:rsid w:val="003F2040"/>
    <w:rsid w:val="003F2AB6"/>
    <w:rsid w:val="003F431E"/>
    <w:rsid w:val="003F59B4"/>
    <w:rsid w:val="003F5B79"/>
    <w:rsid w:val="003F7D46"/>
    <w:rsid w:val="004005F1"/>
    <w:rsid w:val="0040086B"/>
    <w:rsid w:val="00403324"/>
    <w:rsid w:val="004033B9"/>
    <w:rsid w:val="00403406"/>
    <w:rsid w:val="00403A6A"/>
    <w:rsid w:val="00404397"/>
    <w:rsid w:val="00404DAC"/>
    <w:rsid w:val="00406C6A"/>
    <w:rsid w:val="0040706E"/>
    <w:rsid w:val="00407446"/>
    <w:rsid w:val="00407601"/>
    <w:rsid w:val="00407F2A"/>
    <w:rsid w:val="00411956"/>
    <w:rsid w:val="004126A3"/>
    <w:rsid w:val="0041290D"/>
    <w:rsid w:val="004174EE"/>
    <w:rsid w:val="0042052D"/>
    <w:rsid w:val="00420C9F"/>
    <w:rsid w:val="00421131"/>
    <w:rsid w:val="0042122A"/>
    <w:rsid w:val="00421463"/>
    <w:rsid w:val="004223AE"/>
    <w:rsid w:val="00422801"/>
    <w:rsid w:val="004239BF"/>
    <w:rsid w:val="004259F4"/>
    <w:rsid w:val="00426AA8"/>
    <w:rsid w:val="00427512"/>
    <w:rsid w:val="0042786D"/>
    <w:rsid w:val="00427FE7"/>
    <w:rsid w:val="0043075B"/>
    <w:rsid w:val="00430FC5"/>
    <w:rsid w:val="00430FF9"/>
    <w:rsid w:val="0043111E"/>
    <w:rsid w:val="0043123D"/>
    <w:rsid w:val="00431486"/>
    <w:rsid w:val="00431D87"/>
    <w:rsid w:val="0043242D"/>
    <w:rsid w:val="00432C22"/>
    <w:rsid w:val="00432FF6"/>
    <w:rsid w:val="00434157"/>
    <w:rsid w:val="004343B9"/>
    <w:rsid w:val="004355D0"/>
    <w:rsid w:val="0043564C"/>
    <w:rsid w:val="00436457"/>
    <w:rsid w:val="00437777"/>
    <w:rsid w:val="004378F6"/>
    <w:rsid w:val="00437C9D"/>
    <w:rsid w:val="004408E7"/>
    <w:rsid w:val="00440ACA"/>
    <w:rsid w:val="00440B84"/>
    <w:rsid w:val="00441776"/>
    <w:rsid w:val="00441D1A"/>
    <w:rsid w:val="00441F6F"/>
    <w:rsid w:val="00444AB6"/>
    <w:rsid w:val="00445F70"/>
    <w:rsid w:val="00446DCB"/>
    <w:rsid w:val="004470A5"/>
    <w:rsid w:val="004474CB"/>
    <w:rsid w:val="0044761D"/>
    <w:rsid w:val="00450933"/>
    <w:rsid w:val="00450A81"/>
    <w:rsid w:val="00451232"/>
    <w:rsid w:val="004514EF"/>
    <w:rsid w:val="0045178C"/>
    <w:rsid w:val="00451C47"/>
    <w:rsid w:val="00452015"/>
    <w:rsid w:val="004531D2"/>
    <w:rsid w:val="00454AF8"/>
    <w:rsid w:val="00454D61"/>
    <w:rsid w:val="00455144"/>
    <w:rsid w:val="00455159"/>
    <w:rsid w:val="004573B8"/>
    <w:rsid w:val="00457AB4"/>
    <w:rsid w:val="00460CD8"/>
    <w:rsid w:val="00461172"/>
    <w:rsid w:val="00461AAB"/>
    <w:rsid w:val="00461C21"/>
    <w:rsid w:val="00462789"/>
    <w:rsid w:val="00462EE7"/>
    <w:rsid w:val="00462F63"/>
    <w:rsid w:val="00463BD7"/>
    <w:rsid w:val="00463F83"/>
    <w:rsid w:val="004649D2"/>
    <w:rsid w:val="00465DDD"/>
    <w:rsid w:val="004660E6"/>
    <w:rsid w:val="0046646A"/>
    <w:rsid w:val="004676AA"/>
    <w:rsid w:val="004678FB"/>
    <w:rsid w:val="004716B7"/>
    <w:rsid w:val="00471926"/>
    <w:rsid w:val="004731CB"/>
    <w:rsid w:val="0047328A"/>
    <w:rsid w:val="004737A3"/>
    <w:rsid w:val="00473D79"/>
    <w:rsid w:val="00473FAD"/>
    <w:rsid w:val="00474C64"/>
    <w:rsid w:val="0047792C"/>
    <w:rsid w:val="004801AC"/>
    <w:rsid w:val="004804E7"/>
    <w:rsid w:val="00480666"/>
    <w:rsid w:val="004806E4"/>
    <w:rsid w:val="0048099B"/>
    <w:rsid w:val="00480B6C"/>
    <w:rsid w:val="00482076"/>
    <w:rsid w:val="00482676"/>
    <w:rsid w:val="00482A3C"/>
    <w:rsid w:val="00482FB6"/>
    <w:rsid w:val="004836D7"/>
    <w:rsid w:val="004838C8"/>
    <w:rsid w:val="00483C67"/>
    <w:rsid w:val="0048421D"/>
    <w:rsid w:val="004849F8"/>
    <w:rsid w:val="004851DF"/>
    <w:rsid w:val="004852DA"/>
    <w:rsid w:val="00485457"/>
    <w:rsid w:val="004856CC"/>
    <w:rsid w:val="00485BFD"/>
    <w:rsid w:val="00485DA1"/>
    <w:rsid w:val="004872E5"/>
    <w:rsid w:val="00490128"/>
    <w:rsid w:val="004903F2"/>
    <w:rsid w:val="0049090B"/>
    <w:rsid w:val="0049165B"/>
    <w:rsid w:val="00491EBA"/>
    <w:rsid w:val="004923FB"/>
    <w:rsid w:val="00492A75"/>
    <w:rsid w:val="004960C5"/>
    <w:rsid w:val="0049746E"/>
    <w:rsid w:val="004A05C6"/>
    <w:rsid w:val="004A11BF"/>
    <w:rsid w:val="004A1703"/>
    <w:rsid w:val="004A1997"/>
    <w:rsid w:val="004A1D67"/>
    <w:rsid w:val="004A20C7"/>
    <w:rsid w:val="004A2AED"/>
    <w:rsid w:val="004A2BC2"/>
    <w:rsid w:val="004A2E58"/>
    <w:rsid w:val="004A3000"/>
    <w:rsid w:val="004A364A"/>
    <w:rsid w:val="004A45BA"/>
    <w:rsid w:val="004A4962"/>
    <w:rsid w:val="004A5A99"/>
    <w:rsid w:val="004A62A0"/>
    <w:rsid w:val="004A655D"/>
    <w:rsid w:val="004B0223"/>
    <w:rsid w:val="004B0379"/>
    <w:rsid w:val="004B0946"/>
    <w:rsid w:val="004B2844"/>
    <w:rsid w:val="004B2A64"/>
    <w:rsid w:val="004B4BFC"/>
    <w:rsid w:val="004B68B3"/>
    <w:rsid w:val="004B69BF"/>
    <w:rsid w:val="004B7625"/>
    <w:rsid w:val="004B7F2F"/>
    <w:rsid w:val="004C072C"/>
    <w:rsid w:val="004C17AB"/>
    <w:rsid w:val="004C22EA"/>
    <w:rsid w:val="004C2425"/>
    <w:rsid w:val="004C28A3"/>
    <w:rsid w:val="004C31C4"/>
    <w:rsid w:val="004C3BCB"/>
    <w:rsid w:val="004C489B"/>
    <w:rsid w:val="004C4E4D"/>
    <w:rsid w:val="004C5551"/>
    <w:rsid w:val="004C6EF8"/>
    <w:rsid w:val="004C7C33"/>
    <w:rsid w:val="004D0303"/>
    <w:rsid w:val="004D0433"/>
    <w:rsid w:val="004D0FB0"/>
    <w:rsid w:val="004D1835"/>
    <w:rsid w:val="004D1881"/>
    <w:rsid w:val="004D27A8"/>
    <w:rsid w:val="004D2935"/>
    <w:rsid w:val="004D2F55"/>
    <w:rsid w:val="004D351C"/>
    <w:rsid w:val="004D6E91"/>
    <w:rsid w:val="004D7547"/>
    <w:rsid w:val="004E08F7"/>
    <w:rsid w:val="004E0BCE"/>
    <w:rsid w:val="004E1011"/>
    <w:rsid w:val="004E1232"/>
    <w:rsid w:val="004E1FB1"/>
    <w:rsid w:val="004E3AF9"/>
    <w:rsid w:val="004E3C29"/>
    <w:rsid w:val="004E42FB"/>
    <w:rsid w:val="004E452D"/>
    <w:rsid w:val="004E4B8E"/>
    <w:rsid w:val="004E4DB2"/>
    <w:rsid w:val="004E5C5F"/>
    <w:rsid w:val="004E708B"/>
    <w:rsid w:val="004E742B"/>
    <w:rsid w:val="004F1153"/>
    <w:rsid w:val="004F14B9"/>
    <w:rsid w:val="004F1CE7"/>
    <w:rsid w:val="004F2506"/>
    <w:rsid w:val="004F39D2"/>
    <w:rsid w:val="004F3A8C"/>
    <w:rsid w:val="004F4096"/>
    <w:rsid w:val="004F457A"/>
    <w:rsid w:val="00501022"/>
    <w:rsid w:val="00501BF6"/>
    <w:rsid w:val="00501E9E"/>
    <w:rsid w:val="00503048"/>
    <w:rsid w:val="00503874"/>
    <w:rsid w:val="00503DDD"/>
    <w:rsid w:val="00503E92"/>
    <w:rsid w:val="00503F4C"/>
    <w:rsid w:val="00504848"/>
    <w:rsid w:val="00504E91"/>
    <w:rsid w:val="00505794"/>
    <w:rsid w:val="005066EE"/>
    <w:rsid w:val="00506A1B"/>
    <w:rsid w:val="00507F30"/>
    <w:rsid w:val="005102DB"/>
    <w:rsid w:val="0051064C"/>
    <w:rsid w:val="00511182"/>
    <w:rsid w:val="005124A0"/>
    <w:rsid w:val="00512B1D"/>
    <w:rsid w:val="00512B9E"/>
    <w:rsid w:val="00512F95"/>
    <w:rsid w:val="00513841"/>
    <w:rsid w:val="00513E5F"/>
    <w:rsid w:val="005141B0"/>
    <w:rsid w:val="005142CF"/>
    <w:rsid w:val="00515D03"/>
    <w:rsid w:val="0051656A"/>
    <w:rsid w:val="005166E2"/>
    <w:rsid w:val="00520052"/>
    <w:rsid w:val="00521119"/>
    <w:rsid w:val="0052155D"/>
    <w:rsid w:val="00521F3A"/>
    <w:rsid w:val="005220E0"/>
    <w:rsid w:val="0052274E"/>
    <w:rsid w:val="00522857"/>
    <w:rsid w:val="005228D3"/>
    <w:rsid w:val="00523A78"/>
    <w:rsid w:val="005240C1"/>
    <w:rsid w:val="005242B7"/>
    <w:rsid w:val="00524D36"/>
    <w:rsid w:val="00526317"/>
    <w:rsid w:val="0052692D"/>
    <w:rsid w:val="00526A9B"/>
    <w:rsid w:val="00526E0D"/>
    <w:rsid w:val="00527590"/>
    <w:rsid w:val="00527688"/>
    <w:rsid w:val="00527CB6"/>
    <w:rsid w:val="00530295"/>
    <w:rsid w:val="0053126F"/>
    <w:rsid w:val="00531379"/>
    <w:rsid w:val="00531614"/>
    <w:rsid w:val="00531DCC"/>
    <w:rsid w:val="00531FF1"/>
    <w:rsid w:val="0053241F"/>
    <w:rsid w:val="00532448"/>
    <w:rsid w:val="005335F4"/>
    <w:rsid w:val="005338F1"/>
    <w:rsid w:val="00533F90"/>
    <w:rsid w:val="005351D0"/>
    <w:rsid w:val="0053561B"/>
    <w:rsid w:val="00535AF7"/>
    <w:rsid w:val="005363BA"/>
    <w:rsid w:val="00536C5A"/>
    <w:rsid w:val="00536C77"/>
    <w:rsid w:val="00537A4B"/>
    <w:rsid w:val="005404C1"/>
    <w:rsid w:val="005409D1"/>
    <w:rsid w:val="005413F8"/>
    <w:rsid w:val="0054172B"/>
    <w:rsid w:val="0054237D"/>
    <w:rsid w:val="00542400"/>
    <w:rsid w:val="00543603"/>
    <w:rsid w:val="0054495E"/>
    <w:rsid w:val="00544C28"/>
    <w:rsid w:val="0054500C"/>
    <w:rsid w:val="00545C17"/>
    <w:rsid w:val="0054667F"/>
    <w:rsid w:val="0055023A"/>
    <w:rsid w:val="005506F0"/>
    <w:rsid w:val="005513F2"/>
    <w:rsid w:val="00551664"/>
    <w:rsid w:val="00552180"/>
    <w:rsid w:val="00552DF3"/>
    <w:rsid w:val="00553A79"/>
    <w:rsid w:val="00553B5E"/>
    <w:rsid w:val="0055637E"/>
    <w:rsid w:val="00556C77"/>
    <w:rsid w:val="00557174"/>
    <w:rsid w:val="00557B0C"/>
    <w:rsid w:val="005613DC"/>
    <w:rsid w:val="00562244"/>
    <w:rsid w:val="005626A9"/>
    <w:rsid w:val="0056335C"/>
    <w:rsid w:val="00563699"/>
    <w:rsid w:val="00563BC3"/>
    <w:rsid w:val="00563F5D"/>
    <w:rsid w:val="0056483D"/>
    <w:rsid w:val="0056537B"/>
    <w:rsid w:val="005654C8"/>
    <w:rsid w:val="00566934"/>
    <w:rsid w:val="00566D50"/>
    <w:rsid w:val="00566E7E"/>
    <w:rsid w:val="00567106"/>
    <w:rsid w:val="0056760C"/>
    <w:rsid w:val="00567B65"/>
    <w:rsid w:val="00571392"/>
    <w:rsid w:val="00571C63"/>
    <w:rsid w:val="00573331"/>
    <w:rsid w:val="00573B29"/>
    <w:rsid w:val="005745F7"/>
    <w:rsid w:val="00576B70"/>
    <w:rsid w:val="005772C6"/>
    <w:rsid w:val="00580CCB"/>
    <w:rsid w:val="00580D6A"/>
    <w:rsid w:val="005820F2"/>
    <w:rsid w:val="00582E77"/>
    <w:rsid w:val="00583A13"/>
    <w:rsid w:val="00583A84"/>
    <w:rsid w:val="00584041"/>
    <w:rsid w:val="00584143"/>
    <w:rsid w:val="0058431D"/>
    <w:rsid w:val="00584CB3"/>
    <w:rsid w:val="0058555F"/>
    <w:rsid w:val="00586365"/>
    <w:rsid w:val="005867A4"/>
    <w:rsid w:val="00586CD1"/>
    <w:rsid w:val="005873A9"/>
    <w:rsid w:val="00587515"/>
    <w:rsid w:val="0059126F"/>
    <w:rsid w:val="005913DF"/>
    <w:rsid w:val="00591DAA"/>
    <w:rsid w:val="00591E58"/>
    <w:rsid w:val="005925A1"/>
    <w:rsid w:val="00592D06"/>
    <w:rsid w:val="00593E21"/>
    <w:rsid w:val="0059458F"/>
    <w:rsid w:val="0059459B"/>
    <w:rsid w:val="00595194"/>
    <w:rsid w:val="005955C9"/>
    <w:rsid w:val="00595C01"/>
    <w:rsid w:val="00596351"/>
    <w:rsid w:val="00596660"/>
    <w:rsid w:val="005A18C8"/>
    <w:rsid w:val="005A1B02"/>
    <w:rsid w:val="005A2470"/>
    <w:rsid w:val="005A281F"/>
    <w:rsid w:val="005A3142"/>
    <w:rsid w:val="005A3326"/>
    <w:rsid w:val="005A49CA"/>
    <w:rsid w:val="005A512E"/>
    <w:rsid w:val="005A5159"/>
    <w:rsid w:val="005A516C"/>
    <w:rsid w:val="005A59C4"/>
    <w:rsid w:val="005A5E86"/>
    <w:rsid w:val="005A6957"/>
    <w:rsid w:val="005A6A7B"/>
    <w:rsid w:val="005A6BFD"/>
    <w:rsid w:val="005A707F"/>
    <w:rsid w:val="005A7183"/>
    <w:rsid w:val="005A7B11"/>
    <w:rsid w:val="005A7B63"/>
    <w:rsid w:val="005B17A9"/>
    <w:rsid w:val="005B1985"/>
    <w:rsid w:val="005B4150"/>
    <w:rsid w:val="005B5076"/>
    <w:rsid w:val="005B5231"/>
    <w:rsid w:val="005B7EED"/>
    <w:rsid w:val="005C0794"/>
    <w:rsid w:val="005C098F"/>
    <w:rsid w:val="005C0B6A"/>
    <w:rsid w:val="005C0E15"/>
    <w:rsid w:val="005C144D"/>
    <w:rsid w:val="005C1EE7"/>
    <w:rsid w:val="005C2C19"/>
    <w:rsid w:val="005C34E7"/>
    <w:rsid w:val="005C4A43"/>
    <w:rsid w:val="005C4DF1"/>
    <w:rsid w:val="005C6100"/>
    <w:rsid w:val="005C65DA"/>
    <w:rsid w:val="005C6BC5"/>
    <w:rsid w:val="005C6E13"/>
    <w:rsid w:val="005D0557"/>
    <w:rsid w:val="005D1BE0"/>
    <w:rsid w:val="005D3242"/>
    <w:rsid w:val="005D3F94"/>
    <w:rsid w:val="005D4150"/>
    <w:rsid w:val="005D5240"/>
    <w:rsid w:val="005D52CD"/>
    <w:rsid w:val="005D52CE"/>
    <w:rsid w:val="005D5359"/>
    <w:rsid w:val="005D53AB"/>
    <w:rsid w:val="005D5618"/>
    <w:rsid w:val="005D5A94"/>
    <w:rsid w:val="005D6A95"/>
    <w:rsid w:val="005D77F5"/>
    <w:rsid w:val="005D7C1A"/>
    <w:rsid w:val="005D7FA5"/>
    <w:rsid w:val="005E041D"/>
    <w:rsid w:val="005E0729"/>
    <w:rsid w:val="005E0901"/>
    <w:rsid w:val="005E0921"/>
    <w:rsid w:val="005E10B3"/>
    <w:rsid w:val="005E171A"/>
    <w:rsid w:val="005E1876"/>
    <w:rsid w:val="005E19CA"/>
    <w:rsid w:val="005E209A"/>
    <w:rsid w:val="005E3B5A"/>
    <w:rsid w:val="005E3F20"/>
    <w:rsid w:val="005E4434"/>
    <w:rsid w:val="005E4C4C"/>
    <w:rsid w:val="005E6356"/>
    <w:rsid w:val="005E64E9"/>
    <w:rsid w:val="005E79AA"/>
    <w:rsid w:val="005E7F50"/>
    <w:rsid w:val="005F034C"/>
    <w:rsid w:val="005F1D90"/>
    <w:rsid w:val="005F2EEC"/>
    <w:rsid w:val="005F3F8E"/>
    <w:rsid w:val="005F4802"/>
    <w:rsid w:val="005F5981"/>
    <w:rsid w:val="005F5A4A"/>
    <w:rsid w:val="005F5BDB"/>
    <w:rsid w:val="005F5D8F"/>
    <w:rsid w:val="005F6027"/>
    <w:rsid w:val="005F66B8"/>
    <w:rsid w:val="005F6E08"/>
    <w:rsid w:val="005F7983"/>
    <w:rsid w:val="005F7E96"/>
    <w:rsid w:val="005F7F88"/>
    <w:rsid w:val="00600E1D"/>
    <w:rsid w:val="00601469"/>
    <w:rsid w:val="00601FEC"/>
    <w:rsid w:val="0060358A"/>
    <w:rsid w:val="006036CE"/>
    <w:rsid w:val="00604508"/>
    <w:rsid w:val="00605493"/>
    <w:rsid w:val="00605BE0"/>
    <w:rsid w:val="00606894"/>
    <w:rsid w:val="006076D4"/>
    <w:rsid w:val="00607BDF"/>
    <w:rsid w:val="006105EE"/>
    <w:rsid w:val="00610F7D"/>
    <w:rsid w:val="006118AD"/>
    <w:rsid w:val="00611949"/>
    <w:rsid w:val="006126E5"/>
    <w:rsid w:val="006133F3"/>
    <w:rsid w:val="00613DB2"/>
    <w:rsid w:val="00613F0E"/>
    <w:rsid w:val="00615D18"/>
    <w:rsid w:val="00616328"/>
    <w:rsid w:val="00616DC4"/>
    <w:rsid w:val="00617240"/>
    <w:rsid w:val="00621F64"/>
    <w:rsid w:val="00622C81"/>
    <w:rsid w:val="00623782"/>
    <w:rsid w:val="00625BCB"/>
    <w:rsid w:val="00625D75"/>
    <w:rsid w:val="0062667E"/>
    <w:rsid w:val="006278C9"/>
    <w:rsid w:val="00627923"/>
    <w:rsid w:val="00627A5C"/>
    <w:rsid w:val="00631035"/>
    <w:rsid w:val="00631171"/>
    <w:rsid w:val="0063140F"/>
    <w:rsid w:val="006314CD"/>
    <w:rsid w:val="00631925"/>
    <w:rsid w:val="00631B12"/>
    <w:rsid w:val="00631D6B"/>
    <w:rsid w:val="00631DAB"/>
    <w:rsid w:val="0063255D"/>
    <w:rsid w:val="00632EBC"/>
    <w:rsid w:val="00635337"/>
    <w:rsid w:val="006356FF"/>
    <w:rsid w:val="00635FDB"/>
    <w:rsid w:val="006362A2"/>
    <w:rsid w:val="00636C12"/>
    <w:rsid w:val="00637000"/>
    <w:rsid w:val="006411E6"/>
    <w:rsid w:val="006418D4"/>
    <w:rsid w:val="00641B3D"/>
    <w:rsid w:val="0064285C"/>
    <w:rsid w:val="00642CA1"/>
    <w:rsid w:val="00643773"/>
    <w:rsid w:val="006442D9"/>
    <w:rsid w:val="00644667"/>
    <w:rsid w:val="00644BEC"/>
    <w:rsid w:val="00645172"/>
    <w:rsid w:val="00646C17"/>
    <w:rsid w:val="006478CE"/>
    <w:rsid w:val="00647966"/>
    <w:rsid w:val="0065192E"/>
    <w:rsid w:val="00651C0B"/>
    <w:rsid w:val="00651C2C"/>
    <w:rsid w:val="00652B0D"/>
    <w:rsid w:val="00653E5F"/>
    <w:rsid w:val="00655177"/>
    <w:rsid w:val="00655378"/>
    <w:rsid w:val="0065548D"/>
    <w:rsid w:val="00655954"/>
    <w:rsid w:val="006565F8"/>
    <w:rsid w:val="00656EB3"/>
    <w:rsid w:val="00656F6D"/>
    <w:rsid w:val="00656F74"/>
    <w:rsid w:val="00660163"/>
    <w:rsid w:val="00660474"/>
    <w:rsid w:val="00660817"/>
    <w:rsid w:val="006608A7"/>
    <w:rsid w:val="00661CFF"/>
    <w:rsid w:val="00661E54"/>
    <w:rsid w:val="00661EF7"/>
    <w:rsid w:val="00662434"/>
    <w:rsid w:val="00662446"/>
    <w:rsid w:val="006628A2"/>
    <w:rsid w:val="006629D7"/>
    <w:rsid w:val="00662AE2"/>
    <w:rsid w:val="006632F6"/>
    <w:rsid w:val="006641BC"/>
    <w:rsid w:val="00664FF4"/>
    <w:rsid w:val="006671F3"/>
    <w:rsid w:val="00667959"/>
    <w:rsid w:val="00670E97"/>
    <w:rsid w:val="00670F46"/>
    <w:rsid w:val="00672129"/>
    <w:rsid w:val="00672A29"/>
    <w:rsid w:val="00672CCA"/>
    <w:rsid w:val="00674746"/>
    <w:rsid w:val="00675DC6"/>
    <w:rsid w:val="006760DD"/>
    <w:rsid w:val="00676B8C"/>
    <w:rsid w:val="00676F9A"/>
    <w:rsid w:val="00677BED"/>
    <w:rsid w:val="0068066F"/>
    <w:rsid w:val="00680926"/>
    <w:rsid w:val="006810F3"/>
    <w:rsid w:val="00681DFC"/>
    <w:rsid w:val="00682CC7"/>
    <w:rsid w:val="0068338E"/>
    <w:rsid w:val="00683786"/>
    <w:rsid w:val="00683810"/>
    <w:rsid w:val="00683C96"/>
    <w:rsid w:val="00683D0B"/>
    <w:rsid w:val="00686D97"/>
    <w:rsid w:val="006874E0"/>
    <w:rsid w:val="00687B2D"/>
    <w:rsid w:val="00687F8A"/>
    <w:rsid w:val="00690398"/>
    <w:rsid w:val="00690C1C"/>
    <w:rsid w:val="00690EA0"/>
    <w:rsid w:val="0069122A"/>
    <w:rsid w:val="00692CAD"/>
    <w:rsid w:val="0069362F"/>
    <w:rsid w:val="006936F4"/>
    <w:rsid w:val="00694D07"/>
    <w:rsid w:val="0069571E"/>
    <w:rsid w:val="006957E1"/>
    <w:rsid w:val="00695A20"/>
    <w:rsid w:val="0069755C"/>
    <w:rsid w:val="006A0E3B"/>
    <w:rsid w:val="006A2179"/>
    <w:rsid w:val="006A27DF"/>
    <w:rsid w:val="006A2DB9"/>
    <w:rsid w:val="006A3266"/>
    <w:rsid w:val="006A3840"/>
    <w:rsid w:val="006A3CC9"/>
    <w:rsid w:val="006A4B75"/>
    <w:rsid w:val="006A50CB"/>
    <w:rsid w:val="006A51A6"/>
    <w:rsid w:val="006A54FB"/>
    <w:rsid w:val="006A5B09"/>
    <w:rsid w:val="006A67CF"/>
    <w:rsid w:val="006A74DD"/>
    <w:rsid w:val="006B0384"/>
    <w:rsid w:val="006B0CAB"/>
    <w:rsid w:val="006B16ED"/>
    <w:rsid w:val="006B1D0D"/>
    <w:rsid w:val="006B1E3F"/>
    <w:rsid w:val="006B39BC"/>
    <w:rsid w:val="006B3F41"/>
    <w:rsid w:val="006B49E8"/>
    <w:rsid w:val="006B4AEA"/>
    <w:rsid w:val="006B4BE4"/>
    <w:rsid w:val="006B4C04"/>
    <w:rsid w:val="006B4C0E"/>
    <w:rsid w:val="006B525D"/>
    <w:rsid w:val="006B5717"/>
    <w:rsid w:val="006B5FB8"/>
    <w:rsid w:val="006B6440"/>
    <w:rsid w:val="006B64E1"/>
    <w:rsid w:val="006B79C8"/>
    <w:rsid w:val="006B7F18"/>
    <w:rsid w:val="006C01EE"/>
    <w:rsid w:val="006C073F"/>
    <w:rsid w:val="006C0A56"/>
    <w:rsid w:val="006C0A5A"/>
    <w:rsid w:val="006C1E5D"/>
    <w:rsid w:val="006C1ECD"/>
    <w:rsid w:val="006C2653"/>
    <w:rsid w:val="006C291C"/>
    <w:rsid w:val="006C2AD4"/>
    <w:rsid w:val="006C385D"/>
    <w:rsid w:val="006C411A"/>
    <w:rsid w:val="006C4569"/>
    <w:rsid w:val="006C4694"/>
    <w:rsid w:val="006C6316"/>
    <w:rsid w:val="006C694C"/>
    <w:rsid w:val="006C6DCF"/>
    <w:rsid w:val="006C7799"/>
    <w:rsid w:val="006C7A3F"/>
    <w:rsid w:val="006C7CB1"/>
    <w:rsid w:val="006D0D1E"/>
    <w:rsid w:val="006D0E4C"/>
    <w:rsid w:val="006D1554"/>
    <w:rsid w:val="006D1CF0"/>
    <w:rsid w:val="006D3209"/>
    <w:rsid w:val="006D5781"/>
    <w:rsid w:val="006D5A3D"/>
    <w:rsid w:val="006D5D1F"/>
    <w:rsid w:val="006D67D8"/>
    <w:rsid w:val="006D7754"/>
    <w:rsid w:val="006E00A0"/>
    <w:rsid w:val="006E04C0"/>
    <w:rsid w:val="006E0B21"/>
    <w:rsid w:val="006E1290"/>
    <w:rsid w:val="006E14DE"/>
    <w:rsid w:val="006E1808"/>
    <w:rsid w:val="006E1C0B"/>
    <w:rsid w:val="006E2168"/>
    <w:rsid w:val="006E22BD"/>
    <w:rsid w:val="006E2733"/>
    <w:rsid w:val="006E3CA9"/>
    <w:rsid w:val="006E41AD"/>
    <w:rsid w:val="006E427B"/>
    <w:rsid w:val="006E44A1"/>
    <w:rsid w:val="006E46B2"/>
    <w:rsid w:val="006E4817"/>
    <w:rsid w:val="006E4ABE"/>
    <w:rsid w:val="006E4CEE"/>
    <w:rsid w:val="006E57C1"/>
    <w:rsid w:val="006E67B9"/>
    <w:rsid w:val="006E6B5D"/>
    <w:rsid w:val="006E7521"/>
    <w:rsid w:val="006E764A"/>
    <w:rsid w:val="006E76A1"/>
    <w:rsid w:val="006F0AF1"/>
    <w:rsid w:val="006F0D54"/>
    <w:rsid w:val="006F330E"/>
    <w:rsid w:val="006F3B35"/>
    <w:rsid w:val="006F3C29"/>
    <w:rsid w:val="006F4906"/>
    <w:rsid w:val="006F4A6C"/>
    <w:rsid w:val="006F4B83"/>
    <w:rsid w:val="006F5D92"/>
    <w:rsid w:val="006F68B9"/>
    <w:rsid w:val="006F6907"/>
    <w:rsid w:val="006F6D16"/>
    <w:rsid w:val="006F6F07"/>
    <w:rsid w:val="00700319"/>
    <w:rsid w:val="007003C1"/>
    <w:rsid w:val="00701C16"/>
    <w:rsid w:val="00702263"/>
    <w:rsid w:val="00703952"/>
    <w:rsid w:val="007047F6"/>
    <w:rsid w:val="00705706"/>
    <w:rsid w:val="00705B14"/>
    <w:rsid w:val="00705C38"/>
    <w:rsid w:val="00706938"/>
    <w:rsid w:val="00706F94"/>
    <w:rsid w:val="007079A3"/>
    <w:rsid w:val="00707A88"/>
    <w:rsid w:val="0071098D"/>
    <w:rsid w:val="00710A9C"/>
    <w:rsid w:val="00712242"/>
    <w:rsid w:val="007128CB"/>
    <w:rsid w:val="0071355D"/>
    <w:rsid w:val="007138D6"/>
    <w:rsid w:val="00713B1B"/>
    <w:rsid w:val="007162DA"/>
    <w:rsid w:val="007164B0"/>
    <w:rsid w:val="007169A0"/>
    <w:rsid w:val="00716A5F"/>
    <w:rsid w:val="00717022"/>
    <w:rsid w:val="00717061"/>
    <w:rsid w:val="00717141"/>
    <w:rsid w:val="00717741"/>
    <w:rsid w:val="00717A01"/>
    <w:rsid w:val="00717C7E"/>
    <w:rsid w:val="00717D96"/>
    <w:rsid w:val="007219D0"/>
    <w:rsid w:val="00721E7F"/>
    <w:rsid w:val="00722FF8"/>
    <w:rsid w:val="007235C8"/>
    <w:rsid w:val="0072367B"/>
    <w:rsid w:val="00723923"/>
    <w:rsid w:val="00723D8A"/>
    <w:rsid w:val="00724E87"/>
    <w:rsid w:val="00725243"/>
    <w:rsid w:val="00725933"/>
    <w:rsid w:val="0072606D"/>
    <w:rsid w:val="007262E6"/>
    <w:rsid w:val="00726467"/>
    <w:rsid w:val="007267BA"/>
    <w:rsid w:val="00726EC6"/>
    <w:rsid w:val="0072779C"/>
    <w:rsid w:val="00730006"/>
    <w:rsid w:val="0073037E"/>
    <w:rsid w:val="00730DEC"/>
    <w:rsid w:val="00731432"/>
    <w:rsid w:val="007314A2"/>
    <w:rsid w:val="007316F4"/>
    <w:rsid w:val="00733849"/>
    <w:rsid w:val="00733E6C"/>
    <w:rsid w:val="00733EEF"/>
    <w:rsid w:val="0073421E"/>
    <w:rsid w:val="00734E29"/>
    <w:rsid w:val="0073516E"/>
    <w:rsid w:val="00735AD0"/>
    <w:rsid w:val="00735DAB"/>
    <w:rsid w:val="00735E72"/>
    <w:rsid w:val="00736868"/>
    <w:rsid w:val="00736A18"/>
    <w:rsid w:val="00736D9C"/>
    <w:rsid w:val="00737185"/>
    <w:rsid w:val="0073738A"/>
    <w:rsid w:val="007406D2"/>
    <w:rsid w:val="00740B8C"/>
    <w:rsid w:val="00741781"/>
    <w:rsid w:val="007419A8"/>
    <w:rsid w:val="00741BC8"/>
    <w:rsid w:val="0074393B"/>
    <w:rsid w:val="00743D49"/>
    <w:rsid w:val="00744405"/>
    <w:rsid w:val="0074492A"/>
    <w:rsid w:val="007452FE"/>
    <w:rsid w:val="00745851"/>
    <w:rsid w:val="00745D01"/>
    <w:rsid w:val="00745F28"/>
    <w:rsid w:val="00747A98"/>
    <w:rsid w:val="007501A1"/>
    <w:rsid w:val="00750A4F"/>
    <w:rsid w:val="00750CB7"/>
    <w:rsid w:val="0075124A"/>
    <w:rsid w:val="00751BDF"/>
    <w:rsid w:val="0075230D"/>
    <w:rsid w:val="00752723"/>
    <w:rsid w:val="00752E80"/>
    <w:rsid w:val="00753A22"/>
    <w:rsid w:val="00755BEB"/>
    <w:rsid w:val="00755DF9"/>
    <w:rsid w:val="00756422"/>
    <w:rsid w:val="00757720"/>
    <w:rsid w:val="00757C2F"/>
    <w:rsid w:val="00757C36"/>
    <w:rsid w:val="00760638"/>
    <w:rsid w:val="007612DB"/>
    <w:rsid w:val="0076145C"/>
    <w:rsid w:val="00761491"/>
    <w:rsid w:val="00761AEB"/>
    <w:rsid w:val="00762F6C"/>
    <w:rsid w:val="00763913"/>
    <w:rsid w:val="00763D04"/>
    <w:rsid w:val="00763F19"/>
    <w:rsid w:val="007644EA"/>
    <w:rsid w:val="007665D6"/>
    <w:rsid w:val="00766716"/>
    <w:rsid w:val="0077034A"/>
    <w:rsid w:val="007713C0"/>
    <w:rsid w:val="00771F48"/>
    <w:rsid w:val="00772098"/>
    <w:rsid w:val="00772751"/>
    <w:rsid w:val="007730B1"/>
    <w:rsid w:val="00774FF2"/>
    <w:rsid w:val="007752DD"/>
    <w:rsid w:val="00776631"/>
    <w:rsid w:val="00776DF6"/>
    <w:rsid w:val="0077736E"/>
    <w:rsid w:val="00781148"/>
    <w:rsid w:val="00781EEA"/>
    <w:rsid w:val="0078253E"/>
    <w:rsid w:val="007829C7"/>
    <w:rsid w:val="00783068"/>
    <w:rsid w:val="00783435"/>
    <w:rsid w:val="007841B5"/>
    <w:rsid w:val="00784A3A"/>
    <w:rsid w:val="00784BD2"/>
    <w:rsid w:val="00785204"/>
    <w:rsid w:val="00785494"/>
    <w:rsid w:val="00786341"/>
    <w:rsid w:val="00787EA8"/>
    <w:rsid w:val="00790A0F"/>
    <w:rsid w:val="00791857"/>
    <w:rsid w:val="00792060"/>
    <w:rsid w:val="00792099"/>
    <w:rsid w:val="0079227D"/>
    <w:rsid w:val="0079293B"/>
    <w:rsid w:val="00792A55"/>
    <w:rsid w:val="00793494"/>
    <w:rsid w:val="0079411A"/>
    <w:rsid w:val="007949E1"/>
    <w:rsid w:val="007949E2"/>
    <w:rsid w:val="00794D8F"/>
    <w:rsid w:val="00795B27"/>
    <w:rsid w:val="0079657E"/>
    <w:rsid w:val="00796F26"/>
    <w:rsid w:val="00796F85"/>
    <w:rsid w:val="00797DED"/>
    <w:rsid w:val="007A064D"/>
    <w:rsid w:val="007A0D44"/>
    <w:rsid w:val="007A13D6"/>
    <w:rsid w:val="007A21BB"/>
    <w:rsid w:val="007A2978"/>
    <w:rsid w:val="007A2FD6"/>
    <w:rsid w:val="007A4508"/>
    <w:rsid w:val="007A498B"/>
    <w:rsid w:val="007A4F0C"/>
    <w:rsid w:val="007B0819"/>
    <w:rsid w:val="007B09B7"/>
    <w:rsid w:val="007B1392"/>
    <w:rsid w:val="007B1A1C"/>
    <w:rsid w:val="007B40F9"/>
    <w:rsid w:val="007B4B85"/>
    <w:rsid w:val="007B6157"/>
    <w:rsid w:val="007B6460"/>
    <w:rsid w:val="007C04AB"/>
    <w:rsid w:val="007C06D9"/>
    <w:rsid w:val="007C07B6"/>
    <w:rsid w:val="007C1A69"/>
    <w:rsid w:val="007C1B77"/>
    <w:rsid w:val="007C2650"/>
    <w:rsid w:val="007C30C0"/>
    <w:rsid w:val="007C3429"/>
    <w:rsid w:val="007C3546"/>
    <w:rsid w:val="007C3A2A"/>
    <w:rsid w:val="007C4857"/>
    <w:rsid w:val="007C4B4D"/>
    <w:rsid w:val="007C508D"/>
    <w:rsid w:val="007C53F8"/>
    <w:rsid w:val="007C58A9"/>
    <w:rsid w:val="007C5954"/>
    <w:rsid w:val="007C6028"/>
    <w:rsid w:val="007C66BA"/>
    <w:rsid w:val="007C6A60"/>
    <w:rsid w:val="007C6BC7"/>
    <w:rsid w:val="007C73B6"/>
    <w:rsid w:val="007D04FD"/>
    <w:rsid w:val="007D1098"/>
    <w:rsid w:val="007D1B65"/>
    <w:rsid w:val="007D202D"/>
    <w:rsid w:val="007D29BA"/>
    <w:rsid w:val="007D3DC4"/>
    <w:rsid w:val="007D429A"/>
    <w:rsid w:val="007D51A3"/>
    <w:rsid w:val="007D5621"/>
    <w:rsid w:val="007D59A0"/>
    <w:rsid w:val="007D65A9"/>
    <w:rsid w:val="007D7429"/>
    <w:rsid w:val="007D75F2"/>
    <w:rsid w:val="007D796D"/>
    <w:rsid w:val="007D7FF7"/>
    <w:rsid w:val="007E0172"/>
    <w:rsid w:val="007E6048"/>
    <w:rsid w:val="007E607C"/>
    <w:rsid w:val="007E64BE"/>
    <w:rsid w:val="007E6CCA"/>
    <w:rsid w:val="007E707D"/>
    <w:rsid w:val="007F10AF"/>
    <w:rsid w:val="007F1434"/>
    <w:rsid w:val="007F279F"/>
    <w:rsid w:val="007F293A"/>
    <w:rsid w:val="007F3581"/>
    <w:rsid w:val="007F3A59"/>
    <w:rsid w:val="007F4565"/>
    <w:rsid w:val="007F4877"/>
    <w:rsid w:val="007F58F8"/>
    <w:rsid w:val="007F5E1F"/>
    <w:rsid w:val="007F6604"/>
    <w:rsid w:val="007F69DC"/>
    <w:rsid w:val="007F7847"/>
    <w:rsid w:val="007F7B68"/>
    <w:rsid w:val="00800F79"/>
    <w:rsid w:val="00800FA1"/>
    <w:rsid w:val="00801E31"/>
    <w:rsid w:val="00802026"/>
    <w:rsid w:val="00802747"/>
    <w:rsid w:val="00802793"/>
    <w:rsid w:val="0080300B"/>
    <w:rsid w:val="00803183"/>
    <w:rsid w:val="00803186"/>
    <w:rsid w:val="00803B82"/>
    <w:rsid w:val="00805538"/>
    <w:rsid w:val="00805DC2"/>
    <w:rsid w:val="008065DC"/>
    <w:rsid w:val="0080706F"/>
    <w:rsid w:val="00807C5C"/>
    <w:rsid w:val="0081104B"/>
    <w:rsid w:val="0081245C"/>
    <w:rsid w:val="0081307A"/>
    <w:rsid w:val="0081451C"/>
    <w:rsid w:val="00815570"/>
    <w:rsid w:val="00815B83"/>
    <w:rsid w:val="0081785E"/>
    <w:rsid w:val="008179DC"/>
    <w:rsid w:val="0082045C"/>
    <w:rsid w:val="00820460"/>
    <w:rsid w:val="00820C4F"/>
    <w:rsid w:val="00820DCC"/>
    <w:rsid w:val="008215A6"/>
    <w:rsid w:val="008221E1"/>
    <w:rsid w:val="00823826"/>
    <w:rsid w:val="00823BA8"/>
    <w:rsid w:val="00824731"/>
    <w:rsid w:val="00825169"/>
    <w:rsid w:val="008252B9"/>
    <w:rsid w:val="0082560A"/>
    <w:rsid w:val="00826476"/>
    <w:rsid w:val="0082765F"/>
    <w:rsid w:val="0082770F"/>
    <w:rsid w:val="00827911"/>
    <w:rsid w:val="0083041A"/>
    <w:rsid w:val="008305E9"/>
    <w:rsid w:val="00830C3C"/>
    <w:rsid w:val="00831549"/>
    <w:rsid w:val="00831AC5"/>
    <w:rsid w:val="0083218B"/>
    <w:rsid w:val="00832E9A"/>
    <w:rsid w:val="0083349F"/>
    <w:rsid w:val="0083391B"/>
    <w:rsid w:val="0083427D"/>
    <w:rsid w:val="00834748"/>
    <w:rsid w:val="008350A4"/>
    <w:rsid w:val="00835B67"/>
    <w:rsid w:val="00835E76"/>
    <w:rsid w:val="00835FC7"/>
    <w:rsid w:val="0083610B"/>
    <w:rsid w:val="008362C5"/>
    <w:rsid w:val="00836822"/>
    <w:rsid w:val="00836B7E"/>
    <w:rsid w:val="00836F90"/>
    <w:rsid w:val="008373D1"/>
    <w:rsid w:val="008378BA"/>
    <w:rsid w:val="008379B6"/>
    <w:rsid w:val="00841227"/>
    <w:rsid w:val="0084206C"/>
    <w:rsid w:val="008431E5"/>
    <w:rsid w:val="00843C0C"/>
    <w:rsid w:val="008459DB"/>
    <w:rsid w:val="008467C8"/>
    <w:rsid w:val="008468C2"/>
    <w:rsid w:val="00847E02"/>
    <w:rsid w:val="00850712"/>
    <w:rsid w:val="008524D0"/>
    <w:rsid w:val="00852652"/>
    <w:rsid w:val="00852A62"/>
    <w:rsid w:val="00852E41"/>
    <w:rsid w:val="0085529F"/>
    <w:rsid w:val="0085596C"/>
    <w:rsid w:val="00855B85"/>
    <w:rsid w:val="00856723"/>
    <w:rsid w:val="00856850"/>
    <w:rsid w:val="00856C3F"/>
    <w:rsid w:val="00857FEE"/>
    <w:rsid w:val="0086113A"/>
    <w:rsid w:val="00862504"/>
    <w:rsid w:val="008633EA"/>
    <w:rsid w:val="008636FF"/>
    <w:rsid w:val="00864EA6"/>
    <w:rsid w:val="00866165"/>
    <w:rsid w:val="00866EB5"/>
    <w:rsid w:val="008675D1"/>
    <w:rsid w:val="0087234F"/>
    <w:rsid w:val="00872717"/>
    <w:rsid w:val="0087354F"/>
    <w:rsid w:val="008738B0"/>
    <w:rsid w:val="00875339"/>
    <w:rsid w:val="008761A7"/>
    <w:rsid w:val="00876BD3"/>
    <w:rsid w:val="00877093"/>
    <w:rsid w:val="0087787F"/>
    <w:rsid w:val="008779DD"/>
    <w:rsid w:val="0088010C"/>
    <w:rsid w:val="008815BE"/>
    <w:rsid w:val="0088177B"/>
    <w:rsid w:val="00881C05"/>
    <w:rsid w:val="00881DBC"/>
    <w:rsid w:val="00882C9D"/>
    <w:rsid w:val="00882ED5"/>
    <w:rsid w:val="008844BC"/>
    <w:rsid w:val="00884D1C"/>
    <w:rsid w:val="00885253"/>
    <w:rsid w:val="00885E60"/>
    <w:rsid w:val="008874D4"/>
    <w:rsid w:val="0088798A"/>
    <w:rsid w:val="00890B1E"/>
    <w:rsid w:val="00890D22"/>
    <w:rsid w:val="00892378"/>
    <w:rsid w:val="0089338C"/>
    <w:rsid w:val="00893841"/>
    <w:rsid w:val="00893B05"/>
    <w:rsid w:val="008949FA"/>
    <w:rsid w:val="00894AAC"/>
    <w:rsid w:val="0089519A"/>
    <w:rsid w:val="008975E2"/>
    <w:rsid w:val="008A03E2"/>
    <w:rsid w:val="008A03ED"/>
    <w:rsid w:val="008A16D8"/>
    <w:rsid w:val="008A2378"/>
    <w:rsid w:val="008A2664"/>
    <w:rsid w:val="008A28EE"/>
    <w:rsid w:val="008A3F97"/>
    <w:rsid w:val="008A5011"/>
    <w:rsid w:val="008A56F8"/>
    <w:rsid w:val="008A58BF"/>
    <w:rsid w:val="008A60D7"/>
    <w:rsid w:val="008A6223"/>
    <w:rsid w:val="008A68BA"/>
    <w:rsid w:val="008A6A6D"/>
    <w:rsid w:val="008A6C76"/>
    <w:rsid w:val="008A7CBF"/>
    <w:rsid w:val="008B04AE"/>
    <w:rsid w:val="008B1F6A"/>
    <w:rsid w:val="008B26E7"/>
    <w:rsid w:val="008B316A"/>
    <w:rsid w:val="008B364B"/>
    <w:rsid w:val="008B389C"/>
    <w:rsid w:val="008B4265"/>
    <w:rsid w:val="008B497F"/>
    <w:rsid w:val="008B5004"/>
    <w:rsid w:val="008B56B0"/>
    <w:rsid w:val="008B57CE"/>
    <w:rsid w:val="008B57FE"/>
    <w:rsid w:val="008B5BD6"/>
    <w:rsid w:val="008B6EDB"/>
    <w:rsid w:val="008B7056"/>
    <w:rsid w:val="008B7141"/>
    <w:rsid w:val="008B7DD0"/>
    <w:rsid w:val="008B7F37"/>
    <w:rsid w:val="008C1A71"/>
    <w:rsid w:val="008C33FC"/>
    <w:rsid w:val="008C38AF"/>
    <w:rsid w:val="008C3E5C"/>
    <w:rsid w:val="008C46B7"/>
    <w:rsid w:val="008C4F44"/>
    <w:rsid w:val="008C50BC"/>
    <w:rsid w:val="008C5A6F"/>
    <w:rsid w:val="008C60BC"/>
    <w:rsid w:val="008D0183"/>
    <w:rsid w:val="008D081D"/>
    <w:rsid w:val="008D0AFB"/>
    <w:rsid w:val="008D1EBB"/>
    <w:rsid w:val="008D3001"/>
    <w:rsid w:val="008D42F5"/>
    <w:rsid w:val="008D4F89"/>
    <w:rsid w:val="008D5330"/>
    <w:rsid w:val="008E0415"/>
    <w:rsid w:val="008E0C61"/>
    <w:rsid w:val="008E0F3F"/>
    <w:rsid w:val="008E1191"/>
    <w:rsid w:val="008E1381"/>
    <w:rsid w:val="008E1934"/>
    <w:rsid w:val="008E2B27"/>
    <w:rsid w:val="008E42FC"/>
    <w:rsid w:val="008E5542"/>
    <w:rsid w:val="008E68DC"/>
    <w:rsid w:val="008E7FAD"/>
    <w:rsid w:val="008F1D3C"/>
    <w:rsid w:val="008F2154"/>
    <w:rsid w:val="008F2C85"/>
    <w:rsid w:val="008F3DF7"/>
    <w:rsid w:val="008F4345"/>
    <w:rsid w:val="008F484B"/>
    <w:rsid w:val="008F5387"/>
    <w:rsid w:val="008F56DD"/>
    <w:rsid w:val="008F5FC0"/>
    <w:rsid w:val="008F6AD2"/>
    <w:rsid w:val="008F6B7D"/>
    <w:rsid w:val="00900757"/>
    <w:rsid w:val="00900B1A"/>
    <w:rsid w:val="009014ED"/>
    <w:rsid w:val="009045AA"/>
    <w:rsid w:val="009047EF"/>
    <w:rsid w:val="009052EA"/>
    <w:rsid w:val="00905808"/>
    <w:rsid w:val="0090698D"/>
    <w:rsid w:val="00906EE5"/>
    <w:rsid w:val="009100DE"/>
    <w:rsid w:val="0091025C"/>
    <w:rsid w:val="00912487"/>
    <w:rsid w:val="00912ACB"/>
    <w:rsid w:val="00912D6B"/>
    <w:rsid w:val="00912FCA"/>
    <w:rsid w:val="0091381B"/>
    <w:rsid w:val="00913B8E"/>
    <w:rsid w:val="00913F4F"/>
    <w:rsid w:val="00914777"/>
    <w:rsid w:val="00915946"/>
    <w:rsid w:val="00915C2F"/>
    <w:rsid w:val="0091648A"/>
    <w:rsid w:val="00917418"/>
    <w:rsid w:val="009178B9"/>
    <w:rsid w:val="009203E8"/>
    <w:rsid w:val="009211D2"/>
    <w:rsid w:val="00921D24"/>
    <w:rsid w:val="0092237F"/>
    <w:rsid w:val="009225E7"/>
    <w:rsid w:val="00923280"/>
    <w:rsid w:val="00923EEC"/>
    <w:rsid w:val="00925AE6"/>
    <w:rsid w:val="00925C59"/>
    <w:rsid w:val="00927BCC"/>
    <w:rsid w:val="0093026E"/>
    <w:rsid w:val="00931440"/>
    <w:rsid w:val="00931E55"/>
    <w:rsid w:val="009321DF"/>
    <w:rsid w:val="00932599"/>
    <w:rsid w:val="00933958"/>
    <w:rsid w:val="00933EDC"/>
    <w:rsid w:val="00934858"/>
    <w:rsid w:val="009348B9"/>
    <w:rsid w:val="00934B6C"/>
    <w:rsid w:val="00935AB5"/>
    <w:rsid w:val="009360B3"/>
    <w:rsid w:val="00936468"/>
    <w:rsid w:val="00936C28"/>
    <w:rsid w:val="0093736B"/>
    <w:rsid w:val="00937D72"/>
    <w:rsid w:val="009411AE"/>
    <w:rsid w:val="00941408"/>
    <w:rsid w:val="00941CDB"/>
    <w:rsid w:val="00943807"/>
    <w:rsid w:val="009439E0"/>
    <w:rsid w:val="00943E16"/>
    <w:rsid w:val="009443C4"/>
    <w:rsid w:val="0094498D"/>
    <w:rsid w:val="00946E16"/>
    <w:rsid w:val="009475BC"/>
    <w:rsid w:val="00947CAD"/>
    <w:rsid w:val="009509DC"/>
    <w:rsid w:val="00950C4C"/>
    <w:rsid w:val="009512DD"/>
    <w:rsid w:val="009516D9"/>
    <w:rsid w:val="009537AC"/>
    <w:rsid w:val="0095433C"/>
    <w:rsid w:val="009554E7"/>
    <w:rsid w:val="00955775"/>
    <w:rsid w:val="009559A4"/>
    <w:rsid w:val="00955ACA"/>
    <w:rsid w:val="009570FE"/>
    <w:rsid w:val="0095713D"/>
    <w:rsid w:val="00957256"/>
    <w:rsid w:val="00957504"/>
    <w:rsid w:val="00957ED9"/>
    <w:rsid w:val="00957F39"/>
    <w:rsid w:val="00957FCD"/>
    <w:rsid w:val="009604FB"/>
    <w:rsid w:val="00961304"/>
    <w:rsid w:val="009613FA"/>
    <w:rsid w:val="00961E7E"/>
    <w:rsid w:val="009630B6"/>
    <w:rsid w:val="00963D5B"/>
    <w:rsid w:val="00963F7B"/>
    <w:rsid w:val="00964049"/>
    <w:rsid w:val="009641D9"/>
    <w:rsid w:val="00964A94"/>
    <w:rsid w:val="00967601"/>
    <w:rsid w:val="00967D27"/>
    <w:rsid w:val="0097035E"/>
    <w:rsid w:val="00970515"/>
    <w:rsid w:val="00970E85"/>
    <w:rsid w:val="00971D6F"/>
    <w:rsid w:val="009725D9"/>
    <w:rsid w:val="00973A1E"/>
    <w:rsid w:val="00973BF7"/>
    <w:rsid w:val="00973EC6"/>
    <w:rsid w:val="00973FA7"/>
    <w:rsid w:val="00974183"/>
    <w:rsid w:val="00974DA2"/>
    <w:rsid w:val="00974ECA"/>
    <w:rsid w:val="009752C5"/>
    <w:rsid w:val="009767F0"/>
    <w:rsid w:val="00977761"/>
    <w:rsid w:val="00977F5E"/>
    <w:rsid w:val="00980B10"/>
    <w:rsid w:val="00980F8E"/>
    <w:rsid w:val="00981684"/>
    <w:rsid w:val="009816A8"/>
    <w:rsid w:val="00981CB1"/>
    <w:rsid w:val="00981ECA"/>
    <w:rsid w:val="00982302"/>
    <w:rsid w:val="00983F5D"/>
    <w:rsid w:val="0098408D"/>
    <w:rsid w:val="00984175"/>
    <w:rsid w:val="009843F6"/>
    <w:rsid w:val="00984FBE"/>
    <w:rsid w:val="00985580"/>
    <w:rsid w:val="0098615D"/>
    <w:rsid w:val="009861D2"/>
    <w:rsid w:val="0098620C"/>
    <w:rsid w:val="009900EA"/>
    <w:rsid w:val="00990639"/>
    <w:rsid w:val="0099100D"/>
    <w:rsid w:val="00992130"/>
    <w:rsid w:val="0099244E"/>
    <w:rsid w:val="00992706"/>
    <w:rsid w:val="00993187"/>
    <w:rsid w:val="00993198"/>
    <w:rsid w:val="00993F45"/>
    <w:rsid w:val="009948B3"/>
    <w:rsid w:val="00994B0A"/>
    <w:rsid w:val="009960F9"/>
    <w:rsid w:val="00996D3F"/>
    <w:rsid w:val="00997278"/>
    <w:rsid w:val="009977F0"/>
    <w:rsid w:val="00997DC8"/>
    <w:rsid w:val="009A0991"/>
    <w:rsid w:val="009A1BF6"/>
    <w:rsid w:val="009A227A"/>
    <w:rsid w:val="009A2794"/>
    <w:rsid w:val="009A2EDE"/>
    <w:rsid w:val="009A2FEE"/>
    <w:rsid w:val="009A37A9"/>
    <w:rsid w:val="009A5813"/>
    <w:rsid w:val="009A587B"/>
    <w:rsid w:val="009A5BBA"/>
    <w:rsid w:val="009A5D0F"/>
    <w:rsid w:val="009A7BC0"/>
    <w:rsid w:val="009A7C4A"/>
    <w:rsid w:val="009B015D"/>
    <w:rsid w:val="009B0604"/>
    <w:rsid w:val="009B0F11"/>
    <w:rsid w:val="009B1208"/>
    <w:rsid w:val="009B21B0"/>
    <w:rsid w:val="009B2248"/>
    <w:rsid w:val="009B25E5"/>
    <w:rsid w:val="009B2BFB"/>
    <w:rsid w:val="009B2C43"/>
    <w:rsid w:val="009B2C54"/>
    <w:rsid w:val="009B2E33"/>
    <w:rsid w:val="009B37EC"/>
    <w:rsid w:val="009B4183"/>
    <w:rsid w:val="009B4FDE"/>
    <w:rsid w:val="009B506D"/>
    <w:rsid w:val="009B51AB"/>
    <w:rsid w:val="009B5565"/>
    <w:rsid w:val="009B5B31"/>
    <w:rsid w:val="009B64F5"/>
    <w:rsid w:val="009B6C0C"/>
    <w:rsid w:val="009B70FB"/>
    <w:rsid w:val="009C06E4"/>
    <w:rsid w:val="009C0E2C"/>
    <w:rsid w:val="009C100B"/>
    <w:rsid w:val="009C1E31"/>
    <w:rsid w:val="009C2EE7"/>
    <w:rsid w:val="009C6CFE"/>
    <w:rsid w:val="009C7D4D"/>
    <w:rsid w:val="009C7EC1"/>
    <w:rsid w:val="009D21B8"/>
    <w:rsid w:val="009D30D2"/>
    <w:rsid w:val="009D37B7"/>
    <w:rsid w:val="009D3A55"/>
    <w:rsid w:val="009D6B09"/>
    <w:rsid w:val="009D795D"/>
    <w:rsid w:val="009E04F4"/>
    <w:rsid w:val="009E1873"/>
    <w:rsid w:val="009E2679"/>
    <w:rsid w:val="009E27B2"/>
    <w:rsid w:val="009E3EE3"/>
    <w:rsid w:val="009E45F9"/>
    <w:rsid w:val="009E5080"/>
    <w:rsid w:val="009E5A9E"/>
    <w:rsid w:val="009E5BFE"/>
    <w:rsid w:val="009E68F6"/>
    <w:rsid w:val="009F0ACB"/>
    <w:rsid w:val="009F1687"/>
    <w:rsid w:val="009F32BD"/>
    <w:rsid w:val="009F3873"/>
    <w:rsid w:val="009F492A"/>
    <w:rsid w:val="009F4B61"/>
    <w:rsid w:val="009F4C6B"/>
    <w:rsid w:val="009F5308"/>
    <w:rsid w:val="009F53C3"/>
    <w:rsid w:val="009F53D3"/>
    <w:rsid w:val="009F64AB"/>
    <w:rsid w:val="009F6879"/>
    <w:rsid w:val="009F6E13"/>
    <w:rsid w:val="009F6F56"/>
    <w:rsid w:val="009F72E0"/>
    <w:rsid w:val="009F747C"/>
    <w:rsid w:val="009F7B00"/>
    <w:rsid w:val="009F7B82"/>
    <w:rsid w:val="00A02292"/>
    <w:rsid w:val="00A02429"/>
    <w:rsid w:val="00A02735"/>
    <w:rsid w:val="00A02F79"/>
    <w:rsid w:val="00A0369D"/>
    <w:rsid w:val="00A03C4B"/>
    <w:rsid w:val="00A04801"/>
    <w:rsid w:val="00A0591C"/>
    <w:rsid w:val="00A0641C"/>
    <w:rsid w:val="00A065D1"/>
    <w:rsid w:val="00A10B0F"/>
    <w:rsid w:val="00A12C14"/>
    <w:rsid w:val="00A12DF5"/>
    <w:rsid w:val="00A13A4D"/>
    <w:rsid w:val="00A13CD5"/>
    <w:rsid w:val="00A142AB"/>
    <w:rsid w:val="00A14DFF"/>
    <w:rsid w:val="00A1523C"/>
    <w:rsid w:val="00A1583A"/>
    <w:rsid w:val="00A1647B"/>
    <w:rsid w:val="00A16EAB"/>
    <w:rsid w:val="00A20819"/>
    <w:rsid w:val="00A21456"/>
    <w:rsid w:val="00A22C07"/>
    <w:rsid w:val="00A232A7"/>
    <w:rsid w:val="00A24B52"/>
    <w:rsid w:val="00A26A18"/>
    <w:rsid w:val="00A27728"/>
    <w:rsid w:val="00A27F05"/>
    <w:rsid w:val="00A314CB"/>
    <w:rsid w:val="00A32940"/>
    <w:rsid w:val="00A32CB6"/>
    <w:rsid w:val="00A33883"/>
    <w:rsid w:val="00A340D0"/>
    <w:rsid w:val="00A34EB8"/>
    <w:rsid w:val="00A356C6"/>
    <w:rsid w:val="00A35D83"/>
    <w:rsid w:val="00A35EC6"/>
    <w:rsid w:val="00A36495"/>
    <w:rsid w:val="00A36F95"/>
    <w:rsid w:val="00A37C91"/>
    <w:rsid w:val="00A37D97"/>
    <w:rsid w:val="00A40E51"/>
    <w:rsid w:val="00A4311A"/>
    <w:rsid w:val="00A43C97"/>
    <w:rsid w:val="00A44AB8"/>
    <w:rsid w:val="00A44C34"/>
    <w:rsid w:val="00A44CB5"/>
    <w:rsid w:val="00A44DF8"/>
    <w:rsid w:val="00A450AA"/>
    <w:rsid w:val="00A4524C"/>
    <w:rsid w:val="00A45974"/>
    <w:rsid w:val="00A45AB9"/>
    <w:rsid w:val="00A46066"/>
    <w:rsid w:val="00A461D3"/>
    <w:rsid w:val="00A46566"/>
    <w:rsid w:val="00A46A00"/>
    <w:rsid w:val="00A46C5F"/>
    <w:rsid w:val="00A47387"/>
    <w:rsid w:val="00A47446"/>
    <w:rsid w:val="00A50286"/>
    <w:rsid w:val="00A51124"/>
    <w:rsid w:val="00A51FA8"/>
    <w:rsid w:val="00A51FC7"/>
    <w:rsid w:val="00A520B2"/>
    <w:rsid w:val="00A52FAB"/>
    <w:rsid w:val="00A54032"/>
    <w:rsid w:val="00A5776D"/>
    <w:rsid w:val="00A60116"/>
    <w:rsid w:val="00A602D3"/>
    <w:rsid w:val="00A604D5"/>
    <w:rsid w:val="00A61483"/>
    <w:rsid w:val="00A61C17"/>
    <w:rsid w:val="00A61F5E"/>
    <w:rsid w:val="00A626FB"/>
    <w:rsid w:val="00A62778"/>
    <w:rsid w:val="00A632E2"/>
    <w:rsid w:val="00A642F5"/>
    <w:rsid w:val="00A65357"/>
    <w:rsid w:val="00A6561D"/>
    <w:rsid w:val="00A66348"/>
    <w:rsid w:val="00A66F7E"/>
    <w:rsid w:val="00A67D74"/>
    <w:rsid w:val="00A70318"/>
    <w:rsid w:val="00A70BB6"/>
    <w:rsid w:val="00A71898"/>
    <w:rsid w:val="00A71C2B"/>
    <w:rsid w:val="00A71F94"/>
    <w:rsid w:val="00A72741"/>
    <w:rsid w:val="00A73010"/>
    <w:rsid w:val="00A73F4A"/>
    <w:rsid w:val="00A74350"/>
    <w:rsid w:val="00A74CEB"/>
    <w:rsid w:val="00A75229"/>
    <w:rsid w:val="00A7528B"/>
    <w:rsid w:val="00A753AE"/>
    <w:rsid w:val="00A75469"/>
    <w:rsid w:val="00A75AA3"/>
    <w:rsid w:val="00A76CC9"/>
    <w:rsid w:val="00A773C5"/>
    <w:rsid w:val="00A777DE"/>
    <w:rsid w:val="00A8000F"/>
    <w:rsid w:val="00A80544"/>
    <w:rsid w:val="00A80ED9"/>
    <w:rsid w:val="00A8123D"/>
    <w:rsid w:val="00A82CE1"/>
    <w:rsid w:val="00A8379C"/>
    <w:rsid w:val="00A8438D"/>
    <w:rsid w:val="00A8475F"/>
    <w:rsid w:val="00A8477C"/>
    <w:rsid w:val="00A85216"/>
    <w:rsid w:val="00A85561"/>
    <w:rsid w:val="00A860BD"/>
    <w:rsid w:val="00A86331"/>
    <w:rsid w:val="00A86736"/>
    <w:rsid w:val="00A868FA"/>
    <w:rsid w:val="00A87AB6"/>
    <w:rsid w:val="00A90612"/>
    <w:rsid w:val="00A90DB5"/>
    <w:rsid w:val="00A91774"/>
    <w:rsid w:val="00A926A3"/>
    <w:rsid w:val="00A931F8"/>
    <w:rsid w:val="00A94CE3"/>
    <w:rsid w:val="00A95C4C"/>
    <w:rsid w:val="00A95EC3"/>
    <w:rsid w:val="00A96416"/>
    <w:rsid w:val="00A9723B"/>
    <w:rsid w:val="00A976B3"/>
    <w:rsid w:val="00A9789A"/>
    <w:rsid w:val="00A97941"/>
    <w:rsid w:val="00A97A97"/>
    <w:rsid w:val="00A97F2D"/>
    <w:rsid w:val="00AA077B"/>
    <w:rsid w:val="00AA0BB9"/>
    <w:rsid w:val="00AA21FD"/>
    <w:rsid w:val="00AA29A1"/>
    <w:rsid w:val="00AA2E4E"/>
    <w:rsid w:val="00AA3085"/>
    <w:rsid w:val="00AA3DAA"/>
    <w:rsid w:val="00AA46B8"/>
    <w:rsid w:val="00AA4A8D"/>
    <w:rsid w:val="00AA52C4"/>
    <w:rsid w:val="00AA560C"/>
    <w:rsid w:val="00AA583C"/>
    <w:rsid w:val="00AA6130"/>
    <w:rsid w:val="00AA6190"/>
    <w:rsid w:val="00AA6CC1"/>
    <w:rsid w:val="00AA7243"/>
    <w:rsid w:val="00AA775D"/>
    <w:rsid w:val="00AA793A"/>
    <w:rsid w:val="00AB04EF"/>
    <w:rsid w:val="00AB18B9"/>
    <w:rsid w:val="00AB2305"/>
    <w:rsid w:val="00AB2C7C"/>
    <w:rsid w:val="00AB315E"/>
    <w:rsid w:val="00AB31E2"/>
    <w:rsid w:val="00AB33BF"/>
    <w:rsid w:val="00AB34AF"/>
    <w:rsid w:val="00AB34D9"/>
    <w:rsid w:val="00AB3735"/>
    <w:rsid w:val="00AB40FF"/>
    <w:rsid w:val="00AB6B51"/>
    <w:rsid w:val="00AB70AF"/>
    <w:rsid w:val="00AB740A"/>
    <w:rsid w:val="00AB7526"/>
    <w:rsid w:val="00AC11B1"/>
    <w:rsid w:val="00AC1458"/>
    <w:rsid w:val="00AC266C"/>
    <w:rsid w:val="00AC428C"/>
    <w:rsid w:val="00AC5B21"/>
    <w:rsid w:val="00AC5B30"/>
    <w:rsid w:val="00AC5E4D"/>
    <w:rsid w:val="00AC632D"/>
    <w:rsid w:val="00AC6BED"/>
    <w:rsid w:val="00AC72B4"/>
    <w:rsid w:val="00AC7828"/>
    <w:rsid w:val="00AD01EB"/>
    <w:rsid w:val="00AD02F9"/>
    <w:rsid w:val="00AD0B7E"/>
    <w:rsid w:val="00AD0BF3"/>
    <w:rsid w:val="00AD1A34"/>
    <w:rsid w:val="00AD294F"/>
    <w:rsid w:val="00AD32B6"/>
    <w:rsid w:val="00AD4547"/>
    <w:rsid w:val="00AD4F5F"/>
    <w:rsid w:val="00AD6963"/>
    <w:rsid w:val="00AD7144"/>
    <w:rsid w:val="00AD7465"/>
    <w:rsid w:val="00AD75A0"/>
    <w:rsid w:val="00AD7DCB"/>
    <w:rsid w:val="00AE032C"/>
    <w:rsid w:val="00AE05DB"/>
    <w:rsid w:val="00AE0781"/>
    <w:rsid w:val="00AE2270"/>
    <w:rsid w:val="00AE256F"/>
    <w:rsid w:val="00AE28A3"/>
    <w:rsid w:val="00AE2D32"/>
    <w:rsid w:val="00AE2E9C"/>
    <w:rsid w:val="00AE4112"/>
    <w:rsid w:val="00AE4446"/>
    <w:rsid w:val="00AE51E3"/>
    <w:rsid w:val="00AE64A4"/>
    <w:rsid w:val="00AE6DC2"/>
    <w:rsid w:val="00AE72F5"/>
    <w:rsid w:val="00AF0024"/>
    <w:rsid w:val="00AF057A"/>
    <w:rsid w:val="00AF1C7E"/>
    <w:rsid w:val="00AF20E7"/>
    <w:rsid w:val="00AF2B39"/>
    <w:rsid w:val="00AF2C05"/>
    <w:rsid w:val="00AF3882"/>
    <w:rsid w:val="00AF3DDA"/>
    <w:rsid w:val="00AF51C5"/>
    <w:rsid w:val="00AF58DA"/>
    <w:rsid w:val="00AF7B8A"/>
    <w:rsid w:val="00AF7F97"/>
    <w:rsid w:val="00B0119E"/>
    <w:rsid w:val="00B019D6"/>
    <w:rsid w:val="00B0243C"/>
    <w:rsid w:val="00B025EF"/>
    <w:rsid w:val="00B031C3"/>
    <w:rsid w:val="00B03D16"/>
    <w:rsid w:val="00B040F8"/>
    <w:rsid w:val="00B05578"/>
    <w:rsid w:val="00B0696B"/>
    <w:rsid w:val="00B06EB1"/>
    <w:rsid w:val="00B06FEA"/>
    <w:rsid w:val="00B07717"/>
    <w:rsid w:val="00B07A57"/>
    <w:rsid w:val="00B10016"/>
    <w:rsid w:val="00B10C32"/>
    <w:rsid w:val="00B117D1"/>
    <w:rsid w:val="00B11820"/>
    <w:rsid w:val="00B11CC7"/>
    <w:rsid w:val="00B125A9"/>
    <w:rsid w:val="00B125D7"/>
    <w:rsid w:val="00B12DC2"/>
    <w:rsid w:val="00B1393D"/>
    <w:rsid w:val="00B13D7F"/>
    <w:rsid w:val="00B144C8"/>
    <w:rsid w:val="00B1493C"/>
    <w:rsid w:val="00B14C70"/>
    <w:rsid w:val="00B16017"/>
    <w:rsid w:val="00B16273"/>
    <w:rsid w:val="00B163CA"/>
    <w:rsid w:val="00B16C77"/>
    <w:rsid w:val="00B16C8E"/>
    <w:rsid w:val="00B20172"/>
    <w:rsid w:val="00B21392"/>
    <w:rsid w:val="00B21985"/>
    <w:rsid w:val="00B21C42"/>
    <w:rsid w:val="00B22461"/>
    <w:rsid w:val="00B22896"/>
    <w:rsid w:val="00B239F8"/>
    <w:rsid w:val="00B2416E"/>
    <w:rsid w:val="00B25E25"/>
    <w:rsid w:val="00B26BEB"/>
    <w:rsid w:val="00B27353"/>
    <w:rsid w:val="00B27D05"/>
    <w:rsid w:val="00B30A7F"/>
    <w:rsid w:val="00B31040"/>
    <w:rsid w:val="00B313E6"/>
    <w:rsid w:val="00B3152D"/>
    <w:rsid w:val="00B31905"/>
    <w:rsid w:val="00B31FE1"/>
    <w:rsid w:val="00B3297E"/>
    <w:rsid w:val="00B33443"/>
    <w:rsid w:val="00B3347F"/>
    <w:rsid w:val="00B354A2"/>
    <w:rsid w:val="00B358E2"/>
    <w:rsid w:val="00B35A06"/>
    <w:rsid w:val="00B35D75"/>
    <w:rsid w:val="00B370B9"/>
    <w:rsid w:val="00B37502"/>
    <w:rsid w:val="00B3765A"/>
    <w:rsid w:val="00B40010"/>
    <w:rsid w:val="00B416D9"/>
    <w:rsid w:val="00B41CAE"/>
    <w:rsid w:val="00B41FB3"/>
    <w:rsid w:val="00B42094"/>
    <w:rsid w:val="00B43315"/>
    <w:rsid w:val="00B443AB"/>
    <w:rsid w:val="00B44403"/>
    <w:rsid w:val="00B445F1"/>
    <w:rsid w:val="00B44896"/>
    <w:rsid w:val="00B45260"/>
    <w:rsid w:val="00B46045"/>
    <w:rsid w:val="00B46789"/>
    <w:rsid w:val="00B4698C"/>
    <w:rsid w:val="00B46B55"/>
    <w:rsid w:val="00B47619"/>
    <w:rsid w:val="00B47A17"/>
    <w:rsid w:val="00B47C5E"/>
    <w:rsid w:val="00B47CEC"/>
    <w:rsid w:val="00B50349"/>
    <w:rsid w:val="00B50473"/>
    <w:rsid w:val="00B5183B"/>
    <w:rsid w:val="00B518DA"/>
    <w:rsid w:val="00B51BE9"/>
    <w:rsid w:val="00B51FE1"/>
    <w:rsid w:val="00B52145"/>
    <w:rsid w:val="00B52837"/>
    <w:rsid w:val="00B53075"/>
    <w:rsid w:val="00B5327C"/>
    <w:rsid w:val="00B53443"/>
    <w:rsid w:val="00B53878"/>
    <w:rsid w:val="00B53A6B"/>
    <w:rsid w:val="00B54D80"/>
    <w:rsid w:val="00B54E54"/>
    <w:rsid w:val="00B550D3"/>
    <w:rsid w:val="00B552E3"/>
    <w:rsid w:val="00B5598F"/>
    <w:rsid w:val="00B56AFC"/>
    <w:rsid w:val="00B56ED2"/>
    <w:rsid w:val="00B573CF"/>
    <w:rsid w:val="00B60544"/>
    <w:rsid w:val="00B60F92"/>
    <w:rsid w:val="00B61D59"/>
    <w:rsid w:val="00B623FF"/>
    <w:rsid w:val="00B62FC4"/>
    <w:rsid w:val="00B63131"/>
    <w:rsid w:val="00B631C3"/>
    <w:rsid w:val="00B64CBE"/>
    <w:rsid w:val="00B64D65"/>
    <w:rsid w:val="00B64DA2"/>
    <w:rsid w:val="00B664A4"/>
    <w:rsid w:val="00B66B6D"/>
    <w:rsid w:val="00B67028"/>
    <w:rsid w:val="00B67D4A"/>
    <w:rsid w:val="00B67EE1"/>
    <w:rsid w:val="00B706D1"/>
    <w:rsid w:val="00B707D8"/>
    <w:rsid w:val="00B7164D"/>
    <w:rsid w:val="00B716AF"/>
    <w:rsid w:val="00B71F59"/>
    <w:rsid w:val="00B73548"/>
    <w:rsid w:val="00B736C3"/>
    <w:rsid w:val="00B73B9D"/>
    <w:rsid w:val="00B7486B"/>
    <w:rsid w:val="00B75162"/>
    <w:rsid w:val="00B77585"/>
    <w:rsid w:val="00B80555"/>
    <w:rsid w:val="00B8069F"/>
    <w:rsid w:val="00B8178F"/>
    <w:rsid w:val="00B81CBB"/>
    <w:rsid w:val="00B828FE"/>
    <w:rsid w:val="00B82E71"/>
    <w:rsid w:val="00B82FDE"/>
    <w:rsid w:val="00B830F9"/>
    <w:rsid w:val="00B837C2"/>
    <w:rsid w:val="00B84CC7"/>
    <w:rsid w:val="00B84F89"/>
    <w:rsid w:val="00B85425"/>
    <w:rsid w:val="00B85620"/>
    <w:rsid w:val="00B85736"/>
    <w:rsid w:val="00B86A0F"/>
    <w:rsid w:val="00B86AAB"/>
    <w:rsid w:val="00B86B1D"/>
    <w:rsid w:val="00B87AD6"/>
    <w:rsid w:val="00B87F60"/>
    <w:rsid w:val="00B9173D"/>
    <w:rsid w:val="00B91D44"/>
    <w:rsid w:val="00B92818"/>
    <w:rsid w:val="00B93D07"/>
    <w:rsid w:val="00B93ED4"/>
    <w:rsid w:val="00B9467F"/>
    <w:rsid w:val="00B94ECE"/>
    <w:rsid w:val="00B956BE"/>
    <w:rsid w:val="00B95C6D"/>
    <w:rsid w:val="00B96500"/>
    <w:rsid w:val="00B9669E"/>
    <w:rsid w:val="00B96CC3"/>
    <w:rsid w:val="00B96FAD"/>
    <w:rsid w:val="00B9769B"/>
    <w:rsid w:val="00B97B27"/>
    <w:rsid w:val="00B97ECA"/>
    <w:rsid w:val="00B97F29"/>
    <w:rsid w:val="00BA0280"/>
    <w:rsid w:val="00BA0452"/>
    <w:rsid w:val="00BA074B"/>
    <w:rsid w:val="00BA07E3"/>
    <w:rsid w:val="00BA0965"/>
    <w:rsid w:val="00BA09B8"/>
    <w:rsid w:val="00BA0CA5"/>
    <w:rsid w:val="00BA1FD0"/>
    <w:rsid w:val="00BA1FE4"/>
    <w:rsid w:val="00BA232C"/>
    <w:rsid w:val="00BA28E1"/>
    <w:rsid w:val="00BA2FDA"/>
    <w:rsid w:val="00BA2FF8"/>
    <w:rsid w:val="00BA3E70"/>
    <w:rsid w:val="00BA44D8"/>
    <w:rsid w:val="00BA52D1"/>
    <w:rsid w:val="00BA52D8"/>
    <w:rsid w:val="00BA70EC"/>
    <w:rsid w:val="00BA7563"/>
    <w:rsid w:val="00BB04B7"/>
    <w:rsid w:val="00BB0E7A"/>
    <w:rsid w:val="00BB1589"/>
    <w:rsid w:val="00BB1BCE"/>
    <w:rsid w:val="00BB1C51"/>
    <w:rsid w:val="00BB1DA3"/>
    <w:rsid w:val="00BB2C5B"/>
    <w:rsid w:val="00BB3E88"/>
    <w:rsid w:val="00BB5A60"/>
    <w:rsid w:val="00BB6748"/>
    <w:rsid w:val="00BB68B4"/>
    <w:rsid w:val="00BB6D3F"/>
    <w:rsid w:val="00BB7819"/>
    <w:rsid w:val="00BB7977"/>
    <w:rsid w:val="00BC0EB6"/>
    <w:rsid w:val="00BC21A7"/>
    <w:rsid w:val="00BC2CD2"/>
    <w:rsid w:val="00BC3361"/>
    <w:rsid w:val="00BC367C"/>
    <w:rsid w:val="00BC3CA8"/>
    <w:rsid w:val="00BC407A"/>
    <w:rsid w:val="00BC40F2"/>
    <w:rsid w:val="00BC40F5"/>
    <w:rsid w:val="00BC4263"/>
    <w:rsid w:val="00BC4FDE"/>
    <w:rsid w:val="00BC5503"/>
    <w:rsid w:val="00BC5F31"/>
    <w:rsid w:val="00BC641A"/>
    <w:rsid w:val="00BC7587"/>
    <w:rsid w:val="00BD0EC3"/>
    <w:rsid w:val="00BD1135"/>
    <w:rsid w:val="00BD19B2"/>
    <w:rsid w:val="00BD1D7D"/>
    <w:rsid w:val="00BD21BB"/>
    <w:rsid w:val="00BD2F9D"/>
    <w:rsid w:val="00BD35EF"/>
    <w:rsid w:val="00BD416E"/>
    <w:rsid w:val="00BD510C"/>
    <w:rsid w:val="00BD5799"/>
    <w:rsid w:val="00BD5C9A"/>
    <w:rsid w:val="00BD74D5"/>
    <w:rsid w:val="00BD7553"/>
    <w:rsid w:val="00BE067B"/>
    <w:rsid w:val="00BE0979"/>
    <w:rsid w:val="00BE1EA4"/>
    <w:rsid w:val="00BE225D"/>
    <w:rsid w:val="00BE2614"/>
    <w:rsid w:val="00BE3BA1"/>
    <w:rsid w:val="00BE45EE"/>
    <w:rsid w:val="00BE45FA"/>
    <w:rsid w:val="00BE4B6D"/>
    <w:rsid w:val="00BE624D"/>
    <w:rsid w:val="00BE7188"/>
    <w:rsid w:val="00BE78EA"/>
    <w:rsid w:val="00BE79EC"/>
    <w:rsid w:val="00BF0F9D"/>
    <w:rsid w:val="00BF109C"/>
    <w:rsid w:val="00BF13E7"/>
    <w:rsid w:val="00BF191B"/>
    <w:rsid w:val="00BF2970"/>
    <w:rsid w:val="00BF4C40"/>
    <w:rsid w:val="00BF53B3"/>
    <w:rsid w:val="00BF620E"/>
    <w:rsid w:val="00BF6731"/>
    <w:rsid w:val="00BF6B37"/>
    <w:rsid w:val="00BF7EE0"/>
    <w:rsid w:val="00C00152"/>
    <w:rsid w:val="00C00FDA"/>
    <w:rsid w:val="00C014CE"/>
    <w:rsid w:val="00C01E0D"/>
    <w:rsid w:val="00C03B0E"/>
    <w:rsid w:val="00C0512A"/>
    <w:rsid w:val="00C05ED6"/>
    <w:rsid w:val="00C0654B"/>
    <w:rsid w:val="00C07BD5"/>
    <w:rsid w:val="00C07F83"/>
    <w:rsid w:val="00C10189"/>
    <w:rsid w:val="00C10337"/>
    <w:rsid w:val="00C10828"/>
    <w:rsid w:val="00C10D6D"/>
    <w:rsid w:val="00C115BA"/>
    <w:rsid w:val="00C11CF1"/>
    <w:rsid w:val="00C11FF7"/>
    <w:rsid w:val="00C13298"/>
    <w:rsid w:val="00C1476B"/>
    <w:rsid w:val="00C15868"/>
    <w:rsid w:val="00C1770C"/>
    <w:rsid w:val="00C1794D"/>
    <w:rsid w:val="00C2029C"/>
    <w:rsid w:val="00C203D7"/>
    <w:rsid w:val="00C20728"/>
    <w:rsid w:val="00C20ABA"/>
    <w:rsid w:val="00C20E68"/>
    <w:rsid w:val="00C221DF"/>
    <w:rsid w:val="00C22622"/>
    <w:rsid w:val="00C2296B"/>
    <w:rsid w:val="00C22D2F"/>
    <w:rsid w:val="00C22E12"/>
    <w:rsid w:val="00C23174"/>
    <w:rsid w:val="00C2503F"/>
    <w:rsid w:val="00C252A4"/>
    <w:rsid w:val="00C25849"/>
    <w:rsid w:val="00C25AE3"/>
    <w:rsid w:val="00C25BD8"/>
    <w:rsid w:val="00C26251"/>
    <w:rsid w:val="00C26292"/>
    <w:rsid w:val="00C26744"/>
    <w:rsid w:val="00C3365B"/>
    <w:rsid w:val="00C33A00"/>
    <w:rsid w:val="00C33B34"/>
    <w:rsid w:val="00C34872"/>
    <w:rsid w:val="00C34CCF"/>
    <w:rsid w:val="00C35041"/>
    <w:rsid w:val="00C41255"/>
    <w:rsid w:val="00C414F4"/>
    <w:rsid w:val="00C42048"/>
    <w:rsid w:val="00C424DE"/>
    <w:rsid w:val="00C432C6"/>
    <w:rsid w:val="00C4432A"/>
    <w:rsid w:val="00C4531C"/>
    <w:rsid w:val="00C45692"/>
    <w:rsid w:val="00C46524"/>
    <w:rsid w:val="00C466B8"/>
    <w:rsid w:val="00C47269"/>
    <w:rsid w:val="00C47A5A"/>
    <w:rsid w:val="00C47C1F"/>
    <w:rsid w:val="00C50061"/>
    <w:rsid w:val="00C504D1"/>
    <w:rsid w:val="00C50AD6"/>
    <w:rsid w:val="00C52078"/>
    <w:rsid w:val="00C523B1"/>
    <w:rsid w:val="00C530FE"/>
    <w:rsid w:val="00C533A1"/>
    <w:rsid w:val="00C53A37"/>
    <w:rsid w:val="00C53D4D"/>
    <w:rsid w:val="00C55C60"/>
    <w:rsid w:val="00C568D6"/>
    <w:rsid w:val="00C5693C"/>
    <w:rsid w:val="00C56A50"/>
    <w:rsid w:val="00C57167"/>
    <w:rsid w:val="00C57880"/>
    <w:rsid w:val="00C579CA"/>
    <w:rsid w:val="00C603C0"/>
    <w:rsid w:val="00C61522"/>
    <w:rsid w:val="00C615BC"/>
    <w:rsid w:val="00C615DB"/>
    <w:rsid w:val="00C61A14"/>
    <w:rsid w:val="00C61C0A"/>
    <w:rsid w:val="00C61ED8"/>
    <w:rsid w:val="00C624A7"/>
    <w:rsid w:val="00C631F6"/>
    <w:rsid w:val="00C63582"/>
    <w:rsid w:val="00C63768"/>
    <w:rsid w:val="00C65701"/>
    <w:rsid w:val="00C6595D"/>
    <w:rsid w:val="00C65A96"/>
    <w:rsid w:val="00C67433"/>
    <w:rsid w:val="00C70432"/>
    <w:rsid w:val="00C70ABF"/>
    <w:rsid w:val="00C71859"/>
    <w:rsid w:val="00C71A51"/>
    <w:rsid w:val="00C72CD8"/>
    <w:rsid w:val="00C733DD"/>
    <w:rsid w:val="00C7443B"/>
    <w:rsid w:val="00C747E9"/>
    <w:rsid w:val="00C747F3"/>
    <w:rsid w:val="00C74886"/>
    <w:rsid w:val="00C80653"/>
    <w:rsid w:val="00C8169E"/>
    <w:rsid w:val="00C81864"/>
    <w:rsid w:val="00C819DC"/>
    <w:rsid w:val="00C83C3E"/>
    <w:rsid w:val="00C847D1"/>
    <w:rsid w:val="00C84A36"/>
    <w:rsid w:val="00C85D06"/>
    <w:rsid w:val="00C867FA"/>
    <w:rsid w:val="00C86802"/>
    <w:rsid w:val="00C86F59"/>
    <w:rsid w:val="00C86FE0"/>
    <w:rsid w:val="00C8722F"/>
    <w:rsid w:val="00C873B0"/>
    <w:rsid w:val="00C87B38"/>
    <w:rsid w:val="00C90C67"/>
    <w:rsid w:val="00C923F7"/>
    <w:rsid w:val="00C930A5"/>
    <w:rsid w:val="00C93438"/>
    <w:rsid w:val="00C93BAC"/>
    <w:rsid w:val="00C94226"/>
    <w:rsid w:val="00C9461E"/>
    <w:rsid w:val="00C9487C"/>
    <w:rsid w:val="00C96079"/>
    <w:rsid w:val="00C96329"/>
    <w:rsid w:val="00C964F7"/>
    <w:rsid w:val="00C967BA"/>
    <w:rsid w:val="00C96BF5"/>
    <w:rsid w:val="00C972B9"/>
    <w:rsid w:val="00CA081A"/>
    <w:rsid w:val="00CA0A34"/>
    <w:rsid w:val="00CA1217"/>
    <w:rsid w:val="00CA14FB"/>
    <w:rsid w:val="00CA1C8A"/>
    <w:rsid w:val="00CA1E6C"/>
    <w:rsid w:val="00CA257F"/>
    <w:rsid w:val="00CA3D97"/>
    <w:rsid w:val="00CA4155"/>
    <w:rsid w:val="00CA4571"/>
    <w:rsid w:val="00CA475F"/>
    <w:rsid w:val="00CA52EF"/>
    <w:rsid w:val="00CA679B"/>
    <w:rsid w:val="00CA774B"/>
    <w:rsid w:val="00CA79FD"/>
    <w:rsid w:val="00CA7DF6"/>
    <w:rsid w:val="00CA7DF7"/>
    <w:rsid w:val="00CB0017"/>
    <w:rsid w:val="00CB085E"/>
    <w:rsid w:val="00CB0B8A"/>
    <w:rsid w:val="00CB12C2"/>
    <w:rsid w:val="00CB1B03"/>
    <w:rsid w:val="00CB1F84"/>
    <w:rsid w:val="00CB2EEE"/>
    <w:rsid w:val="00CB35ED"/>
    <w:rsid w:val="00CB3D47"/>
    <w:rsid w:val="00CB4AB7"/>
    <w:rsid w:val="00CB5927"/>
    <w:rsid w:val="00CB5960"/>
    <w:rsid w:val="00CB64EC"/>
    <w:rsid w:val="00CB7692"/>
    <w:rsid w:val="00CC0301"/>
    <w:rsid w:val="00CC0C5B"/>
    <w:rsid w:val="00CC15AC"/>
    <w:rsid w:val="00CC242B"/>
    <w:rsid w:val="00CC25B3"/>
    <w:rsid w:val="00CC2665"/>
    <w:rsid w:val="00CC284A"/>
    <w:rsid w:val="00CC2AD0"/>
    <w:rsid w:val="00CC3229"/>
    <w:rsid w:val="00CC3C4C"/>
    <w:rsid w:val="00CC4B34"/>
    <w:rsid w:val="00CC5193"/>
    <w:rsid w:val="00CC51B1"/>
    <w:rsid w:val="00CC51D6"/>
    <w:rsid w:val="00CC5392"/>
    <w:rsid w:val="00CC539D"/>
    <w:rsid w:val="00CC5993"/>
    <w:rsid w:val="00CC5C1C"/>
    <w:rsid w:val="00CC61D3"/>
    <w:rsid w:val="00CC627F"/>
    <w:rsid w:val="00CC640F"/>
    <w:rsid w:val="00CD01A9"/>
    <w:rsid w:val="00CD0A6A"/>
    <w:rsid w:val="00CD0BE5"/>
    <w:rsid w:val="00CD0D7F"/>
    <w:rsid w:val="00CD12FD"/>
    <w:rsid w:val="00CD16B8"/>
    <w:rsid w:val="00CD1AEA"/>
    <w:rsid w:val="00CD1DB7"/>
    <w:rsid w:val="00CD2AE7"/>
    <w:rsid w:val="00CD45FB"/>
    <w:rsid w:val="00CD4944"/>
    <w:rsid w:val="00CD5C7E"/>
    <w:rsid w:val="00CD5F69"/>
    <w:rsid w:val="00CD61DD"/>
    <w:rsid w:val="00CD620C"/>
    <w:rsid w:val="00CD7DFE"/>
    <w:rsid w:val="00CE1C38"/>
    <w:rsid w:val="00CE21D1"/>
    <w:rsid w:val="00CE28F4"/>
    <w:rsid w:val="00CE2EE6"/>
    <w:rsid w:val="00CE3440"/>
    <w:rsid w:val="00CE3770"/>
    <w:rsid w:val="00CE3ACE"/>
    <w:rsid w:val="00CE40D3"/>
    <w:rsid w:val="00CE415A"/>
    <w:rsid w:val="00CE4161"/>
    <w:rsid w:val="00CE53A0"/>
    <w:rsid w:val="00CE5B02"/>
    <w:rsid w:val="00CE636A"/>
    <w:rsid w:val="00CE66F7"/>
    <w:rsid w:val="00CE71E7"/>
    <w:rsid w:val="00CE78EA"/>
    <w:rsid w:val="00CE78F3"/>
    <w:rsid w:val="00CE7D6B"/>
    <w:rsid w:val="00CF0C6F"/>
    <w:rsid w:val="00CF1414"/>
    <w:rsid w:val="00CF1DFD"/>
    <w:rsid w:val="00CF246A"/>
    <w:rsid w:val="00CF281E"/>
    <w:rsid w:val="00CF2895"/>
    <w:rsid w:val="00CF3FDE"/>
    <w:rsid w:val="00CF4E33"/>
    <w:rsid w:val="00CF5103"/>
    <w:rsid w:val="00CF56D6"/>
    <w:rsid w:val="00D018A2"/>
    <w:rsid w:val="00D01A53"/>
    <w:rsid w:val="00D02C39"/>
    <w:rsid w:val="00D02C3A"/>
    <w:rsid w:val="00D03008"/>
    <w:rsid w:val="00D030FA"/>
    <w:rsid w:val="00D03E2D"/>
    <w:rsid w:val="00D04008"/>
    <w:rsid w:val="00D05265"/>
    <w:rsid w:val="00D05375"/>
    <w:rsid w:val="00D053B1"/>
    <w:rsid w:val="00D10246"/>
    <w:rsid w:val="00D13842"/>
    <w:rsid w:val="00D13AB8"/>
    <w:rsid w:val="00D14676"/>
    <w:rsid w:val="00D15604"/>
    <w:rsid w:val="00D15A89"/>
    <w:rsid w:val="00D16001"/>
    <w:rsid w:val="00D16701"/>
    <w:rsid w:val="00D16ADD"/>
    <w:rsid w:val="00D20092"/>
    <w:rsid w:val="00D20A66"/>
    <w:rsid w:val="00D20D99"/>
    <w:rsid w:val="00D2108F"/>
    <w:rsid w:val="00D2128C"/>
    <w:rsid w:val="00D21E0A"/>
    <w:rsid w:val="00D22331"/>
    <w:rsid w:val="00D2239D"/>
    <w:rsid w:val="00D23F83"/>
    <w:rsid w:val="00D24181"/>
    <w:rsid w:val="00D24659"/>
    <w:rsid w:val="00D24D7B"/>
    <w:rsid w:val="00D258DB"/>
    <w:rsid w:val="00D25D9C"/>
    <w:rsid w:val="00D26F1D"/>
    <w:rsid w:val="00D2798E"/>
    <w:rsid w:val="00D30952"/>
    <w:rsid w:val="00D30F24"/>
    <w:rsid w:val="00D30FCC"/>
    <w:rsid w:val="00D31383"/>
    <w:rsid w:val="00D31BD0"/>
    <w:rsid w:val="00D3204F"/>
    <w:rsid w:val="00D3258C"/>
    <w:rsid w:val="00D34688"/>
    <w:rsid w:val="00D35F27"/>
    <w:rsid w:val="00D3664D"/>
    <w:rsid w:val="00D36D9A"/>
    <w:rsid w:val="00D37461"/>
    <w:rsid w:val="00D375F5"/>
    <w:rsid w:val="00D404C0"/>
    <w:rsid w:val="00D41F60"/>
    <w:rsid w:val="00D423EC"/>
    <w:rsid w:val="00D4269A"/>
    <w:rsid w:val="00D42B6E"/>
    <w:rsid w:val="00D42B6F"/>
    <w:rsid w:val="00D43932"/>
    <w:rsid w:val="00D43C04"/>
    <w:rsid w:val="00D43DC1"/>
    <w:rsid w:val="00D442E3"/>
    <w:rsid w:val="00D44F72"/>
    <w:rsid w:val="00D45203"/>
    <w:rsid w:val="00D4597A"/>
    <w:rsid w:val="00D46A88"/>
    <w:rsid w:val="00D46EDD"/>
    <w:rsid w:val="00D50BAD"/>
    <w:rsid w:val="00D50E54"/>
    <w:rsid w:val="00D516D9"/>
    <w:rsid w:val="00D51C4B"/>
    <w:rsid w:val="00D53806"/>
    <w:rsid w:val="00D5397F"/>
    <w:rsid w:val="00D54C4D"/>
    <w:rsid w:val="00D55247"/>
    <w:rsid w:val="00D5552C"/>
    <w:rsid w:val="00D55E77"/>
    <w:rsid w:val="00D56464"/>
    <w:rsid w:val="00D56658"/>
    <w:rsid w:val="00D56872"/>
    <w:rsid w:val="00D56A1C"/>
    <w:rsid w:val="00D57627"/>
    <w:rsid w:val="00D602F8"/>
    <w:rsid w:val="00D605ED"/>
    <w:rsid w:val="00D60A04"/>
    <w:rsid w:val="00D60F7E"/>
    <w:rsid w:val="00D61DBF"/>
    <w:rsid w:val="00D64D97"/>
    <w:rsid w:val="00D65E36"/>
    <w:rsid w:val="00D662E4"/>
    <w:rsid w:val="00D67160"/>
    <w:rsid w:val="00D67334"/>
    <w:rsid w:val="00D67A16"/>
    <w:rsid w:val="00D70424"/>
    <w:rsid w:val="00D70A44"/>
    <w:rsid w:val="00D71329"/>
    <w:rsid w:val="00D71CD8"/>
    <w:rsid w:val="00D7250B"/>
    <w:rsid w:val="00D72570"/>
    <w:rsid w:val="00D7285B"/>
    <w:rsid w:val="00D72EA8"/>
    <w:rsid w:val="00D72F64"/>
    <w:rsid w:val="00D73426"/>
    <w:rsid w:val="00D73CD5"/>
    <w:rsid w:val="00D73E9B"/>
    <w:rsid w:val="00D745E8"/>
    <w:rsid w:val="00D75EB6"/>
    <w:rsid w:val="00D76AC2"/>
    <w:rsid w:val="00D773E8"/>
    <w:rsid w:val="00D81689"/>
    <w:rsid w:val="00D81B56"/>
    <w:rsid w:val="00D81D05"/>
    <w:rsid w:val="00D81FF1"/>
    <w:rsid w:val="00D828B1"/>
    <w:rsid w:val="00D83242"/>
    <w:rsid w:val="00D84E13"/>
    <w:rsid w:val="00D8591C"/>
    <w:rsid w:val="00D8601D"/>
    <w:rsid w:val="00D86021"/>
    <w:rsid w:val="00D866F3"/>
    <w:rsid w:val="00D87CC4"/>
    <w:rsid w:val="00D90344"/>
    <w:rsid w:val="00D91287"/>
    <w:rsid w:val="00D91505"/>
    <w:rsid w:val="00D93AEE"/>
    <w:rsid w:val="00D95F32"/>
    <w:rsid w:val="00D9719F"/>
    <w:rsid w:val="00D97BFE"/>
    <w:rsid w:val="00DA02F5"/>
    <w:rsid w:val="00DA2397"/>
    <w:rsid w:val="00DA27A7"/>
    <w:rsid w:val="00DA2D96"/>
    <w:rsid w:val="00DA361E"/>
    <w:rsid w:val="00DA3BDF"/>
    <w:rsid w:val="00DA5B44"/>
    <w:rsid w:val="00DA72D0"/>
    <w:rsid w:val="00DB07E4"/>
    <w:rsid w:val="00DB1407"/>
    <w:rsid w:val="00DB274F"/>
    <w:rsid w:val="00DB3E83"/>
    <w:rsid w:val="00DB422A"/>
    <w:rsid w:val="00DB4442"/>
    <w:rsid w:val="00DB5231"/>
    <w:rsid w:val="00DB54EB"/>
    <w:rsid w:val="00DC05D5"/>
    <w:rsid w:val="00DC0B4D"/>
    <w:rsid w:val="00DC0C41"/>
    <w:rsid w:val="00DC1F58"/>
    <w:rsid w:val="00DC2D2D"/>
    <w:rsid w:val="00DC33F3"/>
    <w:rsid w:val="00DC34CE"/>
    <w:rsid w:val="00DC3B04"/>
    <w:rsid w:val="00DC52AE"/>
    <w:rsid w:val="00DC61DD"/>
    <w:rsid w:val="00DD013A"/>
    <w:rsid w:val="00DD02A3"/>
    <w:rsid w:val="00DD044B"/>
    <w:rsid w:val="00DD07FB"/>
    <w:rsid w:val="00DD08BA"/>
    <w:rsid w:val="00DD1254"/>
    <w:rsid w:val="00DD1681"/>
    <w:rsid w:val="00DD16B1"/>
    <w:rsid w:val="00DD2466"/>
    <w:rsid w:val="00DD2A08"/>
    <w:rsid w:val="00DD2A0E"/>
    <w:rsid w:val="00DD35E1"/>
    <w:rsid w:val="00DD361C"/>
    <w:rsid w:val="00DD3E73"/>
    <w:rsid w:val="00DD4985"/>
    <w:rsid w:val="00DD4C65"/>
    <w:rsid w:val="00DD4D37"/>
    <w:rsid w:val="00DD4E28"/>
    <w:rsid w:val="00DD5B5F"/>
    <w:rsid w:val="00DD5E76"/>
    <w:rsid w:val="00DD66AE"/>
    <w:rsid w:val="00DD6E11"/>
    <w:rsid w:val="00DD75EC"/>
    <w:rsid w:val="00DE0746"/>
    <w:rsid w:val="00DE1421"/>
    <w:rsid w:val="00DE1722"/>
    <w:rsid w:val="00DE1E46"/>
    <w:rsid w:val="00DE2246"/>
    <w:rsid w:val="00DE259F"/>
    <w:rsid w:val="00DE2957"/>
    <w:rsid w:val="00DE3B60"/>
    <w:rsid w:val="00DE3F15"/>
    <w:rsid w:val="00DE3FD7"/>
    <w:rsid w:val="00DE41BE"/>
    <w:rsid w:val="00DE4970"/>
    <w:rsid w:val="00DE4BC0"/>
    <w:rsid w:val="00DE4DC3"/>
    <w:rsid w:val="00DE6076"/>
    <w:rsid w:val="00DE6EC9"/>
    <w:rsid w:val="00DE6EF2"/>
    <w:rsid w:val="00DE79A2"/>
    <w:rsid w:val="00DF0A72"/>
    <w:rsid w:val="00DF1F5A"/>
    <w:rsid w:val="00DF2783"/>
    <w:rsid w:val="00DF2AAD"/>
    <w:rsid w:val="00DF2ED9"/>
    <w:rsid w:val="00DF2F3D"/>
    <w:rsid w:val="00DF36F5"/>
    <w:rsid w:val="00DF6A03"/>
    <w:rsid w:val="00DF7077"/>
    <w:rsid w:val="00DF7F0A"/>
    <w:rsid w:val="00E00861"/>
    <w:rsid w:val="00E00A3C"/>
    <w:rsid w:val="00E02995"/>
    <w:rsid w:val="00E02FD4"/>
    <w:rsid w:val="00E0383D"/>
    <w:rsid w:val="00E03DB7"/>
    <w:rsid w:val="00E040C0"/>
    <w:rsid w:val="00E047A1"/>
    <w:rsid w:val="00E05020"/>
    <w:rsid w:val="00E05656"/>
    <w:rsid w:val="00E07B0A"/>
    <w:rsid w:val="00E07B10"/>
    <w:rsid w:val="00E07F0B"/>
    <w:rsid w:val="00E07FA4"/>
    <w:rsid w:val="00E1071C"/>
    <w:rsid w:val="00E10D3D"/>
    <w:rsid w:val="00E1128C"/>
    <w:rsid w:val="00E137F3"/>
    <w:rsid w:val="00E15742"/>
    <w:rsid w:val="00E1661B"/>
    <w:rsid w:val="00E171BF"/>
    <w:rsid w:val="00E17323"/>
    <w:rsid w:val="00E2031D"/>
    <w:rsid w:val="00E20CD8"/>
    <w:rsid w:val="00E21D3F"/>
    <w:rsid w:val="00E22270"/>
    <w:rsid w:val="00E22D9D"/>
    <w:rsid w:val="00E23ABD"/>
    <w:rsid w:val="00E23F7E"/>
    <w:rsid w:val="00E24285"/>
    <w:rsid w:val="00E24D10"/>
    <w:rsid w:val="00E24EF7"/>
    <w:rsid w:val="00E2511C"/>
    <w:rsid w:val="00E2557F"/>
    <w:rsid w:val="00E278EE"/>
    <w:rsid w:val="00E3015D"/>
    <w:rsid w:val="00E30235"/>
    <w:rsid w:val="00E3119B"/>
    <w:rsid w:val="00E31DF1"/>
    <w:rsid w:val="00E321B7"/>
    <w:rsid w:val="00E32503"/>
    <w:rsid w:val="00E33F87"/>
    <w:rsid w:val="00E34081"/>
    <w:rsid w:val="00E342BB"/>
    <w:rsid w:val="00E34675"/>
    <w:rsid w:val="00E34B7E"/>
    <w:rsid w:val="00E35074"/>
    <w:rsid w:val="00E35515"/>
    <w:rsid w:val="00E35C6A"/>
    <w:rsid w:val="00E364D0"/>
    <w:rsid w:val="00E36C5D"/>
    <w:rsid w:val="00E3739F"/>
    <w:rsid w:val="00E4007E"/>
    <w:rsid w:val="00E40475"/>
    <w:rsid w:val="00E40937"/>
    <w:rsid w:val="00E40951"/>
    <w:rsid w:val="00E40BD0"/>
    <w:rsid w:val="00E40E23"/>
    <w:rsid w:val="00E41578"/>
    <w:rsid w:val="00E418C1"/>
    <w:rsid w:val="00E419F3"/>
    <w:rsid w:val="00E41BFB"/>
    <w:rsid w:val="00E41CF9"/>
    <w:rsid w:val="00E42BD3"/>
    <w:rsid w:val="00E4367C"/>
    <w:rsid w:val="00E43B24"/>
    <w:rsid w:val="00E44B04"/>
    <w:rsid w:val="00E473DD"/>
    <w:rsid w:val="00E477CD"/>
    <w:rsid w:val="00E47A7E"/>
    <w:rsid w:val="00E47D53"/>
    <w:rsid w:val="00E50F25"/>
    <w:rsid w:val="00E528B0"/>
    <w:rsid w:val="00E52E0A"/>
    <w:rsid w:val="00E52E9F"/>
    <w:rsid w:val="00E5399F"/>
    <w:rsid w:val="00E53D9E"/>
    <w:rsid w:val="00E54D5B"/>
    <w:rsid w:val="00E54F1F"/>
    <w:rsid w:val="00E55131"/>
    <w:rsid w:val="00E5514A"/>
    <w:rsid w:val="00E557F4"/>
    <w:rsid w:val="00E56ABB"/>
    <w:rsid w:val="00E56EA7"/>
    <w:rsid w:val="00E57193"/>
    <w:rsid w:val="00E57387"/>
    <w:rsid w:val="00E573BC"/>
    <w:rsid w:val="00E5796D"/>
    <w:rsid w:val="00E57E6F"/>
    <w:rsid w:val="00E6066B"/>
    <w:rsid w:val="00E609BB"/>
    <w:rsid w:val="00E6104E"/>
    <w:rsid w:val="00E65D0A"/>
    <w:rsid w:val="00E65EE7"/>
    <w:rsid w:val="00E66099"/>
    <w:rsid w:val="00E66BF2"/>
    <w:rsid w:val="00E6762B"/>
    <w:rsid w:val="00E70FC4"/>
    <w:rsid w:val="00E72B49"/>
    <w:rsid w:val="00E72E9A"/>
    <w:rsid w:val="00E73635"/>
    <w:rsid w:val="00E73FEF"/>
    <w:rsid w:val="00E743BE"/>
    <w:rsid w:val="00E74985"/>
    <w:rsid w:val="00E7582C"/>
    <w:rsid w:val="00E75AB0"/>
    <w:rsid w:val="00E76063"/>
    <w:rsid w:val="00E763AB"/>
    <w:rsid w:val="00E77476"/>
    <w:rsid w:val="00E77A09"/>
    <w:rsid w:val="00E77C66"/>
    <w:rsid w:val="00E801CB"/>
    <w:rsid w:val="00E816F9"/>
    <w:rsid w:val="00E81DA4"/>
    <w:rsid w:val="00E82419"/>
    <w:rsid w:val="00E82C3F"/>
    <w:rsid w:val="00E83593"/>
    <w:rsid w:val="00E83740"/>
    <w:rsid w:val="00E837AC"/>
    <w:rsid w:val="00E83B79"/>
    <w:rsid w:val="00E844CB"/>
    <w:rsid w:val="00E84636"/>
    <w:rsid w:val="00E84A1D"/>
    <w:rsid w:val="00E84E3C"/>
    <w:rsid w:val="00E850C3"/>
    <w:rsid w:val="00E85724"/>
    <w:rsid w:val="00E8616F"/>
    <w:rsid w:val="00E863D0"/>
    <w:rsid w:val="00E8648B"/>
    <w:rsid w:val="00E86FC0"/>
    <w:rsid w:val="00E878D6"/>
    <w:rsid w:val="00E87B6B"/>
    <w:rsid w:val="00E907FE"/>
    <w:rsid w:val="00E91342"/>
    <w:rsid w:val="00E9198A"/>
    <w:rsid w:val="00E9285F"/>
    <w:rsid w:val="00E93C01"/>
    <w:rsid w:val="00E9448B"/>
    <w:rsid w:val="00E963B4"/>
    <w:rsid w:val="00E96844"/>
    <w:rsid w:val="00E96A34"/>
    <w:rsid w:val="00E97AE4"/>
    <w:rsid w:val="00EA00EA"/>
    <w:rsid w:val="00EA05D9"/>
    <w:rsid w:val="00EA123C"/>
    <w:rsid w:val="00EA134E"/>
    <w:rsid w:val="00EA1383"/>
    <w:rsid w:val="00EA14A3"/>
    <w:rsid w:val="00EA2D35"/>
    <w:rsid w:val="00EA2D67"/>
    <w:rsid w:val="00EA30B8"/>
    <w:rsid w:val="00EA3B75"/>
    <w:rsid w:val="00EA590D"/>
    <w:rsid w:val="00EA63FE"/>
    <w:rsid w:val="00EA66E2"/>
    <w:rsid w:val="00EA6E90"/>
    <w:rsid w:val="00EA77E4"/>
    <w:rsid w:val="00EB1130"/>
    <w:rsid w:val="00EB1502"/>
    <w:rsid w:val="00EB287E"/>
    <w:rsid w:val="00EB2DD2"/>
    <w:rsid w:val="00EB377C"/>
    <w:rsid w:val="00EB52C2"/>
    <w:rsid w:val="00EB6B01"/>
    <w:rsid w:val="00EB6C32"/>
    <w:rsid w:val="00EB70EC"/>
    <w:rsid w:val="00EB7659"/>
    <w:rsid w:val="00EB7B4D"/>
    <w:rsid w:val="00EC0443"/>
    <w:rsid w:val="00EC074F"/>
    <w:rsid w:val="00EC081D"/>
    <w:rsid w:val="00EC0AF7"/>
    <w:rsid w:val="00EC131C"/>
    <w:rsid w:val="00EC15A4"/>
    <w:rsid w:val="00EC172C"/>
    <w:rsid w:val="00EC2195"/>
    <w:rsid w:val="00EC2B0E"/>
    <w:rsid w:val="00EC4772"/>
    <w:rsid w:val="00EC498B"/>
    <w:rsid w:val="00EC4DD3"/>
    <w:rsid w:val="00EC50A0"/>
    <w:rsid w:val="00EC5240"/>
    <w:rsid w:val="00EC5509"/>
    <w:rsid w:val="00EC6F68"/>
    <w:rsid w:val="00ED0129"/>
    <w:rsid w:val="00ED0814"/>
    <w:rsid w:val="00ED09E4"/>
    <w:rsid w:val="00ED0CFE"/>
    <w:rsid w:val="00ED1DF8"/>
    <w:rsid w:val="00ED2BA4"/>
    <w:rsid w:val="00ED399C"/>
    <w:rsid w:val="00ED3A90"/>
    <w:rsid w:val="00ED44F8"/>
    <w:rsid w:val="00ED4850"/>
    <w:rsid w:val="00ED4A5E"/>
    <w:rsid w:val="00ED57EB"/>
    <w:rsid w:val="00ED595E"/>
    <w:rsid w:val="00ED6249"/>
    <w:rsid w:val="00ED6DB5"/>
    <w:rsid w:val="00ED752D"/>
    <w:rsid w:val="00ED757D"/>
    <w:rsid w:val="00ED78F4"/>
    <w:rsid w:val="00ED7B71"/>
    <w:rsid w:val="00EE03CD"/>
    <w:rsid w:val="00EE04ED"/>
    <w:rsid w:val="00EE05B5"/>
    <w:rsid w:val="00EE09A1"/>
    <w:rsid w:val="00EE1CB6"/>
    <w:rsid w:val="00EE2D8F"/>
    <w:rsid w:val="00EE3004"/>
    <w:rsid w:val="00EE3230"/>
    <w:rsid w:val="00EE44A1"/>
    <w:rsid w:val="00EE5663"/>
    <w:rsid w:val="00EE5947"/>
    <w:rsid w:val="00EE5B18"/>
    <w:rsid w:val="00EE5D42"/>
    <w:rsid w:val="00EE614A"/>
    <w:rsid w:val="00EE69FA"/>
    <w:rsid w:val="00EE6BDA"/>
    <w:rsid w:val="00EE785D"/>
    <w:rsid w:val="00EE7A11"/>
    <w:rsid w:val="00EE7A52"/>
    <w:rsid w:val="00EF0A61"/>
    <w:rsid w:val="00EF1791"/>
    <w:rsid w:val="00EF1A46"/>
    <w:rsid w:val="00EF1E50"/>
    <w:rsid w:val="00EF21EA"/>
    <w:rsid w:val="00EF290D"/>
    <w:rsid w:val="00EF3E7C"/>
    <w:rsid w:val="00EF4FD2"/>
    <w:rsid w:val="00EF52CF"/>
    <w:rsid w:val="00EF53F5"/>
    <w:rsid w:val="00EF5561"/>
    <w:rsid w:val="00EF5E49"/>
    <w:rsid w:val="00EF6E76"/>
    <w:rsid w:val="00EF6F57"/>
    <w:rsid w:val="00EF75CC"/>
    <w:rsid w:val="00F00A80"/>
    <w:rsid w:val="00F00B3A"/>
    <w:rsid w:val="00F01EC9"/>
    <w:rsid w:val="00F02526"/>
    <w:rsid w:val="00F0338C"/>
    <w:rsid w:val="00F040D7"/>
    <w:rsid w:val="00F044E2"/>
    <w:rsid w:val="00F05938"/>
    <w:rsid w:val="00F05A76"/>
    <w:rsid w:val="00F06F20"/>
    <w:rsid w:val="00F07606"/>
    <w:rsid w:val="00F07DA4"/>
    <w:rsid w:val="00F10ABC"/>
    <w:rsid w:val="00F122CA"/>
    <w:rsid w:val="00F12674"/>
    <w:rsid w:val="00F149C3"/>
    <w:rsid w:val="00F14EFB"/>
    <w:rsid w:val="00F1520C"/>
    <w:rsid w:val="00F15650"/>
    <w:rsid w:val="00F1689C"/>
    <w:rsid w:val="00F17004"/>
    <w:rsid w:val="00F17440"/>
    <w:rsid w:val="00F175D9"/>
    <w:rsid w:val="00F17A5B"/>
    <w:rsid w:val="00F2118E"/>
    <w:rsid w:val="00F21BFF"/>
    <w:rsid w:val="00F21D5B"/>
    <w:rsid w:val="00F2281B"/>
    <w:rsid w:val="00F22E17"/>
    <w:rsid w:val="00F2301C"/>
    <w:rsid w:val="00F23A9D"/>
    <w:rsid w:val="00F25224"/>
    <w:rsid w:val="00F2740A"/>
    <w:rsid w:val="00F2780B"/>
    <w:rsid w:val="00F27C3B"/>
    <w:rsid w:val="00F27CE0"/>
    <w:rsid w:val="00F3043F"/>
    <w:rsid w:val="00F30D15"/>
    <w:rsid w:val="00F31583"/>
    <w:rsid w:val="00F3174A"/>
    <w:rsid w:val="00F31B2C"/>
    <w:rsid w:val="00F32239"/>
    <w:rsid w:val="00F3269F"/>
    <w:rsid w:val="00F32A27"/>
    <w:rsid w:val="00F32F37"/>
    <w:rsid w:val="00F3377F"/>
    <w:rsid w:val="00F33849"/>
    <w:rsid w:val="00F33C85"/>
    <w:rsid w:val="00F33F5C"/>
    <w:rsid w:val="00F3488C"/>
    <w:rsid w:val="00F34ADE"/>
    <w:rsid w:val="00F355D9"/>
    <w:rsid w:val="00F35E78"/>
    <w:rsid w:val="00F366B8"/>
    <w:rsid w:val="00F368AB"/>
    <w:rsid w:val="00F36F34"/>
    <w:rsid w:val="00F3736E"/>
    <w:rsid w:val="00F37E50"/>
    <w:rsid w:val="00F40D20"/>
    <w:rsid w:val="00F415D3"/>
    <w:rsid w:val="00F4218E"/>
    <w:rsid w:val="00F42982"/>
    <w:rsid w:val="00F42A96"/>
    <w:rsid w:val="00F435D4"/>
    <w:rsid w:val="00F439A5"/>
    <w:rsid w:val="00F43ACD"/>
    <w:rsid w:val="00F43C61"/>
    <w:rsid w:val="00F44016"/>
    <w:rsid w:val="00F442A1"/>
    <w:rsid w:val="00F44797"/>
    <w:rsid w:val="00F44812"/>
    <w:rsid w:val="00F44A5F"/>
    <w:rsid w:val="00F45349"/>
    <w:rsid w:val="00F45E48"/>
    <w:rsid w:val="00F45F5F"/>
    <w:rsid w:val="00F4799A"/>
    <w:rsid w:val="00F479A9"/>
    <w:rsid w:val="00F504AA"/>
    <w:rsid w:val="00F509DC"/>
    <w:rsid w:val="00F51C3B"/>
    <w:rsid w:val="00F5210C"/>
    <w:rsid w:val="00F53184"/>
    <w:rsid w:val="00F5339D"/>
    <w:rsid w:val="00F53677"/>
    <w:rsid w:val="00F537E8"/>
    <w:rsid w:val="00F54FFE"/>
    <w:rsid w:val="00F5530F"/>
    <w:rsid w:val="00F5578B"/>
    <w:rsid w:val="00F55B26"/>
    <w:rsid w:val="00F569CE"/>
    <w:rsid w:val="00F56E7A"/>
    <w:rsid w:val="00F56EAE"/>
    <w:rsid w:val="00F6002C"/>
    <w:rsid w:val="00F6091C"/>
    <w:rsid w:val="00F622A2"/>
    <w:rsid w:val="00F62AB8"/>
    <w:rsid w:val="00F63022"/>
    <w:rsid w:val="00F630EF"/>
    <w:rsid w:val="00F631F7"/>
    <w:rsid w:val="00F635D6"/>
    <w:rsid w:val="00F6406B"/>
    <w:rsid w:val="00F64AC2"/>
    <w:rsid w:val="00F64BCF"/>
    <w:rsid w:val="00F64EA5"/>
    <w:rsid w:val="00F65000"/>
    <w:rsid w:val="00F651AE"/>
    <w:rsid w:val="00F65976"/>
    <w:rsid w:val="00F6644C"/>
    <w:rsid w:val="00F6675A"/>
    <w:rsid w:val="00F66864"/>
    <w:rsid w:val="00F67647"/>
    <w:rsid w:val="00F67C0A"/>
    <w:rsid w:val="00F67C7A"/>
    <w:rsid w:val="00F70A70"/>
    <w:rsid w:val="00F72239"/>
    <w:rsid w:val="00F73469"/>
    <w:rsid w:val="00F74135"/>
    <w:rsid w:val="00F74938"/>
    <w:rsid w:val="00F74E0B"/>
    <w:rsid w:val="00F76497"/>
    <w:rsid w:val="00F76BA0"/>
    <w:rsid w:val="00F776CE"/>
    <w:rsid w:val="00F77E25"/>
    <w:rsid w:val="00F80624"/>
    <w:rsid w:val="00F80679"/>
    <w:rsid w:val="00F816F8"/>
    <w:rsid w:val="00F82AD1"/>
    <w:rsid w:val="00F82F01"/>
    <w:rsid w:val="00F842C4"/>
    <w:rsid w:val="00F84D95"/>
    <w:rsid w:val="00F85A9F"/>
    <w:rsid w:val="00F85AF8"/>
    <w:rsid w:val="00F85D11"/>
    <w:rsid w:val="00F86550"/>
    <w:rsid w:val="00F86D28"/>
    <w:rsid w:val="00F87927"/>
    <w:rsid w:val="00F90D6C"/>
    <w:rsid w:val="00F91103"/>
    <w:rsid w:val="00F9152C"/>
    <w:rsid w:val="00F92378"/>
    <w:rsid w:val="00F93393"/>
    <w:rsid w:val="00F9385B"/>
    <w:rsid w:val="00F941C6"/>
    <w:rsid w:val="00F94D34"/>
    <w:rsid w:val="00F954D7"/>
    <w:rsid w:val="00F9659C"/>
    <w:rsid w:val="00F97B19"/>
    <w:rsid w:val="00FA0076"/>
    <w:rsid w:val="00FA0CDB"/>
    <w:rsid w:val="00FA1A33"/>
    <w:rsid w:val="00FA23D0"/>
    <w:rsid w:val="00FA2762"/>
    <w:rsid w:val="00FA28E8"/>
    <w:rsid w:val="00FA331E"/>
    <w:rsid w:val="00FA3AB7"/>
    <w:rsid w:val="00FA3F63"/>
    <w:rsid w:val="00FA42B2"/>
    <w:rsid w:val="00FA4489"/>
    <w:rsid w:val="00FA4514"/>
    <w:rsid w:val="00FA76BF"/>
    <w:rsid w:val="00FB0BAC"/>
    <w:rsid w:val="00FB0D49"/>
    <w:rsid w:val="00FB121F"/>
    <w:rsid w:val="00FB1866"/>
    <w:rsid w:val="00FB190F"/>
    <w:rsid w:val="00FB1D08"/>
    <w:rsid w:val="00FB2367"/>
    <w:rsid w:val="00FB2E6F"/>
    <w:rsid w:val="00FB3C37"/>
    <w:rsid w:val="00FB4626"/>
    <w:rsid w:val="00FB66AF"/>
    <w:rsid w:val="00FB7429"/>
    <w:rsid w:val="00FC09DE"/>
    <w:rsid w:val="00FC1810"/>
    <w:rsid w:val="00FC2110"/>
    <w:rsid w:val="00FC2229"/>
    <w:rsid w:val="00FC2520"/>
    <w:rsid w:val="00FC2CF5"/>
    <w:rsid w:val="00FC37C3"/>
    <w:rsid w:val="00FC41E0"/>
    <w:rsid w:val="00FC53D2"/>
    <w:rsid w:val="00FC552F"/>
    <w:rsid w:val="00FC6139"/>
    <w:rsid w:val="00FC6BD1"/>
    <w:rsid w:val="00FC785B"/>
    <w:rsid w:val="00FD04A9"/>
    <w:rsid w:val="00FD07EA"/>
    <w:rsid w:val="00FD0992"/>
    <w:rsid w:val="00FD1567"/>
    <w:rsid w:val="00FD17A8"/>
    <w:rsid w:val="00FD3360"/>
    <w:rsid w:val="00FD46FE"/>
    <w:rsid w:val="00FD5155"/>
    <w:rsid w:val="00FD529E"/>
    <w:rsid w:val="00FD54B4"/>
    <w:rsid w:val="00FD6E16"/>
    <w:rsid w:val="00FD6E18"/>
    <w:rsid w:val="00FD7069"/>
    <w:rsid w:val="00FD7909"/>
    <w:rsid w:val="00FE098C"/>
    <w:rsid w:val="00FE10D6"/>
    <w:rsid w:val="00FE17C3"/>
    <w:rsid w:val="00FE1845"/>
    <w:rsid w:val="00FE1907"/>
    <w:rsid w:val="00FE21A3"/>
    <w:rsid w:val="00FE3426"/>
    <w:rsid w:val="00FE3487"/>
    <w:rsid w:val="00FE3774"/>
    <w:rsid w:val="00FE3C67"/>
    <w:rsid w:val="00FE3EFB"/>
    <w:rsid w:val="00FE5315"/>
    <w:rsid w:val="00FE55C7"/>
    <w:rsid w:val="00FE634E"/>
    <w:rsid w:val="00FE6D4D"/>
    <w:rsid w:val="00FF13D6"/>
    <w:rsid w:val="00FF1735"/>
    <w:rsid w:val="00FF2327"/>
    <w:rsid w:val="00FF28D2"/>
    <w:rsid w:val="00FF3549"/>
    <w:rsid w:val="00FF3739"/>
    <w:rsid w:val="00FF3FFF"/>
    <w:rsid w:val="00FF433B"/>
    <w:rsid w:val="00FF5805"/>
    <w:rsid w:val="00FF5BD1"/>
    <w:rsid w:val="00FF5DB1"/>
    <w:rsid w:val="00FF658B"/>
    <w:rsid w:val="00FF689A"/>
    <w:rsid w:val="00FF6EA7"/>
    <w:rsid w:val="00FF72A6"/>
    <w:rsid w:val="00FF7764"/>
    <w:rsid w:val="00FF78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F9D30"/>
  <w15:docId w15:val="{B0C69318-D7D3-4D40-8C09-1BCBDB4E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E56EA7"/>
    <w:pPr>
      <w:keepNext/>
      <w:spacing w:before="240" w:after="60" w:line="276" w:lineRule="auto"/>
      <w:outlineLvl w:val="0"/>
    </w:pPr>
    <w:rPr>
      <w:rFonts w:ascii="Cambria" w:hAnsi="Cambria"/>
      <w:b/>
      <w:bCs/>
      <w:kern w:val="32"/>
      <w:sz w:val="32"/>
      <w:szCs w:val="32"/>
      <w:lang w:val="en-CA" w:eastAsia="x-none"/>
    </w:rPr>
  </w:style>
  <w:style w:type="paragraph" w:styleId="Heading3">
    <w:name w:val="heading 3"/>
    <w:basedOn w:val="Normal"/>
    <w:next w:val="Normal"/>
    <w:link w:val="Heading3Char"/>
    <w:qFormat/>
    <w:rsid w:val="000840E8"/>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1FF1"/>
    <w:pPr>
      <w:tabs>
        <w:tab w:val="center" w:pos="4680"/>
        <w:tab w:val="right" w:pos="9360"/>
      </w:tabs>
    </w:pPr>
    <w:rPr>
      <w:lang w:val="x-none" w:eastAsia="x-none"/>
    </w:rPr>
  </w:style>
  <w:style w:type="character" w:customStyle="1" w:styleId="HeaderChar">
    <w:name w:val="Header Char"/>
    <w:link w:val="Header"/>
    <w:rsid w:val="00531FF1"/>
    <w:rPr>
      <w:sz w:val="24"/>
      <w:szCs w:val="24"/>
    </w:rPr>
  </w:style>
  <w:style w:type="paragraph" w:styleId="Footer">
    <w:name w:val="footer"/>
    <w:basedOn w:val="Normal"/>
    <w:link w:val="FooterChar"/>
    <w:uiPriority w:val="99"/>
    <w:rsid w:val="00531FF1"/>
    <w:pPr>
      <w:tabs>
        <w:tab w:val="center" w:pos="4680"/>
        <w:tab w:val="right" w:pos="9360"/>
      </w:tabs>
    </w:pPr>
    <w:rPr>
      <w:lang w:val="x-none" w:eastAsia="x-none"/>
    </w:rPr>
  </w:style>
  <w:style w:type="character" w:customStyle="1" w:styleId="FooterChar">
    <w:name w:val="Footer Char"/>
    <w:link w:val="Footer"/>
    <w:uiPriority w:val="99"/>
    <w:rsid w:val="00531FF1"/>
    <w:rPr>
      <w:sz w:val="24"/>
      <w:szCs w:val="24"/>
    </w:rPr>
  </w:style>
  <w:style w:type="paragraph" w:customStyle="1" w:styleId="MediumGrid21">
    <w:name w:val="Medium Grid 21"/>
    <w:link w:val="MediumGrid2Char1"/>
    <w:uiPriority w:val="1"/>
    <w:qFormat/>
    <w:rsid w:val="00533F90"/>
    <w:rPr>
      <w:rFonts w:ascii="Calibri" w:hAnsi="Calibri"/>
      <w:sz w:val="22"/>
      <w:szCs w:val="22"/>
      <w:lang w:val="en-US" w:eastAsia="en-US"/>
    </w:rPr>
  </w:style>
  <w:style w:type="character" w:customStyle="1" w:styleId="MediumGrid2Char1">
    <w:name w:val="Medium Grid 2 Char1"/>
    <w:link w:val="MediumGrid21"/>
    <w:uiPriority w:val="1"/>
    <w:rsid w:val="00533F90"/>
    <w:rPr>
      <w:rFonts w:ascii="Calibri" w:hAnsi="Calibri"/>
      <w:sz w:val="22"/>
      <w:szCs w:val="22"/>
      <w:lang w:val="en-US" w:eastAsia="en-US" w:bidi="ar-SA"/>
    </w:rPr>
  </w:style>
  <w:style w:type="paragraph" w:styleId="BalloonText">
    <w:name w:val="Balloon Text"/>
    <w:basedOn w:val="Normal"/>
    <w:link w:val="BalloonTextChar"/>
    <w:rsid w:val="00533F90"/>
    <w:rPr>
      <w:rFonts w:ascii="Tahoma" w:hAnsi="Tahoma"/>
      <w:sz w:val="16"/>
      <w:szCs w:val="16"/>
      <w:lang w:val="x-none" w:eastAsia="x-none"/>
    </w:rPr>
  </w:style>
  <w:style w:type="character" w:customStyle="1" w:styleId="BalloonTextChar">
    <w:name w:val="Balloon Text Char"/>
    <w:link w:val="BalloonText"/>
    <w:rsid w:val="00533F90"/>
    <w:rPr>
      <w:rFonts w:ascii="Tahoma" w:hAnsi="Tahoma" w:cs="Tahoma"/>
      <w:sz w:val="16"/>
      <w:szCs w:val="16"/>
    </w:rPr>
  </w:style>
  <w:style w:type="character" w:customStyle="1" w:styleId="Heading1Char">
    <w:name w:val="Heading 1 Char"/>
    <w:link w:val="Heading1"/>
    <w:uiPriority w:val="9"/>
    <w:rsid w:val="00E56EA7"/>
    <w:rPr>
      <w:rFonts w:ascii="Cambria" w:hAnsi="Cambria"/>
      <w:b/>
      <w:bCs/>
      <w:kern w:val="32"/>
      <w:sz w:val="32"/>
      <w:szCs w:val="32"/>
      <w:lang w:val="en-CA"/>
    </w:rPr>
  </w:style>
  <w:style w:type="paragraph" w:customStyle="1" w:styleId="MediumGrid1-Accent21">
    <w:name w:val="Medium Grid 1 - Accent 21"/>
    <w:basedOn w:val="Normal"/>
    <w:uiPriority w:val="34"/>
    <w:qFormat/>
    <w:rsid w:val="002C11FE"/>
    <w:pPr>
      <w:spacing w:after="200" w:line="276" w:lineRule="auto"/>
      <w:ind w:left="720"/>
      <w:contextualSpacing/>
    </w:pPr>
    <w:rPr>
      <w:rFonts w:ascii="Calibri" w:eastAsia="Calibri" w:hAnsi="Calibri"/>
      <w:sz w:val="22"/>
      <w:szCs w:val="22"/>
      <w:lang w:val="en-CA"/>
    </w:rPr>
  </w:style>
  <w:style w:type="table" w:styleId="TableGrid">
    <w:name w:val="Table Grid"/>
    <w:basedOn w:val="TableNormal"/>
    <w:rsid w:val="00AA21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semiHidden/>
    <w:rsid w:val="000840E8"/>
    <w:rPr>
      <w:rFonts w:ascii="Cambria" w:eastAsia="Times New Roman" w:hAnsi="Cambria" w:cs="Times New Roman"/>
      <w:b/>
      <w:bCs/>
      <w:sz w:val="26"/>
      <w:szCs w:val="26"/>
    </w:rPr>
  </w:style>
  <w:style w:type="character" w:styleId="Hyperlink">
    <w:name w:val="Hyperlink"/>
    <w:uiPriority w:val="99"/>
    <w:unhideWhenUsed/>
    <w:rsid w:val="000840E8"/>
    <w:rPr>
      <w:color w:val="0000FF"/>
      <w:u w:val="single"/>
    </w:rPr>
  </w:style>
  <w:style w:type="paragraph" w:customStyle="1" w:styleId="citation">
    <w:name w:val="citation"/>
    <w:basedOn w:val="Normal"/>
    <w:rsid w:val="000840E8"/>
    <w:pPr>
      <w:spacing w:before="100" w:beforeAutospacing="1" w:after="100" w:afterAutospacing="1"/>
    </w:pPr>
  </w:style>
  <w:style w:type="paragraph" w:customStyle="1" w:styleId="rprtid">
    <w:name w:val="rprtid"/>
    <w:basedOn w:val="Normal"/>
    <w:rsid w:val="000840E8"/>
    <w:pPr>
      <w:spacing w:before="100" w:beforeAutospacing="1" w:after="100" w:afterAutospacing="1"/>
    </w:pPr>
  </w:style>
  <w:style w:type="paragraph" w:customStyle="1" w:styleId="aff">
    <w:name w:val="aff"/>
    <w:basedOn w:val="Normal"/>
    <w:rsid w:val="000840E8"/>
    <w:pPr>
      <w:spacing w:before="100" w:beforeAutospacing="1" w:after="100" w:afterAutospacing="1"/>
    </w:pPr>
  </w:style>
  <w:style w:type="character" w:customStyle="1" w:styleId="pmid1">
    <w:name w:val="pmid1"/>
    <w:basedOn w:val="DefaultParagraphFont"/>
    <w:rsid w:val="000840E8"/>
  </w:style>
  <w:style w:type="paragraph" w:customStyle="1" w:styleId="authlist">
    <w:name w:val="auth_list"/>
    <w:basedOn w:val="Normal"/>
    <w:rsid w:val="000840E8"/>
    <w:pPr>
      <w:spacing w:before="100" w:beforeAutospacing="1" w:after="100" w:afterAutospacing="1"/>
    </w:pPr>
  </w:style>
  <w:style w:type="paragraph" w:customStyle="1" w:styleId="Default">
    <w:name w:val="Default"/>
    <w:rsid w:val="00E86FC0"/>
    <w:pPr>
      <w:autoSpaceDE w:val="0"/>
      <w:autoSpaceDN w:val="0"/>
      <w:adjustRightInd w:val="0"/>
    </w:pPr>
    <w:rPr>
      <w:rFonts w:ascii="Arial" w:hAnsi="Arial" w:cs="Arial"/>
      <w:color w:val="000000"/>
      <w:sz w:val="24"/>
      <w:szCs w:val="24"/>
    </w:rPr>
  </w:style>
  <w:style w:type="paragraph" w:styleId="ListBullet">
    <w:name w:val="List Bullet"/>
    <w:basedOn w:val="Normal"/>
    <w:uiPriority w:val="99"/>
    <w:unhideWhenUsed/>
    <w:rsid w:val="00C26744"/>
    <w:pPr>
      <w:numPr>
        <w:numId w:val="1"/>
      </w:numPr>
      <w:tabs>
        <w:tab w:val="clear" w:pos="360"/>
      </w:tabs>
      <w:spacing w:after="200" w:line="276" w:lineRule="auto"/>
      <w:ind w:left="720"/>
      <w:contextualSpacing/>
    </w:pPr>
    <w:rPr>
      <w:rFonts w:ascii="Calibri" w:eastAsia="Calibri" w:hAnsi="Calibri"/>
      <w:sz w:val="22"/>
      <w:szCs w:val="22"/>
      <w:lang w:val="en-CA"/>
    </w:rPr>
  </w:style>
  <w:style w:type="paragraph" w:styleId="HTMLPreformatted">
    <w:name w:val="HTML Preformatted"/>
    <w:basedOn w:val="Normal"/>
    <w:link w:val="HTMLPreformattedChar"/>
    <w:uiPriority w:val="99"/>
    <w:unhideWhenUsed/>
    <w:rsid w:val="0023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23622E"/>
    <w:rPr>
      <w:rFonts w:ascii="Courier New" w:hAnsi="Courier New" w:cs="Courier New"/>
    </w:rPr>
  </w:style>
  <w:style w:type="character" w:styleId="CommentReference">
    <w:name w:val="annotation reference"/>
    <w:rsid w:val="00BE3BA1"/>
    <w:rPr>
      <w:sz w:val="16"/>
      <w:szCs w:val="16"/>
    </w:rPr>
  </w:style>
  <w:style w:type="paragraph" w:styleId="CommentText">
    <w:name w:val="annotation text"/>
    <w:basedOn w:val="Normal"/>
    <w:link w:val="CommentTextChar"/>
    <w:rsid w:val="00BE3BA1"/>
    <w:rPr>
      <w:sz w:val="20"/>
      <w:szCs w:val="20"/>
    </w:rPr>
  </w:style>
  <w:style w:type="character" w:customStyle="1" w:styleId="CommentTextChar">
    <w:name w:val="Comment Text Char"/>
    <w:link w:val="CommentText"/>
    <w:rsid w:val="00BE3BA1"/>
    <w:rPr>
      <w:lang w:val="en-US" w:eastAsia="en-US"/>
    </w:rPr>
  </w:style>
  <w:style w:type="paragraph" w:styleId="CommentSubject">
    <w:name w:val="annotation subject"/>
    <w:basedOn w:val="CommentText"/>
    <w:next w:val="CommentText"/>
    <w:link w:val="CommentSubjectChar"/>
    <w:rsid w:val="00BE3BA1"/>
    <w:rPr>
      <w:b/>
      <w:bCs/>
    </w:rPr>
  </w:style>
  <w:style w:type="character" w:customStyle="1" w:styleId="CommentSubjectChar">
    <w:name w:val="Comment Subject Char"/>
    <w:link w:val="CommentSubject"/>
    <w:rsid w:val="00BE3BA1"/>
    <w:rPr>
      <w:b/>
      <w:bCs/>
      <w:lang w:val="en-US" w:eastAsia="en-US"/>
    </w:rPr>
  </w:style>
  <w:style w:type="paragraph" w:customStyle="1" w:styleId="MediumList2-Accent21">
    <w:name w:val="Medium List 2 - Accent 21"/>
    <w:hidden/>
    <w:uiPriority w:val="99"/>
    <w:semiHidden/>
    <w:rsid w:val="004F457A"/>
    <w:rPr>
      <w:sz w:val="24"/>
      <w:szCs w:val="24"/>
      <w:lang w:val="en-US" w:eastAsia="en-US"/>
    </w:rPr>
  </w:style>
  <w:style w:type="character" w:styleId="Strong">
    <w:name w:val="Strong"/>
    <w:uiPriority w:val="22"/>
    <w:qFormat/>
    <w:rsid w:val="004960C5"/>
    <w:rPr>
      <w:b/>
      <w:bCs/>
    </w:rPr>
  </w:style>
  <w:style w:type="character" w:customStyle="1" w:styleId="MediumGrid2Char">
    <w:name w:val="Medium Grid 2 Char"/>
    <w:link w:val="MediumGrid2-Accent1"/>
    <w:uiPriority w:val="1"/>
    <w:rsid w:val="005166E2"/>
    <w:rPr>
      <w:rFonts w:ascii="Calibri" w:hAnsi="Calibri"/>
      <w:sz w:val="22"/>
      <w:szCs w:val="22"/>
      <w:lang w:val="en-US" w:eastAsia="en-US" w:bidi="ar-SA"/>
    </w:rPr>
  </w:style>
  <w:style w:type="table" w:styleId="MediumGrid2-Accent1">
    <w:name w:val="Medium Grid 2 Accent 1"/>
    <w:basedOn w:val="TableNormal"/>
    <w:link w:val="MediumGrid2Char"/>
    <w:uiPriority w:val="1"/>
    <w:rsid w:val="005166E2"/>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NormalWeb">
    <w:name w:val="Normal (Web)"/>
    <w:basedOn w:val="Normal"/>
    <w:uiPriority w:val="99"/>
    <w:unhideWhenUsed/>
    <w:rsid w:val="00EA14A3"/>
    <w:pPr>
      <w:spacing w:before="100" w:beforeAutospacing="1" w:after="100" w:afterAutospacing="1"/>
    </w:pPr>
    <w:rPr>
      <w:lang w:val="en-CA" w:eastAsia="en-CA"/>
    </w:rPr>
  </w:style>
  <w:style w:type="paragraph" w:customStyle="1" w:styleId="EndNoteBibliographyTitle">
    <w:name w:val="EndNote Bibliography Title"/>
    <w:basedOn w:val="Normal"/>
    <w:link w:val="EndNoteBibliographyTitleChar"/>
    <w:rsid w:val="002369AC"/>
    <w:pPr>
      <w:jc w:val="center"/>
    </w:pPr>
    <w:rPr>
      <w:noProof/>
    </w:rPr>
  </w:style>
  <w:style w:type="character" w:customStyle="1" w:styleId="EndNoteBibliographyTitleChar">
    <w:name w:val="EndNote Bibliography Title Char"/>
    <w:link w:val="EndNoteBibliographyTitle"/>
    <w:rsid w:val="002369AC"/>
    <w:rPr>
      <w:noProof/>
      <w:sz w:val="24"/>
      <w:szCs w:val="24"/>
      <w:lang w:val="en-US" w:eastAsia="en-US"/>
    </w:rPr>
  </w:style>
  <w:style w:type="paragraph" w:customStyle="1" w:styleId="EndNoteBibliography">
    <w:name w:val="EndNote Bibliography"/>
    <w:basedOn w:val="Normal"/>
    <w:link w:val="EndNoteBibliographyChar"/>
    <w:rsid w:val="002369AC"/>
    <w:rPr>
      <w:noProof/>
    </w:rPr>
  </w:style>
  <w:style w:type="character" w:customStyle="1" w:styleId="EndNoteBibliographyChar">
    <w:name w:val="EndNote Bibliography Char"/>
    <w:link w:val="EndNoteBibliography"/>
    <w:rsid w:val="002369AC"/>
    <w:rPr>
      <w:noProof/>
      <w:sz w:val="24"/>
      <w:szCs w:val="24"/>
      <w:lang w:val="en-US" w:eastAsia="en-US"/>
    </w:rPr>
  </w:style>
  <w:style w:type="character" w:customStyle="1" w:styleId="highlight">
    <w:name w:val="highlight"/>
    <w:rsid w:val="00F3043F"/>
  </w:style>
  <w:style w:type="paragraph" w:customStyle="1" w:styleId="MediumGrid211">
    <w:name w:val="Medium Grid 211"/>
    <w:uiPriority w:val="1"/>
    <w:qFormat/>
    <w:rsid w:val="0008552C"/>
    <w:rPr>
      <w:rFonts w:ascii="Calibri" w:hAnsi="Calibri"/>
      <w:sz w:val="22"/>
      <w:szCs w:val="22"/>
      <w:lang w:val="en-US" w:eastAsia="en-US"/>
    </w:rPr>
  </w:style>
  <w:style w:type="character" w:styleId="LineNumber">
    <w:name w:val="line number"/>
    <w:basedOn w:val="DefaultParagraphFont"/>
    <w:rsid w:val="002B0B75"/>
  </w:style>
  <w:style w:type="character" w:styleId="Emphasis">
    <w:name w:val="Emphasis"/>
    <w:basedOn w:val="DefaultParagraphFont"/>
    <w:uiPriority w:val="20"/>
    <w:qFormat/>
    <w:rsid w:val="00824731"/>
    <w:rPr>
      <w:i/>
      <w:iCs/>
    </w:rPr>
  </w:style>
  <w:style w:type="paragraph" w:styleId="Revision">
    <w:name w:val="Revision"/>
    <w:hidden/>
    <w:uiPriority w:val="99"/>
    <w:semiHidden/>
    <w:rsid w:val="00E76063"/>
    <w:rPr>
      <w:sz w:val="24"/>
      <w:szCs w:val="24"/>
      <w:lang w:val="en-US" w:eastAsia="en-US"/>
    </w:rPr>
  </w:style>
  <w:style w:type="paragraph" w:styleId="ListParagraph">
    <w:name w:val="List Paragraph"/>
    <w:basedOn w:val="Normal"/>
    <w:uiPriority w:val="34"/>
    <w:qFormat/>
    <w:rsid w:val="004C1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8730">
      <w:bodyDiv w:val="1"/>
      <w:marLeft w:val="0"/>
      <w:marRight w:val="0"/>
      <w:marTop w:val="0"/>
      <w:marBottom w:val="0"/>
      <w:divBdr>
        <w:top w:val="none" w:sz="0" w:space="0" w:color="auto"/>
        <w:left w:val="none" w:sz="0" w:space="0" w:color="auto"/>
        <w:bottom w:val="none" w:sz="0" w:space="0" w:color="auto"/>
        <w:right w:val="none" w:sz="0" w:space="0" w:color="auto"/>
      </w:divBdr>
    </w:div>
    <w:div w:id="23134785">
      <w:bodyDiv w:val="1"/>
      <w:marLeft w:val="0"/>
      <w:marRight w:val="0"/>
      <w:marTop w:val="0"/>
      <w:marBottom w:val="0"/>
      <w:divBdr>
        <w:top w:val="none" w:sz="0" w:space="0" w:color="auto"/>
        <w:left w:val="none" w:sz="0" w:space="0" w:color="auto"/>
        <w:bottom w:val="none" w:sz="0" w:space="0" w:color="auto"/>
        <w:right w:val="none" w:sz="0" w:space="0" w:color="auto"/>
      </w:divBdr>
    </w:div>
    <w:div w:id="42825929">
      <w:bodyDiv w:val="1"/>
      <w:marLeft w:val="0"/>
      <w:marRight w:val="0"/>
      <w:marTop w:val="0"/>
      <w:marBottom w:val="0"/>
      <w:divBdr>
        <w:top w:val="none" w:sz="0" w:space="0" w:color="auto"/>
        <w:left w:val="none" w:sz="0" w:space="0" w:color="auto"/>
        <w:bottom w:val="none" w:sz="0" w:space="0" w:color="auto"/>
        <w:right w:val="none" w:sz="0" w:space="0" w:color="auto"/>
      </w:divBdr>
    </w:div>
    <w:div w:id="64308460">
      <w:bodyDiv w:val="1"/>
      <w:marLeft w:val="0"/>
      <w:marRight w:val="0"/>
      <w:marTop w:val="0"/>
      <w:marBottom w:val="0"/>
      <w:divBdr>
        <w:top w:val="none" w:sz="0" w:space="0" w:color="auto"/>
        <w:left w:val="none" w:sz="0" w:space="0" w:color="auto"/>
        <w:bottom w:val="none" w:sz="0" w:space="0" w:color="auto"/>
        <w:right w:val="none" w:sz="0" w:space="0" w:color="auto"/>
      </w:divBdr>
      <w:divsChild>
        <w:div w:id="1950548568">
          <w:marLeft w:val="0"/>
          <w:marRight w:val="0"/>
          <w:marTop w:val="0"/>
          <w:marBottom w:val="0"/>
          <w:divBdr>
            <w:top w:val="none" w:sz="0" w:space="0" w:color="auto"/>
            <w:left w:val="none" w:sz="0" w:space="0" w:color="auto"/>
            <w:bottom w:val="none" w:sz="0" w:space="0" w:color="auto"/>
            <w:right w:val="none" w:sz="0" w:space="0" w:color="auto"/>
          </w:divBdr>
          <w:divsChild>
            <w:div w:id="9555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2537">
      <w:bodyDiv w:val="1"/>
      <w:marLeft w:val="0"/>
      <w:marRight w:val="0"/>
      <w:marTop w:val="0"/>
      <w:marBottom w:val="0"/>
      <w:divBdr>
        <w:top w:val="none" w:sz="0" w:space="0" w:color="auto"/>
        <w:left w:val="none" w:sz="0" w:space="0" w:color="auto"/>
        <w:bottom w:val="none" w:sz="0" w:space="0" w:color="auto"/>
        <w:right w:val="none" w:sz="0" w:space="0" w:color="auto"/>
      </w:divBdr>
    </w:div>
    <w:div w:id="132598704">
      <w:bodyDiv w:val="1"/>
      <w:marLeft w:val="0"/>
      <w:marRight w:val="0"/>
      <w:marTop w:val="0"/>
      <w:marBottom w:val="0"/>
      <w:divBdr>
        <w:top w:val="none" w:sz="0" w:space="0" w:color="auto"/>
        <w:left w:val="none" w:sz="0" w:space="0" w:color="auto"/>
        <w:bottom w:val="none" w:sz="0" w:space="0" w:color="auto"/>
        <w:right w:val="none" w:sz="0" w:space="0" w:color="auto"/>
      </w:divBdr>
    </w:div>
    <w:div w:id="135220450">
      <w:bodyDiv w:val="1"/>
      <w:marLeft w:val="0"/>
      <w:marRight w:val="0"/>
      <w:marTop w:val="0"/>
      <w:marBottom w:val="0"/>
      <w:divBdr>
        <w:top w:val="none" w:sz="0" w:space="0" w:color="auto"/>
        <w:left w:val="none" w:sz="0" w:space="0" w:color="auto"/>
        <w:bottom w:val="none" w:sz="0" w:space="0" w:color="auto"/>
        <w:right w:val="none" w:sz="0" w:space="0" w:color="auto"/>
      </w:divBdr>
      <w:divsChild>
        <w:div w:id="1807428561">
          <w:marLeft w:val="0"/>
          <w:marRight w:val="0"/>
          <w:marTop w:val="0"/>
          <w:marBottom w:val="0"/>
          <w:divBdr>
            <w:top w:val="none" w:sz="0" w:space="0" w:color="auto"/>
            <w:left w:val="none" w:sz="0" w:space="0" w:color="auto"/>
            <w:bottom w:val="none" w:sz="0" w:space="0" w:color="auto"/>
            <w:right w:val="none" w:sz="0" w:space="0" w:color="auto"/>
          </w:divBdr>
          <w:divsChild>
            <w:div w:id="571281792">
              <w:marLeft w:val="0"/>
              <w:marRight w:val="0"/>
              <w:marTop w:val="0"/>
              <w:marBottom w:val="0"/>
              <w:divBdr>
                <w:top w:val="none" w:sz="0" w:space="0" w:color="auto"/>
                <w:left w:val="none" w:sz="0" w:space="0" w:color="auto"/>
                <w:bottom w:val="none" w:sz="0" w:space="0" w:color="auto"/>
                <w:right w:val="none" w:sz="0" w:space="0" w:color="auto"/>
              </w:divBdr>
              <w:divsChild>
                <w:div w:id="1608078279">
                  <w:marLeft w:val="0"/>
                  <w:marRight w:val="-6084"/>
                  <w:marTop w:val="0"/>
                  <w:marBottom w:val="0"/>
                  <w:divBdr>
                    <w:top w:val="none" w:sz="0" w:space="0" w:color="auto"/>
                    <w:left w:val="none" w:sz="0" w:space="0" w:color="auto"/>
                    <w:bottom w:val="none" w:sz="0" w:space="0" w:color="auto"/>
                    <w:right w:val="none" w:sz="0" w:space="0" w:color="auto"/>
                  </w:divBdr>
                  <w:divsChild>
                    <w:div w:id="1777555995">
                      <w:marLeft w:val="0"/>
                      <w:marRight w:val="5604"/>
                      <w:marTop w:val="0"/>
                      <w:marBottom w:val="0"/>
                      <w:divBdr>
                        <w:top w:val="none" w:sz="0" w:space="0" w:color="auto"/>
                        <w:left w:val="none" w:sz="0" w:space="0" w:color="auto"/>
                        <w:bottom w:val="none" w:sz="0" w:space="0" w:color="auto"/>
                        <w:right w:val="none" w:sz="0" w:space="0" w:color="auto"/>
                      </w:divBdr>
                      <w:divsChild>
                        <w:div w:id="956761681">
                          <w:marLeft w:val="0"/>
                          <w:marRight w:val="0"/>
                          <w:marTop w:val="0"/>
                          <w:marBottom w:val="0"/>
                          <w:divBdr>
                            <w:top w:val="none" w:sz="0" w:space="0" w:color="auto"/>
                            <w:left w:val="none" w:sz="0" w:space="0" w:color="auto"/>
                            <w:bottom w:val="none" w:sz="0" w:space="0" w:color="auto"/>
                            <w:right w:val="none" w:sz="0" w:space="0" w:color="auto"/>
                          </w:divBdr>
                          <w:divsChild>
                            <w:div w:id="1869564491">
                              <w:marLeft w:val="0"/>
                              <w:marRight w:val="0"/>
                              <w:marTop w:val="120"/>
                              <w:marBottom w:val="360"/>
                              <w:divBdr>
                                <w:top w:val="none" w:sz="0" w:space="0" w:color="auto"/>
                                <w:left w:val="none" w:sz="0" w:space="0" w:color="auto"/>
                                <w:bottom w:val="none" w:sz="0" w:space="0" w:color="auto"/>
                                <w:right w:val="none" w:sz="0" w:space="0" w:color="auto"/>
                              </w:divBdr>
                              <w:divsChild>
                                <w:div w:id="59637940">
                                  <w:marLeft w:val="0"/>
                                  <w:marRight w:val="0"/>
                                  <w:marTop w:val="264"/>
                                  <w:marBottom w:val="288"/>
                                  <w:divBdr>
                                    <w:top w:val="none" w:sz="0" w:space="0" w:color="auto"/>
                                    <w:left w:val="none" w:sz="0" w:space="0" w:color="auto"/>
                                    <w:bottom w:val="none" w:sz="0" w:space="0" w:color="auto"/>
                                    <w:right w:val="none" w:sz="0" w:space="0" w:color="auto"/>
                                  </w:divBdr>
                                </w:div>
                                <w:div w:id="1670526686">
                                  <w:marLeft w:val="0"/>
                                  <w:marRight w:val="0"/>
                                  <w:marTop w:val="240"/>
                                  <w:marBottom w:val="0"/>
                                  <w:divBdr>
                                    <w:top w:val="none" w:sz="0" w:space="0" w:color="auto"/>
                                    <w:left w:val="none" w:sz="0" w:space="0" w:color="auto"/>
                                    <w:bottom w:val="none" w:sz="0" w:space="0" w:color="auto"/>
                                    <w:right w:val="none" w:sz="0" w:space="0" w:color="auto"/>
                                  </w:divBdr>
                                  <w:divsChild>
                                    <w:div w:id="1695838745">
                                      <w:marLeft w:val="0"/>
                                      <w:marRight w:val="0"/>
                                      <w:marTop w:val="0"/>
                                      <w:marBottom w:val="0"/>
                                      <w:divBdr>
                                        <w:top w:val="none" w:sz="0" w:space="0" w:color="auto"/>
                                        <w:left w:val="none" w:sz="0" w:space="0" w:color="auto"/>
                                        <w:bottom w:val="none" w:sz="0" w:space="0" w:color="auto"/>
                                        <w:right w:val="none" w:sz="0" w:space="0" w:color="auto"/>
                                      </w:divBdr>
                                      <w:divsChild>
                                        <w:div w:id="1619027504">
                                          <w:marLeft w:val="0"/>
                                          <w:marRight w:val="0"/>
                                          <w:marTop w:val="0"/>
                                          <w:marBottom w:val="0"/>
                                          <w:divBdr>
                                            <w:top w:val="none" w:sz="0" w:space="0" w:color="auto"/>
                                            <w:left w:val="none" w:sz="0" w:space="0" w:color="auto"/>
                                            <w:bottom w:val="none" w:sz="0" w:space="0" w:color="auto"/>
                                            <w:right w:val="none" w:sz="0" w:space="0" w:color="auto"/>
                                          </w:divBdr>
                                          <w:divsChild>
                                            <w:div w:id="1269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4164">
      <w:bodyDiv w:val="1"/>
      <w:marLeft w:val="0"/>
      <w:marRight w:val="0"/>
      <w:marTop w:val="0"/>
      <w:marBottom w:val="0"/>
      <w:divBdr>
        <w:top w:val="none" w:sz="0" w:space="0" w:color="auto"/>
        <w:left w:val="none" w:sz="0" w:space="0" w:color="auto"/>
        <w:bottom w:val="none" w:sz="0" w:space="0" w:color="auto"/>
        <w:right w:val="none" w:sz="0" w:space="0" w:color="auto"/>
      </w:divBdr>
    </w:div>
    <w:div w:id="199441002">
      <w:bodyDiv w:val="1"/>
      <w:marLeft w:val="0"/>
      <w:marRight w:val="0"/>
      <w:marTop w:val="0"/>
      <w:marBottom w:val="0"/>
      <w:divBdr>
        <w:top w:val="none" w:sz="0" w:space="0" w:color="auto"/>
        <w:left w:val="none" w:sz="0" w:space="0" w:color="auto"/>
        <w:bottom w:val="none" w:sz="0" w:space="0" w:color="auto"/>
        <w:right w:val="none" w:sz="0" w:space="0" w:color="auto"/>
      </w:divBdr>
    </w:div>
    <w:div w:id="247078620">
      <w:bodyDiv w:val="1"/>
      <w:marLeft w:val="0"/>
      <w:marRight w:val="0"/>
      <w:marTop w:val="0"/>
      <w:marBottom w:val="0"/>
      <w:divBdr>
        <w:top w:val="none" w:sz="0" w:space="0" w:color="auto"/>
        <w:left w:val="none" w:sz="0" w:space="0" w:color="auto"/>
        <w:bottom w:val="none" w:sz="0" w:space="0" w:color="auto"/>
        <w:right w:val="none" w:sz="0" w:space="0" w:color="auto"/>
      </w:divBdr>
    </w:div>
    <w:div w:id="255556354">
      <w:bodyDiv w:val="1"/>
      <w:marLeft w:val="0"/>
      <w:marRight w:val="0"/>
      <w:marTop w:val="0"/>
      <w:marBottom w:val="0"/>
      <w:divBdr>
        <w:top w:val="none" w:sz="0" w:space="0" w:color="auto"/>
        <w:left w:val="none" w:sz="0" w:space="0" w:color="auto"/>
        <w:bottom w:val="none" w:sz="0" w:space="0" w:color="auto"/>
        <w:right w:val="none" w:sz="0" w:space="0" w:color="auto"/>
      </w:divBdr>
    </w:div>
    <w:div w:id="310448538">
      <w:bodyDiv w:val="1"/>
      <w:marLeft w:val="0"/>
      <w:marRight w:val="0"/>
      <w:marTop w:val="0"/>
      <w:marBottom w:val="0"/>
      <w:divBdr>
        <w:top w:val="none" w:sz="0" w:space="0" w:color="auto"/>
        <w:left w:val="none" w:sz="0" w:space="0" w:color="auto"/>
        <w:bottom w:val="none" w:sz="0" w:space="0" w:color="auto"/>
        <w:right w:val="none" w:sz="0" w:space="0" w:color="auto"/>
      </w:divBdr>
      <w:divsChild>
        <w:div w:id="268707712">
          <w:marLeft w:val="0"/>
          <w:marRight w:val="0"/>
          <w:marTop w:val="0"/>
          <w:marBottom w:val="0"/>
          <w:divBdr>
            <w:top w:val="none" w:sz="0" w:space="0" w:color="auto"/>
            <w:left w:val="none" w:sz="0" w:space="0" w:color="auto"/>
            <w:bottom w:val="none" w:sz="0" w:space="0" w:color="auto"/>
            <w:right w:val="none" w:sz="0" w:space="0" w:color="auto"/>
          </w:divBdr>
        </w:div>
        <w:div w:id="700085956">
          <w:marLeft w:val="0"/>
          <w:marRight w:val="0"/>
          <w:marTop w:val="0"/>
          <w:marBottom w:val="0"/>
          <w:divBdr>
            <w:top w:val="none" w:sz="0" w:space="0" w:color="auto"/>
            <w:left w:val="none" w:sz="0" w:space="0" w:color="auto"/>
            <w:bottom w:val="none" w:sz="0" w:space="0" w:color="auto"/>
            <w:right w:val="none" w:sz="0" w:space="0" w:color="auto"/>
          </w:divBdr>
        </w:div>
        <w:div w:id="1566605285">
          <w:marLeft w:val="0"/>
          <w:marRight w:val="0"/>
          <w:marTop w:val="0"/>
          <w:marBottom w:val="0"/>
          <w:divBdr>
            <w:top w:val="none" w:sz="0" w:space="0" w:color="auto"/>
            <w:left w:val="none" w:sz="0" w:space="0" w:color="auto"/>
            <w:bottom w:val="none" w:sz="0" w:space="0" w:color="auto"/>
            <w:right w:val="none" w:sz="0" w:space="0" w:color="auto"/>
          </w:divBdr>
        </w:div>
        <w:div w:id="2021663921">
          <w:marLeft w:val="0"/>
          <w:marRight w:val="0"/>
          <w:marTop w:val="0"/>
          <w:marBottom w:val="0"/>
          <w:divBdr>
            <w:top w:val="none" w:sz="0" w:space="0" w:color="auto"/>
            <w:left w:val="none" w:sz="0" w:space="0" w:color="auto"/>
            <w:bottom w:val="none" w:sz="0" w:space="0" w:color="auto"/>
            <w:right w:val="none" w:sz="0" w:space="0" w:color="auto"/>
          </w:divBdr>
        </w:div>
        <w:div w:id="2062359718">
          <w:marLeft w:val="0"/>
          <w:marRight w:val="0"/>
          <w:marTop w:val="0"/>
          <w:marBottom w:val="0"/>
          <w:divBdr>
            <w:top w:val="none" w:sz="0" w:space="0" w:color="auto"/>
            <w:left w:val="none" w:sz="0" w:space="0" w:color="auto"/>
            <w:bottom w:val="none" w:sz="0" w:space="0" w:color="auto"/>
            <w:right w:val="none" w:sz="0" w:space="0" w:color="auto"/>
          </w:divBdr>
        </w:div>
      </w:divsChild>
    </w:div>
    <w:div w:id="326524048">
      <w:bodyDiv w:val="1"/>
      <w:marLeft w:val="0"/>
      <w:marRight w:val="0"/>
      <w:marTop w:val="0"/>
      <w:marBottom w:val="0"/>
      <w:divBdr>
        <w:top w:val="none" w:sz="0" w:space="0" w:color="auto"/>
        <w:left w:val="none" w:sz="0" w:space="0" w:color="auto"/>
        <w:bottom w:val="none" w:sz="0" w:space="0" w:color="auto"/>
        <w:right w:val="none" w:sz="0" w:space="0" w:color="auto"/>
      </w:divBdr>
    </w:div>
    <w:div w:id="327636138">
      <w:bodyDiv w:val="1"/>
      <w:marLeft w:val="0"/>
      <w:marRight w:val="0"/>
      <w:marTop w:val="0"/>
      <w:marBottom w:val="0"/>
      <w:divBdr>
        <w:top w:val="none" w:sz="0" w:space="0" w:color="auto"/>
        <w:left w:val="none" w:sz="0" w:space="0" w:color="auto"/>
        <w:bottom w:val="none" w:sz="0" w:space="0" w:color="auto"/>
        <w:right w:val="none" w:sz="0" w:space="0" w:color="auto"/>
      </w:divBdr>
      <w:divsChild>
        <w:div w:id="1284582120">
          <w:marLeft w:val="0"/>
          <w:marRight w:val="0"/>
          <w:marTop w:val="0"/>
          <w:marBottom w:val="0"/>
          <w:divBdr>
            <w:top w:val="none" w:sz="0" w:space="0" w:color="auto"/>
            <w:left w:val="none" w:sz="0" w:space="0" w:color="auto"/>
            <w:bottom w:val="none" w:sz="0" w:space="0" w:color="auto"/>
            <w:right w:val="none" w:sz="0" w:space="0" w:color="auto"/>
          </w:divBdr>
          <w:divsChild>
            <w:div w:id="3660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3024">
      <w:bodyDiv w:val="1"/>
      <w:marLeft w:val="0"/>
      <w:marRight w:val="0"/>
      <w:marTop w:val="0"/>
      <w:marBottom w:val="0"/>
      <w:divBdr>
        <w:top w:val="none" w:sz="0" w:space="0" w:color="auto"/>
        <w:left w:val="none" w:sz="0" w:space="0" w:color="auto"/>
        <w:bottom w:val="none" w:sz="0" w:space="0" w:color="auto"/>
        <w:right w:val="none" w:sz="0" w:space="0" w:color="auto"/>
      </w:divBdr>
      <w:divsChild>
        <w:div w:id="77603980">
          <w:marLeft w:val="0"/>
          <w:marRight w:val="0"/>
          <w:marTop w:val="0"/>
          <w:marBottom w:val="0"/>
          <w:divBdr>
            <w:top w:val="none" w:sz="0" w:space="0" w:color="auto"/>
            <w:left w:val="none" w:sz="0" w:space="0" w:color="auto"/>
            <w:bottom w:val="none" w:sz="0" w:space="0" w:color="auto"/>
            <w:right w:val="none" w:sz="0" w:space="0" w:color="auto"/>
          </w:divBdr>
          <w:divsChild>
            <w:div w:id="2141728831">
              <w:marLeft w:val="0"/>
              <w:marRight w:val="2400"/>
              <w:marTop w:val="75"/>
              <w:marBottom w:val="0"/>
              <w:divBdr>
                <w:top w:val="none" w:sz="0" w:space="0" w:color="auto"/>
                <w:left w:val="none" w:sz="0" w:space="0" w:color="auto"/>
                <w:bottom w:val="none" w:sz="0" w:space="0" w:color="auto"/>
                <w:right w:val="single" w:sz="6" w:space="4" w:color="A5B0BA"/>
              </w:divBdr>
            </w:div>
          </w:divsChild>
        </w:div>
      </w:divsChild>
    </w:div>
    <w:div w:id="406147830">
      <w:bodyDiv w:val="1"/>
      <w:marLeft w:val="0"/>
      <w:marRight w:val="0"/>
      <w:marTop w:val="0"/>
      <w:marBottom w:val="0"/>
      <w:divBdr>
        <w:top w:val="none" w:sz="0" w:space="0" w:color="auto"/>
        <w:left w:val="none" w:sz="0" w:space="0" w:color="auto"/>
        <w:bottom w:val="none" w:sz="0" w:space="0" w:color="auto"/>
        <w:right w:val="none" w:sz="0" w:space="0" w:color="auto"/>
      </w:divBdr>
      <w:divsChild>
        <w:div w:id="1426801132">
          <w:marLeft w:val="1296"/>
          <w:marRight w:val="0"/>
          <w:marTop w:val="100"/>
          <w:marBottom w:val="0"/>
          <w:divBdr>
            <w:top w:val="none" w:sz="0" w:space="0" w:color="auto"/>
            <w:left w:val="none" w:sz="0" w:space="0" w:color="auto"/>
            <w:bottom w:val="none" w:sz="0" w:space="0" w:color="auto"/>
            <w:right w:val="none" w:sz="0" w:space="0" w:color="auto"/>
          </w:divBdr>
        </w:div>
      </w:divsChild>
    </w:div>
    <w:div w:id="429669733">
      <w:bodyDiv w:val="1"/>
      <w:marLeft w:val="0"/>
      <w:marRight w:val="0"/>
      <w:marTop w:val="0"/>
      <w:marBottom w:val="0"/>
      <w:divBdr>
        <w:top w:val="none" w:sz="0" w:space="0" w:color="auto"/>
        <w:left w:val="none" w:sz="0" w:space="0" w:color="auto"/>
        <w:bottom w:val="none" w:sz="0" w:space="0" w:color="auto"/>
        <w:right w:val="none" w:sz="0" w:space="0" w:color="auto"/>
      </w:divBdr>
      <w:divsChild>
        <w:div w:id="1923637012">
          <w:marLeft w:val="1296"/>
          <w:marRight w:val="0"/>
          <w:marTop w:val="100"/>
          <w:marBottom w:val="0"/>
          <w:divBdr>
            <w:top w:val="none" w:sz="0" w:space="0" w:color="auto"/>
            <w:left w:val="none" w:sz="0" w:space="0" w:color="auto"/>
            <w:bottom w:val="none" w:sz="0" w:space="0" w:color="auto"/>
            <w:right w:val="none" w:sz="0" w:space="0" w:color="auto"/>
          </w:divBdr>
        </w:div>
      </w:divsChild>
    </w:div>
    <w:div w:id="473527821">
      <w:bodyDiv w:val="1"/>
      <w:marLeft w:val="0"/>
      <w:marRight w:val="0"/>
      <w:marTop w:val="0"/>
      <w:marBottom w:val="0"/>
      <w:divBdr>
        <w:top w:val="none" w:sz="0" w:space="0" w:color="auto"/>
        <w:left w:val="none" w:sz="0" w:space="0" w:color="auto"/>
        <w:bottom w:val="none" w:sz="0" w:space="0" w:color="auto"/>
        <w:right w:val="none" w:sz="0" w:space="0" w:color="auto"/>
      </w:divBdr>
    </w:div>
    <w:div w:id="517810354">
      <w:bodyDiv w:val="1"/>
      <w:marLeft w:val="0"/>
      <w:marRight w:val="0"/>
      <w:marTop w:val="0"/>
      <w:marBottom w:val="0"/>
      <w:divBdr>
        <w:top w:val="none" w:sz="0" w:space="0" w:color="auto"/>
        <w:left w:val="none" w:sz="0" w:space="0" w:color="auto"/>
        <w:bottom w:val="none" w:sz="0" w:space="0" w:color="auto"/>
        <w:right w:val="none" w:sz="0" w:space="0" w:color="auto"/>
      </w:divBdr>
    </w:div>
    <w:div w:id="550195703">
      <w:bodyDiv w:val="1"/>
      <w:marLeft w:val="0"/>
      <w:marRight w:val="0"/>
      <w:marTop w:val="0"/>
      <w:marBottom w:val="0"/>
      <w:divBdr>
        <w:top w:val="none" w:sz="0" w:space="0" w:color="auto"/>
        <w:left w:val="none" w:sz="0" w:space="0" w:color="auto"/>
        <w:bottom w:val="none" w:sz="0" w:space="0" w:color="auto"/>
        <w:right w:val="none" w:sz="0" w:space="0" w:color="auto"/>
      </w:divBdr>
    </w:div>
    <w:div w:id="574819670">
      <w:bodyDiv w:val="1"/>
      <w:marLeft w:val="0"/>
      <w:marRight w:val="0"/>
      <w:marTop w:val="0"/>
      <w:marBottom w:val="0"/>
      <w:divBdr>
        <w:top w:val="none" w:sz="0" w:space="0" w:color="auto"/>
        <w:left w:val="none" w:sz="0" w:space="0" w:color="auto"/>
        <w:bottom w:val="none" w:sz="0" w:space="0" w:color="auto"/>
        <w:right w:val="none" w:sz="0" w:space="0" w:color="auto"/>
      </w:divBdr>
    </w:div>
    <w:div w:id="598179010">
      <w:bodyDiv w:val="1"/>
      <w:marLeft w:val="0"/>
      <w:marRight w:val="0"/>
      <w:marTop w:val="0"/>
      <w:marBottom w:val="0"/>
      <w:divBdr>
        <w:top w:val="none" w:sz="0" w:space="0" w:color="auto"/>
        <w:left w:val="none" w:sz="0" w:space="0" w:color="auto"/>
        <w:bottom w:val="none" w:sz="0" w:space="0" w:color="auto"/>
        <w:right w:val="none" w:sz="0" w:space="0" w:color="auto"/>
      </w:divBdr>
    </w:div>
    <w:div w:id="654261345">
      <w:bodyDiv w:val="1"/>
      <w:marLeft w:val="0"/>
      <w:marRight w:val="0"/>
      <w:marTop w:val="0"/>
      <w:marBottom w:val="0"/>
      <w:divBdr>
        <w:top w:val="none" w:sz="0" w:space="0" w:color="auto"/>
        <w:left w:val="none" w:sz="0" w:space="0" w:color="auto"/>
        <w:bottom w:val="none" w:sz="0" w:space="0" w:color="auto"/>
        <w:right w:val="none" w:sz="0" w:space="0" w:color="auto"/>
      </w:divBdr>
    </w:div>
    <w:div w:id="671377607">
      <w:bodyDiv w:val="1"/>
      <w:marLeft w:val="0"/>
      <w:marRight w:val="0"/>
      <w:marTop w:val="0"/>
      <w:marBottom w:val="0"/>
      <w:divBdr>
        <w:top w:val="none" w:sz="0" w:space="0" w:color="auto"/>
        <w:left w:val="none" w:sz="0" w:space="0" w:color="auto"/>
        <w:bottom w:val="none" w:sz="0" w:space="0" w:color="auto"/>
        <w:right w:val="none" w:sz="0" w:space="0" w:color="auto"/>
      </w:divBdr>
    </w:div>
    <w:div w:id="700397029">
      <w:bodyDiv w:val="1"/>
      <w:marLeft w:val="0"/>
      <w:marRight w:val="0"/>
      <w:marTop w:val="0"/>
      <w:marBottom w:val="0"/>
      <w:divBdr>
        <w:top w:val="none" w:sz="0" w:space="0" w:color="auto"/>
        <w:left w:val="none" w:sz="0" w:space="0" w:color="auto"/>
        <w:bottom w:val="none" w:sz="0" w:space="0" w:color="auto"/>
        <w:right w:val="none" w:sz="0" w:space="0" w:color="auto"/>
      </w:divBdr>
      <w:divsChild>
        <w:div w:id="1747143553">
          <w:marLeft w:val="0"/>
          <w:marRight w:val="0"/>
          <w:marTop w:val="0"/>
          <w:marBottom w:val="0"/>
          <w:divBdr>
            <w:top w:val="none" w:sz="0" w:space="0" w:color="auto"/>
            <w:left w:val="none" w:sz="0" w:space="0" w:color="auto"/>
            <w:bottom w:val="none" w:sz="0" w:space="0" w:color="auto"/>
            <w:right w:val="none" w:sz="0" w:space="0" w:color="auto"/>
          </w:divBdr>
          <w:divsChild>
            <w:div w:id="1089734608">
              <w:marLeft w:val="0"/>
              <w:marRight w:val="0"/>
              <w:marTop w:val="0"/>
              <w:marBottom w:val="0"/>
              <w:divBdr>
                <w:top w:val="none" w:sz="0" w:space="0" w:color="auto"/>
                <w:left w:val="none" w:sz="0" w:space="0" w:color="auto"/>
                <w:bottom w:val="none" w:sz="0" w:space="0" w:color="auto"/>
                <w:right w:val="none" w:sz="0" w:space="0" w:color="auto"/>
              </w:divBdr>
            </w:div>
            <w:div w:id="1358582974">
              <w:marLeft w:val="0"/>
              <w:marRight w:val="0"/>
              <w:marTop w:val="0"/>
              <w:marBottom w:val="0"/>
              <w:divBdr>
                <w:top w:val="none" w:sz="0" w:space="0" w:color="auto"/>
                <w:left w:val="none" w:sz="0" w:space="0" w:color="auto"/>
                <w:bottom w:val="none" w:sz="0" w:space="0" w:color="auto"/>
                <w:right w:val="none" w:sz="0" w:space="0" w:color="auto"/>
              </w:divBdr>
            </w:div>
            <w:div w:id="346835979">
              <w:marLeft w:val="0"/>
              <w:marRight w:val="0"/>
              <w:marTop w:val="0"/>
              <w:marBottom w:val="0"/>
              <w:divBdr>
                <w:top w:val="none" w:sz="0" w:space="0" w:color="auto"/>
                <w:left w:val="none" w:sz="0" w:space="0" w:color="auto"/>
                <w:bottom w:val="none" w:sz="0" w:space="0" w:color="auto"/>
                <w:right w:val="none" w:sz="0" w:space="0" w:color="auto"/>
              </w:divBdr>
            </w:div>
            <w:div w:id="1704088361">
              <w:marLeft w:val="0"/>
              <w:marRight w:val="0"/>
              <w:marTop w:val="0"/>
              <w:marBottom w:val="0"/>
              <w:divBdr>
                <w:top w:val="none" w:sz="0" w:space="0" w:color="auto"/>
                <w:left w:val="none" w:sz="0" w:space="0" w:color="auto"/>
                <w:bottom w:val="none" w:sz="0" w:space="0" w:color="auto"/>
                <w:right w:val="none" w:sz="0" w:space="0" w:color="auto"/>
              </w:divBdr>
            </w:div>
            <w:div w:id="2067025786">
              <w:marLeft w:val="0"/>
              <w:marRight w:val="0"/>
              <w:marTop w:val="0"/>
              <w:marBottom w:val="0"/>
              <w:divBdr>
                <w:top w:val="none" w:sz="0" w:space="0" w:color="auto"/>
                <w:left w:val="none" w:sz="0" w:space="0" w:color="auto"/>
                <w:bottom w:val="none" w:sz="0" w:space="0" w:color="auto"/>
                <w:right w:val="none" w:sz="0" w:space="0" w:color="auto"/>
              </w:divBdr>
            </w:div>
            <w:div w:id="676230546">
              <w:marLeft w:val="0"/>
              <w:marRight w:val="0"/>
              <w:marTop w:val="0"/>
              <w:marBottom w:val="0"/>
              <w:divBdr>
                <w:top w:val="none" w:sz="0" w:space="0" w:color="auto"/>
                <w:left w:val="none" w:sz="0" w:space="0" w:color="auto"/>
                <w:bottom w:val="none" w:sz="0" w:space="0" w:color="auto"/>
                <w:right w:val="none" w:sz="0" w:space="0" w:color="auto"/>
              </w:divBdr>
            </w:div>
            <w:div w:id="131605488">
              <w:marLeft w:val="0"/>
              <w:marRight w:val="0"/>
              <w:marTop w:val="0"/>
              <w:marBottom w:val="0"/>
              <w:divBdr>
                <w:top w:val="none" w:sz="0" w:space="0" w:color="auto"/>
                <w:left w:val="none" w:sz="0" w:space="0" w:color="auto"/>
                <w:bottom w:val="none" w:sz="0" w:space="0" w:color="auto"/>
                <w:right w:val="none" w:sz="0" w:space="0" w:color="auto"/>
              </w:divBdr>
            </w:div>
            <w:div w:id="929194465">
              <w:marLeft w:val="0"/>
              <w:marRight w:val="0"/>
              <w:marTop w:val="0"/>
              <w:marBottom w:val="0"/>
              <w:divBdr>
                <w:top w:val="none" w:sz="0" w:space="0" w:color="auto"/>
                <w:left w:val="none" w:sz="0" w:space="0" w:color="auto"/>
                <w:bottom w:val="none" w:sz="0" w:space="0" w:color="auto"/>
                <w:right w:val="none" w:sz="0" w:space="0" w:color="auto"/>
              </w:divBdr>
            </w:div>
            <w:div w:id="260070536">
              <w:marLeft w:val="0"/>
              <w:marRight w:val="0"/>
              <w:marTop w:val="0"/>
              <w:marBottom w:val="0"/>
              <w:divBdr>
                <w:top w:val="none" w:sz="0" w:space="0" w:color="auto"/>
                <w:left w:val="none" w:sz="0" w:space="0" w:color="auto"/>
                <w:bottom w:val="none" w:sz="0" w:space="0" w:color="auto"/>
                <w:right w:val="none" w:sz="0" w:space="0" w:color="auto"/>
              </w:divBdr>
            </w:div>
            <w:div w:id="1606187906">
              <w:marLeft w:val="0"/>
              <w:marRight w:val="0"/>
              <w:marTop w:val="0"/>
              <w:marBottom w:val="0"/>
              <w:divBdr>
                <w:top w:val="none" w:sz="0" w:space="0" w:color="auto"/>
                <w:left w:val="none" w:sz="0" w:space="0" w:color="auto"/>
                <w:bottom w:val="none" w:sz="0" w:space="0" w:color="auto"/>
                <w:right w:val="none" w:sz="0" w:space="0" w:color="auto"/>
              </w:divBdr>
            </w:div>
            <w:div w:id="1273979148">
              <w:marLeft w:val="0"/>
              <w:marRight w:val="0"/>
              <w:marTop w:val="0"/>
              <w:marBottom w:val="0"/>
              <w:divBdr>
                <w:top w:val="none" w:sz="0" w:space="0" w:color="auto"/>
                <w:left w:val="none" w:sz="0" w:space="0" w:color="auto"/>
                <w:bottom w:val="none" w:sz="0" w:space="0" w:color="auto"/>
                <w:right w:val="none" w:sz="0" w:space="0" w:color="auto"/>
              </w:divBdr>
            </w:div>
            <w:div w:id="9033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01877">
      <w:bodyDiv w:val="1"/>
      <w:marLeft w:val="0"/>
      <w:marRight w:val="0"/>
      <w:marTop w:val="0"/>
      <w:marBottom w:val="0"/>
      <w:divBdr>
        <w:top w:val="none" w:sz="0" w:space="0" w:color="auto"/>
        <w:left w:val="none" w:sz="0" w:space="0" w:color="auto"/>
        <w:bottom w:val="none" w:sz="0" w:space="0" w:color="auto"/>
        <w:right w:val="none" w:sz="0" w:space="0" w:color="auto"/>
      </w:divBdr>
      <w:divsChild>
        <w:div w:id="301037408">
          <w:marLeft w:val="0"/>
          <w:marRight w:val="0"/>
          <w:marTop w:val="0"/>
          <w:marBottom w:val="0"/>
          <w:divBdr>
            <w:top w:val="none" w:sz="0" w:space="0" w:color="auto"/>
            <w:left w:val="none" w:sz="0" w:space="0" w:color="auto"/>
            <w:bottom w:val="none" w:sz="0" w:space="0" w:color="auto"/>
            <w:right w:val="none" w:sz="0" w:space="0" w:color="auto"/>
          </w:divBdr>
        </w:div>
        <w:div w:id="1552956465">
          <w:marLeft w:val="0"/>
          <w:marRight w:val="0"/>
          <w:marTop w:val="0"/>
          <w:marBottom w:val="0"/>
          <w:divBdr>
            <w:top w:val="none" w:sz="0" w:space="0" w:color="auto"/>
            <w:left w:val="none" w:sz="0" w:space="0" w:color="auto"/>
            <w:bottom w:val="none" w:sz="0" w:space="0" w:color="auto"/>
            <w:right w:val="none" w:sz="0" w:space="0" w:color="auto"/>
          </w:divBdr>
        </w:div>
        <w:div w:id="1138720390">
          <w:marLeft w:val="0"/>
          <w:marRight w:val="0"/>
          <w:marTop w:val="0"/>
          <w:marBottom w:val="0"/>
          <w:divBdr>
            <w:top w:val="none" w:sz="0" w:space="0" w:color="auto"/>
            <w:left w:val="none" w:sz="0" w:space="0" w:color="auto"/>
            <w:bottom w:val="none" w:sz="0" w:space="0" w:color="auto"/>
            <w:right w:val="none" w:sz="0" w:space="0" w:color="auto"/>
          </w:divBdr>
        </w:div>
        <w:div w:id="199973524">
          <w:marLeft w:val="0"/>
          <w:marRight w:val="0"/>
          <w:marTop w:val="0"/>
          <w:marBottom w:val="0"/>
          <w:divBdr>
            <w:top w:val="none" w:sz="0" w:space="0" w:color="auto"/>
            <w:left w:val="none" w:sz="0" w:space="0" w:color="auto"/>
            <w:bottom w:val="none" w:sz="0" w:space="0" w:color="auto"/>
            <w:right w:val="none" w:sz="0" w:space="0" w:color="auto"/>
          </w:divBdr>
        </w:div>
        <w:div w:id="345793768">
          <w:marLeft w:val="0"/>
          <w:marRight w:val="0"/>
          <w:marTop w:val="0"/>
          <w:marBottom w:val="0"/>
          <w:divBdr>
            <w:top w:val="none" w:sz="0" w:space="0" w:color="auto"/>
            <w:left w:val="none" w:sz="0" w:space="0" w:color="auto"/>
            <w:bottom w:val="none" w:sz="0" w:space="0" w:color="auto"/>
            <w:right w:val="none" w:sz="0" w:space="0" w:color="auto"/>
          </w:divBdr>
        </w:div>
        <w:div w:id="904874369">
          <w:marLeft w:val="0"/>
          <w:marRight w:val="0"/>
          <w:marTop w:val="0"/>
          <w:marBottom w:val="0"/>
          <w:divBdr>
            <w:top w:val="none" w:sz="0" w:space="0" w:color="auto"/>
            <w:left w:val="none" w:sz="0" w:space="0" w:color="auto"/>
            <w:bottom w:val="none" w:sz="0" w:space="0" w:color="auto"/>
            <w:right w:val="none" w:sz="0" w:space="0" w:color="auto"/>
          </w:divBdr>
        </w:div>
        <w:div w:id="95178959">
          <w:marLeft w:val="0"/>
          <w:marRight w:val="0"/>
          <w:marTop w:val="0"/>
          <w:marBottom w:val="0"/>
          <w:divBdr>
            <w:top w:val="none" w:sz="0" w:space="0" w:color="auto"/>
            <w:left w:val="none" w:sz="0" w:space="0" w:color="auto"/>
            <w:bottom w:val="none" w:sz="0" w:space="0" w:color="auto"/>
            <w:right w:val="none" w:sz="0" w:space="0" w:color="auto"/>
          </w:divBdr>
        </w:div>
        <w:div w:id="877661697">
          <w:marLeft w:val="0"/>
          <w:marRight w:val="0"/>
          <w:marTop w:val="0"/>
          <w:marBottom w:val="0"/>
          <w:divBdr>
            <w:top w:val="none" w:sz="0" w:space="0" w:color="auto"/>
            <w:left w:val="none" w:sz="0" w:space="0" w:color="auto"/>
            <w:bottom w:val="none" w:sz="0" w:space="0" w:color="auto"/>
            <w:right w:val="none" w:sz="0" w:space="0" w:color="auto"/>
          </w:divBdr>
        </w:div>
        <w:div w:id="1400785266">
          <w:marLeft w:val="0"/>
          <w:marRight w:val="0"/>
          <w:marTop w:val="0"/>
          <w:marBottom w:val="0"/>
          <w:divBdr>
            <w:top w:val="none" w:sz="0" w:space="0" w:color="auto"/>
            <w:left w:val="none" w:sz="0" w:space="0" w:color="auto"/>
            <w:bottom w:val="none" w:sz="0" w:space="0" w:color="auto"/>
            <w:right w:val="none" w:sz="0" w:space="0" w:color="auto"/>
          </w:divBdr>
        </w:div>
      </w:divsChild>
    </w:div>
    <w:div w:id="798181916">
      <w:bodyDiv w:val="1"/>
      <w:marLeft w:val="0"/>
      <w:marRight w:val="0"/>
      <w:marTop w:val="0"/>
      <w:marBottom w:val="0"/>
      <w:divBdr>
        <w:top w:val="none" w:sz="0" w:space="0" w:color="auto"/>
        <w:left w:val="none" w:sz="0" w:space="0" w:color="auto"/>
        <w:bottom w:val="none" w:sz="0" w:space="0" w:color="auto"/>
        <w:right w:val="none" w:sz="0" w:space="0" w:color="auto"/>
      </w:divBdr>
    </w:div>
    <w:div w:id="811676935">
      <w:bodyDiv w:val="1"/>
      <w:marLeft w:val="0"/>
      <w:marRight w:val="0"/>
      <w:marTop w:val="0"/>
      <w:marBottom w:val="0"/>
      <w:divBdr>
        <w:top w:val="none" w:sz="0" w:space="0" w:color="auto"/>
        <w:left w:val="none" w:sz="0" w:space="0" w:color="auto"/>
        <w:bottom w:val="none" w:sz="0" w:space="0" w:color="auto"/>
        <w:right w:val="none" w:sz="0" w:space="0" w:color="auto"/>
      </w:divBdr>
    </w:div>
    <w:div w:id="817457179">
      <w:bodyDiv w:val="1"/>
      <w:marLeft w:val="0"/>
      <w:marRight w:val="0"/>
      <w:marTop w:val="0"/>
      <w:marBottom w:val="0"/>
      <w:divBdr>
        <w:top w:val="none" w:sz="0" w:space="0" w:color="auto"/>
        <w:left w:val="none" w:sz="0" w:space="0" w:color="auto"/>
        <w:bottom w:val="none" w:sz="0" w:space="0" w:color="auto"/>
        <w:right w:val="none" w:sz="0" w:space="0" w:color="auto"/>
      </w:divBdr>
    </w:div>
    <w:div w:id="842009501">
      <w:bodyDiv w:val="1"/>
      <w:marLeft w:val="0"/>
      <w:marRight w:val="0"/>
      <w:marTop w:val="0"/>
      <w:marBottom w:val="0"/>
      <w:divBdr>
        <w:top w:val="none" w:sz="0" w:space="0" w:color="auto"/>
        <w:left w:val="none" w:sz="0" w:space="0" w:color="auto"/>
        <w:bottom w:val="none" w:sz="0" w:space="0" w:color="auto"/>
        <w:right w:val="none" w:sz="0" w:space="0" w:color="auto"/>
      </w:divBdr>
    </w:div>
    <w:div w:id="845637192">
      <w:bodyDiv w:val="1"/>
      <w:marLeft w:val="0"/>
      <w:marRight w:val="0"/>
      <w:marTop w:val="0"/>
      <w:marBottom w:val="0"/>
      <w:divBdr>
        <w:top w:val="none" w:sz="0" w:space="0" w:color="auto"/>
        <w:left w:val="none" w:sz="0" w:space="0" w:color="auto"/>
        <w:bottom w:val="none" w:sz="0" w:space="0" w:color="auto"/>
        <w:right w:val="none" w:sz="0" w:space="0" w:color="auto"/>
      </w:divBdr>
    </w:div>
    <w:div w:id="868759306">
      <w:bodyDiv w:val="1"/>
      <w:marLeft w:val="0"/>
      <w:marRight w:val="0"/>
      <w:marTop w:val="0"/>
      <w:marBottom w:val="0"/>
      <w:divBdr>
        <w:top w:val="none" w:sz="0" w:space="0" w:color="auto"/>
        <w:left w:val="none" w:sz="0" w:space="0" w:color="auto"/>
        <w:bottom w:val="none" w:sz="0" w:space="0" w:color="auto"/>
        <w:right w:val="none" w:sz="0" w:space="0" w:color="auto"/>
      </w:divBdr>
    </w:div>
    <w:div w:id="881214885">
      <w:bodyDiv w:val="1"/>
      <w:marLeft w:val="0"/>
      <w:marRight w:val="0"/>
      <w:marTop w:val="0"/>
      <w:marBottom w:val="0"/>
      <w:divBdr>
        <w:top w:val="none" w:sz="0" w:space="0" w:color="auto"/>
        <w:left w:val="none" w:sz="0" w:space="0" w:color="auto"/>
        <w:bottom w:val="none" w:sz="0" w:space="0" w:color="auto"/>
        <w:right w:val="none" w:sz="0" w:space="0" w:color="auto"/>
      </w:divBdr>
    </w:div>
    <w:div w:id="929772284">
      <w:bodyDiv w:val="1"/>
      <w:marLeft w:val="0"/>
      <w:marRight w:val="0"/>
      <w:marTop w:val="0"/>
      <w:marBottom w:val="0"/>
      <w:divBdr>
        <w:top w:val="none" w:sz="0" w:space="0" w:color="auto"/>
        <w:left w:val="none" w:sz="0" w:space="0" w:color="auto"/>
        <w:bottom w:val="none" w:sz="0" w:space="0" w:color="auto"/>
        <w:right w:val="none" w:sz="0" w:space="0" w:color="auto"/>
      </w:divBdr>
      <w:divsChild>
        <w:div w:id="1115061706">
          <w:marLeft w:val="0"/>
          <w:marRight w:val="0"/>
          <w:marTop w:val="0"/>
          <w:marBottom w:val="0"/>
          <w:divBdr>
            <w:top w:val="none" w:sz="0" w:space="0" w:color="auto"/>
            <w:left w:val="none" w:sz="0" w:space="0" w:color="auto"/>
            <w:bottom w:val="none" w:sz="0" w:space="0" w:color="auto"/>
            <w:right w:val="none" w:sz="0" w:space="0" w:color="auto"/>
          </w:divBdr>
        </w:div>
        <w:div w:id="1493908976">
          <w:marLeft w:val="0"/>
          <w:marRight w:val="0"/>
          <w:marTop w:val="0"/>
          <w:marBottom w:val="0"/>
          <w:divBdr>
            <w:top w:val="none" w:sz="0" w:space="0" w:color="auto"/>
            <w:left w:val="none" w:sz="0" w:space="0" w:color="auto"/>
            <w:bottom w:val="none" w:sz="0" w:space="0" w:color="auto"/>
            <w:right w:val="none" w:sz="0" w:space="0" w:color="auto"/>
          </w:divBdr>
        </w:div>
        <w:div w:id="1068382591">
          <w:marLeft w:val="0"/>
          <w:marRight w:val="0"/>
          <w:marTop w:val="0"/>
          <w:marBottom w:val="0"/>
          <w:divBdr>
            <w:top w:val="none" w:sz="0" w:space="0" w:color="auto"/>
            <w:left w:val="none" w:sz="0" w:space="0" w:color="auto"/>
            <w:bottom w:val="none" w:sz="0" w:space="0" w:color="auto"/>
            <w:right w:val="none" w:sz="0" w:space="0" w:color="auto"/>
          </w:divBdr>
        </w:div>
        <w:div w:id="1139108486">
          <w:marLeft w:val="0"/>
          <w:marRight w:val="0"/>
          <w:marTop w:val="0"/>
          <w:marBottom w:val="0"/>
          <w:divBdr>
            <w:top w:val="none" w:sz="0" w:space="0" w:color="auto"/>
            <w:left w:val="none" w:sz="0" w:space="0" w:color="auto"/>
            <w:bottom w:val="none" w:sz="0" w:space="0" w:color="auto"/>
            <w:right w:val="none" w:sz="0" w:space="0" w:color="auto"/>
          </w:divBdr>
        </w:div>
        <w:div w:id="1005665406">
          <w:marLeft w:val="0"/>
          <w:marRight w:val="0"/>
          <w:marTop w:val="0"/>
          <w:marBottom w:val="0"/>
          <w:divBdr>
            <w:top w:val="none" w:sz="0" w:space="0" w:color="auto"/>
            <w:left w:val="none" w:sz="0" w:space="0" w:color="auto"/>
            <w:bottom w:val="none" w:sz="0" w:space="0" w:color="auto"/>
            <w:right w:val="none" w:sz="0" w:space="0" w:color="auto"/>
          </w:divBdr>
        </w:div>
      </w:divsChild>
    </w:div>
    <w:div w:id="936135449">
      <w:bodyDiv w:val="1"/>
      <w:marLeft w:val="0"/>
      <w:marRight w:val="0"/>
      <w:marTop w:val="0"/>
      <w:marBottom w:val="0"/>
      <w:divBdr>
        <w:top w:val="none" w:sz="0" w:space="0" w:color="auto"/>
        <w:left w:val="none" w:sz="0" w:space="0" w:color="auto"/>
        <w:bottom w:val="none" w:sz="0" w:space="0" w:color="auto"/>
        <w:right w:val="none" w:sz="0" w:space="0" w:color="auto"/>
      </w:divBdr>
    </w:div>
    <w:div w:id="947811843">
      <w:bodyDiv w:val="1"/>
      <w:marLeft w:val="0"/>
      <w:marRight w:val="0"/>
      <w:marTop w:val="0"/>
      <w:marBottom w:val="0"/>
      <w:divBdr>
        <w:top w:val="none" w:sz="0" w:space="0" w:color="auto"/>
        <w:left w:val="none" w:sz="0" w:space="0" w:color="auto"/>
        <w:bottom w:val="none" w:sz="0" w:space="0" w:color="auto"/>
        <w:right w:val="none" w:sz="0" w:space="0" w:color="auto"/>
      </w:divBdr>
      <w:divsChild>
        <w:div w:id="2084252983">
          <w:marLeft w:val="0"/>
          <w:marRight w:val="0"/>
          <w:marTop w:val="0"/>
          <w:marBottom w:val="0"/>
          <w:divBdr>
            <w:top w:val="none" w:sz="0" w:space="0" w:color="auto"/>
            <w:left w:val="none" w:sz="0" w:space="0" w:color="auto"/>
            <w:bottom w:val="none" w:sz="0" w:space="0" w:color="auto"/>
            <w:right w:val="none" w:sz="0" w:space="0" w:color="auto"/>
          </w:divBdr>
          <w:divsChild>
            <w:div w:id="10684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30553">
      <w:bodyDiv w:val="1"/>
      <w:marLeft w:val="0"/>
      <w:marRight w:val="0"/>
      <w:marTop w:val="0"/>
      <w:marBottom w:val="0"/>
      <w:divBdr>
        <w:top w:val="none" w:sz="0" w:space="0" w:color="auto"/>
        <w:left w:val="none" w:sz="0" w:space="0" w:color="auto"/>
        <w:bottom w:val="none" w:sz="0" w:space="0" w:color="auto"/>
        <w:right w:val="none" w:sz="0" w:space="0" w:color="auto"/>
      </w:divBdr>
    </w:div>
    <w:div w:id="981076630">
      <w:bodyDiv w:val="1"/>
      <w:marLeft w:val="0"/>
      <w:marRight w:val="0"/>
      <w:marTop w:val="0"/>
      <w:marBottom w:val="0"/>
      <w:divBdr>
        <w:top w:val="none" w:sz="0" w:space="0" w:color="auto"/>
        <w:left w:val="none" w:sz="0" w:space="0" w:color="auto"/>
        <w:bottom w:val="none" w:sz="0" w:space="0" w:color="auto"/>
        <w:right w:val="none" w:sz="0" w:space="0" w:color="auto"/>
      </w:divBdr>
      <w:divsChild>
        <w:div w:id="337804891">
          <w:marLeft w:val="0"/>
          <w:marRight w:val="0"/>
          <w:marTop w:val="0"/>
          <w:marBottom w:val="0"/>
          <w:divBdr>
            <w:top w:val="none" w:sz="0" w:space="0" w:color="auto"/>
            <w:left w:val="none" w:sz="0" w:space="0" w:color="auto"/>
            <w:bottom w:val="none" w:sz="0" w:space="0" w:color="auto"/>
            <w:right w:val="none" w:sz="0" w:space="0" w:color="auto"/>
          </w:divBdr>
        </w:div>
        <w:div w:id="503515462">
          <w:marLeft w:val="0"/>
          <w:marRight w:val="0"/>
          <w:marTop w:val="0"/>
          <w:marBottom w:val="0"/>
          <w:divBdr>
            <w:top w:val="none" w:sz="0" w:space="0" w:color="auto"/>
            <w:left w:val="none" w:sz="0" w:space="0" w:color="auto"/>
            <w:bottom w:val="none" w:sz="0" w:space="0" w:color="auto"/>
            <w:right w:val="none" w:sz="0" w:space="0" w:color="auto"/>
          </w:divBdr>
        </w:div>
        <w:div w:id="1570572656">
          <w:marLeft w:val="0"/>
          <w:marRight w:val="0"/>
          <w:marTop w:val="0"/>
          <w:marBottom w:val="0"/>
          <w:divBdr>
            <w:top w:val="none" w:sz="0" w:space="0" w:color="auto"/>
            <w:left w:val="none" w:sz="0" w:space="0" w:color="auto"/>
            <w:bottom w:val="none" w:sz="0" w:space="0" w:color="auto"/>
            <w:right w:val="none" w:sz="0" w:space="0" w:color="auto"/>
          </w:divBdr>
        </w:div>
      </w:divsChild>
    </w:div>
    <w:div w:id="981731433">
      <w:bodyDiv w:val="1"/>
      <w:marLeft w:val="0"/>
      <w:marRight w:val="0"/>
      <w:marTop w:val="0"/>
      <w:marBottom w:val="0"/>
      <w:divBdr>
        <w:top w:val="none" w:sz="0" w:space="0" w:color="auto"/>
        <w:left w:val="none" w:sz="0" w:space="0" w:color="auto"/>
        <w:bottom w:val="none" w:sz="0" w:space="0" w:color="auto"/>
        <w:right w:val="none" w:sz="0" w:space="0" w:color="auto"/>
      </w:divBdr>
    </w:div>
    <w:div w:id="1045106370">
      <w:bodyDiv w:val="1"/>
      <w:marLeft w:val="0"/>
      <w:marRight w:val="0"/>
      <w:marTop w:val="0"/>
      <w:marBottom w:val="0"/>
      <w:divBdr>
        <w:top w:val="none" w:sz="0" w:space="0" w:color="auto"/>
        <w:left w:val="none" w:sz="0" w:space="0" w:color="auto"/>
        <w:bottom w:val="none" w:sz="0" w:space="0" w:color="auto"/>
        <w:right w:val="none" w:sz="0" w:space="0" w:color="auto"/>
      </w:divBdr>
    </w:div>
    <w:div w:id="1051467826">
      <w:bodyDiv w:val="1"/>
      <w:marLeft w:val="0"/>
      <w:marRight w:val="0"/>
      <w:marTop w:val="0"/>
      <w:marBottom w:val="0"/>
      <w:divBdr>
        <w:top w:val="none" w:sz="0" w:space="0" w:color="auto"/>
        <w:left w:val="none" w:sz="0" w:space="0" w:color="auto"/>
        <w:bottom w:val="none" w:sz="0" w:space="0" w:color="auto"/>
        <w:right w:val="none" w:sz="0" w:space="0" w:color="auto"/>
      </w:divBdr>
    </w:div>
    <w:div w:id="1064985132">
      <w:bodyDiv w:val="1"/>
      <w:marLeft w:val="0"/>
      <w:marRight w:val="0"/>
      <w:marTop w:val="0"/>
      <w:marBottom w:val="0"/>
      <w:divBdr>
        <w:top w:val="none" w:sz="0" w:space="0" w:color="auto"/>
        <w:left w:val="none" w:sz="0" w:space="0" w:color="auto"/>
        <w:bottom w:val="none" w:sz="0" w:space="0" w:color="auto"/>
        <w:right w:val="none" w:sz="0" w:space="0" w:color="auto"/>
      </w:divBdr>
      <w:divsChild>
        <w:div w:id="5640583">
          <w:marLeft w:val="0"/>
          <w:marRight w:val="0"/>
          <w:marTop w:val="0"/>
          <w:marBottom w:val="0"/>
          <w:divBdr>
            <w:top w:val="none" w:sz="0" w:space="0" w:color="auto"/>
            <w:left w:val="none" w:sz="0" w:space="0" w:color="auto"/>
            <w:bottom w:val="none" w:sz="0" w:space="0" w:color="auto"/>
            <w:right w:val="none" w:sz="0" w:space="0" w:color="auto"/>
          </w:divBdr>
        </w:div>
        <w:div w:id="101536005">
          <w:marLeft w:val="0"/>
          <w:marRight w:val="0"/>
          <w:marTop w:val="0"/>
          <w:marBottom w:val="0"/>
          <w:divBdr>
            <w:top w:val="none" w:sz="0" w:space="0" w:color="auto"/>
            <w:left w:val="none" w:sz="0" w:space="0" w:color="auto"/>
            <w:bottom w:val="none" w:sz="0" w:space="0" w:color="auto"/>
            <w:right w:val="none" w:sz="0" w:space="0" w:color="auto"/>
          </w:divBdr>
        </w:div>
        <w:div w:id="126358567">
          <w:marLeft w:val="0"/>
          <w:marRight w:val="0"/>
          <w:marTop w:val="0"/>
          <w:marBottom w:val="0"/>
          <w:divBdr>
            <w:top w:val="none" w:sz="0" w:space="0" w:color="auto"/>
            <w:left w:val="none" w:sz="0" w:space="0" w:color="auto"/>
            <w:bottom w:val="none" w:sz="0" w:space="0" w:color="auto"/>
            <w:right w:val="none" w:sz="0" w:space="0" w:color="auto"/>
          </w:divBdr>
        </w:div>
        <w:div w:id="279996019">
          <w:marLeft w:val="0"/>
          <w:marRight w:val="0"/>
          <w:marTop w:val="0"/>
          <w:marBottom w:val="0"/>
          <w:divBdr>
            <w:top w:val="none" w:sz="0" w:space="0" w:color="auto"/>
            <w:left w:val="none" w:sz="0" w:space="0" w:color="auto"/>
            <w:bottom w:val="none" w:sz="0" w:space="0" w:color="auto"/>
            <w:right w:val="none" w:sz="0" w:space="0" w:color="auto"/>
          </w:divBdr>
        </w:div>
        <w:div w:id="349138919">
          <w:marLeft w:val="0"/>
          <w:marRight w:val="0"/>
          <w:marTop w:val="0"/>
          <w:marBottom w:val="0"/>
          <w:divBdr>
            <w:top w:val="none" w:sz="0" w:space="0" w:color="auto"/>
            <w:left w:val="none" w:sz="0" w:space="0" w:color="auto"/>
            <w:bottom w:val="none" w:sz="0" w:space="0" w:color="auto"/>
            <w:right w:val="none" w:sz="0" w:space="0" w:color="auto"/>
          </w:divBdr>
        </w:div>
        <w:div w:id="497037631">
          <w:marLeft w:val="0"/>
          <w:marRight w:val="0"/>
          <w:marTop w:val="0"/>
          <w:marBottom w:val="0"/>
          <w:divBdr>
            <w:top w:val="none" w:sz="0" w:space="0" w:color="auto"/>
            <w:left w:val="none" w:sz="0" w:space="0" w:color="auto"/>
            <w:bottom w:val="none" w:sz="0" w:space="0" w:color="auto"/>
            <w:right w:val="none" w:sz="0" w:space="0" w:color="auto"/>
          </w:divBdr>
        </w:div>
        <w:div w:id="498354779">
          <w:marLeft w:val="0"/>
          <w:marRight w:val="0"/>
          <w:marTop w:val="0"/>
          <w:marBottom w:val="0"/>
          <w:divBdr>
            <w:top w:val="none" w:sz="0" w:space="0" w:color="auto"/>
            <w:left w:val="none" w:sz="0" w:space="0" w:color="auto"/>
            <w:bottom w:val="none" w:sz="0" w:space="0" w:color="auto"/>
            <w:right w:val="none" w:sz="0" w:space="0" w:color="auto"/>
          </w:divBdr>
        </w:div>
        <w:div w:id="666397973">
          <w:marLeft w:val="0"/>
          <w:marRight w:val="0"/>
          <w:marTop w:val="0"/>
          <w:marBottom w:val="0"/>
          <w:divBdr>
            <w:top w:val="none" w:sz="0" w:space="0" w:color="auto"/>
            <w:left w:val="none" w:sz="0" w:space="0" w:color="auto"/>
            <w:bottom w:val="none" w:sz="0" w:space="0" w:color="auto"/>
            <w:right w:val="none" w:sz="0" w:space="0" w:color="auto"/>
          </w:divBdr>
        </w:div>
        <w:div w:id="684013673">
          <w:marLeft w:val="0"/>
          <w:marRight w:val="0"/>
          <w:marTop w:val="0"/>
          <w:marBottom w:val="0"/>
          <w:divBdr>
            <w:top w:val="none" w:sz="0" w:space="0" w:color="auto"/>
            <w:left w:val="none" w:sz="0" w:space="0" w:color="auto"/>
            <w:bottom w:val="none" w:sz="0" w:space="0" w:color="auto"/>
            <w:right w:val="none" w:sz="0" w:space="0" w:color="auto"/>
          </w:divBdr>
        </w:div>
        <w:div w:id="729840868">
          <w:marLeft w:val="0"/>
          <w:marRight w:val="0"/>
          <w:marTop w:val="0"/>
          <w:marBottom w:val="0"/>
          <w:divBdr>
            <w:top w:val="none" w:sz="0" w:space="0" w:color="auto"/>
            <w:left w:val="none" w:sz="0" w:space="0" w:color="auto"/>
            <w:bottom w:val="none" w:sz="0" w:space="0" w:color="auto"/>
            <w:right w:val="none" w:sz="0" w:space="0" w:color="auto"/>
          </w:divBdr>
        </w:div>
        <w:div w:id="924650896">
          <w:marLeft w:val="0"/>
          <w:marRight w:val="0"/>
          <w:marTop w:val="0"/>
          <w:marBottom w:val="0"/>
          <w:divBdr>
            <w:top w:val="none" w:sz="0" w:space="0" w:color="auto"/>
            <w:left w:val="none" w:sz="0" w:space="0" w:color="auto"/>
            <w:bottom w:val="none" w:sz="0" w:space="0" w:color="auto"/>
            <w:right w:val="none" w:sz="0" w:space="0" w:color="auto"/>
          </w:divBdr>
        </w:div>
        <w:div w:id="1143347305">
          <w:marLeft w:val="0"/>
          <w:marRight w:val="0"/>
          <w:marTop w:val="0"/>
          <w:marBottom w:val="0"/>
          <w:divBdr>
            <w:top w:val="none" w:sz="0" w:space="0" w:color="auto"/>
            <w:left w:val="none" w:sz="0" w:space="0" w:color="auto"/>
            <w:bottom w:val="none" w:sz="0" w:space="0" w:color="auto"/>
            <w:right w:val="none" w:sz="0" w:space="0" w:color="auto"/>
          </w:divBdr>
        </w:div>
        <w:div w:id="1292328423">
          <w:marLeft w:val="0"/>
          <w:marRight w:val="0"/>
          <w:marTop w:val="0"/>
          <w:marBottom w:val="0"/>
          <w:divBdr>
            <w:top w:val="none" w:sz="0" w:space="0" w:color="auto"/>
            <w:left w:val="none" w:sz="0" w:space="0" w:color="auto"/>
            <w:bottom w:val="none" w:sz="0" w:space="0" w:color="auto"/>
            <w:right w:val="none" w:sz="0" w:space="0" w:color="auto"/>
          </w:divBdr>
        </w:div>
        <w:div w:id="1427768555">
          <w:marLeft w:val="0"/>
          <w:marRight w:val="0"/>
          <w:marTop w:val="0"/>
          <w:marBottom w:val="0"/>
          <w:divBdr>
            <w:top w:val="none" w:sz="0" w:space="0" w:color="auto"/>
            <w:left w:val="none" w:sz="0" w:space="0" w:color="auto"/>
            <w:bottom w:val="none" w:sz="0" w:space="0" w:color="auto"/>
            <w:right w:val="none" w:sz="0" w:space="0" w:color="auto"/>
          </w:divBdr>
        </w:div>
        <w:div w:id="1559778145">
          <w:marLeft w:val="0"/>
          <w:marRight w:val="0"/>
          <w:marTop w:val="0"/>
          <w:marBottom w:val="0"/>
          <w:divBdr>
            <w:top w:val="none" w:sz="0" w:space="0" w:color="auto"/>
            <w:left w:val="none" w:sz="0" w:space="0" w:color="auto"/>
            <w:bottom w:val="none" w:sz="0" w:space="0" w:color="auto"/>
            <w:right w:val="none" w:sz="0" w:space="0" w:color="auto"/>
          </w:divBdr>
        </w:div>
        <w:div w:id="1723823288">
          <w:marLeft w:val="0"/>
          <w:marRight w:val="0"/>
          <w:marTop w:val="0"/>
          <w:marBottom w:val="0"/>
          <w:divBdr>
            <w:top w:val="none" w:sz="0" w:space="0" w:color="auto"/>
            <w:left w:val="none" w:sz="0" w:space="0" w:color="auto"/>
            <w:bottom w:val="none" w:sz="0" w:space="0" w:color="auto"/>
            <w:right w:val="none" w:sz="0" w:space="0" w:color="auto"/>
          </w:divBdr>
        </w:div>
        <w:div w:id="1751997887">
          <w:marLeft w:val="0"/>
          <w:marRight w:val="0"/>
          <w:marTop w:val="0"/>
          <w:marBottom w:val="0"/>
          <w:divBdr>
            <w:top w:val="none" w:sz="0" w:space="0" w:color="auto"/>
            <w:left w:val="none" w:sz="0" w:space="0" w:color="auto"/>
            <w:bottom w:val="none" w:sz="0" w:space="0" w:color="auto"/>
            <w:right w:val="none" w:sz="0" w:space="0" w:color="auto"/>
          </w:divBdr>
        </w:div>
        <w:div w:id="1796605972">
          <w:marLeft w:val="0"/>
          <w:marRight w:val="0"/>
          <w:marTop w:val="0"/>
          <w:marBottom w:val="0"/>
          <w:divBdr>
            <w:top w:val="none" w:sz="0" w:space="0" w:color="auto"/>
            <w:left w:val="none" w:sz="0" w:space="0" w:color="auto"/>
            <w:bottom w:val="none" w:sz="0" w:space="0" w:color="auto"/>
            <w:right w:val="none" w:sz="0" w:space="0" w:color="auto"/>
          </w:divBdr>
        </w:div>
        <w:div w:id="1813601075">
          <w:marLeft w:val="0"/>
          <w:marRight w:val="0"/>
          <w:marTop w:val="0"/>
          <w:marBottom w:val="0"/>
          <w:divBdr>
            <w:top w:val="none" w:sz="0" w:space="0" w:color="auto"/>
            <w:left w:val="none" w:sz="0" w:space="0" w:color="auto"/>
            <w:bottom w:val="none" w:sz="0" w:space="0" w:color="auto"/>
            <w:right w:val="none" w:sz="0" w:space="0" w:color="auto"/>
          </w:divBdr>
        </w:div>
        <w:div w:id="2045521844">
          <w:marLeft w:val="0"/>
          <w:marRight w:val="0"/>
          <w:marTop w:val="0"/>
          <w:marBottom w:val="0"/>
          <w:divBdr>
            <w:top w:val="none" w:sz="0" w:space="0" w:color="auto"/>
            <w:left w:val="none" w:sz="0" w:space="0" w:color="auto"/>
            <w:bottom w:val="none" w:sz="0" w:space="0" w:color="auto"/>
            <w:right w:val="none" w:sz="0" w:space="0" w:color="auto"/>
          </w:divBdr>
        </w:div>
      </w:divsChild>
    </w:div>
    <w:div w:id="1137068181">
      <w:bodyDiv w:val="1"/>
      <w:marLeft w:val="0"/>
      <w:marRight w:val="0"/>
      <w:marTop w:val="0"/>
      <w:marBottom w:val="0"/>
      <w:divBdr>
        <w:top w:val="none" w:sz="0" w:space="0" w:color="auto"/>
        <w:left w:val="none" w:sz="0" w:space="0" w:color="auto"/>
        <w:bottom w:val="none" w:sz="0" w:space="0" w:color="auto"/>
        <w:right w:val="none" w:sz="0" w:space="0" w:color="auto"/>
      </w:divBdr>
      <w:divsChild>
        <w:div w:id="149173520">
          <w:marLeft w:val="0"/>
          <w:marRight w:val="0"/>
          <w:marTop w:val="0"/>
          <w:marBottom w:val="0"/>
          <w:divBdr>
            <w:top w:val="none" w:sz="0" w:space="0" w:color="auto"/>
            <w:left w:val="none" w:sz="0" w:space="0" w:color="auto"/>
            <w:bottom w:val="none" w:sz="0" w:space="0" w:color="auto"/>
            <w:right w:val="none" w:sz="0" w:space="0" w:color="auto"/>
          </w:divBdr>
        </w:div>
        <w:div w:id="223873916">
          <w:marLeft w:val="0"/>
          <w:marRight w:val="0"/>
          <w:marTop w:val="0"/>
          <w:marBottom w:val="0"/>
          <w:divBdr>
            <w:top w:val="none" w:sz="0" w:space="0" w:color="auto"/>
            <w:left w:val="none" w:sz="0" w:space="0" w:color="auto"/>
            <w:bottom w:val="none" w:sz="0" w:space="0" w:color="auto"/>
            <w:right w:val="none" w:sz="0" w:space="0" w:color="auto"/>
          </w:divBdr>
        </w:div>
        <w:div w:id="287441123">
          <w:marLeft w:val="0"/>
          <w:marRight w:val="0"/>
          <w:marTop w:val="0"/>
          <w:marBottom w:val="0"/>
          <w:divBdr>
            <w:top w:val="none" w:sz="0" w:space="0" w:color="auto"/>
            <w:left w:val="none" w:sz="0" w:space="0" w:color="auto"/>
            <w:bottom w:val="none" w:sz="0" w:space="0" w:color="auto"/>
            <w:right w:val="none" w:sz="0" w:space="0" w:color="auto"/>
          </w:divBdr>
        </w:div>
        <w:div w:id="344869936">
          <w:marLeft w:val="0"/>
          <w:marRight w:val="0"/>
          <w:marTop w:val="0"/>
          <w:marBottom w:val="0"/>
          <w:divBdr>
            <w:top w:val="none" w:sz="0" w:space="0" w:color="auto"/>
            <w:left w:val="none" w:sz="0" w:space="0" w:color="auto"/>
            <w:bottom w:val="none" w:sz="0" w:space="0" w:color="auto"/>
            <w:right w:val="none" w:sz="0" w:space="0" w:color="auto"/>
          </w:divBdr>
        </w:div>
        <w:div w:id="391664276">
          <w:marLeft w:val="0"/>
          <w:marRight w:val="0"/>
          <w:marTop w:val="0"/>
          <w:marBottom w:val="0"/>
          <w:divBdr>
            <w:top w:val="none" w:sz="0" w:space="0" w:color="auto"/>
            <w:left w:val="none" w:sz="0" w:space="0" w:color="auto"/>
            <w:bottom w:val="none" w:sz="0" w:space="0" w:color="auto"/>
            <w:right w:val="none" w:sz="0" w:space="0" w:color="auto"/>
          </w:divBdr>
        </w:div>
        <w:div w:id="559486442">
          <w:marLeft w:val="0"/>
          <w:marRight w:val="0"/>
          <w:marTop w:val="0"/>
          <w:marBottom w:val="0"/>
          <w:divBdr>
            <w:top w:val="none" w:sz="0" w:space="0" w:color="auto"/>
            <w:left w:val="none" w:sz="0" w:space="0" w:color="auto"/>
            <w:bottom w:val="none" w:sz="0" w:space="0" w:color="auto"/>
            <w:right w:val="none" w:sz="0" w:space="0" w:color="auto"/>
          </w:divBdr>
        </w:div>
        <w:div w:id="737091117">
          <w:marLeft w:val="0"/>
          <w:marRight w:val="0"/>
          <w:marTop w:val="0"/>
          <w:marBottom w:val="0"/>
          <w:divBdr>
            <w:top w:val="none" w:sz="0" w:space="0" w:color="auto"/>
            <w:left w:val="none" w:sz="0" w:space="0" w:color="auto"/>
            <w:bottom w:val="none" w:sz="0" w:space="0" w:color="auto"/>
            <w:right w:val="none" w:sz="0" w:space="0" w:color="auto"/>
          </w:divBdr>
        </w:div>
        <w:div w:id="781536914">
          <w:marLeft w:val="0"/>
          <w:marRight w:val="0"/>
          <w:marTop w:val="0"/>
          <w:marBottom w:val="0"/>
          <w:divBdr>
            <w:top w:val="none" w:sz="0" w:space="0" w:color="auto"/>
            <w:left w:val="none" w:sz="0" w:space="0" w:color="auto"/>
            <w:bottom w:val="none" w:sz="0" w:space="0" w:color="auto"/>
            <w:right w:val="none" w:sz="0" w:space="0" w:color="auto"/>
          </w:divBdr>
        </w:div>
        <w:div w:id="814493458">
          <w:marLeft w:val="0"/>
          <w:marRight w:val="0"/>
          <w:marTop w:val="0"/>
          <w:marBottom w:val="0"/>
          <w:divBdr>
            <w:top w:val="none" w:sz="0" w:space="0" w:color="auto"/>
            <w:left w:val="none" w:sz="0" w:space="0" w:color="auto"/>
            <w:bottom w:val="none" w:sz="0" w:space="0" w:color="auto"/>
            <w:right w:val="none" w:sz="0" w:space="0" w:color="auto"/>
          </w:divBdr>
        </w:div>
        <w:div w:id="1009914073">
          <w:marLeft w:val="0"/>
          <w:marRight w:val="0"/>
          <w:marTop w:val="0"/>
          <w:marBottom w:val="0"/>
          <w:divBdr>
            <w:top w:val="none" w:sz="0" w:space="0" w:color="auto"/>
            <w:left w:val="none" w:sz="0" w:space="0" w:color="auto"/>
            <w:bottom w:val="none" w:sz="0" w:space="0" w:color="auto"/>
            <w:right w:val="none" w:sz="0" w:space="0" w:color="auto"/>
          </w:divBdr>
        </w:div>
        <w:div w:id="1096249829">
          <w:marLeft w:val="0"/>
          <w:marRight w:val="0"/>
          <w:marTop w:val="0"/>
          <w:marBottom w:val="0"/>
          <w:divBdr>
            <w:top w:val="none" w:sz="0" w:space="0" w:color="auto"/>
            <w:left w:val="none" w:sz="0" w:space="0" w:color="auto"/>
            <w:bottom w:val="none" w:sz="0" w:space="0" w:color="auto"/>
            <w:right w:val="none" w:sz="0" w:space="0" w:color="auto"/>
          </w:divBdr>
        </w:div>
        <w:div w:id="1133018306">
          <w:marLeft w:val="0"/>
          <w:marRight w:val="0"/>
          <w:marTop w:val="0"/>
          <w:marBottom w:val="0"/>
          <w:divBdr>
            <w:top w:val="none" w:sz="0" w:space="0" w:color="auto"/>
            <w:left w:val="none" w:sz="0" w:space="0" w:color="auto"/>
            <w:bottom w:val="none" w:sz="0" w:space="0" w:color="auto"/>
            <w:right w:val="none" w:sz="0" w:space="0" w:color="auto"/>
          </w:divBdr>
        </w:div>
        <w:div w:id="1163207665">
          <w:marLeft w:val="0"/>
          <w:marRight w:val="0"/>
          <w:marTop w:val="0"/>
          <w:marBottom w:val="0"/>
          <w:divBdr>
            <w:top w:val="none" w:sz="0" w:space="0" w:color="auto"/>
            <w:left w:val="none" w:sz="0" w:space="0" w:color="auto"/>
            <w:bottom w:val="none" w:sz="0" w:space="0" w:color="auto"/>
            <w:right w:val="none" w:sz="0" w:space="0" w:color="auto"/>
          </w:divBdr>
        </w:div>
        <w:div w:id="1164516553">
          <w:marLeft w:val="0"/>
          <w:marRight w:val="0"/>
          <w:marTop w:val="0"/>
          <w:marBottom w:val="0"/>
          <w:divBdr>
            <w:top w:val="none" w:sz="0" w:space="0" w:color="auto"/>
            <w:left w:val="none" w:sz="0" w:space="0" w:color="auto"/>
            <w:bottom w:val="none" w:sz="0" w:space="0" w:color="auto"/>
            <w:right w:val="none" w:sz="0" w:space="0" w:color="auto"/>
          </w:divBdr>
        </w:div>
        <w:div w:id="1184899250">
          <w:marLeft w:val="0"/>
          <w:marRight w:val="0"/>
          <w:marTop w:val="0"/>
          <w:marBottom w:val="0"/>
          <w:divBdr>
            <w:top w:val="none" w:sz="0" w:space="0" w:color="auto"/>
            <w:left w:val="none" w:sz="0" w:space="0" w:color="auto"/>
            <w:bottom w:val="none" w:sz="0" w:space="0" w:color="auto"/>
            <w:right w:val="none" w:sz="0" w:space="0" w:color="auto"/>
          </w:divBdr>
        </w:div>
        <w:div w:id="1302342511">
          <w:marLeft w:val="0"/>
          <w:marRight w:val="0"/>
          <w:marTop w:val="0"/>
          <w:marBottom w:val="0"/>
          <w:divBdr>
            <w:top w:val="none" w:sz="0" w:space="0" w:color="auto"/>
            <w:left w:val="none" w:sz="0" w:space="0" w:color="auto"/>
            <w:bottom w:val="none" w:sz="0" w:space="0" w:color="auto"/>
            <w:right w:val="none" w:sz="0" w:space="0" w:color="auto"/>
          </w:divBdr>
        </w:div>
        <w:div w:id="1354500408">
          <w:marLeft w:val="0"/>
          <w:marRight w:val="0"/>
          <w:marTop w:val="0"/>
          <w:marBottom w:val="0"/>
          <w:divBdr>
            <w:top w:val="none" w:sz="0" w:space="0" w:color="auto"/>
            <w:left w:val="none" w:sz="0" w:space="0" w:color="auto"/>
            <w:bottom w:val="none" w:sz="0" w:space="0" w:color="auto"/>
            <w:right w:val="none" w:sz="0" w:space="0" w:color="auto"/>
          </w:divBdr>
        </w:div>
        <w:div w:id="1411853153">
          <w:marLeft w:val="0"/>
          <w:marRight w:val="0"/>
          <w:marTop w:val="0"/>
          <w:marBottom w:val="0"/>
          <w:divBdr>
            <w:top w:val="none" w:sz="0" w:space="0" w:color="auto"/>
            <w:left w:val="none" w:sz="0" w:space="0" w:color="auto"/>
            <w:bottom w:val="none" w:sz="0" w:space="0" w:color="auto"/>
            <w:right w:val="none" w:sz="0" w:space="0" w:color="auto"/>
          </w:divBdr>
        </w:div>
        <w:div w:id="1427463508">
          <w:marLeft w:val="0"/>
          <w:marRight w:val="0"/>
          <w:marTop w:val="0"/>
          <w:marBottom w:val="0"/>
          <w:divBdr>
            <w:top w:val="none" w:sz="0" w:space="0" w:color="auto"/>
            <w:left w:val="none" w:sz="0" w:space="0" w:color="auto"/>
            <w:bottom w:val="none" w:sz="0" w:space="0" w:color="auto"/>
            <w:right w:val="none" w:sz="0" w:space="0" w:color="auto"/>
          </w:divBdr>
        </w:div>
        <w:div w:id="1437287879">
          <w:marLeft w:val="0"/>
          <w:marRight w:val="0"/>
          <w:marTop w:val="0"/>
          <w:marBottom w:val="0"/>
          <w:divBdr>
            <w:top w:val="none" w:sz="0" w:space="0" w:color="auto"/>
            <w:left w:val="none" w:sz="0" w:space="0" w:color="auto"/>
            <w:bottom w:val="none" w:sz="0" w:space="0" w:color="auto"/>
            <w:right w:val="none" w:sz="0" w:space="0" w:color="auto"/>
          </w:divBdr>
        </w:div>
        <w:div w:id="1493718933">
          <w:marLeft w:val="0"/>
          <w:marRight w:val="0"/>
          <w:marTop w:val="0"/>
          <w:marBottom w:val="0"/>
          <w:divBdr>
            <w:top w:val="none" w:sz="0" w:space="0" w:color="auto"/>
            <w:left w:val="none" w:sz="0" w:space="0" w:color="auto"/>
            <w:bottom w:val="none" w:sz="0" w:space="0" w:color="auto"/>
            <w:right w:val="none" w:sz="0" w:space="0" w:color="auto"/>
          </w:divBdr>
        </w:div>
        <w:div w:id="1599676190">
          <w:marLeft w:val="0"/>
          <w:marRight w:val="0"/>
          <w:marTop w:val="0"/>
          <w:marBottom w:val="0"/>
          <w:divBdr>
            <w:top w:val="none" w:sz="0" w:space="0" w:color="auto"/>
            <w:left w:val="none" w:sz="0" w:space="0" w:color="auto"/>
            <w:bottom w:val="none" w:sz="0" w:space="0" w:color="auto"/>
            <w:right w:val="none" w:sz="0" w:space="0" w:color="auto"/>
          </w:divBdr>
        </w:div>
        <w:div w:id="1609847723">
          <w:marLeft w:val="0"/>
          <w:marRight w:val="0"/>
          <w:marTop w:val="0"/>
          <w:marBottom w:val="0"/>
          <w:divBdr>
            <w:top w:val="none" w:sz="0" w:space="0" w:color="auto"/>
            <w:left w:val="none" w:sz="0" w:space="0" w:color="auto"/>
            <w:bottom w:val="none" w:sz="0" w:space="0" w:color="auto"/>
            <w:right w:val="none" w:sz="0" w:space="0" w:color="auto"/>
          </w:divBdr>
        </w:div>
        <w:div w:id="1715160125">
          <w:marLeft w:val="0"/>
          <w:marRight w:val="0"/>
          <w:marTop w:val="0"/>
          <w:marBottom w:val="0"/>
          <w:divBdr>
            <w:top w:val="none" w:sz="0" w:space="0" w:color="auto"/>
            <w:left w:val="none" w:sz="0" w:space="0" w:color="auto"/>
            <w:bottom w:val="none" w:sz="0" w:space="0" w:color="auto"/>
            <w:right w:val="none" w:sz="0" w:space="0" w:color="auto"/>
          </w:divBdr>
        </w:div>
        <w:div w:id="1836141115">
          <w:marLeft w:val="0"/>
          <w:marRight w:val="0"/>
          <w:marTop w:val="0"/>
          <w:marBottom w:val="0"/>
          <w:divBdr>
            <w:top w:val="none" w:sz="0" w:space="0" w:color="auto"/>
            <w:left w:val="none" w:sz="0" w:space="0" w:color="auto"/>
            <w:bottom w:val="none" w:sz="0" w:space="0" w:color="auto"/>
            <w:right w:val="none" w:sz="0" w:space="0" w:color="auto"/>
          </w:divBdr>
        </w:div>
        <w:div w:id="1932812371">
          <w:marLeft w:val="0"/>
          <w:marRight w:val="0"/>
          <w:marTop w:val="0"/>
          <w:marBottom w:val="0"/>
          <w:divBdr>
            <w:top w:val="none" w:sz="0" w:space="0" w:color="auto"/>
            <w:left w:val="none" w:sz="0" w:space="0" w:color="auto"/>
            <w:bottom w:val="none" w:sz="0" w:space="0" w:color="auto"/>
            <w:right w:val="none" w:sz="0" w:space="0" w:color="auto"/>
          </w:divBdr>
        </w:div>
        <w:div w:id="2014913086">
          <w:marLeft w:val="0"/>
          <w:marRight w:val="0"/>
          <w:marTop w:val="0"/>
          <w:marBottom w:val="0"/>
          <w:divBdr>
            <w:top w:val="none" w:sz="0" w:space="0" w:color="auto"/>
            <w:left w:val="none" w:sz="0" w:space="0" w:color="auto"/>
            <w:bottom w:val="none" w:sz="0" w:space="0" w:color="auto"/>
            <w:right w:val="none" w:sz="0" w:space="0" w:color="auto"/>
          </w:divBdr>
        </w:div>
      </w:divsChild>
    </w:div>
    <w:div w:id="1157762668">
      <w:bodyDiv w:val="1"/>
      <w:marLeft w:val="0"/>
      <w:marRight w:val="0"/>
      <w:marTop w:val="0"/>
      <w:marBottom w:val="0"/>
      <w:divBdr>
        <w:top w:val="none" w:sz="0" w:space="0" w:color="auto"/>
        <w:left w:val="none" w:sz="0" w:space="0" w:color="auto"/>
        <w:bottom w:val="none" w:sz="0" w:space="0" w:color="auto"/>
        <w:right w:val="none" w:sz="0" w:space="0" w:color="auto"/>
      </w:divBdr>
    </w:div>
    <w:div w:id="1214851198">
      <w:bodyDiv w:val="1"/>
      <w:marLeft w:val="0"/>
      <w:marRight w:val="0"/>
      <w:marTop w:val="0"/>
      <w:marBottom w:val="0"/>
      <w:divBdr>
        <w:top w:val="none" w:sz="0" w:space="0" w:color="auto"/>
        <w:left w:val="none" w:sz="0" w:space="0" w:color="auto"/>
        <w:bottom w:val="none" w:sz="0" w:space="0" w:color="auto"/>
        <w:right w:val="none" w:sz="0" w:space="0" w:color="auto"/>
      </w:divBdr>
    </w:div>
    <w:div w:id="1247350657">
      <w:bodyDiv w:val="1"/>
      <w:marLeft w:val="0"/>
      <w:marRight w:val="0"/>
      <w:marTop w:val="0"/>
      <w:marBottom w:val="0"/>
      <w:divBdr>
        <w:top w:val="none" w:sz="0" w:space="0" w:color="auto"/>
        <w:left w:val="none" w:sz="0" w:space="0" w:color="auto"/>
        <w:bottom w:val="none" w:sz="0" w:space="0" w:color="auto"/>
        <w:right w:val="none" w:sz="0" w:space="0" w:color="auto"/>
      </w:divBdr>
    </w:div>
    <w:div w:id="1278173365">
      <w:bodyDiv w:val="1"/>
      <w:marLeft w:val="0"/>
      <w:marRight w:val="0"/>
      <w:marTop w:val="0"/>
      <w:marBottom w:val="0"/>
      <w:divBdr>
        <w:top w:val="none" w:sz="0" w:space="0" w:color="auto"/>
        <w:left w:val="none" w:sz="0" w:space="0" w:color="auto"/>
        <w:bottom w:val="none" w:sz="0" w:space="0" w:color="auto"/>
        <w:right w:val="none" w:sz="0" w:space="0" w:color="auto"/>
      </w:divBdr>
    </w:div>
    <w:div w:id="1283347114">
      <w:bodyDiv w:val="1"/>
      <w:marLeft w:val="0"/>
      <w:marRight w:val="0"/>
      <w:marTop w:val="0"/>
      <w:marBottom w:val="0"/>
      <w:divBdr>
        <w:top w:val="none" w:sz="0" w:space="0" w:color="auto"/>
        <w:left w:val="none" w:sz="0" w:space="0" w:color="auto"/>
        <w:bottom w:val="none" w:sz="0" w:space="0" w:color="auto"/>
        <w:right w:val="none" w:sz="0" w:space="0" w:color="auto"/>
      </w:divBdr>
    </w:div>
    <w:div w:id="1297688270">
      <w:bodyDiv w:val="1"/>
      <w:marLeft w:val="0"/>
      <w:marRight w:val="0"/>
      <w:marTop w:val="0"/>
      <w:marBottom w:val="0"/>
      <w:divBdr>
        <w:top w:val="none" w:sz="0" w:space="0" w:color="auto"/>
        <w:left w:val="none" w:sz="0" w:space="0" w:color="auto"/>
        <w:bottom w:val="none" w:sz="0" w:space="0" w:color="auto"/>
        <w:right w:val="none" w:sz="0" w:space="0" w:color="auto"/>
      </w:divBdr>
    </w:div>
    <w:div w:id="1298680255">
      <w:bodyDiv w:val="1"/>
      <w:marLeft w:val="0"/>
      <w:marRight w:val="0"/>
      <w:marTop w:val="0"/>
      <w:marBottom w:val="0"/>
      <w:divBdr>
        <w:top w:val="none" w:sz="0" w:space="0" w:color="auto"/>
        <w:left w:val="none" w:sz="0" w:space="0" w:color="auto"/>
        <w:bottom w:val="none" w:sz="0" w:space="0" w:color="auto"/>
        <w:right w:val="none" w:sz="0" w:space="0" w:color="auto"/>
      </w:divBdr>
    </w:div>
    <w:div w:id="1299804680">
      <w:bodyDiv w:val="1"/>
      <w:marLeft w:val="0"/>
      <w:marRight w:val="0"/>
      <w:marTop w:val="0"/>
      <w:marBottom w:val="0"/>
      <w:divBdr>
        <w:top w:val="none" w:sz="0" w:space="0" w:color="auto"/>
        <w:left w:val="none" w:sz="0" w:space="0" w:color="auto"/>
        <w:bottom w:val="none" w:sz="0" w:space="0" w:color="auto"/>
        <w:right w:val="none" w:sz="0" w:space="0" w:color="auto"/>
      </w:divBdr>
    </w:div>
    <w:div w:id="1311792455">
      <w:bodyDiv w:val="1"/>
      <w:marLeft w:val="0"/>
      <w:marRight w:val="0"/>
      <w:marTop w:val="0"/>
      <w:marBottom w:val="0"/>
      <w:divBdr>
        <w:top w:val="none" w:sz="0" w:space="0" w:color="auto"/>
        <w:left w:val="none" w:sz="0" w:space="0" w:color="auto"/>
        <w:bottom w:val="none" w:sz="0" w:space="0" w:color="auto"/>
        <w:right w:val="none" w:sz="0" w:space="0" w:color="auto"/>
      </w:divBdr>
    </w:div>
    <w:div w:id="1384207433">
      <w:bodyDiv w:val="1"/>
      <w:marLeft w:val="0"/>
      <w:marRight w:val="0"/>
      <w:marTop w:val="0"/>
      <w:marBottom w:val="0"/>
      <w:divBdr>
        <w:top w:val="none" w:sz="0" w:space="0" w:color="auto"/>
        <w:left w:val="none" w:sz="0" w:space="0" w:color="auto"/>
        <w:bottom w:val="none" w:sz="0" w:space="0" w:color="auto"/>
        <w:right w:val="none" w:sz="0" w:space="0" w:color="auto"/>
      </w:divBdr>
    </w:div>
    <w:div w:id="1389260373">
      <w:bodyDiv w:val="1"/>
      <w:marLeft w:val="0"/>
      <w:marRight w:val="0"/>
      <w:marTop w:val="0"/>
      <w:marBottom w:val="0"/>
      <w:divBdr>
        <w:top w:val="none" w:sz="0" w:space="0" w:color="auto"/>
        <w:left w:val="none" w:sz="0" w:space="0" w:color="auto"/>
        <w:bottom w:val="none" w:sz="0" w:space="0" w:color="auto"/>
        <w:right w:val="none" w:sz="0" w:space="0" w:color="auto"/>
      </w:divBdr>
      <w:divsChild>
        <w:div w:id="1320113507">
          <w:marLeft w:val="0"/>
          <w:marRight w:val="0"/>
          <w:marTop w:val="0"/>
          <w:marBottom w:val="0"/>
          <w:divBdr>
            <w:top w:val="none" w:sz="0" w:space="0" w:color="auto"/>
            <w:left w:val="none" w:sz="0" w:space="0" w:color="auto"/>
            <w:bottom w:val="none" w:sz="0" w:space="0" w:color="auto"/>
            <w:right w:val="none" w:sz="0" w:space="0" w:color="auto"/>
          </w:divBdr>
          <w:divsChild>
            <w:div w:id="14030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420">
      <w:bodyDiv w:val="1"/>
      <w:marLeft w:val="0"/>
      <w:marRight w:val="0"/>
      <w:marTop w:val="0"/>
      <w:marBottom w:val="0"/>
      <w:divBdr>
        <w:top w:val="none" w:sz="0" w:space="0" w:color="auto"/>
        <w:left w:val="none" w:sz="0" w:space="0" w:color="auto"/>
        <w:bottom w:val="none" w:sz="0" w:space="0" w:color="auto"/>
        <w:right w:val="none" w:sz="0" w:space="0" w:color="auto"/>
      </w:divBdr>
    </w:div>
    <w:div w:id="1437215677">
      <w:bodyDiv w:val="1"/>
      <w:marLeft w:val="0"/>
      <w:marRight w:val="0"/>
      <w:marTop w:val="0"/>
      <w:marBottom w:val="0"/>
      <w:divBdr>
        <w:top w:val="none" w:sz="0" w:space="0" w:color="auto"/>
        <w:left w:val="none" w:sz="0" w:space="0" w:color="auto"/>
        <w:bottom w:val="none" w:sz="0" w:space="0" w:color="auto"/>
        <w:right w:val="none" w:sz="0" w:space="0" w:color="auto"/>
      </w:divBdr>
    </w:div>
    <w:div w:id="1440225120">
      <w:bodyDiv w:val="1"/>
      <w:marLeft w:val="0"/>
      <w:marRight w:val="0"/>
      <w:marTop w:val="0"/>
      <w:marBottom w:val="0"/>
      <w:divBdr>
        <w:top w:val="none" w:sz="0" w:space="0" w:color="auto"/>
        <w:left w:val="none" w:sz="0" w:space="0" w:color="auto"/>
        <w:bottom w:val="none" w:sz="0" w:space="0" w:color="auto"/>
        <w:right w:val="none" w:sz="0" w:space="0" w:color="auto"/>
      </w:divBdr>
    </w:div>
    <w:div w:id="1446726748">
      <w:bodyDiv w:val="1"/>
      <w:marLeft w:val="0"/>
      <w:marRight w:val="0"/>
      <w:marTop w:val="0"/>
      <w:marBottom w:val="0"/>
      <w:divBdr>
        <w:top w:val="none" w:sz="0" w:space="0" w:color="auto"/>
        <w:left w:val="none" w:sz="0" w:space="0" w:color="auto"/>
        <w:bottom w:val="none" w:sz="0" w:space="0" w:color="auto"/>
        <w:right w:val="none" w:sz="0" w:space="0" w:color="auto"/>
      </w:divBdr>
    </w:div>
    <w:div w:id="1454399550">
      <w:bodyDiv w:val="1"/>
      <w:marLeft w:val="0"/>
      <w:marRight w:val="0"/>
      <w:marTop w:val="0"/>
      <w:marBottom w:val="0"/>
      <w:divBdr>
        <w:top w:val="none" w:sz="0" w:space="0" w:color="auto"/>
        <w:left w:val="none" w:sz="0" w:space="0" w:color="auto"/>
        <w:bottom w:val="none" w:sz="0" w:space="0" w:color="auto"/>
        <w:right w:val="none" w:sz="0" w:space="0" w:color="auto"/>
      </w:divBdr>
    </w:div>
    <w:div w:id="1457455637">
      <w:bodyDiv w:val="1"/>
      <w:marLeft w:val="0"/>
      <w:marRight w:val="0"/>
      <w:marTop w:val="0"/>
      <w:marBottom w:val="0"/>
      <w:divBdr>
        <w:top w:val="none" w:sz="0" w:space="0" w:color="auto"/>
        <w:left w:val="none" w:sz="0" w:space="0" w:color="auto"/>
        <w:bottom w:val="none" w:sz="0" w:space="0" w:color="auto"/>
        <w:right w:val="none" w:sz="0" w:space="0" w:color="auto"/>
      </w:divBdr>
    </w:div>
    <w:div w:id="1457719229">
      <w:bodyDiv w:val="1"/>
      <w:marLeft w:val="0"/>
      <w:marRight w:val="0"/>
      <w:marTop w:val="0"/>
      <w:marBottom w:val="0"/>
      <w:divBdr>
        <w:top w:val="none" w:sz="0" w:space="0" w:color="auto"/>
        <w:left w:val="none" w:sz="0" w:space="0" w:color="auto"/>
        <w:bottom w:val="none" w:sz="0" w:space="0" w:color="auto"/>
        <w:right w:val="none" w:sz="0" w:space="0" w:color="auto"/>
      </w:divBdr>
    </w:div>
    <w:div w:id="1504201727">
      <w:bodyDiv w:val="1"/>
      <w:marLeft w:val="0"/>
      <w:marRight w:val="0"/>
      <w:marTop w:val="0"/>
      <w:marBottom w:val="0"/>
      <w:divBdr>
        <w:top w:val="none" w:sz="0" w:space="0" w:color="auto"/>
        <w:left w:val="none" w:sz="0" w:space="0" w:color="auto"/>
        <w:bottom w:val="none" w:sz="0" w:space="0" w:color="auto"/>
        <w:right w:val="none" w:sz="0" w:space="0" w:color="auto"/>
      </w:divBdr>
    </w:div>
    <w:div w:id="1530875237">
      <w:bodyDiv w:val="1"/>
      <w:marLeft w:val="0"/>
      <w:marRight w:val="0"/>
      <w:marTop w:val="0"/>
      <w:marBottom w:val="0"/>
      <w:divBdr>
        <w:top w:val="none" w:sz="0" w:space="0" w:color="auto"/>
        <w:left w:val="none" w:sz="0" w:space="0" w:color="auto"/>
        <w:bottom w:val="none" w:sz="0" w:space="0" w:color="auto"/>
        <w:right w:val="none" w:sz="0" w:space="0" w:color="auto"/>
      </w:divBdr>
      <w:divsChild>
        <w:div w:id="1635210345">
          <w:marLeft w:val="0"/>
          <w:marRight w:val="0"/>
          <w:marTop w:val="0"/>
          <w:marBottom w:val="0"/>
          <w:divBdr>
            <w:top w:val="none" w:sz="0" w:space="0" w:color="auto"/>
            <w:left w:val="none" w:sz="0" w:space="0" w:color="auto"/>
            <w:bottom w:val="none" w:sz="0" w:space="0" w:color="auto"/>
            <w:right w:val="none" w:sz="0" w:space="0" w:color="auto"/>
          </w:divBdr>
          <w:divsChild>
            <w:div w:id="1427922862">
              <w:marLeft w:val="0"/>
              <w:marRight w:val="0"/>
              <w:marTop w:val="0"/>
              <w:marBottom w:val="0"/>
              <w:divBdr>
                <w:top w:val="none" w:sz="0" w:space="0" w:color="auto"/>
                <w:left w:val="none" w:sz="0" w:space="0" w:color="auto"/>
                <w:bottom w:val="none" w:sz="0" w:space="0" w:color="auto"/>
                <w:right w:val="none" w:sz="0" w:space="0" w:color="auto"/>
              </w:divBdr>
            </w:div>
            <w:div w:id="919026880">
              <w:marLeft w:val="0"/>
              <w:marRight w:val="0"/>
              <w:marTop w:val="0"/>
              <w:marBottom w:val="0"/>
              <w:divBdr>
                <w:top w:val="none" w:sz="0" w:space="0" w:color="auto"/>
                <w:left w:val="none" w:sz="0" w:space="0" w:color="auto"/>
                <w:bottom w:val="none" w:sz="0" w:space="0" w:color="auto"/>
                <w:right w:val="none" w:sz="0" w:space="0" w:color="auto"/>
              </w:divBdr>
            </w:div>
            <w:div w:id="532613475">
              <w:marLeft w:val="0"/>
              <w:marRight w:val="0"/>
              <w:marTop w:val="0"/>
              <w:marBottom w:val="0"/>
              <w:divBdr>
                <w:top w:val="none" w:sz="0" w:space="0" w:color="auto"/>
                <w:left w:val="none" w:sz="0" w:space="0" w:color="auto"/>
                <w:bottom w:val="none" w:sz="0" w:space="0" w:color="auto"/>
                <w:right w:val="none" w:sz="0" w:space="0" w:color="auto"/>
              </w:divBdr>
            </w:div>
            <w:div w:id="569389964">
              <w:marLeft w:val="0"/>
              <w:marRight w:val="0"/>
              <w:marTop w:val="0"/>
              <w:marBottom w:val="0"/>
              <w:divBdr>
                <w:top w:val="none" w:sz="0" w:space="0" w:color="auto"/>
                <w:left w:val="none" w:sz="0" w:space="0" w:color="auto"/>
                <w:bottom w:val="none" w:sz="0" w:space="0" w:color="auto"/>
                <w:right w:val="none" w:sz="0" w:space="0" w:color="auto"/>
              </w:divBdr>
            </w:div>
            <w:div w:id="144126790">
              <w:marLeft w:val="0"/>
              <w:marRight w:val="0"/>
              <w:marTop w:val="0"/>
              <w:marBottom w:val="0"/>
              <w:divBdr>
                <w:top w:val="none" w:sz="0" w:space="0" w:color="auto"/>
                <w:left w:val="none" w:sz="0" w:space="0" w:color="auto"/>
                <w:bottom w:val="none" w:sz="0" w:space="0" w:color="auto"/>
                <w:right w:val="none" w:sz="0" w:space="0" w:color="auto"/>
              </w:divBdr>
            </w:div>
            <w:div w:id="640159187">
              <w:marLeft w:val="0"/>
              <w:marRight w:val="0"/>
              <w:marTop w:val="0"/>
              <w:marBottom w:val="0"/>
              <w:divBdr>
                <w:top w:val="none" w:sz="0" w:space="0" w:color="auto"/>
                <w:left w:val="none" w:sz="0" w:space="0" w:color="auto"/>
                <w:bottom w:val="none" w:sz="0" w:space="0" w:color="auto"/>
                <w:right w:val="none" w:sz="0" w:space="0" w:color="auto"/>
              </w:divBdr>
            </w:div>
            <w:div w:id="1629166070">
              <w:marLeft w:val="0"/>
              <w:marRight w:val="0"/>
              <w:marTop w:val="0"/>
              <w:marBottom w:val="0"/>
              <w:divBdr>
                <w:top w:val="none" w:sz="0" w:space="0" w:color="auto"/>
                <w:left w:val="none" w:sz="0" w:space="0" w:color="auto"/>
                <w:bottom w:val="none" w:sz="0" w:space="0" w:color="auto"/>
                <w:right w:val="none" w:sz="0" w:space="0" w:color="auto"/>
              </w:divBdr>
            </w:div>
            <w:div w:id="168914626">
              <w:marLeft w:val="0"/>
              <w:marRight w:val="0"/>
              <w:marTop w:val="0"/>
              <w:marBottom w:val="0"/>
              <w:divBdr>
                <w:top w:val="none" w:sz="0" w:space="0" w:color="auto"/>
                <w:left w:val="none" w:sz="0" w:space="0" w:color="auto"/>
                <w:bottom w:val="none" w:sz="0" w:space="0" w:color="auto"/>
                <w:right w:val="none" w:sz="0" w:space="0" w:color="auto"/>
              </w:divBdr>
            </w:div>
            <w:div w:id="1048606541">
              <w:marLeft w:val="0"/>
              <w:marRight w:val="0"/>
              <w:marTop w:val="0"/>
              <w:marBottom w:val="0"/>
              <w:divBdr>
                <w:top w:val="none" w:sz="0" w:space="0" w:color="auto"/>
                <w:left w:val="none" w:sz="0" w:space="0" w:color="auto"/>
                <w:bottom w:val="none" w:sz="0" w:space="0" w:color="auto"/>
                <w:right w:val="none" w:sz="0" w:space="0" w:color="auto"/>
              </w:divBdr>
            </w:div>
            <w:div w:id="1901675914">
              <w:marLeft w:val="0"/>
              <w:marRight w:val="0"/>
              <w:marTop w:val="0"/>
              <w:marBottom w:val="0"/>
              <w:divBdr>
                <w:top w:val="none" w:sz="0" w:space="0" w:color="auto"/>
                <w:left w:val="none" w:sz="0" w:space="0" w:color="auto"/>
                <w:bottom w:val="none" w:sz="0" w:space="0" w:color="auto"/>
                <w:right w:val="none" w:sz="0" w:space="0" w:color="auto"/>
              </w:divBdr>
            </w:div>
            <w:div w:id="1511217963">
              <w:marLeft w:val="0"/>
              <w:marRight w:val="0"/>
              <w:marTop w:val="0"/>
              <w:marBottom w:val="0"/>
              <w:divBdr>
                <w:top w:val="none" w:sz="0" w:space="0" w:color="auto"/>
                <w:left w:val="none" w:sz="0" w:space="0" w:color="auto"/>
                <w:bottom w:val="none" w:sz="0" w:space="0" w:color="auto"/>
                <w:right w:val="none" w:sz="0" w:space="0" w:color="auto"/>
              </w:divBdr>
            </w:div>
            <w:div w:id="8159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4003">
      <w:bodyDiv w:val="1"/>
      <w:marLeft w:val="0"/>
      <w:marRight w:val="0"/>
      <w:marTop w:val="0"/>
      <w:marBottom w:val="0"/>
      <w:divBdr>
        <w:top w:val="none" w:sz="0" w:space="0" w:color="auto"/>
        <w:left w:val="none" w:sz="0" w:space="0" w:color="auto"/>
        <w:bottom w:val="none" w:sz="0" w:space="0" w:color="auto"/>
        <w:right w:val="none" w:sz="0" w:space="0" w:color="auto"/>
      </w:divBdr>
    </w:div>
    <w:div w:id="1594167334">
      <w:bodyDiv w:val="1"/>
      <w:marLeft w:val="0"/>
      <w:marRight w:val="0"/>
      <w:marTop w:val="0"/>
      <w:marBottom w:val="0"/>
      <w:divBdr>
        <w:top w:val="none" w:sz="0" w:space="0" w:color="auto"/>
        <w:left w:val="none" w:sz="0" w:space="0" w:color="auto"/>
        <w:bottom w:val="none" w:sz="0" w:space="0" w:color="auto"/>
        <w:right w:val="none" w:sz="0" w:space="0" w:color="auto"/>
      </w:divBdr>
    </w:div>
    <w:div w:id="1632512170">
      <w:bodyDiv w:val="1"/>
      <w:marLeft w:val="0"/>
      <w:marRight w:val="0"/>
      <w:marTop w:val="0"/>
      <w:marBottom w:val="0"/>
      <w:divBdr>
        <w:top w:val="none" w:sz="0" w:space="0" w:color="auto"/>
        <w:left w:val="none" w:sz="0" w:space="0" w:color="auto"/>
        <w:bottom w:val="none" w:sz="0" w:space="0" w:color="auto"/>
        <w:right w:val="none" w:sz="0" w:space="0" w:color="auto"/>
      </w:divBdr>
      <w:divsChild>
        <w:div w:id="1485199882">
          <w:marLeft w:val="0"/>
          <w:marRight w:val="0"/>
          <w:marTop w:val="0"/>
          <w:marBottom w:val="0"/>
          <w:divBdr>
            <w:top w:val="none" w:sz="0" w:space="0" w:color="auto"/>
            <w:left w:val="none" w:sz="0" w:space="0" w:color="auto"/>
            <w:bottom w:val="none" w:sz="0" w:space="0" w:color="auto"/>
            <w:right w:val="none" w:sz="0" w:space="0" w:color="auto"/>
          </w:divBdr>
          <w:divsChild>
            <w:div w:id="104348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61313">
      <w:bodyDiv w:val="1"/>
      <w:marLeft w:val="0"/>
      <w:marRight w:val="0"/>
      <w:marTop w:val="0"/>
      <w:marBottom w:val="0"/>
      <w:divBdr>
        <w:top w:val="none" w:sz="0" w:space="0" w:color="auto"/>
        <w:left w:val="none" w:sz="0" w:space="0" w:color="auto"/>
        <w:bottom w:val="none" w:sz="0" w:space="0" w:color="auto"/>
        <w:right w:val="none" w:sz="0" w:space="0" w:color="auto"/>
      </w:divBdr>
    </w:div>
    <w:div w:id="1660769787">
      <w:bodyDiv w:val="1"/>
      <w:marLeft w:val="0"/>
      <w:marRight w:val="0"/>
      <w:marTop w:val="0"/>
      <w:marBottom w:val="0"/>
      <w:divBdr>
        <w:top w:val="none" w:sz="0" w:space="0" w:color="auto"/>
        <w:left w:val="none" w:sz="0" w:space="0" w:color="auto"/>
        <w:bottom w:val="none" w:sz="0" w:space="0" w:color="auto"/>
        <w:right w:val="none" w:sz="0" w:space="0" w:color="auto"/>
      </w:divBdr>
    </w:div>
    <w:div w:id="1717200608">
      <w:bodyDiv w:val="1"/>
      <w:marLeft w:val="0"/>
      <w:marRight w:val="0"/>
      <w:marTop w:val="0"/>
      <w:marBottom w:val="0"/>
      <w:divBdr>
        <w:top w:val="none" w:sz="0" w:space="0" w:color="auto"/>
        <w:left w:val="none" w:sz="0" w:space="0" w:color="auto"/>
        <w:bottom w:val="none" w:sz="0" w:space="0" w:color="auto"/>
        <w:right w:val="none" w:sz="0" w:space="0" w:color="auto"/>
      </w:divBdr>
    </w:div>
    <w:div w:id="1761029056">
      <w:bodyDiv w:val="1"/>
      <w:marLeft w:val="0"/>
      <w:marRight w:val="0"/>
      <w:marTop w:val="0"/>
      <w:marBottom w:val="0"/>
      <w:divBdr>
        <w:top w:val="none" w:sz="0" w:space="0" w:color="auto"/>
        <w:left w:val="none" w:sz="0" w:space="0" w:color="auto"/>
        <w:bottom w:val="none" w:sz="0" w:space="0" w:color="auto"/>
        <w:right w:val="none" w:sz="0" w:space="0" w:color="auto"/>
      </w:divBdr>
    </w:div>
    <w:div w:id="1779788406">
      <w:bodyDiv w:val="1"/>
      <w:marLeft w:val="0"/>
      <w:marRight w:val="0"/>
      <w:marTop w:val="0"/>
      <w:marBottom w:val="0"/>
      <w:divBdr>
        <w:top w:val="none" w:sz="0" w:space="0" w:color="auto"/>
        <w:left w:val="none" w:sz="0" w:space="0" w:color="auto"/>
        <w:bottom w:val="none" w:sz="0" w:space="0" w:color="auto"/>
        <w:right w:val="none" w:sz="0" w:space="0" w:color="auto"/>
      </w:divBdr>
      <w:divsChild>
        <w:div w:id="594554318">
          <w:marLeft w:val="0"/>
          <w:marRight w:val="0"/>
          <w:marTop w:val="0"/>
          <w:marBottom w:val="0"/>
          <w:divBdr>
            <w:top w:val="none" w:sz="0" w:space="0" w:color="auto"/>
            <w:left w:val="none" w:sz="0" w:space="0" w:color="auto"/>
            <w:bottom w:val="none" w:sz="0" w:space="0" w:color="auto"/>
            <w:right w:val="none" w:sz="0" w:space="0" w:color="auto"/>
          </w:divBdr>
        </w:div>
        <w:div w:id="946235392">
          <w:marLeft w:val="0"/>
          <w:marRight w:val="0"/>
          <w:marTop w:val="0"/>
          <w:marBottom w:val="0"/>
          <w:divBdr>
            <w:top w:val="none" w:sz="0" w:space="0" w:color="auto"/>
            <w:left w:val="none" w:sz="0" w:space="0" w:color="auto"/>
            <w:bottom w:val="none" w:sz="0" w:space="0" w:color="auto"/>
            <w:right w:val="none" w:sz="0" w:space="0" w:color="auto"/>
          </w:divBdr>
        </w:div>
        <w:div w:id="1243104864">
          <w:marLeft w:val="0"/>
          <w:marRight w:val="0"/>
          <w:marTop w:val="0"/>
          <w:marBottom w:val="0"/>
          <w:divBdr>
            <w:top w:val="none" w:sz="0" w:space="0" w:color="auto"/>
            <w:left w:val="none" w:sz="0" w:space="0" w:color="auto"/>
            <w:bottom w:val="none" w:sz="0" w:space="0" w:color="auto"/>
            <w:right w:val="none" w:sz="0" w:space="0" w:color="auto"/>
          </w:divBdr>
        </w:div>
        <w:div w:id="1551303075">
          <w:marLeft w:val="0"/>
          <w:marRight w:val="0"/>
          <w:marTop w:val="0"/>
          <w:marBottom w:val="0"/>
          <w:divBdr>
            <w:top w:val="none" w:sz="0" w:space="0" w:color="auto"/>
            <w:left w:val="none" w:sz="0" w:space="0" w:color="auto"/>
            <w:bottom w:val="none" w:sz="0" w:space="0" w:color="auto"/>
            <w:right w:val="none" w:sz="0" w:space="0" w:color="auto"/>
          </w:divBdr>
        </w:div>
        <w:div w:id="1617254134">
          <w:marLeft w:val="0"/>
          <w:marRight w:val="0"/>
          <w:marTop w:val="0"/>
          <w:marBottom w:val="0"/>
          <w:divBdr>
            <w:top w:val="none" w:sz="0" w:space="0" w:color="auto"/>
            <w:left w:val="none" w:sz="0" w:space="0" w:color="auto"/>
            <w:bottom w:val="none" w:sz="0" w:space="0" w:color="auto"/>
            <w:right w:val="none" w:sz="0" w:space="0" w:color="auto"/>
          </w:divBdr>
        </w:div>
        <w:div w:id="2004234578">
          <w:marLeft w:val="0"/>
          <w:marRight w:val="0"/>
          <w:marTop w:val="0"/>
          <w:marBottom w:val="0"/>
          <w:divBdr>
            <w:top w:val="none" w:sz="0" w:space="0" w:color="auto"/>
            <w:left w:val="none" w:sz="0" w:space="0" w:color="auto"/>
            <w:bottom w:val="none" w:sz="0" w:space="0" w:color="auto"/>
            <w:right w:val="none" w:sz="0" w:space="0" w:color="auto"/>
          </w:divBdr>
        </w:div>
      </w:divsChild>
    </w:div>
    <w:div w:id="1784231036">
      <w:bodyDiv w:val="1"/>
      <w:marLeft w:val="0"/>
      <w:marRight w:val="0"/>
      <w:marTop w:val="0"/>
      <w:marBottom w:val="0"/>
      <w:divBdr>
        <w:top w:val="none" w:sz="0" w:space="0" w:color="auto"/>
        <w:left w:val="none" w:sz="0" w:space="0" w:color="auto"/>
        <w:bottom w:val="none" w:sz="0" w:space="0" w:color="auto"/>
        <w:right w:val="none" w:sz="0" w:space="0" w:color="auto"/>
      </w:divBdr>
      <w:divsChild>
        <w:div w:id="6253486">
          <w:marLeft w:val="0"/>
          <w:marRight w:val="0"/>
          <w:marTop w:val="0"/>
          <w:marBottom w:val="0"/>
          <w:divBdr>
            <w:top w:val="none" w:sz="0" w:space="0" w:color="auto"/>
            <w:left w:val="none" w:sz="0" w:space="0" w:color="auto"/>
            <w:bottom w:val="none" w:sz="0" w:space="0" w:color="auto"/>
            <w:right w:val="none" w:sz="0" w:space="0" w:color="auto"/>
          </w:divBdr>
        </w:div>
        <w:div w:id="728070592">
          <w:marLeft w:val="0"/>
          <w:marRight w:val="0"/>
          <w:marTop w:val="0"/>
          <w:marBottom w:val="0"/>
          <w:divBdr>
            <w:top w:val="none" w:sz="0" w:space="0" w:color="auto"/>
            <w:left w:val="none" w:sz="0" w:space="0" w:color="auto"/>
            <w:bottom w:val="none" w:sz="0" w:space="0" w:color="auto"/>
            <w:right w:val="none" w:sz="0" w:space="0" w:color="auto"/>
          </w:divBdr>
        </w:div>
        <w:div w:id="1011642793">
          <w:marLeft w:val="0"/>
          <w:marRight w:val="0"/>
          <w:marTop w:val="0"/>
          <w:marBottom w:val="0"/>
          <w:divBdr>
            <w:top w:val="none" w:sz="0" w:space="0" w:color="auto"/>
            <w:left w:val="none" w:sz="0" w:space="0" w:color="auto"/>
            <w:bottom w:val="none" w:sz="0" w:space="0" w:color="auto"/>
            <w:right w:val="none" w:sz="0" w:space="0" w:color="auto"/>
          </w:divBdr>
        </w:div>
        <w:div w:id="2026638807">
          <w:marLeft w:val="0"/>
          <w:marRight w:val="0"/>
          <w:marTop w:val="0"/>
          <w:marBottom w:val="0"/>
          <w:divBdr>
            <w:top w:val="none" w:sz="0" w:space="0" w:color="auto"/>
            <w:left w:val="none" w:sz="0" w:space="0" w:color="auto"/>
            <w:bottom w:val="none" w:sz="0" w:space="0" w:color="auto"/>
            <w:right w:val="none" w:sz="0" w:space="0" w:color="auto"/>
          </w:divBdr>
        </w:div>
      </w:divsChild>
    </w:div>
    <w:div w:id="1845435361">
      <w:bodyDiv w:val="1"/>
      <w:marLeft w:val="0"/>
      <w:marRight w:val="0"/>
      <w:marTop w:val="0"/>
      <w:marBottom w:val="0"/>
      <w:divBdr>
        <w:top w:val="none" w:sz="0" w:space="0" w:color="auto"/>
        <w:left w:val="none" w:sz="0" w:space="0" w:color="auto"/>
        <w:bottom w:val="none" w:sz="0" w:space="0" w:color="auto"/>
        <w:right w:val="none" w:sz="0" w:space="0" w:color="auto"/>
      </w:divBdr>
      <w:divsChild>
        <w:div w:id="1983460562">
          <w:marLeft w:val="0"/>
          <w:marRight w:val="0"/>
          <w:marTop w:val="0"/>
          <w:marBottom w:val="0"/>
          <w:divBdr>
            <w:top w:val="none" w:sz="0" w:space="0" w:color="auto"/>
            <w:left w:val="none" w:sz="0" w:space="0" w:color="auto"/>
            <w:bottom w:val="none" w:sz="0" w:space="0" w:color="auto"/>
            <w:right w:val="none" w:sz="0" w:space="0" w:color="auto"/>
          </w:divBdr>
          <w:divsChild>
            <w:div w:id="7061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3358">
      <w:bodyDiv w:val="1"/>
      <w:marLeft w:val="0"/>
      <w:marRight w:val="0"/>
      <w:marTop w:val="0"/>
      <w:marBottom w:val="0"/>
      <w:divBdr>
        <w:top w:val="none" w:sz="0" w:space="0" w:color="auto"/>
        <w:left w:val="none" w:sz="0" w:space="0" w:color="auto"/>
        <w:bottom w:val="none" w:sz="0" w:space="0" w:color="auto"/>
        <w:right w:val="none" w:sz="0" w:space="0" w:color="auto"/>
      </w:divBdr>
      <w:divsChild>
        <w:div w:id="198204418">
          <w:marLeft w:val="0"/>
          <w:marRight w:val="0"/>
          <w:marTop w:val="0"/>
          <w:marBottom w:val="0"/>
          <w:divBdr>
            <w:top w:val="none" w:sz="0" w:space="0" w:color="auto"/>
            <w:left w:val="none" w:sz="0" w:space="0" w:color="auto"/>
            <w:bottom w:val="none" w:sz="0" w:space="0" w:color="auto"/>
            <w:right w:val="none" w:sz="0" w:space="0" w:color="auto"/>
          </w:divBdr>
        </w:div>
        <w:div w:id="1849128706">
          <w:marLeft w:val="0"/>
          <w:marRight w:val="0"/>
          <w:marTop w:val="0"/>
          <w:marBottom w:val="0"/>
          <w:divBdr>
            <w:top w:val="none" w:sz="0" w:space="0" w:color="auto"/>
            <w:left w:val="none" w:sz="0" w:space="0" w:color="auto"/>
            <w:bottom w:val="none" w:sz="0" w:space="0" w:color="auto"/>
            <w:right w:val="none" w:sz="0" w:space="0" w:color="auto"/>
          </w:divBdr>
        </w:div>
        <w:div w:id="1003630199">
          <w:marLeft w:val="0"/>
          <w:marRight w:val="0"/>
          <w:marTop w:val="0"/>
          <w:marBottom w:val="0"/>
          <w:divBdr>
            <w:top w:val="none" w:sz="0" w:space="0" w:color="auto"/>
            <w:left w:val="none" w:sz="0" w:space="0" w:color="auto"/>
            <w:bottom w:val="none" w:sz="0" w:space="0" w:color="auto"/>
            <w:right w:val="none" w:sz="0" w:space="0" w:color="auto"/>
          </w:divBdr>
        </w:div>
        <w:div w:id="817262560">
          <w:marLeft w:val="0"/>
          <w:marRight w:val="0"/>
          <w:marTop w:val="0"/>
          <w:marBottom w:val="0"/>
          <w:divBdr>
            <w:top w:val="none" w:sz="0" w:space="0" w:color="auto"/>
            <w:left w:val="none" w:sz="0" w:space="0" w:color="auto"/>
            <w:bottom w:val="none" w:sz="0" w:space="0" w:color="auto"/>
            <w:right w:val="none" w:sz="0" w:space="0" w:color="auto"/>
          </w:divBdr>
        </w:div>
        <w:div w:id="2104841605">
          <w:marLeft w:val="0"/>
          <w:marRight w:val="0"/>
          <w:marTop w:val="0"/>
          <w:marBottom w:val="0"/>
          <w:divBdr>
            <w:top w:val="none" w:sz="0" w:space="0" w:color="auto"/>
            <w:left w:val="none" w:sz="0" w:space="0" w:color="auto"/>
            <w:bottom w:val="none" w:sz="0" w:space="0" w:color="auto"/>
            <w:right w:val="none" w:sz="0" w:space="0" w:color="auto"/>
          </w:divBdr>
        </w:div>
      </w:divsChild>
    </w:div>
    <w:div w:id="1855072295">
      <w:bodyDiv w:val="1"/>
      <w:marLeft w:val="0"/>
      <w:marRight w:val="0"/>
      <w:marTop w:val="0"/>
      <w:marBottom w:val="0"/>
      <w:divBdr>
        <w:top w:val="none" w:sz="0" w:space="0" w:color="auto"/>
        <w:left w:val="none" w:sz="0" w:space="0" w:color="auto"/>
        <w:bottom w:val="none" w:sz="0" w:space="0" w:color="auto"/>
        <w:right w:val="none" w:sz="0" w:space="0" w:color="auto"/>
      </w:divBdr>
    </w:div>
    <w:div w:id="1856264897">
      <w:bodyDiv w:val="1"/>
      <w:marLeft w:val="0"/>
      <w:marRight w:val="0"/>
      <w:marTop w:val="0"/>
      <w:marBottom w:val="0"/>
      <w:divBdr>
        <w:top w:val="none" w:sz="0" w:space="0" w:color="auto"/>
        <w:left w:val="none" w:sz="0" w:space="0" w:color="auto"/>
        <w:bottom w:val="none" w:sz="0" w:space="0" w:color="auto"/>
        <w:right w:val="none" w:sz="0" w:space="0" w:color="auto"/>
      </w:divBdr>
    </w:div>
    <w:div w:id="1877694304">
      <w:bodyDiv w:val="1"/>
      <w:marLeft w:val="0"/>
      <w:marRight w:val="0"/>
      <w:marTop w:val="0"/>
      <w:marBottom w:val="0"/>
      <w:divBdr>
        <w:top w:val="none" w:sz="0" w:space="0" w:color="auto"/>
        <w:left w:val="none" w:sz="0" w:space="0" w:color="auto"/>
        <w:bottom w:val="none" w:sz="0" w:space="0" w:color="auto"/>
        <w:right w:val="none" w:sz="0" w:space="0" w:color="auto"/>
      </w:divBdr>
    </w:div>
    <w:div w:id="1884831595">
      <w:bodyDiv w:val="1"/>
      <w:marLeft w:val="0"/>
      <w:marRight w:val="0"/>
      <w:marTop w:val="0"/>
      <w:marBottom w:val="0"/>
      <w:divBdr>
        <w:top w:val="none" w:sz="0" w:space="0" w:color="auto"/>
        <w:left w:val="none" w:sz="0" w:space="0" w:color="auto"/>
        <w:bottom w:val="none" w:sz="0" w:space="0" w:color="auto"/>
        <w:right w:val="none" w:sz="0" w:space="0" w:color="auto"/>
      </w:divBdr>
      <w:divsChild>
        <w:div w:id="85468284">
          <w:marLeft w:val="0"/>
          <w:marRight w:val="0"/>
          <w:marTop w:val="0"/>
          <w:marBottom w:val="0"/>
          <w:divBdr>
            <w:top w:val="none" w:sz="0" w:space="0" w:color="auto"/>
            <w:left w:val="none" w:sz="0" w:space="0" w:color="auto"/>
            <w:bottom w:val="none" w:sz="0" w:space="0" w:color="auto"/>
            <w:right w:val="none" w:sz="0" w:space="0" w:color="auto"/>
          </w:divBdr>
        </w:div>
        <w:div w:id="252399857">
          <w:marLeft w:val="0"/>
          <w:marRight w:val="0"/>
          <w:marTop w:val="0"/>
          <w:marBottom w:val="0"/>
          <w:divBdr>
            <w:top w:val="none" w:sz="0" w:space="0" w:color="auto"/>
            <w:left w:val="none" w:sz="0" w:space="0" w:color="auto"/>
            <w:bottom w:val="none" w:sz="0" w:space="0" w:color="auto"/>
            <w:right w:val="none" w:sz="0" w:space="0" w:color="auto"/>
          </w:divBdr>
        </w:div>
        <w:div w:id="259144311">
          <w:marLeft w:val="0"/>
          <w:marRight w:val="0"/>
          <w:marTop w:val="0"/>
          <w:marBottom w:val="0"/>
          <w:divBdr>
            <w:top w:val="none" w:sz="0" w:space="0" w:color="auto"/>
            <w:left w:val="none" w:sz="0" w:space="0" w:color="auto"/>
            <w:bottom w:val="none" w:sz="0" w:space="0" w:color="auto"/>
            <w:right w:val="none" w:sz="0" w:space="0" w:color="auto"/>
          </w:divBdr>
        </w:div>
        <w:div w:id="346062169">
          <w:marLeft w:val="0"/>
          <w:marRight w:val="0"/>
          <w:marTop w:val="0"/>
          <w:marBottom w:val="0"/>
          <w:divBdr>
            <w:top w:val="none" w:sz="0" w:space="0" w:color="auto"/>
            <w:left w:val="none" w:sz="0" w:space="0" w:color="auto"/>
            <w:bottom w:val="none" w:sz="0" w:space="0" w:color="auto"/>
            <w:right w:val="none" w:sz="0" w:space="0" w:color="auto"/>
          </w:divBdr>
        </w:div>
        <w:div w:id="355468787">
          <w:marLeft w:val="0"/>
          <w:marRight w:val="0"/>
          <w:marTop w:val="0"/>
          <w:marBottom w:val="0"/>
          <w:divBdr>
            <w:top w:val="none" w:sz="0" w:space="0" w:color="auto"/>
            <w:left w:val="none" w:sz="0" w:space="0" w:color="auto"/>
            <w:bottom w:val="none" w:sz="0" w:space="0" w:color="auto"/>
            <w:right w:val="none" w:sz="0" w:space="0" w:color="auto"/>
          </w:divBdr>
        </w:div>
        <w:div w:id="492842101">
          <w:marLeft w:val="0"/>
          <w:marRight w:val="0"/>
          <w:marTop w:val="0"/>
          <w:marBottom w:val="0"/>
          <w:divBdr>
            <w:top w:val="none" w:sz="0" w:space="0" w:color="auto"/>
            <w:left w:val="none" w:sz="0" w:space="0" w:color="auto"/>
            <w:bottom w:val="none" w:sz="0" w:space="0" w:color="auto"/>
            <w:right w:val="none" w:sz="0" w:space="0" w:color="auto"/>
          </w:divBdr>
        </w:div>
        <w:div w:id="493565630">
          <w:marLeft w:val="0"/>
          <w:marRight w:val="0"/>
          <w:marTop w:val="0"/>
          <w:marBottom w:val="0"/>
          <w:divBdr>
            <w:top w:val="none" w:sz="0" w:space="0" w:color="auto"/>
            <w:left w:val="none" w:sz="0" w:space="0" w:color="auto"/>
            <w:bottom w:val="none" w:sz="0" w:space="0" w:color="auto"/>
            <w:right w:val="none" w:sz="0" w:space="0" w:color="auto"/>
          </w:divBdr>
        </w:div>
        <w:div w:id="506478242">
          <w:marLeft w:val="0"/>
          <w:marRight w:val="0"/>
          <w:marTop w:val="0"/>
          <w:marBottom w:val="0"/>
          <w:divBdr>
            <w:top w:val="none" w:sz="0" w:space="0" w:color="auto"/>
            <w:left w:val="none" w:sz="0" w:space="0" w:color="auto"/>
            <w:bottom w:val="none" w:sz="0" w:space="0" w:color="auto"/>
            <w:right w:val="none" w:sz="0" w:space="0" w:color="auto"/>
          </w:divBdr>
        </w:div>
        <w:div w:id="735126075">
          <w:marLeft w:val="0"/>
          <w:marRight w:val="0"/>
          <w:marTop w:val="0"/>
          <w:marBottom w:val="0"/>
          <w:divBdr>
            <w:top w:val="none" w:sz="0" w:space="0" w:color="auto"/>
            <w:left w:val="none" w:sz="0" w:space="0" w:color="auto"/>
            <w:bottom w:val="none" w:sz="0" w:space="0" w:color="auto"/>
            <w:right w:val="none" w:sz="0" w:space="0" w:color="auto"/>
          </w:divBdr>
        </w:div>
        <w:div w:id="739252690">
          <w:marLeft w:val="0"/>
          <w:marRight w:val="0"/>
          <w:marTop w:val="0"/>
          <w:marBottom w:val="0"/>
          <w:divBdr>
            <w:top w:val="none" w:sz="0" w:space="0" w:color="auto"/>
            <w:left w:val="none" w:sz="0" w:space="0" w:color="auto"/>
            <w:bottom w:val="none" w:sz="0" w:space="0" w:color="auto"/>
            <w:right w:val="none" w:sz="0" w:space="0" w:color="auto"/>
          </w:divBdr>
        </w:div>
        <w:div w:id="776608125">
          <w:marLeft w:val="0"/>
          <w:marRight w:val="0"/>
          <w:marTop w:val="0"/>
          <w:marBottom w:val="0"/>
          <w:divBdr>
            <w:top w:val="none" w:sz="0" w:space="0" w:color="auto"/>
            <w:left w:val="none" w:sz="0" w:space="0" w:color="auto"/>
            <w:bottom w:val="none" w:sz="0" w:space="0" w:color="auto"/>
            <w:right w:val="none" w:sz="0" w:space="0" w:color="auto"/>
          </w:divBdr>
        </w:div>
        <w:div w:id="806975279">
          <w:marLeft w:val="0"/>
          <w:marRight w:val="0"/>
          <w:marTop w:val="0"/>
          <w:marBottom w:val="0"/>
          <w:divBdr>
            <w:top w:val="none" w:sz="0" w:space="0" w:color="auto"/>
            <w:left w:val="none" w:sz="0" w:space="0" w:color="auto"/>
            <w:bottom w:val="none" w:sz="0" w:space="0" w:color="auto"/>
            <w:right w:val="none" w:sz="0" w:space="0" w:color="auto"/>
          </w:divBdr>
        </w:div>
        <w:div w:id="1086926523">
          <w:marLeft w:val="0"/>
          <w:marRight w:val="0"/>
          <w:marTop w:val="0"/>
          <w:marBottom w:val="0"/>
          <w:divBdr>
            <w:top w:val="none" w:sz="0" w:space="0" w:color="auto"/>
            <w:left w:val="none" w:sz="0" w:space="0" w:color="auto"/>
            <w:bottom w:val="none" w:sz="0" w:space="0" w:color="auto"/>
            <w:right w:val="none" w:sz="0" w:space="0" w:color="auto"/>
          </w:divBdr>
        </w:div>
        <w:div w:id="1092044640">
          <w:marLeft w:val="0"/>
          <w:marRight w:val="0"/>
          <w:marTop w:val="0"/>
          <w:marBottom w:val="0"/>
          <w:divBdr>
            <w:top w:val="none" w:sz="0" w:space="0" w:color="auto"/>
            <w:left w:val="none" w:sz="0" w:space="0" w:color="auto"/>
            <w:bottom w:val="none" w:sz="0" w:space="0" w:color="auto"/>
            <w:right w:val="none" w:sz="0" w:space="0" w:color="auto"/>
          </w:divBdr>
        </w:div>
        <w:div w:id="1209142176">
          <w:marLeft w:val="0"/>
          <w:marRight w:val="0"/>
          <w:marTop w:val="0"/>
          <w:marBottom w:val="0"/>
          <w:divBdr>
            <w:top w:val="none" w:sz="0" w:space="0" w:color="auto"/>
            <w:left w:val="none" w:sz="0" w:space="0" w:color="auto"/>
            <w:bottom w:val="none" w:sz="0" w:space="0" w:color="auto"/>
            <w:right w:val="none" w:sz="0" w:space="0" w:color="auto"/>
          </w:divBdr>
        </w:div>
        <w:div w:id="1230191601">
          <w:marLeft w:val="0"/>
          <w:marRight w:val="0"/>
          <w:marTop w:val="0"/>
          <w:marBottom w:val="0"/>
          <w:divBdr>
            <w:top w:val="none" w:sz="0" w:space="0" w:color="auto"/>
            <w:left w:val="none" w:sz="0" w:space="0" w:color="auto"/>
            <w:bottom w:val="none" w:sz="0" w:space="0" w:color="auto"/>
            <w:right w:val="none" w:sz="0" w:space="0" w:color="auto"/>
          </w:divBdr>
        </w:div>
        <w:div w:id="1277756787">
          <w:marLeft w:val="0"/>
          <w:marRight w:val="0"/>
          <w:marTop w:val="0"/>
          <w:marBottom w:val="0"/>
          <w:divBdr>
            <w:top w:val="none" w:sz="0" w:space="0" w:color="auto"/>
            <w:left w:val="none" w:sz="0" w:space="0" w:color="auto"/>
            <w:bottom w:val="none" w:sz="0" w:space="0" w:color="auto"/>
            <w:right w:val="none" w:sz="0" w:space="0" w:color="auto"/>
          </w:divBdr>
        </w:div>
        <w:div w:id="1305818833">
          <w:marLeft w:val="0"/>
          <w:marRight w:val="0"/>
          <w:marTop w:val="0"/>
          <w:marBottom w:val="0"/>
          <w:divBdr>
            <w:top w:val="none" w:sz="0" w:space="0" w:color="auto"/>
            <w:left w:val="none" w:sz="0" w:space="0" w:color="auto"/>
            <w:bottom w:val="none" w:sz="0" w:space="0" w:color="auto"/>
            <w:right w:val="none" w:sz="0" w:space="0" w:color="auto"/>
          </w:divBdr>
        </w:div>
        <w:div w:id="1435397339">
          <w:marLeft w:val="0"/>
          <w:marRight w:val="0"/>
          <w:marTop w:val="0"/>
          <w:marBottom w:val="0"/>
          <w:divBdr>
            <w:top w:val="none" w:sz="0" w:space="0" w:color="auto"/>
            <w:left w:val="none" w:sz="0" w:space="0" w:color="auto"/>
            <w:bottom w:val="none" w:sz="0" w:space="0" w:color="auto"/>
            <w:right w:val="none" w:sz="0" w:space="0" w:color="auto"/>
          </w:divBdr>
        </w:div>
        <w:div w:id="1539510161">
          <w:marLeft w:val="0"/>
          <w:marRight w:val="0"/>
          <w:marTop w:val="0"/>
          <w:marBottom w:val="0"/>
          <w:divBdr>
            <w:top w:val="none" w:sz="0" w:space="0" w:color="auto"/>
            <w:left w:val="none" w:sz="0" w:space="0" w:color="auto"/>
            <w:bottom w:val="none" w:sz="0" w:space="0" w:color="auto"/>
            <w:right w:val="none" w:sz="0" w:space="0" w:color="auto"/>
          </w:divBdr>
        </w:div>
        <w:div w:id="1846281353">
          <w:marLeft w:val="0"/>
          <w:marRight w:val="0"/>
          <w:marTop w:val="0"/>
          <w:marBottom w:val="0"/>
          <w:divBdr>
            <w:top w:val="none" w:sz="0" w:space="0" w:color="auto"/>
            <w:left w:val="none" w:sz="0" w:space="0" w:color="auto"/>
            <w:bottom w:val="none" w:sz="0" w:space="0" w:color="auto"/>
            <w:right w:val="none" w:sz="0" w:space="0" w:color="auto"/>
          </w:divBdr>
        </w:div>
        <w:div w:id="2073195453">
          <w:marLeft w:val="0"/>
          <w:marRight w:val="0"/>
          <w:marTop w:val="0"/>
          <w:marBottom w:val="0"/>
          <w:divBdr>
            <w:top w:val="none" w:sz="0" w:space="0" w:color="auto"/>
            <w:left w:val="none" w:sz="0" w:space="0" w:color="auto"/>
            <w:bottom w:val="none" w:sz="0" w:space="0" w:color="auto"/>
            <w:right w:val="none" w:sz="0" w:space="0" w:color="auto"/>
          </w:divBdr>
        </w:div>
        <w:div w:id="2124032530">
          <w:marLeft w:val="0"/>
          <w:marRight w:val="0"/>
          <w:marTop w:val="0"/>
          <w:marBottom w:val="0"/>
          <w:divBdr>
            <w:top w:val="none" w:sz="0" w:space="0" w:color="auto"/>
            <w:left w:val="none" w:sz="0" w:space="0" w:color="auto"/>
            <w:bottom w:val="none" w:sz="0" w:space="0" w:color="auto"/>
            <w:right w:val="none" w:sz="0" w:space="0" w:color="auto"/>
          </w:divBdr>
        </w:div>
        <w:div w:id="2132478093">
          <w:marLeft w:val="0"/>
          <w:marRight w:val="0"/>
          <w:marTop w:val="0"/>
          <w:marBottom w:val="0"/>
          <w:divBdr>
            <w:top w:val="none" w:sz="0" w:space="0" w:color="auto"/>
            <w:left w:val="none" w:sz="0" w:space="0" w:color="auto"/>
            <w:bottom w:val="none" w:sz="0" w:space="0" w:color="auto"/>
            <w:right w:val="none" w:sz="0" w:space="0" w:color="auto"/>
          </w:divBdr>
        </w:div>
      </w:divsChild>
    </w:div>
    <w:div w:id="1926068289">
      <w:bodyDiv w:val="1"/>
      <w:marLeft w:val="0"/>
      <w:marRight w:val="0"/>
      <w:marTop w:val="0"/>
      <w:marBottom w:val="0"/>
      <w:divBdr>
        <w:top w:val="none" w:sz="0" w:space="0" w:color="auto"/>
        <w:left w:val="none" w:sz="0" w:space="0" w:color="auto"/>
        <w:bottom w:val="none" w:sz="0" w:space="0" w:color="auto"/>
        <w:right w:val="none" w:sz="0" w:space="0" w:color="auto"/>
      </w:divBdr>
    </w:div>
    <w:div w:id="1983269813">
      <w:bodyDiv w:val="1"/>
      <w:marLeft w:val="0"/>
      <w:marRight w:val="0"/>
      <w:marTop w:val="0"/>
      <w:marBottom w:val="0"/>
      <w:divBdr>
        <w:top w:val="none" w:sz="0" w:space="0" w:color="auto"/>
        <w:left w:val="none" w:sz="0" w:space="0" w:color="auto"/>
        <w:bottom w:val="none" w:sz="0" w:space="0" w:color="auto"/>
        <w:right w:val="none" w:sz="0" w:space="0" w:color="auto"/>
      </w:divBdr>
    </w:div>
    <w:div w:id="1991207439">
      <w:bodyDiv w:val="1"/>
      <w:marLeft w:val="0"/>
      <w:marRight w:val="0"/>
      <w:marTop w:val="0"/>
      <w:marBottom w:val="0"/>
      <w:divBdr>
        <w:top w:val="none" w:sz="0" w:space="0" w:color="auto"/>
        <w:left w:val="none" w:sz="0" w:space="0" w:color="auto"/>
        <w:bottom w:val="none" w:sz="0" w:space="0" w:color="auto"/>
        <w:right w:val="none" w:sz="0" w:space="0" w:color="auto"/>
      </w:divBdr>
      <w:divsChild>
        <w:div w:id="771976169">
          <w:marLeft w:val="0"/>
          <w:marRight w:val="0"/>
          <w:marTop w:val="0"/>
          <w:marBottom w:val="0"/>
          <w:divBdr>
            <w:top w:val="none" w:sz="0" w:space="0" w:color="auto"/>
            <w:left w:val="none" w:sz="0" w:space="0" w:color="auto"/>
            <w:bottom w:val="none" w:sz="0" w:space="0" w:color="auto"/>
            <w:right w:val="none" w:sz="0" w:space="0" w:color="auto"/>
          </w:divBdr>
          <w:divsChild>
            <w:div w:id="4885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7174">
      <w:bodyDiv w:val="1"/>
      <w:marLeft w:val="0"/>
      <w:marRight w:val="0"/>
      <w:marTop w:val="0"/>
      <w:marBottom w:val="0"/>
      <w:divBdr>
        <w:top w:val="none" w:sz="0" w:space="0" w:color="auto"/>
        <w:left w:val="none" w:sz="0" w:space="0" w:color="auto"/>
        <w:bottom w:val="none" w:sz="0" w:space="0" w:color="auto"/>
        <w:right w:val="none" w:sz="0" w:space="0" w:color="auto"/>
      </w:divBdr>
    </w:div>
    <w:div w:id="2012487228">
      <w:bodyDiv w:val="1"/>
      <w:marLeft w:val="0"/>
      <w:marRight w:val="0"/>
      <w:marTop w:val="0"/>
      <w:marBottom w:val="0"/>
      <w:divBdr>
        <w:top w:val="none" w:sz="0" w:space="0" w:color="auto"/>
        <w:left w:val="none" w:sz="0" w:space="0" w:color="auto"/>
        <w:bottom w:val="none" w:sz="0" w:space="0" w:color="auto"/>
        <w:right w:val="none" w:sz="0" w:space="0" w:color="auto"/>
      </w:divBdr>
    </w:div>
    <w:div w:id="2019652634">
      <w:bodyDiv w:val="1"/>
      <w:marLeft w:val="0"/>
      <w:marRight w:val="0"/>
      <w:marTop w:val="0"/>
      <w:marBottom w:val="0"/>
      <w:divBdr>
        <w:top w:val="none" w:sz="0" w:space="0" w:color="auto"/>
        <w:left w:val="none" w:sz="0" w:space="0" w:color="auto"/>
        <w:bottom w:val="none" w:sz="0" w:space="0" w:color="auto"/>
        <w:right w:val="none" w:sz="0" w:space="0" w:color="auto"/>
      </w:divBdr>
      <w:divsChild>
        <w:div w:id="1187719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9768434">
      <w:bodyDiv w:val="1"/>
      <w:marLeft w:val="0"/>
      <w:marRight w:val="0"/>
      <w:marTop w:val="0"/>
      <w:marBottom w:val="0"/>
      <w:divBdr>
        <w:top w:val="none" w:sz="0" w:space="0" w:color="auto"/>
        <w:left w:val="none" w:sz="0" w:space="0" w:color="auto"/>
        <w:bottom w:val="none" w:sz="0" w:space="0" w:color="auto"/>
        <w:right w:val="none" w:sz="0" w:space="0" w:color="auto"/>
      </w:divBdr>
    </w:div>
    <w:div w:id="2022664359">
      <w:bodyDiv w:val="1"/>
      <w:marLeft w:val="0"/>
      <w:marRight w:val="0"/>
      <w:marTop w:val="0"/>
      <w:marBottom w:val="0"/>
      <w:divBdr>
        <w:top w:val="none" w:sz="0" w:space="0" w:color="auto"/>
        <w:left w:val="none" w:sz="0" w:space="0" w:color="auto"/>
        <w:bottom w:val="none" w:sz="0" w:space="0" w:color="auto"/>
        <w:right w:val="none" w:sz="0" w:space="0" w:color="auto"/>
      </w:divBdr>
    </w:div>
    <w:div w:id="2047559422">
      <w:bodyDiv w:val="1"/>
      <w:marLeft w:val="0"/>
      <w:marRight w:val="0"/>
      <w:marTop w:val="0"/>
      <w:marBottom w:val="0"/>
      <w:divBdr>
        <w:top w:val="none" w:sz="0" w:space="0" w:color="auto"/>
        <w:left w:val="none" w:sz="0" w:space="0" w:color="auto"/>
        <w:bottom w:val="none" w:sz="0" w:space="0" w:color="auto"/>
        <w:right w:val="none" w:sz="0" w:space="0" w:color="auto"/>
      </w:divBdr>
    </w:div>
    <w:div w:id="206132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ookings.edu/blogs/the-avenue/posts/2014/09/29-americans-driving-census-data-metro-tomer-ka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can.gc.ca/rdc-cdr/faq-rdc-cdr-eng.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iencedirect.com/science/article/pii/S135382921300066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D4B51-DAA8-4B5A-8932-B3BBE7BF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9639</Words>
  <Characters>54943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Active Transportation: A Social Determinant of Health</vt:lpstr>
    </vt:vector>
  </TitlesOfParts>
  <Company>Microsoft</Company>
  <LinksUpToDate>false</LinksUpToDate>
  <CharactersWithSpaces>64454</CharactersWithSpaces>
  <SharedDoc>false</SharedDoc>
  <HLinks>
    <vt:vector size="180" baseType="variant">
      <vt:variant>
        <vt:i4>3604549</vt:i4>
      </vt:variant>
      <vt:variant>
        <vt:i4>167</vt:i4>
      </vt:variant>
      <vt:variant>
        <vt:i4>0</vt:i4>
      </vt:variant>
      <vt:variant>
        <vt:i4>5</vt:i4>
      </vt:variant>
      <vt:variant>
        <vt:lpwstr>http://www.brookings.edu/blogs/the-avenue/posts/2014/09/29-americans-driving-census-data-metro-tomer-kane</vt:lpwstr>
      </vt:variant>
      <vt:variant>
        <vt:lpwstr>.VCq_FiZyIXc.mailto</vt:lpwstr>
      </vt:variant>
      <vt:variant>
        <vt:i4>917594</vt:i4>
      </vt:variant>
      <vt:variant>
        <vt:i4>164</vt:i4>
      </vt:variant>
      <vt:variant>
        <vt:i4>0</vt:i4>
      </vt:variant>
      <vt:variant>
        <vt:i4>5</vt:i4>
      </vt:variant>
      <vt:variant>
        <vt:lpwstr>http://www23.statcan.gc.ca/imdb/p2SV.pl?Function=getSurvey&amp;SurvId=1824&amp;InstaId=3358&amp;SDDS=3225</vt:lpwstr>
      </vt:variant>
      <vt:variant>
        <vt:lpwstr/>
      </vt:variant>
      <vt:variant>
        <vt:i4>1703967</vt:i4>
      </vt:variant>
      <vt:variant>
        <vt:i4>159</vt:i4>
      </vt:variant>
      <vt:variant>
        <vt:i4>0</vt:i4>
      </vt:variant>
      <vt:variant>
        <vt:i4>5</vt:i4>
      </vt:variant>
      <vt:variant>
        <vt:lpwstr>http://www.sciencedirect.com/science/article/pii/S135382921300066X</vt:lpwstr>
      </vt:variant>
      <vt:variant>
        <vt:lpwstr>GS1</vt:lpwstr>
      </vt:variant>
      <vt:variant>
        <vt:i4>4325387</vt:i4>
      </vt:variant>
      <vt:variant>
        <vt:i4>155</vt:i4>
      </vt:variant>
      <vt:variant>
        <vt:i4>0</vt:i4>
      </vt:variant>
      <vt:variant>
        <vt:i4>5</vt:i4>
      </vt:variant>
      <vt:variant>
        <vt:lpwstr/>
      </vt:variant>
      <vt:variant>
        <vt:lpwstr>_ENREF_3</vt:lpwstr>
      </vt:variant>
      <vt:variant>
        <vt:i4>4390923</vt:i4>
      </vt:variant>
      <vt:variant>
        <vt:i4>149</vt:i4>
      </vt:variant>
      <vt:variant>
        <vt:i4>0</vt:i4>
      </vt:variant>
      <vt:variant>
        <vt:i4>5</vt:i4>
      </vt:variant>
      <vt:variant>
        <vt:lpwstr/>
      </vt:variant>
      <vt:variant>
        <vt:lpwstr>_ENREF_20</vt:lpwstr>
      </vt:variant>
      <vt:variant>
        <vt:i4>4325387</vt:i4>
      </vt:variant>
      <vt:variant>
        <vt:i4>143</vt:i4>
      </vt:variant>
      <vt:variant>
        <vt:i4>0</vt:i4>
      </vt:variant>
      <vt:variant>
        <vt:i4>5</vt:i4>
      </vt:variant>
      <vt:variant>
        <vt:lpwstr/>
      </vt:variant>
      <vt:variant>
        <vt:lpwstr>_ENREF_39</vt:lpwstr>
      </vt:variant>
      <vt:variant>
        <vt:i4>4194315</vt:i4>
      </vt:variant>
      <vt:variant>
        <vt:i4>137</vt:i4>
      </vt:variant>
      <vt:variant>
        <vt:i4>0</vt:i4>
      </vt:variant>
      <vt:variant>
        <vt:i4>5</vt:i4>
      </vt:variant>
      <vt:variant>
        <vt:lpwstr/>
      </vt:variant>
      <vt:variant>
        <vt:lpwstr>_ENREF_13</vt:lpwstr>
      </vt:variant>
      <vt:variant>
        <vt:i4>4325387</vt:i4>
      </vt:variant>
      <vt:variant>
        <vt:i4>131</vt:i4>
      </vt:variant>
      <vt:variant>
        <vt:i4>0</vt:i4>
      </vt:variant>
      <vt:variant>
        <vt:i4>5</vt:i4>
      </vt:variant>
      <vt:variant>
        <vt:lpwstr/>
      </vt:variant>
      <vt:variant>
        <vt:lpwstr>_ENREF_38</vt:lpwstr>
      </vt:variant>
      <vt:variant>
        <vt:i4>4325387</vt:i4>
      </vt:variant>
      <vt:variant>
        <vt:i4>125</vt:i4>
      </vt:variant>
      <vt:variant>
        <vt:i4>0</vt:i4>
      </vt:variant>
      <vt:variant>
        <vt:i4>5</vt:i4>
      </vt:variant>
      <vt:variant>
        <vt:lpwstr/>
      </vt:variant>
      <vt:variant>
        <vt:lpwstr>_ENREF_37</vt:lpwstr>
      </vt:variant>
      <vt:variant>
        <vt:i4>4325387</vt:i4>
      </vt:variant>
      <vt:variant>
        <vt:i4>119</vt:i4>
      </vt:variant>
      <vt:variant>
        <vt:i4>0</vt:i4>
      </vt:variant>
      <vt:variant>
        <vt:i4>5</vt:i4>
      </vt:variant>
      <vt:variant>
        <vt:lpwstr/>
      </vt:variant>
      <vt:variant>
        <vt:lpwstr>_ENREF_36</vt:lpwstr>
      </vt:variant>
      <vt:variant>
        <vt:i4>4325387</vt:i4>
      </vt:variant>
      <vt:variant>
        <vt:i4>113</vt:i4>
      </vt:variant>
      <vt:variant>
        <vt:i4>0</vt:i4>
      </vt:variant>
      <vt:variant>
        <vt:i4>5</vt:i4>
      </vt:variant>
      <vt:variant>
        <vt:lpwstr/>
      </vt:variant>
      <vt:variant>
        <vt:lpwstr>_ENREF_35</vt:lpwstr>
      </vt:variant>
      <vt:variant>
        <vt:i4>4194315</vt:i4>
      </vt:variant>
      <vt:variant>
        <vt:i4>107</vt:i4>
      </vt:variant>
      <vt:variant>
        <vt:i4>0</vt:i4>
      </vt:variant>
      <vt:variant>
        <vt:i4>5</vt:i4>
      </vt:variant>
      <vt:variant>
        <vt:lpwstr/>
      </vt:variant>
      <vt:variant>
        <vt:lpwstr>_ENREF_13</vt:lpwstr>
      </vt:variant>
      <vt:variant>
        <vt:i4>4325387</vt:i4>
      </vt:variant>
      <vt:variant>
        <vt:i4>101</vt:i4>
      </vt:variant>
      <vt:variant>
        <vt:i4>0</vt:i4>
      </vt:variant>
      <vt:variant>
        <vt:i4>5</vt:i4>
      </vt:variant>
      <vt:variant>
        <vt:lpwstr/>
      </vt:variant>
      <vt:variant>
        <vt:lpwstr>_ENREF_34</vt:lpwstr>
      </vt:variant>
      <vt:variant>
        <vt:i4>4325387</vt:i4>
      </vt:variant>
      <vt:variant>
        <vt:i4>95</vt:i4>
      </vt:variant>
      <vt:variant>
        <vt:i4>0</vt:i4>
      </vt:variant>
      <vt:variant>
        <vt:i4>5</vt:i4>
      </vt:variant>
      <vt:variant>
        <vt:lpwstr/>
      </vt:variant>
      <vt:variant>
        <vt:lpwstr>_ENREF_33</vt:lpwstr>
      </vt:variant>
      <vt:variant>
        <vt:i4>4325387</vt:i4>
      </vt:variant>
      <vt:variant>
        <vt:i4>89</vt:i4>
      </vt:variant>
      <vt:variant>
        <vt:i4>0</vt:i4>
      </vt:variant>
      <vt:variant>
        <vt:i4>5</vt:i4>
      </vt:variant>
      <vt:variant>
        <vt:lpwstr/>
      </vt:variant>
      <vt:variant>
        <vt:lpwstr>_ENREF_32</vt:lpwstr>
      </vt:variant>
      <vt:variant>
        <vt:i4>4325387</vt:i4>
      </vt:variant>
      <vt:variant>
        <vt:i4>86</vt:i4>
      </vt:variant>
      <vt:variant>
        <vt:i4>0</vt:i4>
      </vt:variant>
      <vt:variant>
        <vt:i4>5</vt:i4>
      </vt:variant>
      <vt:variant>
        <vt:lpwstr/>
      </vt:variant>
      <vt:variant>
        <vt:lpwstr>_ENREF_31</vt:lpwstr>
      </vt:variant>
      <vt:variant>
        <vt:i4>4194315</vt:i4>
      </vt:variant>
      <vt:variant>
        <vt:i4>83</vt:i4>
      </vt:variant>
      <vt:variant>
        <vt:i4>0</vt:i4>
      </vt:variant>
      <vt:variant>
        <vt:i4>5</vt:i4>
      </vt:variant>
      <vt:variant>
        <vt:lpwstr/>
      </vt:variant>
      <vt:variant>
        <vt:lpwstr>_ENREF_13</vt:lpwstr>
      </vt:variant>
      <vt:variant>
        <vt:i4>4390923</vt:i4>
      </vt:variant>
      <vt:variant>
        <vt:i4>75</vt:i4>
      </vt:variant>
      <vt:variant>
        <vt:i4>0</vt:i4>
      </vt:variant>
      <vt:variant>
        <vt:i4>5</vt:i4>
      </vt:variant>
      <vt:variant>
        <vt:lpwstr/>
      </vt:variant>
      <vt:variant>
        <vt:lpwstr>_ENREF_20</vt:lpwstr>
      </vt:variant>
      <vt:variant>
        <vt:i4>4194315</vt:i4>
      </vt:variant>
      <vt:variant>
        <vt:i4>67</vt:i4>
      </vt:variant>
      <vt:variant>
        <vt:i4>0</vt:i4>
      </vt:variant>
      <vt:variant>
        <vt:i4>5</vt:i4>
      </vt:variant>
      <vt:variant>
        <vt:lpwstr/>
      </vt:variant>
      <vt:variant>
        <vt:lpwstr>_ENREF_18</vt:lpwstr>
      </vt:variant>
      <vt:variant>
        <vt:i4>4194315</vt:i4>
      </vt:variant>
      <vt:variant>
        <vt:i4>59</vt:i4>
      </vt:variant>
      <vt:variant>
        <vt:i4>0</vt:i4>
      </vt:variant>
      <vt:variant>
        <vt:i4>5</vt:i4>
      </vt:variant>
      <vt:variant>
        <vt:lpwstr/>
      </vt:variant>
      <vt:variant>
        <vt:lpwstr>_ENREF_17</vt:lpwstr>
      </vt:variant>
      <vt:variant>
        <vt:i4>4194315</vt:i4>
      </vt:variant>
      <vt:variant>
        <vt:i4>56</vt:i4>
      </vt:variant>
      <vt:variant>
        <vt:i4>0</vt:i4>
      </vt:variant>
      <vt:variant>
        <vt:i4>5</vt:i4>
      </vt:variant>
      <vt:variant>
        <vt:lpwstr/>
      </vt:variant>
      <vt:variant>
        <vt:lpwstr>_ENREF_16</vt:lpwstr>
      </vt:variant>
      <vt:variant>
        <vt:i4>4194315</vt:i4>
      </vt:variant>
      <vt:variant>
        <vt:i4>50</vt:i4>
      </vt:variant>
      <vt:variant>
        <vt:i4>0</vt:i4>
      </vt:variant>
      <vt:variant>
        <vt:i4>5</vt:i4>
      </vt:variant>
      <vt:variant>
        <vt:lpwstr/>
      </vt:variant>
      <vt:variant>
        <vt:lpwstr>_ENREF_15</vt:lpwstr>
      </vt:variant>
      <vt:variant>
        <vt:i4>4194315</vt:i4>
      </vt:variant>
      <vt:variant>
        <vt:i4>44</vt:i4>
      </vt:variant>
      <vt:variant>
        <vt:i4>0</vt:i4>
      </vt:variant>
      <vt:variant>
        <vt:i4>5</vt:i4>
      </vt:variant>
      <vt:variant>
        <vt:lpwstr/>
      </vt:variant>
      <vt:variant>
        <vt:lpwstr>_ENREF_14</vt:lpwstr>
      </vt:variant>
      <vt:variant>
        <vt:i4>4194315</vt:i4>
      </vt:variant>
      <vt:variant>
        <vt:i4>38</vt:i4>
      </vt:variant>
      <vt:variant>
        <vt:i4>0</vt:i4>
      </vt:variant>
      <vt:variant>
        <vt:i4>5</vt:i4>
      </vt:variant>
      <vt:variant>
        <vt:lpwstr/>
      </vt:variant>
      <vt:variant>
        <vt:lpwstr>_ENREF_13</vt:lpwstr>
      </vt:variant>
      <vt:variant>
        <vt:i4>4653067</vt:i4>
      </vt:variant>
      <vt:variant>
        <vt:i4>32</vt:i4>
      </vt:variant>
      <vt:variant>
        <vt:i4>0</vt:i4>
      </vt:variant>
      <vt:variant>
        <vt:i4>5</vt:i4>
      </vt:variant>
      <vt:variant>
        <vt:lpwstr/>
      </vt:variant>
      <vt:variant>
        <vt:lpwstr>_ENREF_6</vt:lpwstr>
      </vt:variant>
      <vt:variant>
        <vt:i4>4390923</vt:i4>
      </vt:variant>
      <vt:variant>
        <vt:i4>29</vt:i4>
      </vt:variant>
      <vt:variant>
        <vt:i4>0</vt:i4>
      </vt:variant>
      <vt:variant>
        <vt:i4>5</vt:i4>
      </vt:variant>
      <vt:variant>
        <vt:lpwstr/>
      </vt:variant>
      <vt:variant>
        <vt:lpwstr>_ENREF_2</vt:lpwstr>
      </vt:variant>
      <vt:variant>
        <vt:i4>4587531</vt:i4>
      </vt:variant>
      <vt:variant>
        <vt:i4>21</vt:i4>
      </vt:variant>
      <vt:variant>
        <vt:i4>0</vt:i4>
      </vt:variant>
      <vt:variant>
        <vt:i4>5</vt:i4>
      </vt:variant>
      <vt:variant>
        <vt:lpwstr/>
      </vt:variant>
      <vt:variant>
        <vt:lpwstr>_ENREF_7</vt:lpwstr>
      </vt:variant>
      <vt:variant>
        <vt:i4>4653067</vt:i4>
      </vt:variant>
      <vt:variant>
        <vt:i4>15</vt:i4>
      </vt:variant>
      <vt:variant>
        <vt:i4>0</vt:i4>
      </vt:variant>
      <vt:variant>
        <vt:i4>5</vt:i4>
      </vt:variant>
      <vt:variant>
        <vt:lpwstr/>
      </vt:variant>
      <vt:variant>
        <vt:lpwstr>_ENREF_6</vt:lpwstr>
      </vt:variant>
      <vt:variant>
        <vt:i4>4390923</vt:i4>
      </vt:variant>
      <vt:variant>
        <vt:i4>12</vt:i4>
      </vt:variant>
      <vt:variant>
        <vt:i4>0</vt:i4>
      </vt:variant>
      <vt:variant>
        <vt:i4>5</vt:i4>
      </vt:variant>
      <vt:variant>
        <vt:lpwstr/>
      </vt:variant>
      <vt:variant>
        <vt:lpwstr>_ENREF_2</vt:lpwstr>
      </vt:variant>
      <vt:variant>
        <vt:i4>4194315</vt:i4>
      </vt:variant>
      <vt:variant>
        <vt:i4>4</vt:i4>
      </vt:variant>
      <vt:variant>
        <vt:i4>0</vt:i4>
      </vt:variant>
      <vt:variant>
        <vt:i4>5</vt:i4>
      </vt:variant>
      <vt:variant>
        <vt:lpwstr/>
      </vt:variant>
      <vt:variant>
        <vt:lpwstr>_ENREF_1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Transportation: A Social Determinant of Health</dc:title>
  <dc:subject>Exploring the effect of active transportation on physical activity and BMI for Canadian adults. NPHS cohort study</dc:subject>
  <dc:creator>Rania Wasfi</dc:creator>
  <cp:lastModifiedBy>Naveen Eluru</cp:lastModifiedBy>
  <cp:revision>3</cp:revision>
  <cp:lastPrinted>2015-08-11T00:04:00Z</cp:lastPrinted>
  <dcterms:created xsi:type="dcterms:W3CDTF">2015-08-11T00:04:00Z</dcterms:created>
  <dcterms:modified xsi:type="dcterms:W3CDTF">2015-08-11T00:04:00Z</dcterms:modified>
</cp:coreProperties>
</file>