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BCBC" w14:textId="77777777" w:rsidR="007D15DB" w:rsidRPr="007D15DB" w:rsidRDefault="007D15DB" w:rsidP="007D15DB">
      <w:pPr>
        <w:jc w:val="center"/>
        <w:rPr>
          <w:rFonts w:cs="Times New Roman"/>
          <w:b/>
          <w:bCs/>
          <w:color w:val="000000"/>
          <w:shd w:val="clear" w:color="auto" w:fill="FFFFFF"/>
          <w:lang w:val="en-US"/>
        </w:rPr>
      </w:pPr>
      <w:r w:rsidRPr="007D15DB">
        <w:rPr>
          <w:rFonts w:cs="Times New Roman"/>
          <w:b/>
          <w:bCs/>
          <w:color w:val="000000"/>
          <w:shd w:val="clear" w:color="auto" w:fill="FFFFFF"/>
          <w:lang w:val="en-US"/>
        </w:rPr>
        <w:t>Integrating Macro and Micro Level Crash Frequency Models Considering Spatial Heterogeneity and Random Effects</w:t>
      </w:r>
    </w:p>
    <w:p w14:paraId="2E42E986" w14:textId="29198EDD" w:rsidR="00E63E96" w:rsidRDefault="00E63E96" w:rsidP="00EF05D9">
      <w:pPr>
        <w:jc w:val="center"/>
        <w:rPr>
          <w:rFonts w:eastAsia="Calibri" w:cs="Times New Roman"/>
          <w:b/>
        </w:rPr>
      </w:pPr>
    </w:p>
    <w:p w14:paraId="548A8FEC" w14:textId="62C03031" w:rsidR="007D15DB" w:rsidRDefault="007D15DB" w:rsidP="00EF05D9">
      <w:pPr>
        <w:jc w:val="center"/>
        <w:rPr>
          <w:rFonts w:eastAsia="Calibri" w:cs="Times New Roman"/>
          <w:b/>
        </w:rPr>
      </w:pPr>
    </w:p>
    <w:p w14:paraId="29730524" w14:textId="77777777" w:rsidR="007D15DB" w:rsidRPr="007D15DB" w:rsidRDefault="007D15DB" w:rsidP="007D15DB">
      <w:pPr>
        <w:jc w:val="center"/>
        <w:rPr>
          <w:rFonts w:eastAsia="Calibri" w:cs="Times New Roman"/>
          <w:b/>
          <w:lang w:val="en-US"/>
        </w:rPr>
      </w:pPr>
      <w:r w:rsidRPr="007D15DB">
        <w:rPr>
          <w:rFonts w:eastAsia="Calibri" w:cs="Times New Roman"/>
          <w:b/>
          <w:lang w:val="en-US"/>
        </w:rPr>
        <w:t>Shahrior Pervaz</w:t>
      </w:r>
    </w:p>
    <w:p w14:paraId="3C990C79" w14:textId="77777777" w:rsidR="007D15DB" w:rsidRPr="007D15DB" w:rsidRDefault="007D15DB" w:rsidP="007D15DB">
      <w:pPr>
        <w:jc w:val="center"/>
        <w:rPr>
          <w:rFonts w:eastAsia="Calibri" w:cs="Times New Roman"/>
          <w:bCs/>
          <w:lang w:val="en-US"/>
        </w:rPr>
      </w:pPr>
      <w:r w:rsidRPr="007D15DB">
        <w:rPr>
          <w:rFonts w:eastAsia="Calibri" w:cs="Times New Roman"/>
          <w:bCs/>
          <w:lang w:val="en-US"/>
        </w:rPr>
        <w:t>Graduate Research Assistant</w:t>
      </w:r>
    </w:p>
    <w:p w14:paraId="568041FE" w14:textId="77777777" w:rsidR="007D15DB" w:rsidRPr="007D15DB" w:rsidRDefault="007D15DB" w:rsidP="005E0487">
      <w:pPr>
        <w:jc w:val="center"/>
        <w:rPr>
          <w:lang w:val="en-US"/>
        </w:rPr>
      </w:pPr>
      <w:r w:rsidRPr="007D15DB">
        <w:rPr>
          <w:lang w:val="en-US"/>
        </w:rPr>
        <w:t>Department of Civil, Environmental &amp; Construction Engineering</w:t>
      </w:r>
    </w:p>
    <w:p w14:paraId="1170846B" w14:textId="77777777" w:rsidR="007D15DB" w:rsidRPr="007D15DB" w:rsidRDefault="007D15DB" w:rsidP="007D15DB">
      <w:pPr>
        <w:jc w:val="center"/>
        <w:rPr>
          <w:rFonts w:eastAsia="Calibri" w:cs="Times New Roman"/>
          <w:bCs/>
          <w:lang w:val="en-US"/>
        </w:rPr>
      </w:pPr>
      <w:r w:rsidRPr="007D15DB">
        <w:rPr>
          <w:rFonts w:eastAsia="Calibri" w:cs="Times New Roman"/>
          <w:bCs/>
          <w:lang w:val="en-US"/>
        </w:rPr>
        <w:t>University of Central Florida</w:t>
      </w:r>
    </w:p>
    <w:p w14:paraId="2494B9DD" w14:textId="77777777" w:rsidR="007D15DB" w:rsidRPr="007D15DB" w:rsidRDefault="007D15DB" w:rsidP="007D15DB">
      <w:pPr>
        <w:jc w:val="center"/>
        <w:rPr>
          <w:rFonts w:eastAsia="Calibri" w:cs="Times New Roman"/>
          <w:bCs/>
          <w:lang w:val="es-MX"/>
        </w:rPr>
      </w:pPr>
      <w:r w:rsidRPr="007D15DB">
        <w:rPr>
          <w:rFonts w:eastAsia="Calibri" w:cs="Times New Roman"/>
          <w:bCs/>
          <w:lang w:val="es-MX"/>
        </w:rPr>
        <w:t>Tel: 1-407-561-0298; Fax: 1-407-823-3315</w:t>
      </w:r>
    </w:p>
    <w:p w14:paraId="78AB2794" w14:textId="77777777" w:rsidR="007D15DB" w:rsidRPr="007D15DB" w:rsidRDefault="007D15DB" w:rsidP="007D15DB">
      <w:pPr>
        <w:jc w:val="center"/>
        <w:rPr>
          <w:rFonts w:eastAsia="Calibri" w:cs="Times New Roman"/>
          <w:bCs/>
          <w:u w:val="single"/>
          <w:lang w:val="en-US"/>
        </w:rPr>
      </w:pPr>
      <w:r w:rsidRPr="007D15DB">
        <w:rPr>
          <w:rFonts w:eastAsia="Calibri" w:cs="Times New Roman"/>
          <w:bCs/>
          <w:lang w:val="en-US"/>
        </w:rPr>
        <w:t xml:space="preserve">Email: </w:t>
      </w:r>
      <w:hyperlink r:id="rId8" w:history="1">
        <w:r w:rsidRPr="007D15DB">
          <w:rPr>
            <w:rStyle w:val="Hyperlink"/>
            <w:rFonts w:eastAsia="Calibri" w:cs="Times New Roman"/>
            <w:bCs/>
            <w:lang w:val="en-US"/>
          </w:rPr>
          <w:t>shahrior.pervaz@knights.ucf.edu</w:t>
        </w:r>
      </w:hyperlink>
    </w:p>
    <w:p w14:paraId="0205B161" w14:textId="50D6F578" w:rsidR="007D15DB" w:rsidRDefault="00051769" w:rsidP="00EF05D9">
      <w:pPr>
        <w:jc w:val="center"/>
        <w:rPr>
          <w:rFonts w:eastAsia="Calibri" w:cs="Times New Roman"/>
          <w:b/>
        </w:rPr>
      </w:pPr>
      <w:proofErr w:type="spellStart"/>
      <w:r w:rsidRPr="00724447">
        <w:rPr>
          <w:rFonts w:cs="Times New Roman"/>
        </w:rPr>
        <w:t>ORCiD</w:t>
      </w:r>
      <w:proofErr w:type="spellEnd"/>
      <w:r w:rsidRPr="00724447">
        <w:rPr>
          <w:rFonts w:cs="Times New Roman"/>
        </w:rPr>
        <w:t xml:space="preserve"> number:</w:t>
      </w:r>
      <w:r>
        <w:rPr>
          <w:rFonts w:cs="Times New Roman"/>
        </w:rPr>
        <w:t xml:space="preserve"> </w:t>
      </w:r>
      <w:r w:rsidRPr="00051769">
        <w:rPr>
          <w:rFonts w:cs="Times New Roman"/>
        </w:rPr>
        <w:t>0000-0001-7966-7083</w:t>
      </w:r>
    </w:p>
    <w:p w14:paraId="21E3DF73" w14:textId="77777777" w:rsidR="007D15DB" w:rsidRDefault="007D15DB" w:rsidP="00EF05D9">
      <w:pPr>
        <w:jc w:val="center"/>
        <w:rPr>
          <w:rFonts w:eastAsia="Calibri" w:cs="Times New Roman"/>
          <w:b/>
        </w:rPr>
      </w:pPr>
    </w:p>
    <w:p w14:paraId="669B8242" w14:textId="77777777" w:rsidR="00DF6198" w:rsidRDefault="00DF6198" w:rsidP="00EF05D9">
      <w:pPr>
        <w:jc w:val="center"/>
        <w:rPr>
          <w:rFonts w:eastAsia="Calibri" w:cs="Times New Roman"/>
          <w:b/>
        </w:rPr>
      </w:pPr>
    </w:p>
    <w:p w14:paraId="6D4D43BD" w14:textId="312ACEE4" w:rsidR="00236B4A" w:rsidRDefault="002E32EF" w:rsidP="00EF05D9">
      <w:pPr>
        <w:jc w:val="center"/>
        <w:rPr>
          <w:rFonts w:eastAsia="Calibri" w:cs="Times New Roman"/>
          <w:b/>
        </w:rPr>
      </w:pPr>
      <w:r>
        <w:rPr>
          <w:rFonts w:eastAsia="Calibri" w:cs="Times New Roman"/>
          <w:b/>
        </w:rPr>
        <w:t>Tanmoy Bhowmik</w:t>
      </w:r>
    </w:p>
    <w:p w14:paraId="7A2406CA" w14:textId="3DCE25AF" w:rsidR="001F009A" w:rsidRPr="000A2685" w:rsidRDefault="00AE7E29" w:rsidP="00860E96">
      <w:pPr>
        <w:jc w:val="center"/>
      </w:pPr>
      <w:r>
        <w:t>Postdoctoral Scholar</w:t>
      </w:r>
    </w:p>
    <w:p w14:paraId="482CA943" w14:textId="24D2DABF" w:rsidR="00236B4A" w:rsidRPr="00494C5F" w:rsidRDefault="00236B4A" w:rsidP="00860E96">
      <w:pPr>
        <w:jc w:val="center"/>
        <w:rPr>
          <w:rFonts w:eastAsia="Calibri"/>
        </w:rPr>
      </w:pPr>
      <w:r w:rsidRPr="00494C5F">
        <w:rPr>
          <w:rFonts w:eastAsia="Calibri"/>
        </w:rPr>
        <w:t>Department of Civil, Environmental &amp; Construction Engineering</w:t>
      </w:r>
    </w:p>
    <w:p w14:paraId="74665610" w14:textId="7C5EDB68" w:rsidR="00236B4A" w:rsidRDefault="00236B4A" w:rsidP="00860E96">
      <w:pPr>
        <w:jc w:val="center"/>
        <w:rPr>
          <w:rFonts w:eastAsia="Calibri"/>
        </w:rPr>
      </w:pPr>
      <w:r w:rsidRPr="00494C5F">
        <w:rPr>
          <w:rFonts w:eastAsia="Calibri"/>
        </w:rPr>
        <w:t>University of Central Florida</w:t>
      </w:r>
    </w:p>
    <w:p w14:paraId="57F6BCF8" w14:textId="73D1C963" w:rsidR="00FC4DFC" w:rsidRPr="00FC4DFC" w:rsidRDefault="00FC4DFC" w:rsidP="00860E96">
      <w:pPr>
        <w:jc w:val="center"/>
        <w:rPr>
          <w:color w:val="000000" w:themeColor="text1"/>
          <w:lang w:val="es-MX"/>
        </w:rPr>
      </w:pPr>
      <w:r>
        <w:rPr>
          <w:color w:val="000000" w:themeColor="text1"/>
          <w:lang w:val="es-MX"/>
        </w:rPr>
        <w:t xml:space="preserve">Tel: </w:t>
      </w:r>
      <w:r w:rsidRPr="004F5B16">
        <w:rPr>
          <w:color w:val="000000" w:themeColor="text1"/>
          <w:lang w:val="es-MX"/>
        </w:rPr>
        <w:t>1-407-</w:t>
      </w:r>
      <w:r>
        <w:rPr>
          <w:color w:val="000000" w:themeColor="text1"/>
          <w:lang w:val="es-MX"/>
        </w:rPr>
        <w:t>927</w:t>
      </w:r>
      <w:r w:rsidRPr="004F5B16">
        <w:rPr>
          <w:color w:val="000000" w:themeColor="text1"/>
          <w:lang w:val="es-MX"/>
        </w:rPr>
        <w:t>-</w:t>
      </w:r>
      <w:r>
        <w:rPr>
          <w:color w:val="000000" w:themeColor="text1"/>
          <w:lang w:val="es-MX"/>
        </w:rPr>
        <w:t>6574</w:t>
      </w:r>
      <w:r w:rsidRPr="004F5B16">
        <w:rPr>
          <w:color w:val="000000" w:themeColor="text1"/>
          <w:lang w:val="es-MX"/>
        </w:rPr>
        <w:t>; Fax: 1-407-823-3315</w:t>
      </w:r>
    </w:p>
    <w:p w14:paraId="1500A524" w14:textId="243B04FB" w:rsidR="00236B4A" w:rsidRDefault="00236B4A" w:rsidP="00EF05D9">
      <w:pPr>
        <w:jc w:val="center"/>
        <w:rPr>
          <w:rFonts w:eastAsia="Calibri" w:cs="Times New Roman"/>
          <w:color w:val="0000FF"/>
          <w:u w:val="single"/>
        </w:rPr>
      </w:pPr>
      <w:r w:rsidRPr="00494C5F">
        <w:rPr>
          <w:rFonts w:eastAsia="Calibri" w:cs="Times New Roman"/>
        </w:rPr>
        <w:t xml:space="preserve">Email: </w:t>
      </w:r>
      <w:hyperlink r:id="rId9" w:history="1">
        <w:r w:rsidR="00A374CC" w:rsidRPr="00E331D9">
          <w:rPr>
            <w:rStyle w:val="Hyperlink"/>
            <w:rFonts w:eastAsia="Calibri" w:cs="Times New Roman"/>
          </w:rPr>
          <w:t>tanmoy78@knights.ucf.edu</w:t>
        </w:r>
      </w:hyperlink>
    </w:p>
    <w:p w14:paraId="6FF519E6" w14:textId="752BB707" w:rsidR="00436542" w:rsidRPr="007D15DB" w:rsidRDefault="00904A70" w:rsidP="007D15DB">
      <w:pPr>
        <w:jc w:val="center"/>
        <w:rPr>
          <w:rFonts w:ascii="Arial" w:hAnsi="Arial" w:cs="Arial"/>
          <w:color w:val="494A4C"/>
          <w:sz w:val="23"/>
          <w:szCs w:val="23"/>
          <w:shd w:val="clear" w:color="auto" w:fill="FFFFFF"/>
        </w:rPr>
      </w:pPr>
      <w:proofErr w:type="spellStart"/>
      <w:r w:rsidRPr="00724447">
        <w:rPr>
          <w:rFonts w:cs="Times New Roman"/>
        </w:rPr>
        <w:t>ORCiD</w:t>
      </w:r>
      <w:proofErr w:type="spellEnd"/>
      <w:r w:rsidRPr="00724447">
        <w:rPr>
          <w:rFonts w:cs="Times New Roman"/>
        </w:rPr>
        <w:t xml:space="preserve"> number:</w:t>
      </w:r>
      <w:r>
        <w:rPr>
          <w:rFonts w:cs="Times New Roman"/>
        </w:rPr>
        <w:t xml:space="preserve"> </w:t>
      </w:r>
      <w:r w:rsidRPr="00D9595E">
        <w:rPr>
          <w:rFonts w:cs="Times New Roman"/>
        </w:rPr>
        <w:t>0000-0002-0258-1692</w:t>
      </w:r>
    </w:p>
    <w:p w14:paraId="450FEEC4" w14:textId="77777777" w:rsidR="008628F1" w:rsidRDefault="008628F1" w:rsidP="00EF05D9">
      <w:pPr>
        <w:jc w:val="center"/>
        <w:rPr>
          <w:rFonts w:eastAsia="Calibri" w:cs="Times New Roman"/>
        </w:rPr>
      </w:pPr>
    </w:p>
    <w:p w14:paraId="6994D6E4" w14:textId="77777777" w:rsidR="000D73CA" w:rsidRPr="00494C5F" w:rsidRDefault="000D73CA" w:rsidP="00EF05D9">
      <w:pPr>
        <w:jc w:val="center"/>
        <w:rPr>
          <w:rFonts w:eastAsia="Calibri" w:cs="Times New Roman"/>
        </w:rPr>
      </w:pPr>
    </w:p>
    <w:p w14:paraId="28EF9201" w14:textId="4B3A41F8" w:rsidR="00436542" w:rsidRPr="00494C5F" w:rsidRDefault="00436542" w:rsidP="00EF05D9">
      <w:pPr>
        <w:jc w:val="center"/>
        <w:rPr>
          <w:rFonts w:eastAsia="Calibri" w:cs="Times New Roman"/>
          <w:b/>
        </w:rPr>
      </w:pPr>
      <w:r w:rsidRPr="00494C5F">
        <w:rPr>
          <w:rFonts w:eastAsia="Calibri" w:cs="Times New Roman"/>
          <w:b/>
        </w:rPr>
        <w:t>Naveen Eluru</w:t>
      </w:r>
    </w:p>
    <w:p w14:paraId="09C0F72D" w14:textId="2E4C30DF" w:rsidR="00436542" w:rsidRPr="00494C5F" w:rsidRDefault="00436542" w:rsidP="00EF05D9">
      <w:pPr>
        <w:jc w:val="center"/>
        <w:rPr>
          <w:rFonts w:eastAsia="Calibri" w:cs="Times New Roman"/>
        </w:rPr>
      </w:pPr>
      <w:r w:rsidRPr="00494C5F">
        <w:rPr>
          <w:rFonts w:eastAsia="Calibri" w:cs="Times New Roman"/>
        </w:rPr>
        <w:t>Professor</w:t>
      </w:r>
    </w:p>
    <w:p w14:paraId="4AD71F69" w14:textId="518A12F0" w:rsidR="00436542" w:rsidRPr="00494C5F" w:rsidRDefault="00436542" w:rsidP="00EF05D9">
      <w:pPr>
        <w:jc w:val="center"/>
        <w:rPr>
          <w:rFonts w:eastAsia="Calibri" w:cs="Times New Roman"/>
        </w:rPr>
      </w:pPr>
      <w:r w:rsidRPr="00494C5F">
        <w:rPr>
          <w:rFonts w:eastAsia="Calibri" w:cs="Times New Roman"/>
        </w:rPr>
        <w:t>Department of Civil, Environmental &amp; Construction Engineering</w:t>
      </w:r>
    </w:p>
    <w:p w14:paraId="39DCE379" w14:textId="77777777" w:rsidR="00436542" w:rsidRPr="00494C5F" w:rsidRDefault="00436542" w:rsidP="00EF05D9">
      <w:pPr>
        <w:jc w:val="center"/>
        <w:rPr>
          <w:rFonts w:eastAsia="Calibri" w:cs="Times New Roman"/>
        </w:rPr>
      </w:pPr>
      <w:r w:rsidRPr="00494C5F">
        <w:rPr>
          <w:rFonts w:eastAsia="Calibri" w:cs="Times New Roman"/>
        </w:rPr>
        <w:t>University of Central Florida</w:t>
      </w:r>
    </w:p>
    <w:p w14:paraId="6A0F7B1C" w14:textId="77777777" w:rsidR="00436542" w:rsidRPr="00494C5F" w:rsidRDefault="00436542" w:rsidP="00EF05D9">
      <w:pPr>
        <w:jc w:val="center"/>
        <w:rPr>
          <w:rFonts w:eastAsia="Calibri" w:cs="Times New Roman"/>
        </w:rPr>
      </w:pPr>
      <w:r w:rsidRPr="00494C5F">
        <w:rPr>
          <w:rFonts w:eastAsia="Calibri" w:cs="Times New Roman"/>
        </w:rPr>
        <w:t>Tel: 407-823-4815, Fax: 407-823-3315</w:t>
      </w:r>
    </w:p>
    <w:p w14:paraId="6EF2DF6C" w14:textId="77777777" w:rsidR="00436542" w:rsidRPr="00494C5F" w:rsidRDefault="00436542" w:rsidP="00EF05D9">
      <w:pPr>
        <w:jc w:val="center"/>
        <w:rPr>
          <w:rFonts w:eastAsia="Calibri" w:cs="Times New Roman"/>
        </w:rPr>
      </w:pPr>
      <w:r w:rsidRPr="00494C5F">
        <w:rPr>
          <w:rFonts w:eastAsia="Calibri" w:cs="Times New Roman"/>
        </w:rPr>
        <w:t xml:space="preserve">Email: </w:t>
      </w:r>
      <w:hyperlink r:id="rId10" w:history="1">
        <w:r w:rsidRPr="00494C5F">
          <w:rPr>
            <w:rFonts w:eastAsia="Calibri" w:cs="Times New Roman"/>
            <w:color w:val="0000FF"/>
            <w:u w:val="single"/>
          </w:rPr>
          <w:t>naveen.eluru@ucf.edu</w:t>
        </w:r>
      </w:hyperlink>
    </w:p>
    <w:p w14:paraId="65E03269" w14:textId="41453E21" w:rsidR="00D36C10" w:rsidRDefault="00904A70" w:rsidP="00904A70">
      <w:pPr>
        <w:jc w:val="center"/>
        <w:rPr>
          <w:rFonts w:eastAsia="Calibri" w:cs="Times New Roman"/>
          <w:b/>
          <w:szCs w:val="24"/>
          <w:highlight w:val="yellow"/>
        </w:rPr>
      </w:pPr>
      <w:proofErr w:type="spellStart"/>
      <w:r w:rsidRPr="00724447">
        <w:rPr>
          <w:rFonts w:cs="Times New Roman"/>
        </w:rPr>
        <w:t>ORCiD</w:t>
      </w:r>
      <w:proofErr w:type="spellEnd"/>
      <w:r w:rsidRPr="00724447">
        <w:rPr>
          <w:rFonts w:cs="Times New Roman"/>
        </w:rPr>
        <w:t xml:space="preserve"> number: </w:t>
      </w:r>
      <w:r w:rsidRPr="006E7DCE">
        <w:rPr>
          <w:rFonts w:cs="Times New Roman"/>
        </w:rPr>
        <w:t>0000-0003-1221-4113</w:t>
      </w:r>
    </w:p>
    <w:p w14:paraId="7FE427FE" w14:textId="497D0180" w:rsidR="009135E1" w:rsidRDefault="009135E1" w:rsidP="009135E1">
      <w:pPr>
        <w:rPr>
          <w:rFonts w:eastAsia="Times New Roman" w:cs="Times New Roman"/>
          <w:szCs w:val="24"/>
        </w:rPr>
      </w:pPr>
    </w:p>
    <w:p w14:paraId="5BAF5B39" w14:textId="613BBCD2" w:rsidR="00EF05D9" w:rsidRDefault="00EF05D9" w:rsidP="009135E1">
      <w:pPr>
        <w:rPr>
          <w:rFonts w:eastAsia="Times New Roman" w:cs="Times New Roman"/>
          <w:szCs w:val="24"/>
        </w:rPr>
      </w:pPr>
    </w:p>
    <w:p w14:paraId="4BC79C8E" w14:textId="305CBC7B" w:rsidR="00EF05D9" w:rsidRDefault="00EF05D9" w:rsidP="009135E1">
      <w:pPr>
        <w:rPr>
          <w:rFonts w:eastAsia="Times New Roman" w:cs="Times New Roman"/>
          <w:szCs w:val="24"/>
        </w:rPr>
      </w:pPr>
    </w:p>
    <w:p w14:paraId="666DA14D" w14:textId="719F5E7A" w:rsidR="00EF05D9" w:rsidRDefault="00EF05D9" w:rsidP="009135E1">
      <w:pPr>
        <w:rPr>
          <w:rFonts w:eastAsia="Times New Roman" w:cs="Times New Roman"/>
          <w:szCs w:val="24"/>
        </w:rPr>
      </w:pPr>
    </w:p>
    <w:p w14:paraId="09F856C6" w14:textId="1725A580" w:rsidR="00D504CA" w:rsidRDefault="00D504CA" w:rsidP="009135E1">
      <w:pPr>
        <w:rPr>
          <w:rFonts w:eastAsia="Times New Roman" w:cs="Times New Roman"/>
          <w:szCs w:val="24"/>
        </w:rPr>
      </w:pPr>
    </w:p>
    <w:p w14:paraId="5A9B482E" w14:textId="122CF816" w:rsidR="00D504CA" w:rsidRDefault="00D504CA" w:rsidP="009135E1">
      <w:pPr>
        <w:rPr>
          <w:rFonts w:eastAsia="Times New Roman" w:cs="Times New Roman"/>
          <w:szCs w:val="24"/>
        </w:rPr>
      </w:pPr>
    </w:p>
    <w:p w14:paraId="623622A1" w14:textId="51DB74FF" w:rsidR="00D504CA" w:rsidRDefault="00D504CA" w:rsidP="009135E1">
      <w:pPr>
        <w:rPr>
          <w:rFonts w:eastAsia="Times New Roman" w:cs="Times New Roman"/>
          <w:szCs w:val="24"/>
        </w:rPr>
      </w:pPr>
    </w:p>
    <w:p w14:paraId="6B2433CD" w14:textId="66E41F27" w:rsidR="00D504CA" w:rsidRDefault="00D504CA" w:rsidP="009135E1">
      <w:pPr>
        <w:rPr>
          <w:rFonts w:eastAsia="Times New Roman" w:cs="Times New Roman"/>
          <w:szCs w:val="24"/>
        </w:rPr>
      </w:pPr>
    </w:p>
    <w:p w14:paraId="588C19B8" w14:textId="11C3A008" w:rsidR="00D504CA" w:rsidRDefault="00D504CA" w:rsidP="009135E1">
      <w:pPr>
        <w:rPr>
          <w:rFonts w:eastAsia="Times New Roman" w:cs="Times New Roman"/>
          <w:szCs w:val="24"/>
        </w:rPr>
      </w:pPr>
    </w:p>
    <w:p w14:paraId="18DF13DF" w14:textId="410A17FF" w:rsidR="00D504CA" w:rsidRDefault="00D504CA" w:rsidP="009135E1">
      <w:pPr>
        <w:rPr>
          <w:rFonts w:eastAsia="Times New Roman" w:cs="Times New Roman"/>
          <w:szCs w:val="24"/>
        </w:rPr>
      </w:pPr>
    </w:p>
    <w:p w14:paraId="3B475E24" w14:textId="3BF35003" w:rsidR="00D504CA" w:rsidRDefault="00D504CA" w:rsidP="009135E1">
      <w:pPr>
        <w:rPr>
          <w:rFonts w:eastAsia="Times New Roman" w:cs="Times New Roman"/>
          <w:szCs w:val="24"/>
        </w:rPr>
      </w:pPr>
    </w:p>
    <w:p w14:paraId="65EE4C99" w14:textId="01FD7DA6" w:rsidR="00D504CA" w:rsidRDefault="00D504CA" w:rsidP="009135E1">
      <w:pPr>
        <w:rPr>
          <w:rFonts w:eastAsia="Times New Roman" w:cs="Times New Roman"/>
          <w:szCs w:val="24"/>
        </w:rPr>
      </w:pPr>
    </w:p>
    <w:p w14:paraId="74CA0AA4" w14:textId="06071E69" w:rsidR="00D504CA" w:rsidRDefault="00D504CA" w:rsidP="009135E1">
      <w:pPr>
        <w:rPr>
          <w:rFonts w:eastAsia="Times New Roman" w:cs="Times New Roman"/>
          <w:szCs w:val="24"/>
        </w:rPr>
      </w:pPr>
    </w:p>
    <w:p w14:paraId="039CC5AE" w14:textId="77777777" w:rsidR="00D504CA" w:rsidRDefault="00D504CA" w:rsidP="009135E1">
      <w:pPr>
        <w:rPr>
          <w:rFonts w:eastAsia="Times New Roman" w:cs="Times New Roman"/>
          <w:szCs w:val="24"/>
        </w:rPr>
      </w:pPr>
    </w:p>
    <w:p w14:paraId="7C1FBC04" w14:textId="61FC8DB5" w:rsidR="009F4BE0" w:rsidRDefault="009F4BE0" w:rsidP="009F4BE0">
      <w:pPr>
        <w:jc w:val="left"/>
        <w:rPr>
          <w:rFonts w:eastAsia="Calibri" w:cs="Times New Roman"/>
          <w:color w:val="000000"/>
        </w:rPr>
      </w:pPr>
    </w:p>
    <w:p w14:paraId="687CF204" w14:textId="77777777" w:rsidR="009F4BE0" w:rsidRPr="00A10766" w:rsidRDefault="009F4BE0" w:rsidP="009F4BE0">
      <w:pPr>
        <w:pBdr>
          <w:top w:val="single" w:sz="4" w:space="1" w:color="auto"/>
        </w:pBdr>
        <w:jc w:val="left"/>
        <w:rPr>
          <w:rFonts w:eastAsia="Times New Roman" w:cs="Times New Roman"/>
          <w:szCs w:val="24"/>
        </w:rPr>
      </w:pPr>
      <w:r w:rsidRPr="00C76A78">
        <w:rPr>
          <w:rFonts w:eastAsia="Times New Roman" w:cs="Times New Roman"/>
          <w:szCs w:val="24"/>
        </w:rPr>
        <w:t>*Corresponding author</w:t>
      </w:r>
    </w:p>
    <w:p w14:paraId="13C0101A" w14:textId="0C99408B" w:rsidR="00D5094D" w:rsidRPr="000B3E08" w:rsidRDefault="002749C6" w:rsidP="00D6732C">
      <w:pPr>
        <w:pStyle w:val="Heading1"/>
        <w:numPr>
          <w:ilvl w:val="0"/>
          <w:numId w:val="0"/>
        </w:numPr>
        <w:ind w:left="432" w:hanging="432"/>
        <w:rPr>
          <w:color w:val="auto"/>
        </w:rPr>
      </w:pPr>
      <w:r w:rsidRPr="000B3E08">
        <w:rPr>
          <w:color w:val="auto"/>
        </w:rPr>
        <w:lastRenderedPageBreak/>
        <w:t>ABSTRACT</w:t>
      </w:r>
    </w:p>
    <w:p w14:paraId="0582C984" w14:textId="68B3B895" w:rsidR="00D94A95" w:rsidRPr="000B3E08" w:rsidRDefault="00D94A95" w:rsidP="005E0487">
      <w:pPr>
        <w:rPr>
          <w:rFonts w:cs="Times New Roman"/>
        </w:rPr>
      </w:pPr>
      <w:r w:rsidRPr="000B3E08">
        <w:rPr>
          <w:rFonts w:cs="Times New Roman"/>
        </w:rPr>
        <w:t xml:space="preserve">Safety literature has traditionally developed independent model systems for macroscopic and microscopic level analysis. The current research effort contributes to </w:t>
      </w:r>
      <w:r w:rsidR="002D5930" w:rsidRPr="000B3E08">
        <w:rPr>
          <w:rFonts w:cs="Times New Roman"/>
        </w:rPr>
        <w:t xml:space="preserve">the </w:t>
      </w:r>
      <w:r w:rsidRPr="000B3E08">
        <w:rPr>
          <w:rFonts w:cs="Times New Roman"/>
        </w:rPr>
        <w:t>literature on crash frequency by building a bridge between these two divergent streams of crash frequency research. The study proposes an integrated m</w:t>
      </w:r>
      <w:r w:rsidR="007818E0" w:rsidRPr="000B3E08">
        <w:rPr>
          <w:rFonts w:cs="Times New Roman"/>
        </w:rPr>
        <w:t>i</w:t>
      </w:r>
      <w:r w:rsidRPr="000B3E08">
        <w:rPr>
          <w:rFonts w:cs="Times New Roman"/>
        </w:rPr>
        <w:t>cro-m</w:t>
      </w:r>
      <w:r w:rsidR="007818E0" w:rsidRPr="000B3E08">
        <w:rPr>
          <w:rFonts w:cs="Times New Roman"/>
        </w:rPr>
        <w:t>a</w:t>
      </w:r>
      <w:r w:rsidRPr="000B3E08">
        <w:rPr>
          <w:rFonts w:cs="Times New Roman"/>
        </w:rPr>
        <w:t>cro level model for crash frequency estimation. Specifically, the study develops an integrated model system that allows for the influence of independent variables at the microscopic level to be incorporated within the macroscopic propensity estimation. The empirical analysis is based on the data drawn from 300 traffic analysis zones, 1,818 roadway segments, and 4,184 intersections from the City of Orlando, Florida for the years 2018 and 2019. The study considers a host of exogenous variables including roadway and traffic factors, land-use, built environment, and sociodemographic characteristics for the model estimation. The proposed model system can also accommodate for hierarchical correlations such as correlation between all segments or intersections in a zone. The study findings highlight the presence of common spatial unobserved factors influencing crash frequency across segment level and intersection level as well as presence of significant parameter variability across both micro and macro level in the crash frequency. The empirical analysis is further augmented by employing several goodness of fit and predictive measures. The results clearly demonstrate the improved performance offered by the proposed integrated m</w:t>
      </w:r>
      <w:r w:rsidR="007818E0" w:rsidRPr="000B3E08">
        <w:rPr>
          <w:rFonts w:cs="Times New Roman"/>
        </w:rPr>
        <w:t>i</w:t>
      </w:r>
      <w:r w:rsidRPr="000B3E08">
        <w:rPr>
          <w:rFonts w:cs="Times New Roman"/>
        </w:rPr>
        <w:t>cro-m</w:t>
      </w:r>
      <w:r w:rsidR="007818E0" w:rsidRPr="000B3E08">
        <w:rPr>
          <w:rFonts w:cs="Times New Roman"/>
        </w:rPr>
        <w:t>a</w:t>
      </w:r>
      <w:r w:rsidRPr="000B3E08">
        <w:rPr>
          <w:rFonts w:cs="Times New Roman"/>
        </w:rPr>
        <w:t>cro model relative to the non-integrated macro model. The overall model fit measures and interpretations encourage the application of the proposed model for crash frequency analysis.</w:t>
      </w:r>
    </w:p>
    <w:p w14:paraId="0368B902" w14:textId="77777777" w:rsidR="0033061E" w:rsidRPr="000B3E08" w:rsidRDefault="0033061E" w:rsidP="00E94461"/>
    <w:p w14:paraId="199636EE" w14:textId="7C281F77" w:rsidR="00D94A95" w:rsidRPr="000B3E08" w:rsidRDefault="00E94461" w:rsidP="00D94A95">
      <w:pPr>
        <w:rPr>
          <w:b/>
          <w:i/>
          <w:szCs w:val="24"/>
          <w:lang w:val="en-US"/>
        </w:rPr>
      </w:pPr>
      <w:r w:rsidRPr="000B3E08">
        <w:rPr>
          <w:b/>
        </w:rPr>
        <w:t>Keywords:</w:t>
      </w:r>
      <w:r w:rsidRPr="000B3E08">
        <w:t xml:space="preserve"> </w:t>
      </w:r>
      <w:r w:rsidR="00D94A95" w:rsidRPr="000B3E08">
        <w:rPr>
          <w:bCs/>
          <w:i/>
          <w:szCs w:val="24"/>
          <w:lang w:val="en-US"/>
        </w:rPr>
        <w:t>Crash frequency; Integrated m</w:t>
      </w:r>
      <w:r w:rsidR="00B7060E" w:rsidRPr="000B3E08">
        <w:rPr>
          <w:bCs/>
          <w:i/>
          <w:szCs w:val="24"/>
          <w:lang w:val="en-US"/>
        </w:rPr>
        <w:t>i</w:t>
      </w:r>
      <w:r w:rsidR="00D94A95" w:rsidRPr="000B3E08">
        <w:rPr>
          <w:bCs/>
          <w:i/>
          <w:szCs w:val="24"/>
          <w:lang w:val="en-US"/>
        </w:rPr>
        <w:t>cro-m</w:t>
      </w:r>
      <w:r w:rsidR="00B7060E" w:rsidRPr="000B3E08">
        <w:rPr>
          <w:bCs/>
          <w:i/>
          <w:szCs w:val="24"/>
          <w:lang w:val="en-US"/>
        </w:rPr>
        <w:t>a</w:t>
      </w:r>
      <w:r w:rsidR="00D94A95" w:rsidRPr="000B3E08">
        <w:rPr>
          <w:bCs/>
          <w:i/>
          <w:szCs w:val="24"/>
          <w:lang w:val="en-US"/>
        </w:rPr>
        <w:t>cro model; Comparison exercise; Unobserved effects.</w:t>
      </w:r>
    </w:p>
    <w:p w14:paraId="4B6E92EA" w14:textId="32C60767" w:rsidR="00E94461" w:rsidRPr="000B3E08" w:rsidRDefault="00E94461" w:rsidP="00E94461">
      <w:pPr>
        <w:rPr>
          <w:szCs w:val="24"/>
        </w:rPr>
      </w:pPr>
    </w:p>
    <w:p w14:paraId="6AA4112B" w14:textId="77777777" w:rsidR="00E94461" w:rsidRPr="000B3E08" w:rsidRDefault="00E94461">
      <w:pPr>
        <w:rPr>
          <w:szCs w:val="24"/>
        </w:rPr>
      </w:pPr>
    </w:p>
    <w:p w14:paraId="246F7183" w14:textId="313FE8E1" w:rsidR="00DA6A97" w:rsidRPr="000B3E08" w:rsidRDefault="00DA6A97">
      <w:pPr>
        <w:rPr>
          <w:szCs w:val="24"/>
        </w:rPr>
      </w:pPr>
    </w:p>
    <w:p w14:paraId="7BD5C20C" w14:textId="1CEE6E1F" w:rsidR="00DA6A97" w:rsidRPr="000B3E08" w:rsidRDefault="00DA6A97">
      <w:pPr>
        <w:rPr>
          <w:szCs w:val="24"/>
        </w:rPr>
      </w:pPr>
    </w:p>
    <w:p w14:paraId="02034BE5" w14:textId="3EE5E0D9" w:rsidR="00DA6A97" w:rsidRPr="000B3E08" w:rsidRDefault="00DA6A97">
      <w:pPr>
        <w:rPr>
          <w:szCs w:val="24"/>
        </w:rPr>
      </w:pPr>
    </w:p>
    <w:p w14:paraId="13EFBCCE" w14:textId="13DB196B" w:rsidR="00DA6A97" w:rsidRPr="000B3E08" w:rsidRDefault="00DA6A97">
      <w:pPr>
        <w:rPr>
          <w:szCs w:val="24"/>
        </w:rPr>
      </w:pPr>
    </w:p>
    <w:p w14:paraId="576AEC8B" w14:textId="1601F6EF" w:rsidR="00DA6A97" w:rsidRPr="000B3E08" w:rsidRDefault="00DA6A97">
      <w:pPr>
        <w:rPr>
          <w:szCs w:val="24"/>
        </w:rPr>
      </w:pPr>
    </w:p>
    <w:p w14:paraId="646ADD47" w14:textId="40AF069D" w:rsidR="00DA6A97" w:rsidRPr="000B3E08" w:rsidRDefault="00DA6A97">
      <w:pPr>
        <w:rPr>
          <w:szCs w:val="24"/>
        </w:rPr>
      </w:pPr>
    </w:p>
    <w:p w14:paraId="159D8493" w14:textId="3F6AF92D" w:rsidR="00DA6A97" w:rsidRPr="000B3E08" w:rsidRDefault="00DA6A97">
      <w:pPr>
        <w:rPr>
          <w:szCs w:val="24"/>
        </w:rPr>
      </w:pPr>
    </w:p>
    <w:p w14:paraId="05E61A27" w14:textId="12C6C0F4" w:rsidR="00DA6A97" w:rsidRPr="000B3E08" w:rsidRDefault="00DA6A97">
      <w:pPr>
        <w:rPr>
          <w:szCs w:val="24"/>
        </w:rPr>
      </w:pPr>
    </w:p>
    <w:p w14:paraId="6DE513A0" w14:textId="722AEB3D" w:rsidR="00DA6A97" w:rsidRPr="000B3E08" w:rsidRDefault="00DA6A97">
      <w:pPr>
        <w:rPr>
          <w:szCs w:val="24"/>
        </w:rPr>
      </w:pPr>
    </w:p>
    <w:p w14:paraId="738F884E" w14:textId="2606F23C" w:rsidR="00DA6A97" w:rsidRPr="000B3E08" w:rsidRDefault="00DA6A97">
      <w:pPr>
        <w:rPr>
          <w:szCs w:val="24"/>
        </w:rPr>
      </w:pPr>
    </w:p>
    <w:p w14:paraId="7387BD4A" w14:textId="0B3CA16C" w:rsidR="00DA6A97" w:rsidRPr="000B3E08" w:rsidRDefault="00DA6A97">
      <w:pPr>
        <w:rPr>
          <w:szCs w:val="24"/>
        </w:rPr>
      </w:pPr>
    </w:p>
    <w:p w14:paraId="30096F99" w14:textId="7A847FF4" w:rsidR="00DA6A97" w:rsidRPr="000B3E08" w:rsidRDefault="00DA6A97">
      <w:pPr>
        <w:rPr>
          <w:szCs w:val="24"/>
        </w:rPr>
      </w:pPr>
    </w:p>
    <w:p w14:paraId="482DAB3A" w14:textId="06493B07" w:rsidR="00DA6A97" w:rsidRPr="000B3E08" w:rsidRDefault="00DA6A97">
      <w:pPr>
        <w:rPr>
          <w:szCs w:val="24"/>
        </w:rPr>
      </w:pPr>
    </w:p>
    <w:p w14:paraId="426A3E28" w14:textId="6DA14B36" w:rsidR="00DA6A97" w:rsidRPr="000B3E08" w:rsidRDefault="00DA6A97">
      <w:pPr>
        <w:rPr>
          <w:szCs w:val="24"/>
        </w:rPr>
      </w:pPr>
    </w:p>
    <w:p w14:paraId="5FCF5219" w14:textId="3F89009F" w:rsidR="00DA6A97" w:rsidRPr="000B3E08" w:rsidRDefault="00DA6A97">
      <w:pPr>
        <w:rPr>
          <w:szCs w:val="24"/>
        </w:rPr>
      </w:pPr>
    </w:p>
    <w:p w14:paraId="6152F79C" w14:textId="5B3049A1" w:rsidR="00DA6A97" w:rsidRPr="000B3E08" w:rsidRDefault="00DA6A97">
      <w:pPr>
        <w:rPr>
          <w:szCs w:val="24"/>
        </w:rPr>
      </w:pPr>
    </w:p>
    <w:p w14:paraId="66858C23" w14:textId="2C5E1513" w:rsidR="005E0487" w:rsidRPr="000B3E08" w:rsidRDefault="005E0487">
      <w:pPr>
        <w:rPr>
          <w:szCs w:val="24"/>
        </w:rPr>
      </w:pPr>
    </w:p>
    <w:p w14:paraId="305B4522" w14:textId="3877EAEA" w:rsidR="005E0487" w:rsidRPr="000B3E08" w:rsidRDefault="005E0487">
      <w:pPr>
        <w:rPr>
          <w:szCs w:val="24"/>
        </w:rPr>
      </w:pPr>
    </w:p>
    <w:p w14:paraId="6B7BEA5F" w14:textId="77777777" w:rsidR="005E0487" w:rsidRPr="000B3E08" w:rsidRDefault="005E0487">
      <w:pPr>
        <w:rPr>
          <w:szCs w:val="24"/>
        </w:rPr>
      </w:pPr>
    </w:p>
    <w:p w14:paraId="0B06FB70" w14:textId="3C547711" w:rsidR="00AB0F0E" w:rsidRPr="000B3E08" w:rsidRDefault="00A307D0" w:rsidP="005E0487">
      <w:pPr>
        <w:pStyle w:val="Heading1"/>
        <w:rPr>
          <w:color w:val="auto"/>
        </w:rPr>
      </w:pPr>
      <w:r w:rsidRPr="000B3E08">
        <w:rPr>
          <w:color w:val="auto"/>
        </w:rPr>
        <w:lastRenderedPageBreak/>
        <w:t>BACKGROUND</w:t>
      </w:r>
    </w:p>
    <w:p w14:paraId="7EC35B36" w14:textId="2347F63B" w:rsidR="00D94A95" w:rsidRPr="000B3E08" w:rsidRDefault="00D94A95" w:rsidP="005E0487">
      <w:r w:rsidRPr="000B3E08">
        <w:rPr>
          <w:lang w:val="en-US"/>
        </w:rPr>
        <w:t xml:space="preserve">Statistical and econometric models are important tools for understanding the factors affecting crash occurrence and their consequences. These models allow policy makers and transportation professionals to recommend strategies that reduce crash occurrence and/or alleviate the consequences of crashes. Crash occurrence is traditionally examined as crash frequency while crash consequences are analyzed as crash severity. Crash frequency models are developed for a spatial unit (such as traffic analysis zone (TAZ), county, and city) </w:t>
      </w:r>
      <w:r w:rsidR="00D80B29" w:rsidRPr="000B3E08">
        <w:fldChar w:fldCharType="begin" w:fldLock="1"/>
      </w:r>
      <w:r w:rsidR="00D80B29" w:rsidRPr="000B3E08">
        <w:instrText>ADDIN CSL_CITATION {"citationItems":[{"id":"ITEM-1","itemData":{"DOI":"https://doi.org/10.1016/S0001-4575(03)00058-7","ISSN":"0001-4575","abstract":"This paper presents analyses of data from the Highway Safety Information System (HSIS) for the State of Illinois. Our analyses focuses on whether various changes in road network infrastructure and geometric design can be associated with changes in road fatalities and reported accidents. We also evaluate models that control for demographic changes. County-level time-series data is used and fixed effect negative binomial models are estimated. Results cannot confirm the hypothesis that changes in road infrastructure and geometric design have been beneficial for safety. Increases in the number of lanes appears to be associated with both increased traffic-related accidents and fatalities. Increased lane widths appears to be associated with increased fatalities. Increases in outside shoulder width appear to be associated with a decrease in accidents. Inclusion of demographic results does not significantly change these results but does capture much of the residual time trend in the models. Potentially mis-leading results are found when the time trend is not included. In this case a negative association between vertical curvature and both accidents and fatalities. No statistical association with changes in safety is found for median widths, inside shoulder widths, and horizontal and vertical curvature.","author":[{"dropping-particle":"","family":"Noland","given":"Robert B","non-dropping-particle":"","parse-names":false,"suffix":""},{"dropping-particle":"","family":"Oh","given":"Lyoong","non-dropping-particle":"","parse-names":false,"suffix":""}],"container-title":"Accident Analysis &amp; Prevention","id":"ITEM-1","issue":"4","issued":{"date-parts":[["2004"]]},"page":"525-532","title":"The effect of infrastructure and demographic change on traffic-related fatalities and crashes: a case study of Illinois county-level data","type":"article-journal","volume":"36"},"uris":["http://www.mendeley.com/documents/?uuid=cfdf77c1-c4d8-4345-bd06-7c0ae6b1d48b"]},{"id":"ITEM-2","itemData":{"DOI":"https://doi.org/10.1016/j.aap.2005.12.006","ISSN":"0001-4575","abstract":"Using injury and fatal crash data for Pennsylvania for 1996–2000, full Bayes (FB) hierarchical models (with spatial and temporal effects and space–time interactions) are compared to traditional negative binomial (NB) estimates of annual county-level crash frequency. Covariates include socio-demographics, weather conditions, transportation infrastructure and amount of travel. FB hierarchical models are generally consistent with the NB estimates. Counties with a higher percentage of the population under poverty level, higher percentage of their population in age groups 0–14, 15–24, and over 64 and those with increased road mileage and road density have significantly increased crash risk. Total precipitation is significant and positive in the NB models, but not significant with FB. Spatial correlation, time trend, and space–time interactions are significant in the FB injury crash models. County-level FB models reveal the existence of spatial correlation in crash data and provide a mechanism to quantify, and reduce the effect of, this correlation. Addressing spatial correlation is likely to be even more important in road segment and intersection-level crash models, where spatial correlation is likely to be even more pronounced.","author":[{"dropping-particle":"","family":"Aguero-Valverde","given":"Jonathan","non-dropping-particle":"","parse-names":false,"suffix":""},{"dropping-particle":"","family":"Jovanis","given":"Paul P","non-dropping-particle":"","parse-names":false,"suffix":""}],"container-title":"Accident Analysis &amp; Prevention","id":"ITEM-2","issue":"3","issued":{"date-parts":[["2006"]]},"page":"618-625","title":"Spatial analysis of fatal and injury crashes in Pennsylvania","type":"article-journal","volume":"38"},"uris":["http://www.mendeley.com/documents/?uuid=56fb9644-7d89-4145-bdb0-5f92651dc83c"]},{"id":"ITEM-3","itemData":{"DOI":"10.3141/2148-04","ISSN":"0361-1981","abstract":"An increasing research effort has been made on spatially disaggregated safety analysis models to meet the needs of region-level safety inspection and recently emerging transportation safety planning techniques. However, without explicitly differentiating exposure variables and risk factors, most existing studies alternate the use of crash frequency, crash rate, and crash risk to interpret model coefficients. This procedure may have resulted in the inconsistent findings in relevant studies. This study proposes a Bayesian spatial model to account for county-level variations of crash risk in Florida by explicitly controlling for exposure variables of daily vehicle miles traveled and population. A conditional autoregressive prior is specified to accommodate for the spatial autocorrelations of adjacent counties. The results show no significant difference in safety effects of risk factors on all crashes and severe crashes. Counties with higher traffic intensity and population density and a higher level of urbanization are associated with higher crash risk. Unlike arterials, freeways seem to be safer with respect to crash risk given either vehicle miles traveled or population. Increase in truck traffic volume tends to result in more severe crashes. The average travel time to work is negatively correlated with all types of crash risk. Regarding the population age cohort, the results suggest that young drivers tend to be involved in more crashes, whereas the increase in elderly population leads to fewer casualties. Finally, it is confirmed that the safety status is worse for more deprived areas with lower income and educational level and higher unemployment rate in comparison with relatively affluent areas.","author":[{"dropping-particle":"","family":"Huang","given":"Helai","non-dropping-particle":"","parse-names":false,"suffix":""},{"dropping-particle":"","family":"Abdel-Aty","given":"Mohamed A","non-dropping-particle":"","parse-names":false,"suffix":""},{"dropping-particle":"","family":"Darwiche","given":"Ali Lotfi","non-dropping-particle":"","parse-names":false,"suffix":""}],"container-title":"Transportation Research Record","id":"ITEM-3","issue":"1","issued":{"date-parts":[["2010","1","1"]]},"note":"doi: 10.3141/2148-04","page":"27-37","publisher":"SAGE Publications Inc","title":"County-Level Crash Risk Analysis in Florida: Bayesian Spatial Modeling","type":"article-journal","volume":"2148"},"uris":["http://www.mendeley.com/documents/?uuid=5b221e5e-f406-4983-a7b2-50245a2c589f"]},{"id":"ITEM-4","itemData":{"DOI":"10.3141/2213-04","ISSN":"0361-1981","abstract":"A transportation network is a conglomeration of road-traffic-environment modules and features multicategories of interdependent factors. This mix makes the management of safety in traffic analysis zones (TAZs) explicitly challenging. This study investigated the association between crash frequencies and various types of trip productions and attractions in combination with the road characteristics of 1,349 TAZs of four counties in the state of Florida. Crash safety management of these TAZs is emphasized through prioritizing them by examining the effects of trip and roadway factors on the aggregated crash frequencies. Models were developed separately for total crashes, severe crashes (fatal and severe injury crashes), total crashes during peak hours, and pedestrian- and bicycle-related crashes on the basis of various groups of estimators. It was found that the total crash model and the peak-hour crash model were best estimated by total trip productions and total trip attractions. The severe crash model was best fit by trip-related variables only, and the pedestrian- and bicycle-related crash model was best fit by road-related variables only. The results from this study pave the way for better safety management and the incorporation of safety measures in travel and network planning.","author":[{"dropping-particle":"","family":"Abdel-Aty","given":"Mohamed","non-dropping-particle":"","parse-names":false,"suffix":""},{"dropping-particle":"","family":"Siddiqui","given":"Chowdhury","non-dropping-particle":"","parse-names":false,"suffix":""},{"dropping-particle":"","family":"Huang","given":"Helai","non-dropping-particle":"","parse-names":false,"suffix":""},{"dropping-particle":"","family":"Wang","given":"Xuesong","non-dropping-particle":"","parse-names":false,"suffix":""}],"container-title":"Transportation Research Record","id":"ITEM-4","issue":"1","issued":{"date-parts":[["2011","1","1"]]},"note":"doi: 10.3141/2213-04","page":"20-28","publisher":"SAGE Publications Inc","title":"Integrating Trip and Roadway Characteristics to Manage Safety in Traffic Analysis Zones","type":"article-journal","volume":"2213"},"uris":["http://www.mendeley.com/documents/?uuid=b392051d-ed19-427f-8ddd-39300db0f047"]},{"id":"ITEM-5","itemData":{"DOI":"https://doi.org/10.1016/j.tra.2013.01.030","ISSN":"0965-8564","abstract":"A wide array of spatial units has been explored in macro-level modeling. With the advancement of Geographic Information System (GIS) analysts are able to analyze crashes for various geographical units. However, a clear guideline on which geographic entity should be chosen is not present. Macro level safety analysis is at the core of transportation safety planning (TSP) which in turn is a key in many aspects of policy and decision making of safety investments. The preference of spatial unit can vary with the dependent variable of the model. Or, for a specific dependent variable, models may be invariant to multiple spatial units by producing a similar goodness-of-fits. In this study three different crash models were investigated for traffic analysis zones (TAZs), block groups (BGs) and census tracts (CTs) of two counties in Florida. The models were developed for the total crashes, severe crashes and pedestrian crashes in this region. The primary objective of the study was to explore and investigate the effect of zonal variation (scale and zoning) on these specific types of crash models. These models were developed based on various roadway characteristics and census variables (e.g., land use, socio-economic, etc.). It was found that the significance of explanatory variables is not consistent among models based on different zoning systems. Although the difference in variable significance across geographic units was found, the results also show that the sign of the coefficients are reasonable and explainable in all models. Key findings of this study are, first, signs of coefficients are consistent if these variables are significant in models with same response variables, even if geographic units are different. Second, the number of significant variables is affected by response variables and also geographic units. Admittedly, TAZs are now the only traffic related zone system, thus TAZs are being widely used by transportation planners and frequently utilized in research related to macroscopic crash analysis. Nevertheless, considering that TAZs are not delineated for traffic crash analysis but they were designed for the long range transportation plans, TAZs might not be the optimal zone system for traffic crash modeling at the macroscopic level. Therefore, it recommended that other zone systems be explored for crash analysis as well.","author":[{"dropping-particle":"","family":"Abdel-Aty","given":"Mohamed","non-dropping-particle":"","parse-names":false,"suffix":""},{"dropping-particle":"","family":"Lee","given":"Jaeyoung","non-dropping-particle":"","parse-names":false,"suffix":""},{"dropping-particle":"","family":"Siddiqui","given":"Chowdhury","non-dropping-particle":"","parse-names":false,"suffix":""},{"dropping-particle":"","family":"Choi","given":"Keechoo","non-dropping-particle":"","parse-names":false,"suffix":""}],"container-title":"Transportation Research Part A: Policy and Practice","id":"ITEM-5","issued":{"date-parts":[["2013"]]},"page":"62-75","title":"Geographical unit based analysis in the context of transportation safety planning","type":"article-journal","volume":"49"},"uris":["http://www.mendeley.com/documents/?uuid=8b3a7c78-7521-432c-b91a-12e35a90f001"]},{"id":"ITEM-6","itemData":{"DOI":"10.1080/23249935.2017.1369469","ISSN":"2324-9935","author":[{"dropping-particle":"","family":"Yasmin","given":"Shamsunnahar","non-dropping-particle":"","parse-names":false,"suffix":""},{"dropping-particle":"","family":"Eluru","given":"Naveen","non-dropping-particle":"","parse-names":false,"suffix":""}],"container-title":"Transportmetrica A: Transport Science","id":"ITEM-6","issue":"3","issued":{"date-parts":[["2018","3","16"]]},"note":"doi: 10.1080/23249935.2017.1369469","page":"230-255","publisher":"Taylor &amp; Francis","title":"A joint econometric framework for modeling crash counts by severity","type":"article-journal","volume":"14"},"uris":["http://www.mendeley.com/documents/?uuid=7c091ccb-95a3-4d74-8e75-86668e9e8a50"]},{"id":"ITEM-7","itemData":{"DOI":"https://doi.org/10.1016/j.aap.2016.07.015","ISSN":"0001-4575","abstract":"The study contributes to literature on bicycle safety by building on the traditional count regression models to investigate factors affecting bicycle crashes at the Traffic Analysis Zone (TAZ) level. TAZ is a traffic related geographic entity which is most frequently used as spatial unit for macroscopic crash risk analysis. In conventional count models, the impact of exogenous factors is restricted to be the same across the entire region. However, it is possible that the influence of exogenous factors might vary across different TAZs. To accommodate for the potential variation in the impact of exogenous factors we formulate latent segmentation based count models. Specifically, we formulate and estimate latent segmentation based Poisson (LP) and latent segmentation based Negative Binomial (LNB) models to study bicycle crash counts. In our latent segmentation approach, we allow for more than two segments and also consider a large set of variables in segmentation and segment specific models. The formulated models are estimated using bicycle-motor vehicle crash data from the Island of Montreal and City of Toronto for the years 2006 through 2010. The TAZ level variables considered in our analysis include accessibility measures, exposure measures, sociodemographic characteristics, socioeconomic characteristics, road network characteristics and built environment. A policy analysis is also conducted to illustrate the applicability of the proposed model for planning purposes. This macro-level research would assist decision makers, transportation officials and community planners to make informed decisions to proactively improve bicycle safety – a prerequisite to promoting a culture of active transportation.","author":[{"dropping-particle":"","family":"Yasmin","given":"Shamsunnahar","non-dropping-particle":"","parse-names":false,"suffix":""},{"dropping-particle":"","family":"Eluru","given":"Naveen","non-dropping-particle":"","parse-names":false,"suffix":""}],"container-title":"Accident Analysis &amp; Prevention","id":"ITEM-7","issued":{"date-parts":[["2016"]]},"page":"157-171","title":"Latent segmentation based count models: Analysis of bicycle safety in Montreal and Toronto","type":"article-journal","volume":"95"},"uris":["http://www.mendeley.com/documents/?uuid=f0b2d158-550f-42cf-9c8f-8abb72ba7a4f"]},{"id":"ITEM-8","itemData":{"DOI":"https://doi.org/10.1016/j.amar.2018.02.001","ISSN":"2213-6657","abstract":"Unobserved heterogeneity across space, time, and crash type is often non-negligible in crash frequency modeling. When multiple crash types with spatial and temporal features are analyzed, multivariate spatio-temporal models should be considered. For this study, we analyzed the yearly county-level fatal, major injury, and minor injury crashes in Iowa from 2006 to 2015 using a multivariate spatio-temporal Bayesian model. The model adopted a multivariate spatial structure, a multivariate temporal structure, and a multivariate spatio-temporal interaction structure to account for possible correlations across injury severities over space, time, and spatio-temporal interaction, respectively. Income and weather indicators were found to have no significant effects on crash frequencies in the presence of vehicle miles traveled and unemployment rate. Both spatial and temporal effects were found to be important, and they played nearly the same roles for all three crash types in the studied dataset. Counties located in north and southwest Iowa were found to tend to have fewer crashes than the remaining counties. All three crash types generally showed descending trends from 2006 to 2015. They also had significantly positive correlations between each other in space but not in time. The crude crash rates and predicted crash rates were generally consistent for major injury and minor injury crashes but not for low-count fatal crashes. High-risk counties were identified using the posterior expected rank by the predicted crash cost rate, which was more able to truly represent the underlying traffic safety status than the rank by the crude crash cost rate.","author":[{"dropping-particle":"","family":"Liu","given":"Chenhui","non-dropping-particle":"","parse-names":false,"suffix":""},{"dropping-particle":"","family":"Sharma","given":"Anuj","non-dropping-particle":"","parse-names":false,"suffix":""}],"container-title":"Analytic Methods in Accident Research","id":"ITEM-8","issued":{"date-parts":[["2018"]]},"page":"14-31","title":"Using the multivariate spatio-temporal Bayesian model to analyze traffic crashes by severity","type":"article-journal","volume":"17"},"uris":["http://www.mendeley.com/documents/?uuid=4643ccb1-424e-4f24-8b28-42b73545737b"]},{"id":"ITEM-9","itemData":{"DOI":"https://doi.org/10.1016/j.amar.2019.100107","ISSN":"2213-6657","abstract":"In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Research","id":"ITEM-9","issued":{"date-parts":[["2019"]]},"page":"100107","title":"Do we need multivariate modeling approaches to model crash frequency by crash types? A panel mixed approach to modeling crash frequency by crash types","type":"article-journal","volume":"24"},"uris":["http://www.mendeley.com/documents/?uuid=10d57005-a1df-46a3-bead-e9f55664fa74"]},{"id":"ITEM-10","itemData":{"DOI":"https://doi.org/10.1016/j.amar.2019.100105","ISSN":"2213-6657","abstract":"This study applies mixture components in a multivariate random parameters spatial model for zonal crash counts. Three different modeling formulations are employed to demonstrate the effects of mixture components and spatial heterogeneity in the goodness-of-fit in a multivariate random parameter model. The models are built for injury (i.e., possible, non-incapacitating, incapacitating, and fatal injury) and non-injury crashes using the data from 738 traffic analysis zones (TAZs) in Hillsborough County of Florida during a three-year period. The Deviance Information Criteria (DIC) is used to evaluate the performances of these models indicate the proposed model outperforms the rests. According to the estimated results, various traffic-related, demographics, and socioeconomic factors affect the occurrences of crashes for different severity levels. With regard to the effect of mixture components, it identifies two homogeneous sub-classes labeled as “stable pattern” and “unstable pattern” to better capture the heterogeneity. The standard deviation (SD) and correlation across injury and non-injury crashes are both very high in the “stable pattern” compared with its “unstable pattern” counterpart. On the other hand, the results of model comparison reveal that: (i) adding one more mixture component has no significant influences on the spatial heterogeneity and spatial correlation of different kinds of crash frequency and (ii) the consideration of spatial effects improves the accuracy of estimate results. Moreover, the multivariate random parameters spatial model with mixture components was compared with its univariate form to highlight the validity of applying multivariate structure.","author":[{"dropping-particle":"","family":"Huang","given":"Helai","non-dropping-particle":"","parse-names":false,"suffix":""},{"dropping-particle":"","family":"Chang","given":"Fangrong","non-dropping-particle":"","parse-names":false,"suffix":""},{"dropping-particle":"","family":"Zhou","given":"Hanchu","non-dropping-particle":"","parse-names":false,"suffix":""},{"dropping-particle":"","family":"Lee","given":"Jaeyoung","non-dropping-particle":"","parse-names":false,"suffix":""}],"container-title":"Analytic Methods in Accident Research","id":"ITEM-10","issued":{"date-parts":[["2019"]]},"page":"100105","title":"Modeling unobserved heterogeneity for zonal crash frequencies: A Bayesian multivariate random-parameters model with mixture components for spatially correlated data","type":"article-journal","volume":"24"},"uris":["http://www.mendeley.com/documents/?uuid=2db1508a-9faa-4016-94d1-83f83bf2b4ce"]},{"id":"ITEM-11","itemData":{"DOI":"https://doi.org/10.1016/j.amar.2019.01.002","ISSN":"2213-6657","abstract":"Unobserved heterogeneity, which has been recognized as a critical issue in crash frequency modelling, generates from multiple sources, including observable and unobservable factors, space and time instability, crash severities, etc. However, only a very limited body of research is dedicated to distinguish and simultaneously address all these sources of unobserved heterogeneity. In this study, hierarchical Bayesian random parameters models with various spatiotemporal interactions are developed to address this issue. Selected for analysis are the yearly county-level alcohol/drug impaired-driving related crash counts data of three different injury severities including minor injury, major injury, and fatal injury in Idaho from 2010 to 2015. The variables, including daily vehicle miles traveled (DVMT), the proportion of male (MALE), unemployment rate (UR), and the percentage of drivers of 25 years and older with a bachelor's degree or higher (BD), are found to have significant impacts on crash frequency and be normally distributed in certain crash severities. Significant temporal and spatial heterogenous effects are also detected in all three crash severities. These empirical results support the incorporation of temporal and spatial heterogeneity in random parameters models.","author":[{"dropping-particle":"","family":"Li","given":"Zhenning","non-dropping-particle":"","parse-names":false,"suffix":""},{"dropping-particle":"","family":"Chen","given":"Xiaofeng","non-dropping-particle":"","parse-names":false,"suffix":""},{"dropping-particle":"","family":"Ci","given":"Yusheng","non-dropping-particle":"","parse-names":false,"suffix":""},{"dropping-particle":"","family":"Chen","given":"Cong","non-dropping-particle":"","parse-names":false,"suffix":""},{"dropping-particle":"","family":"Zhang","given":"Guohui","non-dropping-particle":"","parse-names":false,"suffix":""}],"container-title":"Analytic Methods in Accident Research","id":"ITEM-11","issued":{"date-parts":[["2019"]]},"page":"44-61","title":"A hierarchical Bayesian spatiotemporal random parameters approach for alcohol/drug impaired-driving crash frequency analysis","type":"article-journal","volume":"21"},"uris":["http://www.mendeley.com/documents/?uuid=ac1383a5-ef23-4c0a-942f-9d22ea156815"]},{"id":"ITEM-12","itemData":{"DOI":"10.1080/23249935.2018.1564801","ISSN":"2324-9935","author":[{"dropping-particle":"","family":"Soroori","given":"Emad","non-dropping-particle":"","parse-names":false,"suffix":""},{"dropping-particle":"","family":"Mohammadzadeh Moghaddam","given":"Abolfazl","non-dropping-particle":"","parse-names":false,"suffix":""},{"dropping-particle":"","family":"Salehi","given":"Mahdi","non-dropping-particle":"","parse-names":false,"suffix":""}],"container-title":"Transportmetrica A: Transport Science","id":"ITEM-12","issue":"2","issued":{"date-parts":[["2019","11","29"]]},"note":"doi: 10.1080/23249935.2018.1564801","page":"1102-1123","publisher":"Taylor &amp; Francis","title":"Application of local conditional autoregressive models for development of zonal crash prediction models and identification of crash risk boundaries","type":"article-journal","volume":"15"},"uris":["http://www.mendeley.com/documents/?uuid=628fbe05-0c9f-482b-b5ce-95649c103579"]},{"id":"ITEM-13","itemData":{"DOI":"DOI: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Hindawi","id":"ITEM-13","issued":{"date-parts":[["2020"]]},"page":"1-13","title":"Random-Parameter Multivariate Negative Binomial Regression for Modeling Impacts of Contributing Factors on the Crash Frequency by Crash Types","type":"article-journal"},"uris":["http://www.mendeley.com/documents/?uuid=cdbf3a30-fdf6-4917-b233-0595b70ecb59"]},{"id":"ITEM-14","itemData":{"DOI":"https://doi.org/10.1016/j.aap.2018.10.009","ISSN":"0001-4575","abstract":"Conventional safety models rely on the assumption of independence of crash data, which is frequently violated. This study develops a novel multivariate conditional autoregressive (MVCAR) model to account for the spatial autocorrelation of neighboring sites and the inherent correlation across different crash types. Manhattan, which is the most densely populated urban area of New York City, is used as the study area. Census tracts are used as the basic geographic units to capture crash, transportation, land use, and demo-economic data. The specification of the proposed multivariate model allows for jointly modeling counts of various crash types that are classified according to injury severity. Results of Moran’s I tests show the ability of the MVCAR model to capture the multivariate spatial autocorrelation among different crash types. The MVCAR model is found to outperform the others by presenting the lowest deviance information criterion (DIC) value. It is also found that the unobserved heterogeneity was mostly attributed to spatial factors instead of non-spatial ones and there is a strong shared geographical pattern of risk among different crash types.","author":[{"dropping-particle":"","family":"Xie","given":"Kun","non-dropping-particle":"","parse-names":false,"suffix":""},{"dropping-particle":"","family":"Ozbay","given":"Kaan","non-dropping-particle":"","parse-names":false,"suffix":""},{"dropping-particle":"","family":"Yang","given":"Hong","non-dropping-particle":"","parse-names":false,"suffix":""}],"container-title":"Accident Analysis &amp; Prevention","id":"ITEM-14","issued":{"date-parts":[["2019"]]},"page":"189-198","title":"A multivariate spatial approach to model crash counts by injury severity","type":"article-journal","volume":"122"},"uris":["http://www.mendeley.com/documents/?uuid=313f3d4d-e004-47d8-99db-335112c8cb04"]},{"id":"ITEM-15","itemData":{"DOI":"10.1080/23249935.2019.1652867","ISSN":"2324-9935","author":[{"dropping-particle":"","family":"Zeng","given":"Qiang","non-dropping-particle":"","parse-names":false,"suffix":""},{"dropping-particle":"","family":"Guo","given":"Qiang","non-dropping-particle":"","parse-names":false,"suffix":""},{"dropping-particle":"","family":"Wong","given":"S C","non-dropping-particle":"","parse-names":false,"suffix":""},{"dropping-particle":"","family":"Wen","given":"Huiying","non-dropping-particle":"","parse-names":false,"suffix":""},{"dropping-particle":"","family":"Huang","given":"Heilai","non-dropping-particle":"","parse-names":false,"suffix":""},{"dropping-particle":"","family":"Pei","given":"Xin","non-dropping-particle":"","parse-names":false,"suffix":""}],"container-title":"Transportmetrica A: Transport Science","id":"ITEM-15","issue":"2","issued":{"date-parts":[["2019","11","29"]]},"note":"doi: 10.1080/23249935.2019.1652867","page":"1867-1884","publisher":"Taylor &amp; Francis","title":"Jointly modeling area-level crash rates by severity: a Bayesian multivariate random-parameters spatio-temporal Tobit regression","type":"article-journal","volume":"15"},"uris":["http://www.mendeley.com/documents/?uuid=acf3bdbb-7f9d-4ff9-ba63-513fbe40e25b"]},{"id":"ITEM-16","itemData":{"DOI":"10.1080/19439962.2018.1525631","ISSN":"1943-9962","author":[{"dropping-particle":"","family":"Cheng","given":"Wen","non-dropping-particle":"","parse-names":false,"suffix":""},{"dropping-particle":"","family":"Gill","given":"Gurdiljot Singh","non-dropping-particle":"","parse-names":false,"suffix":""},{"dropping-particle":"","family":"Zhou","given":"Jiao","non-dropping-particle":"","parse-names":false,"suffix":""},{"dropping-particle":"","family":"Ensch","given":"John L","non-dropping-particle":"","parse-names":false,"suffix":""},{"dropping-particle":"","family":"Kwong","given":"Jerry","non-dropping-particle":"","parse-names":false,"suffix":""},{"dropping-particle":"","family":"Jia","given":"Xudong","non-dropping-particle":"","parse-names":false,"suffix":""}],"container-title":"Journal of Transportation Safety &amp; Security","id":"ITEM-16","issue":"5","issued":{"date-parts":[["2020","5","27"]]},"note":"doi: 10.1080/19439962.2018.1525631","page":"628-652","publisher":"Taylor &amp; Francis","title":"Alternative multivariate multimodal crash frequency models","type":"article-journal","volume":"12"},"uris":["http://www.mendeley.com/documents/?uuid=29531952-8ac6-44fe-8174-54685f78856b"]},{"id":"ITEM-17","itemData":{"DOI":"https://doi.org/10.1016/j.amar.2021.100163","ISSN":"2213-6657","abstract":"This study aims to rank high crash risk areas and measure the impacts of accessibility and other spatial and socio-economic factors on county-level crash severities while controlling for spatial and temporal unobserved effects. Among other insights, the results suggest that primary roadway density is positively associated with all crash severities. Contrary, intersection density is negatively associated with injury and no injury crashes. Furthermore, school density and rates of driving under the influence are both positively associated with no injury crashes. Additionally, the mean travel time to the hospital is positively associated, while urbanity is negatively associated with fatal crashes. Unobserved effects due to unstructured random effect terms are significant and contribute to the model’s overall goodness of fit. The within-area correlation among crash severities is positive and non-negligible. From a temporal perspective, both fatal and no injury crashes have decreasing trends. However, no clear pattern for injury crashes is observed across the years. From a spatial perspective, extreme high and low crash risk counties are identified throughout the study area with no clear observed patterns of clustering or dispersion.","author":[{"dropping-particle":"","family":"Azimian","given":"Amin","non-dropping-particle":"","parse-names":false,"suffix":""},{"dropping-particle":"","family":"Dimitra Pyrialakou","given":"V","non-dropping-particle":"","parse-names":false,"suffix":""},{"dropping-particle":"","family":"Lavrenz","given":"Steven","non-dropping-particle":"","parse-names":false,"suffix":""},{"dropping-particle":"","family":"Wen","given":"Sijin","non-dropping-particle":"","parse-names":false,"suffix":""}],"container-title":"Analytic Methods in Accident Research","id":"ITEM-17","issued":{"date-parts":[["2021"]]},"page":"100163","title":"Exploring the effects of area-level factors on traffic crash frequency by severity using multivariate space-time models","type":"article-journal","volume":"31"},"uris":["http://www.mendeley.com/documents/?uuid=899cf0b4-dd82-47e4-9fc5-68517f5d39c2"]},{"id":"ITEM-18","itemData":{"DOI":"https://doi.org/10.1016/j.amar.2021.100167","ISSN":"2213-6657","abstract":"In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author":[{"dropping-particle":"","family":"Bhowmik","given":"Tanmoy","non-dropping-particle":"","parse-names":false,"suffix":""},{"dropping-particle":"","family":"Rahman","given":"Moshiur","non-dropping-particle":"","parse-names":false,"suffix":""},{"dropping-particle":"","family":"Yasmin","given":"Shamsunnahar","non-dropping-particle":"","parse-names":false,"suffix":""},{"dropping-particle":"","family":"Eluru","given":"Naveen","non-dropping-particle":"","parse-names":false,"suffix":""}],"container-title":"Analytic Methods in Accident Research","id":"ITEM-18","issued":{"date-parts":[["2021"]]},"page":"100167","title":"Exploring analytical, simulation-based, and hybrid model structures for multivariate crash frequency modeling","type":"article-journal","volume":"31"},"uris":["http://www.mendeley.com/documents/?uuid=d3f55450-fd3f-4f7b-86ca-8c685e1abe6a"]},{"id":"ITEM-19","itemData":{"DOI":"https://doi.org/10.1016/j.aap.2021.106018","ISSN":"0001-4575","abstract":"Although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author":[{"dropping-particle":"","family":"Cui","given":"Haipeng","non-dropping-particle":"","parse-names":false,"suffix":""},{"dropping-particle":"","family":"Xie","given":"Kun","non-dropping-particle":"","parse-names":false,"suffix":""}],"container-title":"Accident Analysis &amp; Prevention","id":"ITEM-19","issued":{"date-parts":[["2021"]]},"page":"106018","title":"An accelerated hierarchical Bayesian crash frequency model with accommodation of spatiotemporal interactions","type":"article-journal","volume":"153"},"uris":["http://www.mendeley.com/documents/?uuid=b4e0c26d-e01e-4722-b34d-d1d01f7a8eb7"]}],"mendeley":{"formattedCitation":"(Abdel-Aty et al., 2013, 2011; Aguero-Valverde and Jovanis, 2006; Azimian et al., 2021; Bhowmik et al., 2021, 2019; Cheng et al., 2020; Cui and Xie, 2021; Huang et al., 2019, 2010; Li et al., 2019; Liu and Sharma, 2018; Noland and Oh, 2004; Soroori et al., 2019; Wang et al., 2020; Xie et al., 2019; Yasmin and Eluru, 2018, 2016; Zeng et al., 2019)","plainTextFormattedCitation":"(Abdel-Aty et al., 2013, 2011; Aguero-Valverde and Jovanis, 2006; Azimian et al., 2021; Bhowmik et al., 2021, 2019; Cheng et al., 2020; Cui and Xie, 2021; Huang et al., 2019, 2010; Li et al., 2019; Liu and Sharma, 2018; Noland and Oh, 2004; Soroori et al., 2019; Wang et al., 2020; Xie et al., 2019; Yasmin and Eluru, 2018, 2016; Zeng et al., 2019)","previouslyFormattedCitation":"(Abdel-Aty et al., 2013, 2011; Aguero-Valverde and Jovanis, 2006; Azimian et al., 2021; Bhowmik et al., 2021, 2019; Cheng et al., 2020; Cui and Xie, 2021; Huang et al., 2019, 2010; Li et al., 2019; Liu and Sharma, 2018; Noland and Oh, 2004; Soroori et al., 2019; Wang et al., 2020; Xie et al., 2019; Yasmin and Eluru, 2018, 2016; Zeng et al., 2019)"},"properties":{"noteIndex":0},"schema":"https://github.com/citation-style-language/schema/raw/master/csl-citation.json"}</w:instrText>
      </w:r>
      <w:r w:rsidR="00D80B29" w:rsidRPr="000B3E08">
        <w:fldChar w:fldCharType="separate"/>
      </w:r>
      <w:r w:rsidR="00D80B29" w:rsidRPr="000B3E08">
        <w:rPr>
          <w:noProof/>
        </w:rPr>
        <w:t>(Abdel-Aty et al., 2013; Bhowmik et al., 2021</w:t>
      </w:r>
      <w:r w:rsidR="007B4A79">
        <w:rPr>
          <w:noProof/>
        </w:rPr>
        <w:t>a</w:t>
      </w:r>
      <w:r w:rsidR="00D80B29" w:rsidRPr="000B3E08">
        <w:rPr>
          <w:noProof/>
        </w:rPr>
        <w:t xml:space="preserve">, </w:t>
      </w:r>
      <w:r w:rsidR="007B4A79">
        <w:rPr>
          <w:noProof/>
        </w:rPr>
        <w:t>2021b,</w:t>
      </w:r>
      <w:r w:rsidR="00DC1E1E">
        <w:rPr>
          <w:noProof/>
        </w:rPr>
        <w:t xml:space="preserve"> </w:t>
      </w:r>
      <w:r w:rsidR="00D80B29" w:rsidRPr="000B3E08">
        <w:rPr>
          <w:noProof/>
        </w:rPr>
        <w:t>2019; Yasmin and Eluru, 2018, 2016; Zeng et al., 2019)</w:t>
      </w:r>
      <w:r w:rsidR="00D80B29" w:rsidRPr="000B3E08">
        <w:fldChar w:fldCharType="end"/>
      </w:r>
      <w:r w:rsidR="00D80B29" w:rsidRPr="000B3E08">
        <w:t xml:space="preserve"> </w:t>
      </w:r>
      <w:r w:rsidRPr="000B3E08">
        <w:rPr>
          <w:lang w:val="en-US"/>
        </w:rPr>
        <w:t>or a facility (such as a segment or intersection)</w:t>
      </w:r>
      <w:r w:rsidR="00D80B29" w:rsidRPr="000B3E08">
        <w:rPr>
          <w:lang w:val="en-US"/>
        </w:rPr>
        <w:t xml:space="preserve"> </w:t>
      </w:r>
      <w:r w:rsidR="00D80B29" w:rsidRPr="000B3E08">
        <w:fldChar w:fldCharType="begin" w:fldLock="1"/>
      </w:r>
      <w:r w:rsidR="00D80B29" w:rsidRPr="000B3E08">
        <w:instrText>ADDIN CSL_CITATION {"citationItems":[{"id":"ITEM-1","itemData":{"DOI":"10.3141/1897-03","ISSN":"0361-1981","abstract":"A study was done to develop macrolevel crash prediction models that can be used to understand and identify effective countermeasures for improving signalized highway intersections and multilane stop-controlled highway intersections in rural areas. Poisson and negative binomial regression models were fit to intersection crash data from Georgia, California, and Michigan. To assess the suitability of the models, several goodness-of-fit measures were computed. The statistical models were then used to shed light on the relationships between crash occurrence and traffic and geometric features of the rural signalized intersections. The results revealed that traffic flow variables significantly affected the overall safety performance of the intersections regardless of intersection type and that the geometric features of intersections varied across intersection type and also influenced crash type.","author":[{"dropping-particle":"","family":"Oh","given":"Jutaek","non-dropping-particle":"","parse-names":false,"suffix":""},{"dropping-particle":"","family":"Washington","given":"Simon","non-dropping-particle":"","parse-names":false,"suffix":""},{"dropping-particle":"","family":"Choi","given":"Keechoo","non-dropping-particle":"","parse-names":false,"suffix":""}],"container-title":"Transportation Research Record","id":"ITEM-1","issue":"1","issued":{"date-parts":[["2004","1","1"]]},"note":"doi: 10.3141/1897-03","page":"18-27","publisher":"SAGE Publications Inc","title":"Development of Accident Prediction Models for Rural Highway Intersections","type":"article-journal","volume":"1897"},"uris":["http://www.mendeley.com/documents/?uuid=bd05085d-01b3-4f33-b723-242c21d3faac"]},{"id":"ITEM-2","itemData":{"DOI":"https://doi.org/10.1016/j.aap.2006.04.017","ISSN":"0001-4575","abstract":"Crash prediction models are used for a variety of purposes including forecasting the expected future performance of various transportation system segments with similar traits. The influence of intersection features on safety have been examined extensively because intersections experience a relatively large proportion of motor vehicle conflicts and crashes compared to other segments in the transportation system. The effects of left-turn lanes at intersections in particular have seen mixed results in the literature. Some researchers have found that left-turn lanes are beneficial to safety while others have reported detrimental effects on safety. This inconsistency is not surprising given that the installation of left-turn lanes is often endogenous, that is, influenced by crash counts and/or traffic volumes. Endogeneity creates problems in econometric and statistical models and is likely to account for the inconsistencies reported in the literature. This paper reports on a limited-information maximum likelihood (LIML) estimation approach to compensate for endogeneity between left-turn lane presence and angle crashes. The effects of endogeneity are mitigated using the approach, revealing the unbiased effect of left-turn lanes on crash frequency for a dataset of Georgia intersections. The research shows that without accounting for endogeneity, left-turn lanes ‘appear’ to contribute to crashes; however, when endogeneity is accounted for in the model, left-turn lanes reduce angle crash frequencies as expected by engineering judgment. Other endogenous variables may lurk in crash models as well, suggesting that the method may be used to correct simultaneity problems with other variables and in other transportation modeling contexts.","author":[{"dropping-particle":"","family":"Kim","given":"Do-Gyeong","non-dropping-particle":"","parse-names":false,"suffix":""},{"dropping-particle":"","family":"Washington","given":"Simon","non-dropping-particle":"","parse-names":false,"suffix":""}],"container-title":"Accident Analysis &amp; Prevention","id":"ITEM-2","issue":"6","issued":{"date-parts":[["2006"]]},"page":"1094-1100","title":"The significance of endogeneity problems in crash models: An examination of left-turn lanes in intersection crash models","type":"article-journal","volume":"38"},"uris":["http://www.mendeley.com/documents/?uuid=03280fdd-1f0e-4de1-b926-6efda5169934"]},{"id":"ITEM-3","itemData":{"DOI":"10.1016/j.aap.2006.06.011","ISSN":"0001-4575 (Print)","PMID":"16925978","abstract":"It is important to examine the nature of the relationships between roadway,  environmental, and traffic factors and motor vehicle crashes, with the aim to improve the collective understanding of causal mechanisms involved in crashes and to better predict their occurrence. Statistical models of motor vehicle crashes are one path of inquiry often used to gain these initial insights. Recent efforts have focused on the estimation of negative binomial and Poisson regression models (and related deviants) due to their relatively good fit to crash data. Of course analysts constantly seek methods that offer greater consistency with the data generating mechanism (motor vehicle crashes in this case), provide better statistical fit, and provide insight into data structure that was previously unavailable. One such opportunity exists with some types of crash data, in particular crash-level data that are collected across roadway segments, intersections, etc. It is argued in this paper that some crash data possess hierarchical structure that has not routinely been exploited. This paper describes the application of binomial multilevel models of crash types using 548 motor vehicle crashes collected from 91 two-lane rural intersections in the state of Georgia. Crash prediction models are estimated for angle, rear-end, and sideswipe (both same direction and opposite direction) crashes. The contributions of the paper are the realization of hierarchical data structure and the application of a theoretically appealing and suitable analysis approach for multilevel data, yielding insights into intersection-related crashes by crash type.","author":[{"dropping-particle":"","family":"Kim","given":"Do-Gyeong","non-dropping-particle":"","parse-names":false,"suffix":""},{"dropping-particle":"","family":"Lee","given":"Yuhwa","non-dropping-particle":"","parse-names":false,"suffix":""},{"dropping-particle":"","family":"Washington","given":"Simon","non-dropping-particle":"","parse-names":false,"suffix":""},{"dropping-particle":"","family":"Choi","given":"Keechoo","non-dropping-particle":"","parse-names":false,"suffix":""}],"container-title":"Accident; analysis and prevention","id":"ITEM-3","issue":"1","issued":{"date-parts":[["2007","1"]]},"language":"eng","page":"125-134","publisher-place":"England","title":"Modeling crash outcome probabilities at rural intersections: application of  hierarchical binomial logistic models.","type":"article-journal","volume":"39"},"uris":["http://www.mendeley.com/documents/?uuid=47e77d86-c0fb-4c5a-83dd-e1147275784f"]},{"id":"ITEM-4","itemData":{"DOI":"10.3141/2061-07","ISSN":"0361-1981","abstract":"Despite the evident spatial character of road crashes, limited research has been conducted in road safety analysis to account for spatial correlation; further, the practical consequences of this omission are largely unknown. The purpose of this research is to explore the effect of spatial correlation in models of road crash frequency at the segment level. Different segment neighboring structures are tested to establish the most appropriate one in the context of modeling crash frequency in road networks. A full Bayes hierarchical approach is used with conditional autoregressive effects for the spatial correlation terms. Analysis of crash, traffic, and roadway inventory data from a rural county in Pennsylvania indicates the importance of including spatial correlation in road crash models. The models with spatial correlation show significantly better fit to the data than the Poisson lognormal model with only heterogeneity. Parameters significantly different from zero included annual average daily traffic (AADT) and shoulder widths less than 4 ft and between 6 and 10 ft. In four models with spatial correlation, goodness of fit was improved compared with the model including only heterogeneity. More important yet is the potential of spatial correlation to reduce the bias associated with model misspecification, as shown by the change in the estimate of the AADT coefficient and other parameters.","author":[{"dropping-particle":"","family":"Aguero-Valverde","given":"Jonathan","non-dropping-particle":"","parse-names":false,"suffix":""},{"dropping-particle":"","family":"Jovanis","given":"Paul P","non-dropping-particle":"","parse-names":false,"suffix":""}],"container-title":"Transportation Research Record","id":"ITEM-4","issue":"1","issued":{"date-parts":[["2008","1","1"]]},"note":"doi: 10.3141/2061-07","page":"55-63","publisher":"SAGE Publications Inc","title":"Analysis of Road Crash Frequency with Spatial Models","type":"article-journal","volume":"2061"},"uris":["http://www.mendeley.com/documents/?uuid=b6660d64-92fa-4db5-a282-9bc043db8b2a"]},{"id":"ITEM-5","itemData":{"DOI":"https://doi.org/10.1016/j.ssci.2008.06.007","ISSN":"0925-7535","abstract":"Safety at roadway intersections is of significant interest to transportation professionals due to the large number of intersections in transportation networks, the complexity of traffic movements at these locations that leads to large numbers of conflicts, and the wide variety of geometric and operational features that define them. A variety of collision types including head-on, sideswipe, rear-end, and angle crashes occur at intersections. While intersection crash totals may not reveal a site deficiency, over exposure of a specific crash type may reveal otherwise undetected deficiencies. Thus, there is a need to be able to model the expected frequency of crashes by collision type at intersections to enable the detection of problems and the implementation of effective design strategies and countermeasures. Statistically, it is important to consider modeling collision type frequencies simultaneously to account for the possibility of common unobserved factors affecting crash frequencies across crash types. In this paper, a simultaneous equations model of crash frequencies by collision type is developed and presented using crash data for rural intersections in Georgia. The model estimation results support the notion of the presence of significant common unobserved factors across crash types, although the impact of these factors on parameter estimates is found to be rather modest.","author":[{"dropping-particle":"","family":"Ye","given":"Xin","non-dropping-particle":"","parse-names":false,"suffix":""},{"dropping-particle":"","family":"Pendyala","given":"Ram M","non-dropping-particle":"","parse-names":false,"suffix":""},{"dropping-particle":"","family":"Washington","given":"Simon P","non-dropping-particle":"","parse-names":false,"suffix":""},{"dropping-particle":"","family":"Konduri","given":"Karthik","non-dropping-particle":"","parse-names":false,"suffix":""},{"dropping-particle":"","family":"Oh","given":"Jutaek","non-dropping-particle":"","parse-names":false,"suffix":""}],"container-title":"Safety Science","id":"ITEM-5","issue":"3","issued":{"date-parts":[["2009"]]},"page":"443-452","title":"A simultaneous equations model of crash frequency by collision type for rural intersections","type":"article-journal","volume":"47"},"uris":["http://www.mendeley.com/documents/?uuid=fce8047e-9a59-437c-bd56-395a11ed9970"]},{"id":"ITEM-6","itemData":{"DOI":"https://doi.org/10.1016/j.aap.2014.04.018","ISSN":"0001-4575","abstract":"Crash data are collected through police reports and integrated with road inventory data for further analysis. Integrated police reports and inventory data yield correlated multivariate data for roadway entities (e.g., segments or intersections). Analysis of such data reveals important relationships that can help focus on high-risk situations and coming up with safety countermeasures. To understand relationships between crash frequencies and associated variables, while taking full advantage of the available data, multivariate random-parameters models are appropriate since they can simultaneously consider the correlation among the specific crash types and account for unobserved heterogeneity. However, a key issue that arises with correlated multivariate data is the number of crash-free samples increases, as crash counts have many categories. In this paper, we describe a multivariate random-parameters zero-inflated negative binomial (MRZINB) regression model for jointly modeling crash counts. The full Bayesian method is employed to estimate the model parameters. Crash frequencies at urban signalized intersections in Tennessee are analyzed. The paper investigates the performance of MZINB and MRZINB regression models in establishing the relationship between crash frequencies, pavement conditions, traffic factors, and geometric design features of roadway intersections. Compared to the MZINB model, the MRZINB model identifies additional statistically significant factors and provides better goodness of fit in developing the relationships. The empirical results show that MRZINB model possesses most of the desirable statistical properties in terms of its ability to accommodate unobserved heterogeneity and excess zero counts in correlated data. Notably, in the random-parameters MZINB model, the estimated parameters vary significantly across intersections for different crash types.","author":[{"dropping-particle":"","family":"Dong","given":"Chunjiao","non-dropping-particle":"","parse-names":false,"suffix":""},{"dropping-particle":"","family":"Clarke","given":"David B","non-dropping-particle":"","parse-names":false,"suffix":""},{"dropping-particle":"","family":"Yan","given":"Xuedong","non-dropping-particle":"","parse-names":false,"suffix":""},{"dropping-particle":"","family":"Khattak","given":"Asad","non-dropping-particle":"","parse-names":false,"suffix":""},{"dropping-particle":"","family":"Huang","given":"Baoshan","non-dropping-particle":"","parse-names":false,"suffix":""}],"container-title":"Accident Analysis &amp; Prevention","id":"ITEM-6","issued":{"date-parts":[["2014"]]},"page":"320-329","title":"Multivariate random-parameters zero-inflated negative binomial regression model: An application to estimate crash frequencies at intersections","type":"article-journal","volume":"70"},"uris":["http://www.mendeley.com/documents/?uuid=ae409fab-5fde-4233-add0-f6344fa579da"]},{"id":"ITEM-7","itemData":{"DOI":"10.3141/2515-10","ISSN":"0361-1981","abstract":"The first edition of the Highway Safety Manual (HSM) provides a number of safety performance functions (SPFs) that can be used to predict severe collisions on a roadway network. This paper examines the calibration of the HSM SPFs for urban four-lane divided roadway segments with angle parking in Riyadh, Saudi Arabia, and the development of new SPFs. This study first calibrated the HSM SPFs by using HSM default crash modification factors (CMFs) and then proposed new local CMFs, which adjust the estimation of calibration factors by using fatal and injury crash data. In addition, new forms for specific SPFs were further evaluated to identify the best model by using the Poisson?gamma regression technique. It was found that the jurisdiction-specific SPFs provided the best fit of the data used in this study and would be the best SPFs for predicting severe collisions in the city of Riyadh. The best fatal and injury model describes the mean crash frequency as a function of the natural logarithm of the annual average daily traffic, segment length, speed limit, and driveway density. The study found that the HSM calibration using Riyadh local CMFs outperformed the calibration method using HSM default values. Based on these results, potential countermeasures were proposed to reduce the number of severe crashes on Riyadh urban roads, and the potential for HSM application in Saudi Arabia is addressed.","author":[{"dropping-particle":"Al","family":"Kaaf","given":"Khalid","non-dropping-particle":"","parse-names":false,"suffix":""},{"dropping-particle":"","family":"Abdel-Aty","given":"Mohamed","non-dropping-particle":"","parse-names":false,"suffix":""}],"container-title":"Transportation Research Record","id":"ITEM-7","issue":"1","issued":{"date-parts":[["2015","1","1"]]},"note":"doi: 10.3141/2515-10","page":"70-77","publisher":"SAGE Publications Inc","title":"Transferability and Calibration of Highway Safety Manual Performance Functions and Development of New Models for Urban Four-Lane Divided Roads in Riyadh, Saudi Arabia","type":"article-journal","volume":"2515"},"uris":["http://www.mendeley.com/documents/?uuid=ea05fc01-6c8d-4c16-bfe4-374b773cba2f"]},{"id":"ITEM-8","itemData":{"DOI":"10.4236/jtts.2016.64017","author":[{"dropping-particle":"","family":"Abdulhafedh","given":"Azad","non-dropping-particle":"","parse-names":false,"suffix":""}],"container-title":"Journal of Transportation Technologies","id":"ITEM-8","issue":"4","issued":{"date-parts":[["2016"]]},"page":"169","title":"Crash Frequency Analysis","type":"article-journal","volume":"6"},"uris":["http://www.mendeley.com/documents/?uuid=63501ac6-a95e-43ae-9f41-af4f48487135"]},{"id":"ITEM-9","itemData":{"DOI":"https://doi.org/10.1016/j.amar.2017.08.002","ISSN":"2213-6657","abstract":"Previous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Research","id":"ITEM-9","issued":{"date-parts":[["2017"]]},"page":"48-59","title":"Crash modeling for intersections and segments along corridors: A Bayesian multilevel joint model with random parameters","type":"article-journal","volume":"16"},"uris":["http://www.mendeley.com/documents/?uuid=b73af14e-2b54-4998-bf58-1dba6a015cb5"]},{"id":"ITEM-10","itemData":{"DOI":"https://doi.org/10.1016/j.aap.2018.07.026","ISSN":"0001-4575","abstract":"The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Prevention","id":"ITEM-10","issued":{"date-parts":[["2018"]]},"page":"263-273","title":"A Bayesian multivariate hierarchical spatial joint model for predicting crash counts by crash type at intersections and segments along corridors","type":"article-journal","volume":"119"},"uris":["http://www.mendeley.com/documents/?uuid=a236c13c-dcd9-47ca-9493-dc5ce004b810"]},{"id":"ITEM-11","itemData":{"DOI":"10.1177/0361198118767409","ISSN":"0361-1981","abstract":"To improve transportation safety, this study applies Highway Safety Manual (HSM) procedures to roadways while accounting for unobserved heterogeneity and exploring alternative functional forms for Safety Performance Functions (SPFs). Specifically, several functional forms are considered in Poisson and Poisson-gamma modeling frameworks. Using 5 years (2011?2015) of crash, traffic, and road inventory data for two-way, two-lane roads in Tennessee, fixed- and random-parameter count data models are calibrated. The models account for important methodological concerns of unobserved heterogeneity and omitted variable bias. With a validation dataset, the calibrated and uncalibrated HSM SPFs and eight new Tennessee-specific SPFs are compared for prediction accuracy. The results show that the statewide calibration factor is 2.48, suggesting rural two-lane, two-way road segment crashes are at least 1.48 times greater than what HSM SPF predicts. Significant variation in four different regions in Tennessee is observed with calibration factors ranging between 2.02 and 2.77. Among all the SPFs considered, fully specified Tennessee-specific random parameter Poisson SPF outperformed all competing SPFs in predicting out-of-sample crashes on these road segments. The best-fit random parameter SPF specification for crash frequency includes the following variables: annual average daily traffic, segment length, shoulder width, lane width, speed limit, and the presence of passing lanes. Significant heterogeneity is observed in the effects of traffic exposure-related variables on crash frequency. The study shows how heterogeneity-based models can be specified and used by practitioners for obtaining accurate crash predictions.","author":[{"dropping-particle":"","family":"Wali","given":"Behram","non-dropping-particle":"","parse-names":false,"suffix":""},{"dropping-particle":"","family":"Khattak","given":"Asad J","non-dropping-particle":"","parse-names":false,"suffix":""},{"dropping-particle":"","family":"Waters","given":"Jim","non-dropping-particle":"","parse-names":false,"suffix":""},{"dropping-particle":"","family":"Chimba","given":"Deo","non-dropping-particle":"","parse-names":false,"suffix":""},{"dropping-particle":"","family":"Li","given":"Xiaobing","non-dropping-particle":"","parse-names":false,"suffix":""}],"container-title":"Transportation Research Record","id":"ITEM-11","issue":"30","issued":{"date-parts":[["2018","5","7"]]},"note":"doi: 10.1177/0361198118767409","page":"9-20","publisher":"SAGE Publications Inc","title":"Development of Safety Performance Functions: Incorporating Unobserved Heterogeneity and Functional Form Analysis","type":"article-journal","volume":"2672"},"uris":["http://www.mendeley.com/documents/?uuid=6426fccb-a3ab-4282-9c5e-fb9afecc8751"]},{"id":"ITEM-12","itemData":{"DOI":"10.1016/j.aap.2019.07.025","ISSN":"1879-2057 (Electronic)","PMID":"31415995","abstract":"This study attempts to examine the main and interaction effects of roadway and  weather conditions on crash incidence, using the comprehensive crash, traffic and weather data from the Kaiyang Freeway in China in 2014. The dependent variable is monthly crash count on a roadway segment (with homogeneous horizontal and vertical profiles). A Bayesian spatio-temporal model is proposed to measure the association between crash frequency and possible risk factors including traffic composition, presence of curve and slope, weather conditions, and their interactions. The proposed model can also accommodate the unstructured random effect, and spatio-temporal correlation and interactions. Results of parameter estimation indicate that the interactions between wind speed and slope, between precipitation and curve, and between visibility and slope are significantly correlated to the increase in the freeway crash risk, while the interaction between precipitation and slope is significantly correlated to the reduction in the freeway crash risk, respectively. These findings are indicative of the design and implementation of real-time traffic management and control measures, e.g. variable message sign, that could mitigate the crash risk under the adverse weather conditions.","author":[{"dropping-particle":"","family":"Wen","given":"Huiying","non-dropping-particle":"","parse-names":false,"suffix":""},{"dropping-particle":"","family":"Zhang","given":"Xuan","non-dropping-particle":"","parse-names":false,"suffix":""},{"dropping-particle":"","family":"Zeng","given":"Qiang","non-dropping-particle":"","parse-names":false,"suffix":""},{"dropping-particle":"","family":"Sze","given":"N N","non-dropping-particle":"","parse-names":false,"suffix":""}],"container-title":"Accident; analysis and prevention","id":"ITEM-12","issued":{"date-parts":[["2019","11"]]},"language":"eng","page":"105249","publisher-place":"England","title":"Bayesian spatial-temporal model for the main and interaction effects of roadway and  weather characteristics on freeway crash incidence.","type":"article-journal","volume":"132"},"uris":["http://www.mendeley.com/documents/?uuid=cb0011f8-17e5-42b6-ae55-1c8a21aaaaaa"]},{"id":"ITEM-13","itemData":{"DOI":"https://doi.org/10.1016/j.amar.2019.100092","ISSN":"2213-6657","abstract":"Crash frequency prediction models have been an important subject of safety research that unveils a relationship between crash occurrences and their influencing factors. Recently, the hourly-based refined-scale crash frequency analysis becomes attractive since it holds the benefits of introducing time-varying explanatory information (e.g. traffic volume and operating speed). However, crash frequency data with short time intervals possess the analytical issues of excessive zeros and unobserved heterogeneity. In this study, a marginalized random effects hurdle negative binomial (MREHNB) model was, for the first time, developed in which the hurdle modelling structure handles the excessive zeros issue and site-specific random effect terms capture the factors associated with unobserved heterogeneity. Moreover, the marginalized inference approach was introduced here to obtain the marginal mean inference for the overall population rather than subject-specific estimations. Empirical analyses were conducted based on data from the Shanghai urban expressway system, and the MREHNB model was compared with the HNB (hurdle negative binomial) and the REHNB (random effects hurdle negative binomial) model. In terms of model goodness-of-fits, REHNB and MREHNB model showed substantial improvement compared to the HNB model while there was no distinct difference between the REHNB and MREHNB models. However, as for the estimated parameters, the MREHNB model provided better inference precisions. Furthermore, the MREHNB model provided interesting findings for the crash contributing factors, for example, higher ratios of local vehicles within the traffic volume would enhance the probability of crash occurrence; and a non-linear relationship was concluded between traffic volume and crash frequency with the moderate level of volume held the highest crash occurrence probability. Finally, in-depth analyses about the modeling results and the model technique were discussed. The results will assist in designing more efficient control strategies for near real-time traffic management.","author":[{"dropping-particle":"","family":"Yu","given":"Rongjie","non-dropping-particle":"","parse-names":false,"suffix":""},{"dropping-particle":"","family":"Wang","given":"Yiyun","non-dropping-particle":"","parse-names":false,"suffix":""},{"dropping-particle":"","family":"Quddus","given":"Mohammed","non-dropping-particle":"","parse-names":false,"suffix":""},{"dropping-particle":"","family":"Li","given":"Jian","non-dropping-particle":"","parse-names":false,"suffix":""}],"container-title":"Analytic Methods in Accident Research","id":"ITEM-13","issued":{"date-parts":[["2019"]]},"page":"100092","title":"A marginalized random effects hurdle negative binomial model for analyzing refined-scale crash frequency data","type":"article-journal","volume":"22"},"uris":["http://www.mendeley.com/documents/?uuid=5559b9f1-0e6f-40b7-8a40-77b8c955ec55"]},{"id":"ITEM-14","itemData":{"DOI":"https://doi.org/10.1016/j.aap.2020.105433","ISSN":"0001-4575","abstract":"Urban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author":[{"dropping-particle":"","family":"Alhomaidat","given":"Fadi","non-dropping-particle":"","parse-names":false,"suffix":""},{"dropping-particle":"","family":"Kwigizile","given":"Valerian","non-dropping-particle":"","parse-names":false,"suffix":""},{"dropping-particle":"","family":"Oh","given":"Jun-Seok","non-dropping-particle":"","parse-names":false,"suffix":""},{"dropping-particle":"Van","family":"Houten","given":"Ron","non-dropping-particle":"","parse-names":false,"suffix":""}],"container-title":"Accident Analysis &amp; Prevention","id":"ITEM-14","issued":{"date-parts":[["2020"]]},"page":"105433","title":"How does an increased freeway speed limit influence the frequency of crashes on adjacent roads?","type":"article-journal","volume":"136"},"uris":["http://www.mendeley.com/documents/?uuid=4ba7c30d-65b0-4a33-82ad-2d22a43901d0"]},{"id":"ITEM-15","itemData":{"DOI":"https://doi.org/10.1016/j.ijtst.2020.03.010","ISSN":"2046-0430","abstract":"One of the major challenges with vehicle crash frequency studies is how to deal with the unobserved heterogeneity in crash data. While statistical models of crash frequency analysis based on single probability distributions are constantly improving, several researchers discovered that multiple distribution models may better describe crash frequency data and capture more unobserved heterogeneity. Based on the hypothesis that total crash counts occurring at an intersection are affected by unique sets of factors, this research proposes a two-step approach to studying the contributing factors to crashes at intersections in the Mississippi coastal area. In this study, the data of single crash accidents are first clustered into subgroups using a hierarchical clustering method, and then a Random Effects Negative Binomial model is applied to each subgroup with crash counts at an intersection as observations. A model with no data clustering is also estimated to serve as the comparison benchmark. The analysis results show that this two-step approach can reveal more information about crash contributing factors and improve the predictive power and goodness of fit.","author":[{"dropping-particle":"","family":"Gong","given":"Haitao","non-dropping-particle":"","parse-names":false,"suffix":""},{"dropping-particle":"","family":"Wang","given":"Feng","non-dropping-particle":"","parse-names":false,"suffix":""},{"dropping-particle":"","family":"Zhou","given":"Bin (Brenda)","non-dropping-particle":"","parse-names":false,"suffix":""},{"dropping-particle":"","family":"Dent","given":"Shontria","non-dropping-particle":"","parse-names":false,"suffix":""}],"container-title":"International Journal of Transportation Science and Technology","id":"ITEM-15","issue":"3","issued":{"date-parts":[["2020"]]},"page":"183-194","title":"Application of random effects negative binomial model with clustered dataset for vehicle crash frequency analysis","type":"article-journal","volume":"9"},"uris":["http://www.mendeley.com/documents/?uuid=12573690-f62a-4547-acdc-4acecd826e2e"]},{"id":"ITEM-16","itemData":{"DOI":"https://doi.org/10.1016/j.aap.2020.105456","ISSN":"0001-4575","abstract":"This paper describes a study that applies the Poisson-Tweedie distribution in developing crash frequency models. The Poisson-Tweedie distribution offers a unified framework to model overdispersed, underdispersed, zero-inflated, spatial, and longitudinal count data, as well as multiple response variables of similar or mixed types. The form of its variance function is simple, and can be specified as the mean added to the product of dispersion and mean raised to the power P. The flexibility of the Poisson-Tweedie distribution lies in the domain of P, which includes positive real number values. Special cases of the Poisson-Tweedie distribution models include the linear form of the negative binomial (NB1) model with P equal to 1.0, the geometric Poisson (GeoP) model with P equal to 1.5, the quadratic form of the negative binomial (NB2) model with P equal to 2.0, and the Poisson Inverse Gaussian (PIG) model with P equal to 3.0. A series of models were developed in this study using the Poisson-Tweedie distribution without any restrictions on the value of the power parameter as well as with specific values of the power parameter representing NB1, GeoP, NB2, and PIG models. The effects of fixed and varying dispersion parameters (i.e., dispersion as a function of covariates) on the variance and expected crash frequency estimates were also examined. Three years (2012–2014) of crash data from urban three-leg stop-controlled intersections and urban four-leg signalized intersections in the state of Florida were used to develop the models. The Poisson-Tweedie models or the GeoP models were found to perform better when the dispersion parameter was constant or fixed. With the varying dispersion parameter, the NB2 and PIG models were found to perform better, with both performing equally well. Also, the fixed dispersion parameter values were found to be smaller in the models with a higher value of the power parameter. The variation across the models in their estimates of weight factor, expected crash frequency, and potential for safety improvement of hazardous sites based on the empirical Bayes method was also discussed.","author":[{"dropping-particle":"","family":"Saha","given":"Dibakar","non-dropping-particle":"","parse-names":false,"suffix":""},{"dropping-particle":"","family":"Alluri","given":"Priyanka","non-dropping-particle":"","parse-names":false,"suffix":""},{"dropping-particle":"","family":"Dumbaugh","given":"Eric","non-dropping-particle":"","parse-names":false,"suffix":""},{"dropping-particle":"","family":"Gan","given":"Albert","non-dropping-particle":"","parse-names":false,"suffix":""}],"container-title":"Accident Analysis &amp; Prevention","id":"ITEM-16","issued":{"date-parts":[["2020"]]},"page":"105456","title":"Application of the Poisson-Tweedie distribution in analyzing crash frequency data","type":"article-journal","volume":"137"},"uris":["http://www.mendeley.com/documents/?uuid=662a8589-ebaf-47c7-901a-bb9b651b7e31"]},{"id":"ITEM-17","itemData":{"DOI":"https://doi.org/10.1016/j.aap.2020.105735","ISSN":"0001-4575","abstract":"This study develops bicycle-vehicle safety performance functions (SPFs) for five facilities in the Highway Safety Manual (HSM). These are urban two-lane undivided segments (U2U), urban four-lane divided/undivided segments (U4DU), rural two-lane undivided segments (R2U), urban four-leg and three-leg signalized intersections (USG), and urban four-leg and three-leg stop-controlled intersections (UST). Two modeling techniques were explored, the Conway-Maxwell-Poisson (COM-Poisson) model (to accommodate bicycle-vehicle crash under-dispersion) and a machine learning technique, the multivariate adaptive regression splines (MARS). MARS is a non-black-box model and can effectively handle non-linear crash predictors and interactions. A total of 1,311 bicycle-vehicle crashes from 2011 through 2015 in Alabama were collected and their respective police reports were reviewed in details. Results from the SPFs for roadway segments using COM-Poisson showed that bicycle-vehicle crash frequencies were reduced along curved and downgrade/upgrade stretches and when having heavy traffic flow (along U2U segments). For urban signalized (USG) intersections, the absence of right-turn lanes on minor roads, the presence of bus stops, and the increase in the major road annual average daily traffic (AADT) were significant factors contributing to the increase in the number of bicycle-vehicle crashes. However, the presence of divided medians on major approaches was found to reduce bicycle-vehicle crashes at USG and UST intersections. MARS outperformed the corresponding COM-Poisson models for all five facilities based on mean absolute deviance (MAD), mean square prediction error (MSPE), and generalized R-square. MARS is recommended as a promising technique for effectively predicting bicycle-vehicle crashes on segments and intersections.","author":[{"dropping-particle":"","family":"Shirani-bidabadi","given":"Niloufar","non-dropping-particle":"","parse-names":false,"suffix":""},{"dropping-particle":"","family":"Mallipaddi","given":"Naveen","non-dropping-particle":"","parse-names":false,"suffix":""},{"dropping-particle":"","family":"Haleem","given":"Kirolos","non-dropping-particle":"","parse-names":false,"suffix":""},{"dropping-particle":"","family":"Anderson","given":"Michael","non-dropping-particle":"","parse-names":false,"suffix":""}],"container-title":"Accident Analysis &amp; Prevention","id":"ITEM-17","issued":{"date-parts":[["2020"]]},"page":"105735","title":"Developing Bicycle-Vehicle Crash-Specific Safety Performance Functions in Alabama Using Different Techniques","type":"article-journal","volume":"146"},"uris":["http://www.mendeley.com/documents/?uuid=73e613c2-eed7-4630-a519-b3bdf749820c"]},{"id":"ITEM-18","itemData":{"DOI":"DOI: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Hindawi","id":"ITEM-18","issued":{"date-parts":[["2020"]]},"page":"1-13","title":"Random-Parameter Multivariate Negative Binomial Regression for Modeling Impacts of Contributing Factors on the Crash Frequency by Crash Types","type":"article-journal"},"uris":["http://www.mendeley.com/documents/?uuid=cdbf3a30-fdf6-4917-b233-0595b70ecb59"]},{"id":"ITEM-19","itemData":{"DOI":"10.1080/19439962.2020.1726542","ISSN":"1943-9962","author":[{"dropping-particle":"","family":"Satria","given":"Romi","non-dropping-particle":"","parse-names":false,"suffix":""},{"dropping-particle":"","family":"Aguero-Valverde","given":"Jonathan","non-dropping-particle":"","parse-names":false,"suffix":""},{"dropping-particle":"","family":"Castro","given":"Maria","non-dropping-particle":"","parse-names":false,"suffix":""}],"container-title":"Journal of Transportation Safety &amp; Security","id":"ITEM-19","issued":{"date-parts":[["2020","3","23"]]},"note":"doi: 10.1080/19439962.2020.1726542","page":"1-23","publisher":"Taylor &amp; Francis","title":"Spatial analysis of road crash frequency using Bayesian models with Integrated Nested Laplace Approximation (INLA)","type":"article-journal"},"uris":["http://www.mendeley.com/documents/?uuid=f9ec4e08-69ec-413d-8597-df3dabeb5aa4"]},{"id":"ITEM-20","itemData":{"DOI":"https://doi.org/10.1016/j.physa.2019.123754","ISSN":"0378-4371","abstract":"Underreporting and spatial correlations are two important issues in traffic safety analysis. To deal with them simultaneously, this study proposes a Bayesian underreporting conditional autoregressive (CAR) model for analyzing crash frequency. In the formulation of the proposed model, a latent reporting process is incorporated into the crash counting process, and residual terms with CAR priors are added into the two processes to account for their respective spatial correlations. The seasonal crash data collected from Kaiyang Freeway, China in 2014 are used to verify the performance of the proposed model. It is estimated and compared with a traditional CAR model via Bayesian methods. The superiority of the underreporting model is indicated by its better model fit, more reasonable estimation results, and statistical significance of the spatial terms in the counting and reporting processes. Estimation results show that more crashes are expected to occur on longer freeway segments with larger traffic volume, smaller proportion of large truck/bus, greater horizontal curvature, and higher vertical grade. It is also shown that light traffic, traffic with more medium truck/bus or less large truck/bus, smaller horizontal curvature, bridge, and segments without ramps tend to increase the likelihood of crash reporting. These results are generally consistent with the findings in existing literature and engineering experience, which further support the proposed model as a good alternative for crash frequency analyzing.","author":[{"dropping-particle":"","family":"Zeng","given":"Qiang","non-dropping-particle":"","parse-names":false,"suffix":""},{"dropping-particle":"","family":"Wen","given":"Huiying","non-dropping-particle":"","parse-names":false,"suffix":""},{"dropping-particle":"","family":"Huang","given":"Helai","non-dropping-particle":"","parse-names":false,"suffix":""},{"dropping-particle":"","family":"Wang","given":"Jie","non-dropping-particle":"","parse-names":false,"suffix":""},{"dropping-particle":"","family":"Lee","given":"Jinwoo","non-dropping-particle":"","parse-names":false,"suffix":""}],"container-title":"Physica A: Statistical Mechanics and its Applications","id":"ITEM-20","issued":{"date-parts":[["2020"]]},"page":"123754","title":"Analysis of crash frequency using a Bayesian underreporting count model with spatial correlation","type":"article-journal","volume":"545"},"uris":["http://www.mendeley.com/documents/?uuid=9d37f56f-975e-4f25-a61c-34f2158ca56c"]},{"id":"ITEM-21","itemData":{"DOI":"https://doi.org/10.1016/j.aap.2021.105982","ISSN":"0001-4575","abstract":"Traffic congestion is monotonically increasing, especially in large cities, due to rapid urbanization. Traffic congestion not only deteriorates traffic operation and degrades traffic safety, but also imposes costs to the road users. The concerns associated with traffic congestion increase when considering more complicated situations such as unsignalized intersections and driveways at which maneuvers are entirely dependent upon drivers’ judgment. Urban arterials are characterized by closely spaced signalized and unsignalized intersections and high traffic volumes, which make them a priority while analyzing traffic safety and operation. Autonomous Vehicles (AV) provide ample opportunities to overcome the aforementioned challenges. In essence, this study evaluates the impact of various AV Market Penetration Rates (MPR) on the safety and operation of urban arterials in proximity of a driveway under different traffic levels of service (LOS). Twenty-four separate scenarios were developed using VISSIM, considering six AV MPRs of 0 %, 10 %, 25 %, 50 %, 75 %, and 100 %, and four LOS including A, B, C, and D. Various operational and safety measures were analyzed including traffic density, traffic speed, traffic conflict (rear-end and lane-changing), and driving volatility. The trajectory and lane-based analysis of the traffic density indicates that MPR significantly improves the overall traffic density for all the scenarios, especially under high traffic LOS. Additionally, by increasing the MPR and decreasing the traffic volume of the network, the mean speed increases significantly by up to 6 %. Exploring the safety of the scenarios indicates that by increasing the MPR from 0% to 100 % for all the LOS, the number of rear-end conflicts and lane-changing conflicts decreases 84 %–100 % and 42 %–100 %, respectively. Moreover, assessing the longitudinal driving volatility measures, which represent risky driving behaviors, showed that higher MPRs significantly reduce some of the driving volatility measures and enhance safety.","author":[{"dropping-particle":"","family":"Mousavi","given":"Seyedeh Maryam","non-dropping-particle":"","parse-names":false,"suffix":""},{"dropping-particle":"","family":"Osman","given":"Osama A","non-dropping-particle":"","parse-names":false,"suffix":""},{"dropping-particle":"","family":"Lord","given":"Dominique","non-dropping-particle":"","parse-names":false,"suffix":""},{"dropping-particle":"","family":"Dixon","given":"Karen K","non-dropping-particle":"","parse-names":false,"suffix":""},{"dropping-particle":"","family":"Dadashova","given":"Bahar","non-dropping-particle":"","parse-names":false,"suffix":""}],"container-title":"Accident Analysis &amp; Prevention","id":"ITEM-21","issued":{"date-parts":[["2021"]]},"page":"105982","title":"Investigating the safety and operational benefits of mixed traffic environments with different automated vehicle market penetration rates in the proximity of a driveway on an urban arterial","type":"article-journal","volume":"152"},"uris":["http://www.mendeley.com/documents/?uuid=9839b925-a4f9-47f8-b3ae-6991e4b9d323"]},{"id":"ITEM-22","itemData":{"DOI":"https://doi.org/10.1016/j.aap.2021.106146","ISSN":"0001-4575","abstract":"Safety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Prevention","id":"ITEM-22","issued":{"date-parts":[["2021"]]},"page":"106146","title":"Understanding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models","type":"article-journal","volume":"157"},"uris":["http://www.mendeley.com/documents/?uuid=695579bd-dcab-4336-8b91-e4e835539d73"]},{"id":"ITEM-23","itemData":{"DOI":"10.1080/19439962.2019.1611681","abstract":"In the current literature, data is aggregated for the estimation of functions to explain or predict crash patterns using either clustering analysis, regression analysis, or stage-wise models. Typically, analysis sites are grouped into site subtypes based on predefined characteristics. The assumption is that sites within each subtype experience similar crash patterns as a function of prespecified explanatory characteristics. To develop functions to estimate crashes, all data points are clustered only as a function of associated site characteristics. As a consequence, estimated parameters may be based on different crash patterns that represents various trends that could be better captured by using multiple functions. To address this limitation, this study proposes a mathematical program utilizing clusterwise regression to assign sites to clusters and simultaneously seek sets of parameter values for the corresponding estimation functions, so as to maximize the probability of observing the available data. A simulated annealing, coupled with maximum likelihood estimation, was used to solve the mathematical program. Results were analyzed for two site subtypes with fatal and all injury crashes: (1) roadway segments for urban multilane divided segments, and; (2) urban four-leg signalized intersections. Clusterwise regression improved the predicted number of crashes with multiple estimation functions within the same site subtype.","author":[{"dropping-particle":"","family":"Veeramisti","given":"Naveen","non-dropping-particle":"","parse-names":false,"suffix":""},{"dropping-particle":"","family":"Paz","given":"Alexander","non-dropping-particle":"","parse-names":false,"suffix":""},{"dropping-particle":"","family":"Khadka","given":"Mukesh","non-dropping-particle":"","parse-names":false,"suffix":""},{"dropping-particle":"","family":"Arteaga","given":"Cristian","non-dropping-particle":"","parse-names":false,"suffix":""}],"container-title":"Journal of Transportation Safety and Security","id":"ITEM-23","issue":"3","issued":{"date-parts":[["2021"]]},"page":"247-277","publisher":"Taylor and Francis Ltd.","title":"A clusterwise regression approach for the estimation of crash frequencies","type":"article-journal","volume":"13"},"uris":["http://www.mendeley.com/documents/?uuid=dc6fb334-625b-47b1-9e71-a730403b4677"]}],"mendeley":{"formattedCitation":"(Abdulhafedh,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2020)","plainTextFormattedCitation":"(Abdulhafedh,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2020)","previouslyFormattedCitation":"(Abdulhafedh,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2020)"},"properties":{"noteIndex":0},"schema":"https://github.com/citation-style-language/schema/raw/master/csl-citation.json"}</w:instrText>
      </w:r>
      <w:r w:rsidR="00D80B29" w:rsidRPr="000B3E08">
        <w:fldChar w:fldCharType="separate"/>
      </w:r>
      <w:r w:rsidR="00D80B29" w:rsidRPr="000B3E08">
        <w:rPr>
          <w:noProof/>
        </w:rPr>
        <w:t>(Abdulhafedh, 2016; Dong et al., 2014; Mohammadnazar et al., 2021; Wali et al., 2018; Wang et al., 2020; Zeng et al., 2020)</w:t>
      </w:r>
      <w:r w:rsidR="00D80B29" w:rsidRPr="000B3E08">
        <w:fldChar w:fldCharType="end"/>
      </w:r>
      <w:r w:rsidR="00D80B29" w:rsidRPr="000B3E08">
        <w:t xml:space="preserve">. </w:t>
      </w:r>
      <w:r w:rsidRPr="000B3E08">
        <w:rPr>
          <w:lang w:val="en-US"/>
        </w:rPr>
        <w:t>The aggregate spatial unit models are referred to as macroscopic models while the facility level models are referred to as microscopic models</w:t>
      </w:r>
      <w:r w:rsidR="00D80B29" w:rsidRPr="000B3E08">
        <w:rPr>
          <w:lang w:val="en-US"/>
        </w:rPr>
        <w:t xml:space="preserve"> (</w:t>
      </w:r>
      <w:r w:rsidR="00D80B29" w:rsidRPr="000B3E08">
        <w:fldChar w:fldCharType="begin" w:fldLock="1"/>
      </w:r>
      <w:r w:rsidR="00D80B29" w:rsidRPr="000B3E08">
        <w:instrText>ADDIN CSL_CITATION {"citationItems":[{"id":"ITEM-1","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Science","id":"ITEM-1","issue":"2","issued":{"date-parts":[["2019","11","29"]]},"note":"doi: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interaction","type":"article-journal","volume":"15"},"uris":["http://www.mendeley.com/documents/?uuid=b21ff7f8-fd41-4c63-a83e-a4f52d8aae4d"]}],"mendeley":{"formattedCitation":"(Cai et al., 2019)","manualFormatting":"Cai et al. (2019)","plainTextFormattedCitation":"(Cai et al., 2019)","previouslyFormattedCitation":"(Cai et al., 2019)"},"properties":{"noteIndex":0},"schema":"https://github.com/citation-style-language/schema/raw/master/csl-citation.json"}</w:instrText>
      </w:r>
      <w:r w:rsidR="00D80B29" w:rsidRPr="000B3E08">
        <w:fldChar w:fldCharType="separate"/>
      </w:r>
      <w:r w:rsidR="00D80B29" w:rsidRPr="000B3E08">
        <w:rPr>
          <w:noProof/>
        </w:rPr>
        <w:t>Cai et al., 2019)</w:t>
      </w:r>
      <w:r w:rsidR="00D80B29" w:rsidRPr="000B3E08">
        <w:fldChar w:fldCharType="end"/>
      </w:r>
      <w:r w:rsidRPr="000B3E08">
        <w:rPr>
          <w:lang w:val="en-US"/>
        </w:rPr>
        <w:t xml:space="preserve">. Safety research has traditionally developed independent model systems for each of these levels. The current research contributes to growing literature on crash frequency models by building a bridge between the two traditionally divergent streams of crash frequency research. </w:t>
      </w:r>
    </w:p>
    <w:p w14:paraId="278F2972" w14:textId="4940BF42" w:rsidR="00D94A95" w:rsidRPr="000B3E08" w:rsidRDefault="00D94A95" w:rsidP="005E0487">
      <w:pPr>
        <w:ind w:firstLine="720"/>
        <w:rPr>
          <w:lang w:val="en-US"/>
        </w:rPr>
      </w:pPr>
      <w:r w:rsidRPr="000B3E08">
        <w:rPr>
          <w:lang w:val="en-US"/>
        </w:rPr>
        <w:t>The proposed research recognizes that crashes at a microscopic level (at segments or intersections) are aggregated for a spatial unit to generate crash frequency at the macroscopic level. When separate models are developed at the macroscopic and microscopic level, the embedded relationship within the data relating the microscopic level and macroscopic level crashes is neglected or lost. Earlier research efforts have attempted to address this issue by developing hierarchical model systems that recognize the multiple microscopic level dependent variables</w:t>
      </w:r>
      <w:r w:rsidR="002F46D8" w:rsidRPr="000B3E08">
        <w:rPr>
          <w:lang w:val="en-US"/>
        </w:rPr>
        <w:t xml:space="preserve"> </w:t>
      </w:r>
      <w:r w:rsidRPr="000B3E08">
        <w:rPr>
          <w:lang w:val="en-US"/>
        </w:rPr>
        <w:t>within a macroscopic unit</w:t>
      </w:r>
      <w:r w:rsidR="00271AB5" w:rsidRPr="000B3E08">
        <w:rPr>
          <w:lang w:val="en-US"/>
        </w:rPr>
        <w:t xml:space="preserve"> (</w:t>
      </w:r>
      <w:r w:rsidR="00276A92" w:rsidRPr="000B3E08">
        <w:rPr>
          <w:noProof/>
        </w:rPr>
        <w:t>Alarifi et al., 2017, 2018</w:t>
      </w:r>
      <w:r w:rsidR="00271AB5" w:rsidRPr="000B3E08">
        <w:rPr>
          <w:lang w:val="en-US"/>
        </w:rPr>
        <w:t xml:space="preserve">; </w:t>
      </w:r>
      <w:r w:rsidR="00271AB5" w:rsidRPr="000B3E08">
        <w:fldChar w:fldCharType="begin" w:fldLock="1"/>
      </w:r>
      <w:r w:rsidR="00271AB5" w:rsidRPr="000B3E08">
        <w:instrText>ADDIN CSL_CITATION {"citationItems":[{"id":"ITEM-1","itemData":{"DOI":"https://doi.org/10.1016/j.aap.2010.03.013","ISSN":"0001-4575","abstract":"Background Traditional crash prediction models, such as generalized linear regression model, are incapable of taking into account multilevel data structure. Therefore they suffer from a common underlying limitation that each observation (e.g. a crash or a vehicle involvement) in the estimation procedure corresponds to an individual situation in which the residuals exhibit independence. Problem However, this “independence” assumption may often not hold true since multilevel data structures exist extensively because of the traffic data collection and clustering process. Disregarding the possible within-group correlations may lead to production of models with unreliable parameter estimates and statistical inferences. Proposed theory In this paper, a 5×ST-level hierarchy is proposed to represent the general framework of multilevel data structures in traffic safety, i.e. [Geographic region level−Traffic site level−Traffic crash level−Driver-vehicle unit level−Occupant level]×Spatiotemporal level. The involvement and emphasis for different sub-groups of these levels depend on different research purposes and also rely on the heterogeneity examination on crash data employed. To properly accommodate the potential cross-group heterogeneity and spatiotemporal correlation due to the multilevel data structure, a Bayesian hierarchical approach that explicitly specifies multilevel structure and reliably yields parameter estimates is introduced and recommended. Case studies Using Bayesian hierarchical models, the results from several case studies are highlighted to show the improvements on model fitting and predictive performance over traditional models by appropriately accounting for the multilevel data structure.","author":[{"dropping-particle":"","family":"Huang","given":"Helai","non-dropping-particle":"","parse-names":false,"suffix":""},{"dropping-particle":"","family":"Abdel-Aty","given":"Mohamed","non-dropping-particle":"","parse-names":false,"suffix":""}],"container-title":"Accident Analysis &amp; Prevention","id":"ITEM-1","issue":"6","issued":{"date-parts":[["2010"]]},"page":"1556-1565","title":"Multilevel data and Bayesian analysis in traffic safety","type":"article-journal","volume":"42"},"uris":["http://www.mendeley.com/documents/?uuid=4a866196-0f89-4e8e-8f08-0ab1c776d424"]}],"mendeley":{"formattedCitation":"(Huang and Abdel-Aty, 2010)","manualFormatting":"Huang and Abdel-Aty (2010)","plainTextFormattedCitation":"(Huang and Abdel-Aty, 2010)","previouslyFormattedCitation":"(Huang and Abdel-Aty, 2010)"},"properties":{"noteIndex":0},"schema":"https://github.com/citation-style-language/schema/raw/master/csl-citation.json"}</w:instrText>
      </w:r>
      <w:r w:rsidR="00271AB5" w:rsidRPr="000B3E08">
        <w:fldChar w:fldCharType="separate"/>
      </w:r>
      <w:r w:rsidR="00271AB5" w:rsidRPr="000B3E08">
        <w:rPr>
          <w:noProof/>
        </w:rPr>
        <w:t>Huang and Abdel-Aty, 2010)</w:t>
      </w:r>
      <w:r w:rsidR="00271AB5" w:rsidRPr="000B3E08">
        <w:fldChar w:fldCharType="end"/>
      </w:r>
      <w:r w:rsidRPr="000B3E08">
        <w:rPr>
          <w:lang w:val="en-US"/>
        </w:rPr>
        <w:t xml:space="preserve">. However, these approaches accommodate for interactions across the different levels via common unobserved factors. While this approach is an enhancement over independent macro and micro level models, there are other drawbacks. In independent macroscopic models or hierarchical models, we can only incorporate the influence of observed macroscopic resolution variables on crash frequency. For example, segment level characteristics in a zone (such as speed limit or number of lanes) can only be considered at a zonal level. Given that crash frequency models often take the form of non-linear model systems, a simple aggregation of an independent variable (say average distance weighted speed limit in the zone) might not reflect the true impact of the variable at the macroscopic level. In fact, it would be appropriate to posit that macroscopic models that consider aggregate zonal variables are inadvertently introducing model parameter bias by not recognizing the inherently non-linear nature of variable impacts on crashes. A truly integrated approach allows us to test for the influence of factors affecting crashes at the microscopic level on the crash frequency at the macroscopic level. </w:t>
      </w:r>
      <w:bookmarkStart w:id="0" w:name="_Hlk78298945"/>
    </w:p>
    <w:bookmarkEnd w:id="0"/>
    <w:p w14:paraId="3A35B396" w14:textId="71F639C1" w:rsidR="00D94A95" w:rsidRPr="000B3E08" w:rsidRDefault="00D94A95" w:rsidP="005E0487">
      <w:pPr>
        <w:ind w:firstLine="720"/>
        <w:rPr>
          <w:lang w:val="en-US"/>
        </w:rPr>
      </w:pPr>
      <w:r w:rsidRPr="000B3E08">
        <w:rPr>
          <w:lang w:val="en-US"/>
        </w:rPr>
        <w:t>In summary, the current research proposes an integrated model system that allows for the influence of independent variables at the microscopic level to be incorporated within the macroscopic propensity estimation. The approach would involve incorporating the sum of crash propensity by type of micro-facility within the macroscopic propensity computation. Within this proposed</w:t>
      </w:r>
      <w:r w:rsidR="00FA325C" w:rsidRPr="000B3E08">
        <w:rPr>
          <w:lang w:val="en-US"/>
        </w:rPr>
        <w:t xml:space="preserve"> </w:t>
      </w:r>
      <w:r w:rsidR="009733DD" w:rsidRPr="000B3E08">
        <w:rPr>
          <w:lang w:val="en-US"/>
        </w:rPr>
        <w:t>framework</w:t>
      </w:r>
      <w:r w:rsidRPr="000B3E08">
        <w:rPr>
          <w:lang w:val="en-US"/>
        </w:rPr>
        <w:t xml:space="preserve">, two specific model structures are examined. In the first model structure, the propensity is computed as an expected value and an associated parameter for each facility type is estimated. In the second approach, the propensity of the microscopic models is incorporated while allowing for the microscopic model parameters to vary based on the macroscopic fit. The first approach fixes the microscopic models and accommodates for the cumulative propensity influence as any other independent variable. In the second approach, feedback between macroscopic and microscopic models is allowed (more details in the methodology section). In both approaches, the </w:t>
      </w:r>
      <w:r w:rsidRPr="000B3E08">
        <w:rPr>
          <w:lang w:val="en-US"/>
        </w:rPr>
        <w:lastRenderedPageBreak/>
        <w:t xml:space="preserve">model structure is quite flexible and truly builds on the individual microscopic and macroscopic components. The integrated model with simple constraints can be employed to estimate the traditional macroscopic and microscopic models. </w:t>
      </w:r>
    </w:p>
    <w:p w14:paraId="661CCD1E" w14:textId="6657E078" w:rsidR="00A439A9" w:rsidRPr="000B3E08" w:rsidRDefault="00D94A95" w:rsidP="005E0487">
      <w:pPr>
        <w:ind w:firstLine="720"/>
        <w:rPr>
          <w:lang w:val="en-US"/>
        </w:rPr>
      </w:pPr>
      <w:r w:rsidRPr="000B3E08">
        <w:rPr>
          <w:lang w:val="en-US"/>
        </w:rPr>
        <w:t xml:space="preserve">The proposed model system is estimated using data drawn from the City of Orlando for the years 2018 and 2019. The study considers a total of 300 TAZs, 1,818 roadway segments, and 4,184 intersections for the analysis. An exhaustive set of independent variables including roadway </w:t>
      </w:r>
      <w:r w:rsidR="009C3DD7" w:rsidRPr="000B3E08">
        <w:rPr>
          <w:lang w:val="en-US"/>
        </w:rPr>
        <w:t>and</w:t>
      </w:r>
      <w:r w:rsidRPr="000B3E08">
        <w:rPr>
          <w:lang w:val="en-US"/>
        </w:rPr>
        <w:t xml:space="preserve"> traffic </w:t>
      </w:r>
      <w:r w:rsidR="009C3DD7" w:rsidRPr="000B3E08">
        <w:rPr>
          <w:lang w:val="en-US"/>
        </w:rPr>
        <w:t>factors</w:t>
      </w:r>
      <w:r w:rsidRPr="000B3E08">
        <w:rPr>
          <w:lang w:val="en-US"/>
        </w:rPr>
        <w:t xml:space="preserve">, land-use attributes, built environment characteristics, and sociodemographic characteristics at both macroscopic and microscopic levels are considered. </w:t>
      </w:r>
      <w:r w:rsidR="002F16C6" w:rsidRPr="000B3E08">
        <w:rPr>
          <w:lang w:val="en-US"/>
        </w:rPr>
        <w:t>The model estimation procedure explicitly tested for potential temporal parameter instability by estimating separate models for 2018 and 2019</w:t>
      </w:r>
      <w:r w:rsidR="0078308E" w:rsidRPr="000B3E08">
        <w:rPr>
          <w:lang w:val="en-US"/>
        </w:rPr>
        <w:t xml:space="preserve"> (as </w:t>
      </w:r>
      <w:r w:rsidR="00AF6B08" w:rsidRPr="000B3E08">
        <w:rPr>
          <w:lang w:val="en-US"/>
        </w:rPr>
        <w:t>highlighted in multiple articles on temporal parameter stability</w:t>
      </w:r>
      <w:r w:rsidR="00DF298C" w:rsidRPr="000B3E08">
        <w:rPr>
          <w:lang w:val="en-US"/>
        </w:rPr>
        <w:t>,</w:t>
      </w:r>
      <w:r w:rsidR="00AF6B08" w:rsidRPr="000B3E08">
        <w:rPr>
          <w:lang w:val="en-US"/>
        </w:rPr>
        <w:t xml:space="preserve"> see </w:t>
      </w:r>
      <w:r w:rsidR="00A3432D" w:rsidRPr="000B3E08">
        <w:rPr>
          <w:noProof/>
          <w:lang w:val="en-US"/>
        </w:rPr>
        <w:t xml:space="preserve">Mannering, 2018; Marcoux et al., 2018; </w:t>
      </w:r>
      <w:r w:rsidR="0000495F" w:rsidRPr="000B3E08">
        <w:rPr>
          <w:lang w:val="en-US"/>
        </w:rPr>
        <w:fldChar w:fldCharType="begin" w:fldLock="1"/>
      </w:r>
      <w:r w:rsidR="00EB12E6" w:rsidRPr="000B3E08">
        <w:rPr>
          <w:lang w:val="en-US"/>
        </w:rPr>
        <w:instrText>ADDIN CSL_CITATION {"citationItems":[{"id":"ITEM-1","itemData":{"DOI":"https://doi.org/10.1016/j.amar.2020.100129","ISSN":"2213-6657","abstract":"Road traffic crashes remain a major concern globally resulting in loss of life and worsening the quality of life and productivity of the crash survivors. The current study contributes to road safety literature by focusing on developing high resolution crash severity models based on driver injury severity reported using Abbreviated Injury Scale (AIS) by body region. For this purpose, the research develops a joint random parameters multivariate model structure with as many dimensions as severity by body location. The proposed model system is developed using Crash Injury Research Engineering Network (CIREN) data, which includes patients admitted to trauma centers due to a crash from 2005 to 2015. The dataset contained information about a comprehensive set of exogenous variables including driver characteristics, vehicle characteristics, crash characteristics, roadway characteristics, and environmental characteristics. The empirical analysis involves the estimation of Random Parameters Multivariate Generalized Ordered Probit Model that allows for the influence of common unobserved factors affecting the vehicle occupant severity across body locations. The model estimation results are further augmented by conducting elasticity analysis to highlight the differential impact of various factors on severity across body regions.","author":[{"dropping-particle":"","family":"Kabli","given":"Ahmed","non-dropping-particle":"","parse-names":false,"suffix":""},{"dropping-particle":"","family":"Bhowmik","given":"Tanmoy","non-dropping-particle":"","parse-names":false,"suffix":""},{"dropping-particle":"","family":"Eluru","given":"Naveen","non-dropping-particle":"","parse-names":false,"suffix":""}],"container-title":"Analytic Methods in Accident Research","id":"ITEM-1","issued":{"date-parts":[["2020"]]},"page":"100129","title":"A multivariate approach for modeling driver injury severity by body region","type":"article-journal","volume":"28"},"uris":["http://www.mendeley.com/documents/?uuid=6cbb0d97-bd74-4740-8b25-1c80382915e3"]},{"id":"ITEM-2","itemData":{"DOI":"https://doi.org/10.1016/j.amar.2020.100132","ISSN":"2213-6657","abstract":"The paper presents a model system that recognizes the distinct traffic incident duration profiles based on incident types. Specifically, a copula-based joint framework has been estimated with a scaled multinomial logit model system for incident type and a grouped generalized ordered logit model system for incident duration to accommodate for the impact of observed and unobserved effects on incident type and incident duration. The model system is estimated using traffic incident data from 2012 through 2017 for the Greater Orlando region, employing a comprehensive set of exogenous variables, including incident characteristics, roadway characteristics, traffic condition, weather condition, built environment and socio-demographic characteristics. In the presence of multiple years of data, the copula-based methodology is also customized to accommodate for observed and unobserved temporal effects (including heteroscedasticity) on incident duration. Based on a rigorous comparison across different copula models, parameterized Frank-Clayton-Frank specification is found to offer the best data fit for crash, debris, and other types of incident. The value of the proposed model system is illustrated by comparing predictive performance of the proposed model relative to the traditional single duration model on a holdout sample.","author":[{"dropping-particle":"","family":"Tirtha","given":"Sudipta Dey","non-dropping-particle":"","parse-names":false,"suffix":""},{"dropping-particle":"","family":"Yasmin","given":"Shamsunnahar","non-dropping-particle":"","parse-names":false,"suffix":""},{"dropping-particle":"","family":"Eluru","given":"Naveen","non-dropping-particle":"","parse-names":false,"suffix":""}],"container-title":"Analytic Methods in Accident Research","id":"ITEM-2","issued":{"date-parts":[["2020"]]},"page":"100132","title":"Modeling of incident type and incident duration using data from multiple years","type":"article-journal","volume":"28"},"uris":["http://www.mendeley.com/documents/?uuid=fac178ad-fd03-4abd-af24-f707867b5510"]},{"id":"ITEM-3","itemData":{"DOI":"10.1016/j.amar.2018.09.001","ISSN":"2213-6657","author":[{"dropping-particle":"","family":"Marcoux","given":"Robert","non-dropping-particle":"","parse-names":false,"suffix":""},{"dropping-particle":"","family":"Yasmin","given":"Shamsunnahar","non-dropping-particle":"","parse-names":false,"suffix":""},{"dropping-particle":"","family":"Eluru","given":"Naveen","non-dropping-particle":"","parse-names":false,"suffix":""},{"dropping-particle":"","family":"Rahman","given":"Moshiur","non-dropping-particle":"","parse-names":false,"suffix":""}],"container-title":"Analytic Methods in Accident Research","id":"ITEM-3","issued":{"date-parts":[["2018"]]},"page":"15-29","publisher":"Elsevier BV","title":"Evaluating temporal variability of exogenous variable impacts over 25 years: An application of scaled generalized ordered logit model for driver injury severity","type":"article-journal","volume":"20"},"uris":["http://www.mendeley.com/documents/?uuid=2a78f177-9933-4582-80e9-8ab7e4670c9a"]},{"id":"ITEM-4","itemData":{"DOI":"https://doi.org/10.1016/j.amar.2020.100128","ISSN":"2213-6657","abstract":"Aggressive driving has become a national traffic-safety concern, with increasing congestion and other stress-inducing factors making it more likely drivers take out their frustrations by driving aggressively. Looking at single-vehicle crashes, this study investigates differences between resulting crash-injury severities when aggressive and non-aggressive driving behavior is observed, and how these differences changed over time. Using three years of crash data from 2015 to 2017 (inclusive), random parameters multinomial logit models with unobserved heterogeneity in means and variances were estimated. The available crash data included a wide variety of factors known to influence driver-injury severity including data related to the crash, vehicle, driver, spatial and temporal characteristics, roadway attributes, and traffic volume. Model estimates show that there were significant differences in driver-injury severities resulting from aggressive and non-aggressive driving, and that the effect of factors that determine injury severities changed significantly over time (statistically significant temporal instability). However, it is noteworthy that crashes involving non-aggressive drivers had many explanatory variables that produced temporally stable marginal effects, whereas crashes involving aggressive drivers had only one such variable (restraint belt usage). This suggests the possibility that temporal instability found in many recent safety studies may be driven by a subset of the crash population, and that there may be temporal stability in many crashes. Exploring this possibility is a promising direction for future empirical investigation.","author":[{"dropping-particle":"","family":"Islam","given":"Mouyid","non-dropping-particle":"","parse-names":false,"suffix":""},{"dropping-particle":"","family":"Mannering","given":"Fred","non-dropping-particle":"","parse-names":false,"suffix":""}],"container-title":"Analytic Methods in Accident Research","id":"ITEM-4","issued":{"date-parts":[["2020"]]},"page":"100128","title":"A temporal analysis of driver-injury severities in crashes involving aggressive and non-aggressive driving","type":"article-journal","volume":"27"},"uris":["http://www.mendeley.com/documents/?uuid=97794e6b-fa8f-4469-b790-4099ff222c0d"]},{"id":"ITEM-5","itemData":{"DOI":"https://doi.org/10.1016/j.amar.2017.10.002","ISSN":"2213-6657","abstract":"Virtually every statistical analysis of highway safety data is predicated on the assumption that the estimated model parameters are temporally stable. That is, the assumption that the effect of the determinants of accident likelihoods and resulting accident-injury severities do not change over time. This paper draws from research previously conducted in fields such as psychology, neuroscience, economics, and cognitive science to build a case for why we would not necessarily expect the effects of explanatory variables to be stable over time. The review of this literature suggests that temporal instability is likely to exist for a number of fundamental behavioral reasons, and this temporal instability is supported by the findings of several recent accident-data analyses. The paper goes on to discuss the implications of this temporal instability for contemporary accident-data modeling methods (unobserved heterogeneity, data driven, traditional, and causal inference methods) and concludes with a discussion of how temporal instability might be addressed and how its likely presence can be accounted for to better interpret accident data-analysis findings.","author":[{"dropping-particle":"","family":"Mannering","given":"Fred","non-dropping-particle":"","parse-names":false,"suffix":""}],"container-title":"Analytic Methods in Accident Research","id":"ITEM-5","issued":{"date-parts":[["2018"]]},"page":"1-13","title":"Temporal instability and the analysis of highway accident data","type":"article-journal","volume":"17"},"uris":["http://www.mendeley.com/documents/?uuid=c211d9c2-8947-4ff1-b14d-7e25a6123731"]},{"id":"ITEM-6","itemData":{"DOI":"https://doi.org/10.1016/j.amar.2019.100102","ISSN":"2213-6657","abstract":"Using the data from large-truck crashes in Los Angeles over an eight-year period (January 1, 2010 to December 31, 2017), the variation in the influence of factors affecting injury severities during different time periods of the day (morning and afternoon) and from year to year is studied. To capture potential unobserved heterogeneity, random parameters logit models with heterogeneity in the means and variances of the random parameters were estimated considering three possible crash injury-severity outcomes (no injury, minor injury, and severe injury). Likelihood ratio tests were conducted to assess the transferability of model estimation results from different times of the day and from year to year. Marginal effects of the explanatory variables were also calculated to investigate the stability of individual parameter estimates on injury-severity probabilities across time-of-day/time-period combinations. A wide range of parameters were considered including drivers’ characteristics, driver actions, truck’s characteristics, weather and environmental conditions, and roadway attributes. The results show instability in the effect of factors that influence injury severities in large-truck vehicle crashes across daily time periods and from year to year. However, there were several variables that exhibited relatively stable effects on injury-severity probabilities including driver ethnicity, crashes occurring while backing, sideswipe crashes, hit-object crashes, parked-vehicle crashes, fixed-object crashes, and truck-driver at fault crashes. The findings of this study should be useful for decision makers and trucking companies to better regulate truck operations by time of day.","author":[{"dropping-particle":"","family":"Behnood","given":"Ali","non-dropping-particle":"","parse-names":false,"suffix":""},{"dropping-particle":"","family":"Mannering","given":"Fred","non-dropping-particle":"","parse-names":false,"suffix":""}],"container-title":"Analytic Methods in Accident Research","id":"ITEM-6","issued":{"date-parts":[["2019"]]},"page":"100102","title":"Time-of-day variations and temporal instability of factors affecting injury severities in large-truck crashes","type":"article-journal","volume":"23"},"uris":["http://www.mendeley.com/documents/?uuid=5e014582-5a34-4cdc-89cb-1abff40931ac"]}],"mendeley":{"formattedCitation":"(Behnood and Mannering, 2019; Islam and Mannering, 2020; Kabli et al., 2020; Mannering, 2018; Marcoux et al., 2018; Tirtha et al., 2020)","plainTextFormattedCitation":"(Behnood and Mannering, 2019; Islam and Mannering, 2020; Kabli et al., 2020; Mannering, 2018; Marcoux et al., 2018; Tirtha et al., 2020)","previouslyFormattedCitation":"(Behnood and Mannering, 2019; Islam and Mannering, 2020; Kabli et al., 2020; Mannering, 2018; Marcoux et al., 2018; Tirtha et al., 2020)"},"properties":{"noteIndex":0},"schema":"https://github.com/citation-style-language/schema/raw/master/csl-citation.json"}</w:instrText>
      </w:r>
      <w:r w:rsidR="0000495F" w:rsidRPr="000B3E08">
        <w:rPr>
          <w:lang w:val="en-US"/>
        </w:rPr>
        <w:fldChar w:fldCharType="separate"/>
      </w:r>
      <w:r w:rsidR="0000495F" w:rsidRPr="000B3E08">
        <w:rPr>
          <w:noProof/>
          <w:lang w:val="en-US"/>
        </w:rPr>
        <w:t>Behnood and Mannering, 2019; Islam and Mannering, 2020; Kabli et al., 2020; Tirtha et al., 2020)</w:t>
      </w:r>
      <w:r w:rsidR="0000495F" w:rsidRPr="000B3E08">
        <w:rPr>
          <w:lang w:val="en-US"/>
        </w:rPr>
        <w:fldChar w:fldCharType="end"/>
      </w:r>
      <w:r w:rsidR="002F16C6" w:rsidRPr="000B3E08">
        <w:rPr>
          <w:lang w:val="en-US"/>
        </w:rPr>
        <w:t xml:space="preserve">. </w:t>
      </w:r>
      <w:r w:rsidRPr="000B3E08">
        <w:rPr>
          <w:lang w:val="en-US"/>
        </w:rPr>
        <w:t>The model estimation results are further augmented by the evaluation of the predictive performance of the proposed framework.</w:t>
      </w:r>
    </w:p>
    <w:p w14:paraId="199C29B9" w14:textId="3455F750" w:rsidR="00D94A95" w:rsidRPr="000B3E08" w:rsidRDefault="00D94A95" w:rsidP="00D94A95">
      <w:pPr>
        <w:ind w:firstLine="720"/>
      </w:pPr>
    </w:p>
    <w:p w14:paraId="568EC476" w14:textId="3BF5E820" w:rsidR="00D94A95" w:rsidRPr="000B3E08" w:rsidRDefault="00D94A95" w:rsidP="005E0487">
      <w:pPr>
        <w:pStyle w:val="Heading1"/>
        <w:rPr>
          <w:color w:val="auto"/>
        </w:rPr>
      </w:pPr>
      <w:r w:rsidRPr="000B3E08">
        <w:rPr>
          <w:color w:val="auto"/>
          <w:lang w:val="en-GB"/>
        </w:rPr>
        <w:t xml:space="preserve">EARLIER </w:t>
      </w:r>
      <w:r w:rsidRPr="000B3E08">
        <w:rPr>
          <w:color w:val="auto"/>
        </w:rPr>
        <w:t>RESEARCH</w:t>
      </w:r>
      <w:r w:rsidRPr="000B3E08">
        <w:rPr>
          <w:color w:val="auto"/>
          <w:lang w:val="en-GB"/>
        </w:rPr>
        <w:t xml:space="preserve"> AND CURRENT STUDY IN CONTEXT</w:t>
      </w:r>
    </w:p>
    <w:p w14:paraId="60BF18C8" w14:textId="43EDA5EC" w:rsidR="004E5047" w:rsidRPr="000B3E08" w:rsidRDefault="004E5047" w:rsidP="005D30B7">
      <w:r w:rsidRPr="000B3E08">
        <w:t xml:space="preserve">Crash frequency models at the macroscopic and microscopic levels have been </w:t>
      </w:r>
      <w:r w:rsidR="00017E82" w:rsidRPr="000B3E08">
        <w:t>explored</w:t>
      </w:r>
      <w:r w:rsidRPr="000B3E08">
        <w:t xml:space="preserve"> extensively in safety literature. Macroscopic crash frequency models, with a focus on long-term safety planning, analyze crash occurrence for aggregated geographical regions such as state, county, city, traffic analysis districts (TADs), and traffic analysis zones (TAZs) </w:t>
      </w:r>
      <w:r w:rsidRPr="000B3E08">
        <w:fldChar w:fldCharType="begin" w:fldLock="1"/>
      </w:r>
      <w:r w:rsidR="00C86B38" w:rsidRPr="000B3E08">
        <w:instrText>ADDIN CSL_CITATION {"citationItems":[{"id":"ITEM-1","itemData":{"DOI":"https://doi.org/10.1016/S0001-4575(03)00058-7","ISSN":"0001-4575","abstract":"This paper presents analyses of data from the Highway Safety Information System (HSIS) for the State of Illinois. Our analyses focuses on whether various changes in road network infrastructure and geometric design can be associated with changes in road fatalities and reported accidents. We also evaluate models that control for demographic changes. County-level time-series data is used and fixed effect negative binomial models are estimated. Results cannot confirm the hypothesis that changes in road infrastructure and geometric design have been beneficial for safety. Increases in the number of lanes appears to be associated with both increased traffic-related accidents and fatalities. Increased lane widths appears to be associated with increased fatalities. Increases in outside shoulder width appear to be associated with a decrease in accidents. Inclusion of demographic results does not significantly change these results but does capture much of the residual time trend in the models. Potentially mis-leading results are found when the time trend is not included. In this case a negative association between vertical curvature and both accidents and fatalities. No statistical association with changes in safety is found for median widths, inside shoulder widths, and horizontal and vertical curvature.","author":[{"dropping-particle":"","family":"Noland","given":"Robert B","non-dropping-particle":"","parse-names":false,"suffix":""},{"dropping-particle":"","family":"Oh","given":"Lyoong","non-dropping-particle":"","parse-names":false,"suffix":""}],"container-title":"Accident Analysis &amp; Prevention","id":"ITEM-1","issue":"4","issued":{"date-parts":[["2004"]]},"page":"525-532","title":"The effect of infrastructure and demographic change on traffic-related fatalities and crashes: a case study of Illinois county-level data","type":"article-journal","volume":"36"},"uris":["http://www.mendeley.com/documents/?uuid=cfdf77c1-c4d8-4345-bd06-7c0ae6b1d48b"]},{"id":"ITEM-2","itemData":{"DOI":"https://doi.org/10.1016/j.aap.2005.12.006","ISSN":"0001-4575","abstract":"Using injury and fatal crash data for Pennsylvania for 1996–2000, full Bayes (FB) hierarchical models (with spatial and temporal effects and space–time interactions) are compared to traditional negative binomial (NB) estimates of annual county-level crash frequency. Covariates include socio-demographics, weather conditions, transportation infrastructure and amount of travel. FB hierarchical models are generally consistent with the NB estimates. Counties with a higher percentage of the population under poverty level, higher percentage of their population in age groups 0–14, 15–24, and over 64 and those with increased road mileage and road density have significantly increased crash risk. Total precipitation is significant and positive in the NB models, but not significant with FB. Spatial correlation, time trend, and space–time interactions are significant in the FB injury crash models. County-level FB models reveal the existence of spatial correlation in crash data and provide a mechanism to quantify, and reduce the effect of, this correlation. Addressing spatial correlation is likely to be even more important in road segment and intersection-level crash models, where spatial correlation is likely to be even more pronounced.","author":[{"dropping-particle":"","family":"Aguero-Valverde","given":"Jonathan","non-dropping-particle":"","parse-names":false,"suffix":""},{"dropping-particle":"","family":"Jovanis","given":"Paul P","non-dropping-particle":"","parse-names":false,"suffix":""}],"container-title":"Accident Analysis &amp; Prevention","id":"ITEM-2","issue":"3","issued":{"date-parts":[["2006"]]},"page":"618-625","title":"Spatial analysis of fatal and injury crashes in Pennsylvania","type":"article-journal","volume":"38"},"uris":["http://www.mendeley.com/documents/?uuid=56fb9644-7d89-4145-bdb0-5f92651dc83c"]},{"id":"ITEM-3","itemData":{"DOI":"10.3141/2148-04","ISSN":"0361-1981","abstract":"An increasing research effort has been made on spatially disaggregated safety analysis models to meet the needs of region-level safety inspection and recently emerging transportation safety planning techniques. However, without explicitly differentiating exposure variables and risk factors, most existing studies alternate the use of crash frequency, crash rate, and crash risk to interpret model coefficients. This procedure may have resulted in the inconsistent findings in relevant studies. This study proposes a Bayesian spatial model to account for county-level variations of crash risk in Florida by explicitly controlling for exposure variables of daily vehicle miles traveled and population. A conditional autoregressive prior is specified to accommodate for the spatial autocorrelations of adjacent counties. The results show no significant difference in safety effects of risk factors on all crashes and severe crashes. Counties with higher traffic intensity and population density and a higher level of urbanization are associated with higher crash risk. Unlike arterials, freeways seem to be safer with respect to crash risk given either vehicle miles traveled or population. Increase in truck traffic volume tends to result in more severe crashes. The average travel time to work is negatively correlated with all types of crash risk. Regarding the population age cohort, the results suggest that young drivers tend to be involved in more crashes, whereas the increase in elderly population leads to fewer casualties. Finally, it is confirmed that the safety status is worse for more deprived areas with lower income and educational level and higher unemployment rate in comparison with relatively affluent areas.","author":[{"dropping-particle":"","family":"Huang","given":"Helai","non-dropping-particle":"","parse-names":false,"suffix":""},{"dropping-particle":"","family":"Abdel-Aty","given":"Mohamed A","non-dropping-particle":"","parse-names":false,"suffix":""},{"dropping-particle":"","family":"Darwiche","given":"Ali Lotfi","non-dropping-particle":"","parse-names":false,"suffix":""}],"container-title":"Transportation Research Record","id":"ITEM-3","issue":"1","issued":{"date-parts":[["2010","1","1"]]},"note":"doi: 10.3141/2148-04","page":"27-37","publisher":"SAGE Publications Inc","title":"County-Level Crash Risk Analysis in Florida: Bayesian Spatial Modeling","type":"article-journal","volume":"2148"},"uris":["http://www.mendeley.com/documents/?uuid=5b221e5e-f406-4983-a7b2-50245a2c589f"]},{"id":"ITEM-4","itemData":{"DOI":"10.3141/2213-04","ISSN":"0361-1981","abstract":"A transportation network is a conglomeration of road-traffic-environment modules and features multicategories of interdependent factors. This mix makes the management of safety in traffic analysis zones (TAZs) explicitly challenging. This study investigated the association between crash frequencies and various types of trip productions and attractions in combination with the road characteristics of 1,349 TAZs of four counties in the state of Florida. Crash safety management of these TAZs is emphasized through prioritizing them by examining the effects of trip and roadway factors on the aggregated crash frequencies. Models were developed separately for total crashes, severe crashes (fatal and severe injury crashes), total crashes during peak hours, and pedestrian- and bicycle-related crashes on the basis of various groups of estimators. It was found that the total crash model and the peak-hour crash model were best estimated by total trip productions and total trip attractions. The severe crash model was best fit by trip-related variables only, and the pedestrian- and bicycle-related crash model was best fit by road-related variables only. The results from this study pave the way for better safety management and the incorporation of safety measures in travel and network planning.","author":[{"dropping-particle":"","family":"Abdel-Aty","given":"Mohamed","non-dropping-particle":"","parse-names":false,"suffix":""},{"dropping-particle":"","family":"Siddiqui","given":"Chowdhury","non-dropping-particle":"","parse-names":false,"suffix":""},{"dropping-particle":"","family":"Huang","given":"Helai","non-dropping-particle":"","parse-names":false,"suffix":""},{"dropping-particle":"","family":"Wang","given":"Xuesong","non-dropping-particle":"","parse-names":false,"suffix":""}],"container-title":"Transportation Research Record","id":"ITEM-4","issue":"1","issued":{"date-parts":[["2011","1","1"]]},"note":"doi: 10.3141/2213-04","page":"20-28","publisher":"SAGE Publications Inc","title":"Integrating Trip and Roadway Characteristics to Manage Safety in Traffic Analysis Zones","type":"article-journal","volume":"2213"},"uris":["http://www.mendeley.com/documents/?uuid=b392051d-ed19-427f-8ddd-39300db0f047"]},{"id":"ITEM-5","itemData":{"DOI":"https://doi.org/10.1016/j.tra.2013.01.030","ISSN":"0965-8564","abstract":"A wide array of spatial units has been explored in macro-level modeling. With the advancement of Geographic Information System (GIS) analysts are able to analyze crashes for various geographical units. However, a clear guideline on which geographic entity should be chosen is not present. Macro level safety analysis is at the core of transportation safety planning (TSP) which in turn is a key in many aspects of policy and decision making of safety investments. The preference of spatial unit can vary with the dependent variable of the model. Or, for a specific dependent variable, models may be invariant to multiple spatial units by producing a similar goodness-of-fits. In this study three different crash models were investigated for traffic analysis zones (TAZs), block groups (BGs) and census tracts (CTs) of two counties in Florida. The models were developed for the total crashes, severe crashes and pedestrian crashes in this region. The primary objective of the study was to explore and investigate the effect of zonal variation (scale and zoning) on these specific types of crash models. These models were developed based on various roadway characteristics and census variables (e.g., land use, socio-economic, etc.). It was found that the significance of explanatory variables is not consistent among models based on different zoning systems. Although the difference in variable significance across geographic units was found, the results also show that the sign of the coefficients are reasonable and explainable in all models. Key findings of this study are, first, signs of coefficients are consistent if these variables are significant in models with same response variables, even if geographic units are different. Second, the number of significant variables is affected by response variables and also geographic units. Admittedly, TAZs are now the only traffic related zone system, thus TAZs are being widely used by transportation planners and frequently utilized in research related to macroscopic crash analysis. Nevertheless, considering that TAZs are not delineated for traffic crash analysis but they were designed for the long range transportation plans, TAZs might not be the optimal zone system for traffic crash modeling at the macroscopic level. Therefore, it recommended that other zone systems be explored for crash analysis as well.","author":[{"dropping-particle":"","family":"Abdel-Aty","given":"Mohamed","non-dropping-particle":"","parse-names":false,"suffix":""},{"dropping-particle":"","family":"Lee","given":"Jaeyoung","non-dropping-particle":"","parse-names":false,"suffix":""},{"dropping-particle":"","family":"Siddiqui","given":"Chowdhury","non-dropping-particle":"","parse-names":false,"suffix":""},{"dropping-particle":"","family":"Choi","given":"Keechoo","non-dropping-particle":"","parse-names":false,"suffix":""}],"container-title":"Transportation Research Part A: Policy and Practice","id":"ITEM-5","issued":{"date-parts":[["2013"]]},"page":"62-75","title":"Geographical unit based analysis in the context of transportation safety planning","type":"article-journal","volume":"49"},"uris":["http://www.mendeley.com/documents/?uuid=8b3a7c78-7521-432c-b91a-12e35a90f001"]},{"id":"ITEM-6","itemData":{"DOI":"10.1080/23249935.2017.1369469","ISSN":"2324-9935","author":[{"dropping-particle":"","family":"Yasmin","given":"Shamsunnahar","non-dropping-particle":"","parse-names":false,"suffix":""},{"dropping-particle":"","family":"Eluru","given":"Naveen","non-dropping-particle":"","parse-names":false,"suffix":""}],"container-title":"Transportmetrica A: Transport Science","id":"ITEM-6","issue":"3","issued":{"date-parts":[["2018","3","16"]]},"note":"doi: 10.1080/23249935.2017.1369469","page":"230-255","publisher":"Taylor &amp; Francis","title":"A joint econometric framework for modeling crash counts by severity","type":"article-journal","volume":"14"},"uris":["http://www.mendeley.com/documents/?uuid=7c091ccb-95a3-4d74-8e75-86668e9e8a50"]},{"id":"ITEM-7","itemData":{"DOI":"https://doi.org/10.1016/j.aap.2016.07.015","ISSN":"0001-4575","abstract":"The study contributes to literature on bicycle safety by building on the traditional count regression models to investigate factors affecting bicycle crashes at the Traffic Analysis Zone (TAZ) level. TAZ is a traffic related geographic entity which is most frequently used as spatial unit for macroscopic crash risk analysis. In conventional count models, the impact of exogenous factors is restricted to be the same across the entire region. However, it is possible that the influence of exogenous factors might vary across different TAZs. To accommodate for the potential variation in the impact of exogenous factors we formulate latent segmentation based count models. Specifically, we formulate and estimate latent segmentation based Poisson (LP) and latent segmentation based Negative Binomial (LNB) models to study bicycle crash counts. In our latent segmentation approach, we allow for more than two segments and also consider a large set of variables in segmentation and segment specific models. The formulated models are estimated using bicycle-motor vehicle crash data from the Island of Montreal and City of Toronto for the years 2006 through 2010. The TAZ level variables considered in our analysis include accessibility measures, exposure measures, sociodemographic characteristics, socioeconomic characteristics, road network characteristics and built environment. A policy analysis is also conducted to illustrate the applicability of the proposed model for planning purposes. This macro-level research would assist decision makers, transportation officials and community planners to make informed decisions to proactively improve bicycle safety – a prerequisite to promoting a culture of active transportation.","author":[{"dropping-particle":"","family":"Yasmin","given":"Shamsunnahar","non-dropping-particle":"","parse-names":false,"suffix":""},{"dropping-particle":"","family":"Eluru","given":"Naveen","non-dropping-particle":"","parse-names":false,"suffix":""}],"container-title":"Accident Analysis &amp; Prevention","id":"ITEM-7","issued":{"date-parts":[["2016"]]},"page":"157-171","title":"Latent segmentation based count models: Analysis of bicycle safety in Montreal and Toronto","type":"article-journal","volume":"95"},"uris":["http://www.mendeley.com/documents/?uuid=f0b2d158-550f-42cf-9c8f-8abb72ba7a4f"]},{"id":"ITEM-8","itemData":{"DOI":"https://doi.org/10.1016/j.amar.2018.02.001","ISSN":"2213-6657","abstract":"Unobserved heterogeneity across space, time, and crash type is often non-negligible in crash frequency modeling. When multiple crash types with spatial and temporal features are analyzed, multivariate spatio-temporal models should be considered. For this study, we analyzed the yearly county-level fatal, major injury, and minor injury crashes in Iowa from 2006 to 2015 using a multivariate spatio-temporal Bayesian model. The model adopted a multivariate spatial structure, a multivariate temporal structure, and a multivariate spatio-temporal interaction structure to account for possible correlations across injury severities over space, time, and spatio-temporal interaction, respectively. Income and weather indicators were found to have no significant effects on crash frequencies in the presence of vehicle miles traveled and unemployment rate. Both spatial and temporal effects were found to be important, and they played nearly the same roles for all three crash types in the studied dataset. Counties located in north and southwest Iowa were found to tend to have fewer crashes than the remaining counties. All three crash types generally showed descending trends from 2006 to 2015. They also had significantly positive correlations between each other in space but not in time. The crude crash rates and predicted crash rates were generally consistent for major injury and minor injury crashes but not for low-count fatal crashes. High-risk counties were identified using the posterior expected rank by the predicted crash cost rate, which was more able to truly represent the underlying traffic safety status than the rank by the crude crash cost rate.","author":[{"dropping-particle":"","family":"Liu","given":"Chenhui","non-dropping-particle":"","parse-names":false,"suffix":""},{"dropping-particle":"","family":"Sharma","given":"Anuj","non-dropping-particle":"","parse-names":false,"suffix":""}],"container-title":"Analytic Methods in Accident Research","id":"ITEM-8","issued":{"date-parts":[["2018"]]},"page":"14-31","title":"Using the multivariate spatio-temporal Bayesian model to analyze traffic crashes by severity","type":"article-journal","volume":"17"},"uris":["http://www.mendeley.com/documents/?uuid=4643ccb1-424e-4f24-8b28-42b73545737b"]},{"id":"ITEM-9","itemData":{"DOI":"https://doi.org/10.1016/j.amar.2019.100107","ISSN":"2213-6657","abstract":"In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Research","id":"ITEM-9","issued":{"date-parts":[["2019"]]},"page":"100107","title":"Do we need multivariate modeling approaches to model crash frequency by crash types? A panel mixed approach to modeling crash frequency by crash types","type":"article-journal","volume":"24"},"uris":["http://www.mendeley.com/documents/?uuid=10d57005-a1df-46a3-bead-e9f55664fa74"]},{"id":"ITEM-10","itemData":{"DOI":"https://doi.org/10.1016/j.amar.2019.100105","ISSN":"2213-6657","abstract":"This study applies mixture components in a multivariate random parameters spatial model for zonal crash counts. Three different modeling formulations are employed to demonstrate the effects of mixture components and spatial heterogeneity in the goodness-of-fit in a multivariate random parameter model. The models are built for injury (i.e., possible, non-incapacitating, incapacitating, and fatal injury) and non-injury crashes using the data from 738 traffic analysis zones (TAZs) in Hillsborough County of Florida during a three-year period. The Deviance Information Criteria (DIC) is used to evaluate the performances of these models indicate the proposed model outperforms the rests. According to the estimated results, various traffic-related, demographics, and socioeconomic factors affect the occurrences of crashes for different severity levels. With regard to the effect of mixture components, it identifies two homogeneous sub-classes labeled as “stable pattern” and “unstable pattern” to better capture the heterogeneity. The standard deviation (SD) and correlation across injury and non-injury crashes are both very high in the “stable pattern” compared with its “unstable pattern” counterpart. On the other hand, the results of model comparison reveal that: (i) adding one more mixture component has no significant influences on the spatial heterogeneity and spatial correlation of different kinds of crash frequency and (ii) the consideration of spatial effects improves the accuracy of estimate results. Moreover, the multivariate random parameters spatial model with mixture components was compared with its univariate form to highlight the validity of applying multivariate structure.","author":[{"dropping-particle":"","family":"Huang","given":"Helai","non-dropping-particle":"","parse-names":false,"suffix":""},{"dropping-particle":"","family":"Chang","given":"Fangrong","non-dropping-particle":"","parse-names":false,"suffix":""},{"dropping-particle":"","family":"Zhou","given":"Hanchu","non-dropping-particle":"","parse-names":false,"suffix":""},{"dropping-particle":"","family":"Lee","given":"Jaeyoung","non-dropping-particle":"","parse-names":false,"suffix":""}],"container-title":"Analytic Methods in Accident Research","id":"ITEM-10","issued":{"date-parts":[["2019"]]},"page":"100105","title":"Modeling unobserved heterogeneity for zonal crash frequencies: A Bayesian multivariate random-parameters model with mixture components for spatially correlated data","type":"article-journal","volume":"24"},"uris":["http://www.mendeley.com/documents/?uuid=2db1508a-9faa-4016-94d1-83f83bf2b4ce"]},{"id":"ITEM-11","itemData":{"DOI":"https://doi.org/10.1016/j.amar.2019.01.002","ISSN":"2213-6657","abstract":"Unobserved heterogeneity, which has been recognized as a critical issue in crash frequency modelling, generates from multiple sources, including observable and unobservable factors, space and time instability, crash severities, etc. However, only a very limited body of research is dedicated to distinguish and simultaneously address all these sources of unobserved heterogeneity. In this study, hierarchical Bayesian random parameters models with various spatiotemporal interactions are developed to address this issue. Selected for analysis are the yearly county-level alcohol/drug impaired-driving related crash counts data of three different injury severities including minor injury, major injury, and fatal injury in Idaho from 2010 to 2015. The variables, including daily vehicle miles traveled (DVMT), the proportion of male (MALE), unemployment rate (UR), and the percentage of drivers of 25 years and older with a bachelor's degree or higher (BD), are found to have significant impacts on crash frequency and be normally distributed in certain crash severities. Significant temporal and spatial heterogenous effects are also detected in all three crash severities. These empirical results support the incorporation of temporal and spatial heterogeneity in random parameters models.","author":[{"dropping-particle":"","family":"Li","given":"Zhenning","non-dropping-particle":"","parse-names":false,"suffix":""},{"dropping-particle":"","family":"Chen","given":"Xiaofeng","non-dropping-particle":"","parse-names":false,"suffix":""},{"dropping-particle":"","family":"Ci","given":"Yusheng","non-dropping-particle":"","parse-names":false,"suffix":""},{"dropping-particle":"","family":"Chen","given":"Cong","non-dropping-particle":"","parse-names":false,"suffix":""},{"dropping-particle":"","family":"Zhang","given":"Guohui","non-dropping-particle":"","parse-names":false,"suffix":""}],"container-title":"Analytic Methods in Accident Research","id":"ITEM-11","issued":{"date-parts":[["2019"]]},"page":"44-61","title":"A hierarchical Bayesian spatiotemporal random parameters approach for alcohol/drug impaired-driving crash frequency analysis","type":"article-journal","volume":"21"},"uris":["http://www.mendeley.com/documents/?uuid=ac1383a5-ef23-4c0a-942f-9d22ea156815"]},{"id":"ITEM-12","itemData":{"DOI":"10.1080/23249935.2018.1564801","ISSN":"2324-9935","author":[{"dropping-particle":"","family":"Soroori","given":"Emad","non-dropping-particle":"","parse-names":false,"suffix":""},{"dropping-particle":"","family":"Mohammadzadeh Moghaddam","given":"Abolfazl","non-dropping-particle":"","parse-names":false,"suffix":""},{"dropping-particle":"","family":"Salehi","given":"Mahdi","non-dropping-particle":"","parse-names":false,"suffix":""}],"container-title":"Transportmetrica A: Transport Science","id":"ITEM-12","issue":"2","issued":{"date-parts":[["2019","11","29"]]},"note":"doi: 10.1080/23249935.2018.1564801","page":"1102-1123","publisher":"Taylor &amp; Francis","title":"Application of local conditional autoregressive models for development of zonal crash prediction models and identification of crash risk boundaries","type":"article-journal","volume":"15"},"uris":["http://www.mendeley.com/documents/?uuid=628fbe05-0c9f-482b-b5ce-95649c103579"]},{"id":"ITEM-13","itemData":{"DOI":"DOI: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Hindawi","id":"ITEM-13","issued":{"date-parts":[["2020"]]},"page":"1-13","title":"Random-Parameter Multivariate Negative Binomial Regression for Modeling Impacts of Contributing Factors on the Crash Frequency by Crash Types","type":"article-journal"},"uris":["http://www.mendeley.com/documents/?uuid=cdbf3a30-fdf6-4917-b233-0595b70ecb59"]},{"id":"ITEM-14","itemData":{"DOI":"https://doi.org/10.1016/j.aap.2018.10.009","ISSN":"0001-4575","abstract":"Conventional safety models rely on the assumption of independence of crash data, which is frequently violated. This study develops a novel multivariate conditional autoregressive (MVCAR) model to account for the spatial autocorrelation of neighboring sites and the inherent correlation across different crash types. Manhattan, which is the most densely populated urban area of New York City, is used as the study area. Census tracts are used as the basic geographic units to capture crash, transportation, land use, and demo-economic data. The specification of the proposed multivariate model allows for jointly modeling counts of various crash types that are classified according to injury severity. Results of Moran’s I tests show the ability of the MVCAR model to capture the multivariate spatial autocorrelation among different crash types. The MVCAR model is found to outperform the others by presenting the lowest deviance information criterion (DIC) value. It is also found that the unobserved heterogeneity was mostly attributed to spatial factors instead of non-spatial ones and there is a strong shared geographical pattern of risk among different crash types.","author":[{"dropping-particle":"","family":"Xie","given":"Kun","non-dropping-particle":"","parse-names":false,"suffix":""},{"dropping-particle":"","family":"Ozbay","given":"Kaan","non-dropping-particle":"","parse-names":false,"suffix":""},{"dropping-particle":"","family":"Yang","given":"Hong","non-dropping-particle":"","parse-names":false,"suffix":""}],"container-title":"Accident Analysis &amp; Prevention","id":"ITEM-14","issued":{"date-parts":[["2019"]]},"page":"189-198","title":"A multivariate spatial approach to model crash counts by injury severity","type":"article-journal","volume":"122"},"uris":["http://www.mendeley.com/documents/?uuid=313f3d4d-e004-47d8-99db-335112c8cb04"]},{"id":"ITEM-15","itemData":{"DOI":"10.1080/23249935.2019.1652867","ISSN":"2324-9935","author":[{"dropping-particle":"","family":"Zeng","given":"Qiang","non-dropping-particle":"","parse-names":false,"suffix":""},{"dropping-particle":"","family":"Guo","given":"Qiang","non-dropping-particle":"","parse-names":false,"suffix":""},{"dropping-particle":"","family":"Wong","given":"S C","non-dropping-particle":"","parse-names":false,"suffix":""},{"dropping-particle":"","family":"Wen","given":"Huiying","non-dropping-particle":"","parse-names":false,"suffix":""},{"dropping-particle":"","family":"Huang","given":"Heilai","non-dropping-particle":"","parse-names":false,"suffix":""},{"dropping-particle":"","family":"Pei","given":"Xin","non-dropping-particle":"","parse-names":false,"suffix":""}],"container-title":"Transportmetrica A: Transport Science","id":"ITEM-15","issue":"2","issued":{"date-parts":[["2019","11","29"]]},"note":"doi: 10.1080/23249935.2019.1652867","page":"1867-1884","publisher":"Taylor &amp; Francis","title":"Jointly modeling area-level crash rates by severity: a Bayesian multivariate random-parameters spatio-temporal Tobit regression","type":"article-journal","volume":"15"},"uris":["http://www.mendeley.com/documents/?uuid=acf3bdbb-7f9d-4ff9-ba63-513fbe40e25b"]},{"id":"ITEM-16","itemData":{"DOI":"10.1080/19439962.2018.1525631","ISSN":"1943-9962","author":[{"dropping-particle":"","family":"Cheng","given":"Wen","non-dropping-particle":"","parse-names":false,"suffix":""},{"dropping-particle":"","family":"Gill","given":"Gurdiljot Singh","non-dropping-particle":"","parse-names":false,"suffix":""},{"dropping-particle":"","family":"Zhou","given":"Jiao","non-dropping-particle":"","parse-names":false,"suffix":""},{"dropping-particle":"","family":"Ensch","given":"John L","non-dropping-particle":"","parse-names":false,"suffix":""},{"dropping-particle":"","family":"Kwong","given":"Jerry","non-dropping-particle":"","parse-names":false,"suffix":""},{"dropping-particle":"","family":"Jia","given":"Xudong","non-dropping-particle":"","parse-names":false,"suffix":""}],"container-title":"Journal of Transportation Safety &amp; Security","id":"ITEM-16","issue":"5","issued":{"date-parts":[["2020","5","27"]]},"note":"doi: 10.1080/19439962.2018.1525631","page":"628-652","publisher":"Taylor &amp; Francis","title":"Alternative multivariate multimodal crash frequency models","type":"article-journal","volume":"12"},"uris":["http://www.mendeley.com/documents/?uuid=29531952-8ac6-44fe-8174-54685f78856b"]},{"id":"ITEM-17","itemData":{"DOI":"https://doi.org/10.1016/j.amar.2021.100163","ISSN":"2213-6657","abstract":"This study aims to rank high crash risk areas and measure the impacts of accessibility and other spatial and socio-economic factors on county-level crash severities while controlling for spatial and temporal unobserved effects. Among other insights, the results suggest that primary roadway density is positively associated with all crash severities. Contrary, intersection density is negatively associated with injury and no injury crashes. Furthermore, school density and rates of driving under the influence are both positively associated with no injury crashes. Additionally, the mean travel time to the hospital is positively associated, while urbanity is negatively associated with fatal crashes. Unobserved effects due to unstructured random effect terms are significant and contribute to the model’s overall goodness of fit. The within-area correlation among crash severities is positive and non-negligible. From a temporal perspective, both fatal and no injury crashes have decreasing trends. However, no clear pattern for injury crashes is observed across the years. From a spatial perspective, extreme high and low crash risk counties are identified throughout the study area with no clear observed patterns of clustering or dispersion.","author":[{"dropping-particle":"","family":"Azimian","given":"Amin","non-dropping-particle":"","parse-names":false,"suffix":""},{"dropping-particle":"","family":"Dimitra Pyrialakou","given":"V","non-dropping-particle":"","parse-names":false,"suffix":""},{"dropping-particle":"","family":"Lavrenz","given":"Steven","non-dropping-particle":"","parse-names":false,"suffix":""},{"dropping-particle":"","family":"Wen","given":"Sijin","non-dropping-particle":"","parse-names":false,"suffix":""}],"container-title":"Analytic Methods in Accident Research","id":"ITEM-17","issued":{"date-parts":[["2021"]]},"page":"100163","title":"Exploring the effects of area-level factors on traffic crash frequency by severity using multivariate space-time models","type":"article-journal","volume":"31"},"uris":["http://www.mendeley.com/documents/?uuid=899cf0b4-dd82-47e4-9fc5-68517f5d39c2"]},{"id":"ITEM-18","itemData":{"DOI":"https://doi.org/10.1016/j.amar.2021.100167","ISSN":"2213-6657","abstract":"In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author":[{"dropping-particle":"","family":"Bhowmik","given":"Tanmoy","non-dropping-particle":"","parse-names":false,"suffix":""},{"dropping-particle":"","family":"Rahman","given":"Moshiur","non-dropping-particle":"","parse-names":false,"suffix":""},{"dropping-particle":"","family":"Yasmin","given":"Shamsunnahar","non-dropping-particle":"","parse-names":false,"suffix":""},{"dropping-particle":"","family":"Eluru","given":"Naveen","non-dropping-particle":"","parse-names":false,"suffix":""}],"container-title":"Analytic Methods in Accident Research","id":"ITEM-18","issued":{"date-parts":[["2021"]]},"page":"100167","title":"Exploring analytical, simulation-based, and hybrid model structures for multivariate crash frequency modeling","type":"article-journal","volume":"31"},"uris":["http://www.mendeley.com/documents/?uuid=d3f55450-fd3f-4f7b-86ca-8c685e1abe6a"]},{"id":"ITEM-19","itemData":{"DOI":"https://doi.org/10.1016/j.aap.2021.106018","ISSN":"0001-4575","abstract":"Although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author":[{"dropping-particle":"","family":"Cui","given":"Haipeng","non-dropping-particle":"","parse-names":false,"suffix":""},{"dropping-particle":"","family":"Xie","given":"Kun","non-dropping-particle":"","parse-names":false,"suffix":""}],"container-title":"Accident Analysis &amp; Prevention","id":"ITEM-19","issued":{"date-parts":[["2021"]]},"page":"106018","title":"An accelerated hierarchical Bayesian crash frequency model with accommodation of spatiotemporal interactions","type":"article-journal","volume":"153"},"uris":["http://www.mendeley.com/documents/?uuid=b4e0c26d-e01e-4722-b34d-d1d01f7a8eb7"]}],"mendeley":{"formattedCitation":"(Abdel-Aty et al., 2013, 2011; Aguero-Valverde and Jovanis, 2006; Azimian et al., 2021; Bhowmik et al., 2021, 2019; Cheng et al., 2020; Cui and Xie, 2021; Huang et al., 2019, 2010; Li et al., 2019; Liu and Sharma, 2018; Noland and Oh, 2004; Soroori et al., 2019; Wang et al., 2020; Xie et al., 2019; Yasmin and Eluru, 2018, 2016; Zeng et al., 2019)","plainTextFormattedCitation":"(Abdel-Aty et al., 2013, 2011; Aguero-Valverde and Jovanis, 2006; Azimian et al., 2021; Bhowmik et al., 2021, 2019; Cheng et al., 2020; Cui and Xie, 2021; Huang et al., 2019, 2010; Li et al., 2019; Liu and Sharma, 2018; Noland and Oh, 2004; Soroori et al., 2019; Wang et al., 2020; Xie et al., 2019; Yasmin and Eluru, 2018, 2016; Zeng et al., 2019)","previouslyFormattedCitation":"(Abdel-Aty et al., 2013, 2011; Aguero-Valverde and Jovanis, 2006; Azimian et al., 2021; Bhowmik et al., 2021, 2019; Cheng et al., 2020; Cui and Xie, 2021; Huang et al., 2019, 2010; Li et al., 2019; Liu and Sharma, 2018; Noland and Oh, 2004; Soroori et al., 2019; Wang et al., 2020; Xie et al., 2019; Yasmin and Eluru, 2018, 2016; Zeng et al., 2019)"},"properties":{"noteIndex":0},"schema":"https://github.com/citation-style-language/schema/raw/master/csl-citation.json"}</w:instrText>
      </w:r>
      <w:r w:rsidRPr="000B3E08">
        <w:fldChar w:fldCharType="separate"/>
      </w:r>
      <w:r w:rsidR="00EB12E6" w:rsidRPr="000B3E08">
        <w:rPr>
          <w:noProof/>
        </w:rPr>
        <w:t xml:space="preserve">(Abdel-Aty et al., 2013, 2011; Aguero-Valverde and Jovanis, 2006; Azimian et al., 2021; Bhowmik et al., </w:t>
      </w:r>
      <w:r w:rsidR="00271111">
        <w:rPr>
          <w:noProof/>
        </w:rPr>
        <w:t xml:space="preserve">2022, </w:t>
      </w:r>
      <w:r w:rsidR="00EB12E6" w:rsidRPr="000B3E08">
        <w:rPr>
          <w:noProof/>
        </w:rPr>
        <w:t>2021</w:t>
      </w:r>
      <w:r w:rsidR="00C13C7B">
        <w:rPr>
          <w:noProof/>
        </w:rPr>
        <w:t>a</w:t>
      </w:r>
      <w:r w:rsidR="00EB12E6" w:rsidRPr="000B3E08">
        <w:rPr>
          <w:noProof/>
        </w:rPr>
        <w:t>,</w:t>
      </w:r>
      <w:r w:rsidR="00C13C7B" w:rsidRPr="00C13C7B">
        <w:rPr>
          <w:noProof/>
        </w:rPr>
        <w:t xml:space="preserve"> </w:t>
      </w:r>
      <w:r w:rsidR="00C13C7B" w:rsidRPr="000B3E08">
        <w:rPr>
          <w:noProof/>
        </w:rPr>
        <w:t>2021</w:t>
      </w:r>
      <w:r w:rsidR="00C13C7B">
        <w:rPr>
          <w:noProof/>
        </w:rPr>
        <w:t>b,</w:t>
      </w:r>
      <w:r w:rsidR="00EB12E6" w:rsidRPr="000B3E08">
        <w:rPr>
          <w:noProof/>
        </w:rPr>
        <w:t xml:space="preserve"> 2019</w:t>
      </w:r>
      <w:r w:rsidR="00C13C7B">
        <w:rPr>
          <w:noProof/>
        </w:rPr>
        <w:t>, 2018</w:t>
      </w:r>
      <w:r w:rsidR="00EB12E6" w:rsidRPr="000B3E08">
        <w:rPr>
          <w:noProof/>
        </w:rPr>
        <w:t>; Cheng et al., 2020; Cui and Xie, 2021; Huang et al., 2019, 2010; Li et al., 2019; Liu and Sharma, 2018; Noland and Oh, 2004; Soroori et al., 2019; Wang et al., 2020; Xie et al., 2019; Yasmin and Eluru, 2018, 2016; Zeng et al., 2019)</w:t>
      </w:r>
      <w:r w:rsidRPr="000B3E08">
        <w:fldChar w:fldCharType="end"/>
      </w:r>
      <w:r w:rsidRPr="000B3E08">
        <w:t xml:space="preserve">. </w:t>
      </w:r>
      <w:r w:rsidR="00FD4EB1" w:rsidRPr="000B3E08">
        <w:t>On the other hand, m</w:t>
      </w:r>
      <w:r w:rsidRPr="000B3E08">
        <w:t xml:space="preserve">icroscopic crash </w:t>
      </w:r>
      <w:r w:rsidR="003D045E" w:rsidRPr="000B3E08">
        <w:t xml:space="preserve">frequency </w:t>
      </w:r>
      <w:r w:rsidRPr="000B3E08">
        <w:t xml:space="preserve">models examine factors affecting crash occurrence at a facility resolution such as a segment or an intersection to suggest facility specific treatments </w:t>
      </w:r>
      <w:r w:rsidRPr="000B3E08">
        <w:fldChar w:fldCharType="begin" w:fldLock="1"/>
      </w:r>
      <w:r w:rsidR="00623AEF" w:rsidRPr="000B3E08">
        <w:instrText>ADDIN CSL_CITATION {"citationItems":[{"id":"ITEM-1","itemData":{"DOI":"10.3141/1897-03","ISSN":"0361-1981","abstract":"A study was done to develop macrolevel crash prediction models that can be used to understand and identify effective countermeasures for improving signalized highway intersections and multilane stop-controlled highway intersections in rural areas. Poisson and negative binomial regression models were fit to intersection crash data from Georgia, California, and Michigan. To assess the suitability of the models, several goodness-of-fit measures were computed. The statistical models were then used to shed light on the relationships between crash occurrence and traffic and geometric features of the rural signalized intersections. The results revealed that traffic flow variables significantly affected the overall safety performance of the intersections regardless of intersection type and that the geometric features of intersections varied across intersection type and also influenced crash type.","author":[{"dropping-particle":"","family":"Oh","given":"Jutaek","non-dropping-particle":"","parse-names":false,"suffix":""},{"dropping-particle":"","family":"Washington","given":"Simon","non-dropping-particle":"","parse-names":false,"suffix":""},{"dropping-particle":"","family":"Choi","given":"Keechoo","non-dropping-particle":"","parse-names":false,"suffix":""}],"container-title":"Transportation Research Record","id":"ITEM-1","issue":"1","issued":{"date-parts":[["2004","1","1"]]},"note":"doi: 10.3141/1897-03","page":"18-27","publisher":"SAGE Publications Inc","title":"Development of Accident Prediction Models for Rural Highway Intersections","type":"article-journal","volume":"1897"},"uris":["http://www.mendeley.com/documents/?uuid=bd05085d-01b3-4f33-b723-242c21d3faac"]},{"id":"ITEM-2","itemData":{"DOI":"https://doi.org/10.1016/j.aap.2006.04.017","ISSN":"0001-4575","abstract":"Crash prediction models are used for a variety of purposes including forecasting the expected future performance of various transportation system segments with similar traits. The influence of intersection features on safety have been examined extensively because intersections experience a relatively large proportion of motor vehicle conflicts and crashes compared to other segments in the transportation system. The effects of left-turn lanes at intersections in particular have seen mixed results in the literature. Some researchers have found that left-turn lanes are beneficial to safety while others have reported detrimental effects on safety. This inconsistency is not surprising given that the installation of left-turn lanes is often endogenous, that is, influenced by crash counts and/or traffic volumes. Endogeneity creates problems in econometric and statistical models and is likely to account for the inconsistencies reported in the literature. This paper reports on a limited-information maximum likelihood (LIML) estimation approach to compensate for endogeneity between left-turn lane presence and angle crashes. The effects of endogeneity are mitigated using the approach, revealing the unbiased effect of left-turn lanes on crash frequency for a dataset of Georgia intersections. The research shows that without accounting for endogeneity, left-turn lanes ‘appear’ to contribute to crashes; however, when endogeneity is accounted for in the model, left-turn lanes reduce angle crash frequencies as expected by engineering judgment. Other endogenous variables may lurk in crash models as well, suggesting that the method may be used to correct simultaneity problems with other variables and in other transportation modeling contexts.","author":[{"dropping-particle":"","family":"Kim","given":"Do-Gyeong","non-dropping-particle":"","parse-names":false,"suffix":""},{"dropping-particle":"","family":"Washington","given":"Simon","non-dropping-particle":"","parse-names":false,"suffix":""}],"container-title":"Accident Analysis &amp; Prevention","id":"ITEM-2","issue":"6","issued":{"date-parts":[["2006"]]},"page":"1094-1100","title":"The significance of endogeneity problems in crash models: An examination of left-turn lanes in intersection crash models","type":"article-journal","volume":"38"},"uris":["http://www.mendeley.com/documents/?uuid=03280fdd-1f0e-4de1-b926-6efda5169934"]},{"id":"ITEM-3","itemData":{"DOI":"10.1016/j.aap.2006.06.011","ISSN":"0001-4575 (Print)","PMID":"16925978","abstract":"It is important to examine the nature of the relationships between roadway,  environmental, and traffic factors and motor vehicle crashes, with the aim to improve the collective understanding of causal mechanisms involved in crashes and to better predict their occurrence. Statistical models of motor vehicle crashes are one path of inquiry often used to gain these initial insights. Recent efforts have focused on the estimation of negative binomial and Poisson regression models (and related deviants) due to their relatively good fit to crash data. Of course analysts constantly seek methods that offer greater consistency with the data generating mechanism (motor vehicle crashes in this case), provide better statistical fit, and provide insight into data structure that was previously unavailable. One such opportunity exists with some types of crash data, in particular crash-level data that are collected across roadway segments, intersections, etc. It is argued in this paper that some crash data possess hierarchical structure that has not routinely been exploited. This paper describes the application of binomial multilevel models of crash types using 548 motor vehicle crashes collected from 91 two-lane rural intersections in the state of Georgia. Crash prediction models are estimated for angle, rear-end, and sideswipe (both same direction and opposite direction) crashes. The contributions of the paper are the realization of hierarchical data structure and the application of a theoretically appealing and suitable analysis approach for multilevel data, yielding insights into intersection-related crashes by crash type.","author":[{"dropping-particle":"","family":"Kim","given":"Do-Gyeong","non-dropping-particle":"","parse-names":false,"suffix":""},{"dropping-particle":"","family":"Lee","given":"Yuhwa","non-dropping-particle":"","parse-names":false,"suffix":""},{"dropping-particle":"","family":"Washington","given":"Simon","non-dropping-particle":"","parse-names":false,"suffix":""},{"dropping-particle":"","family":"Choi","given":"Keechoo","non-dropping-particle":"","parse-names":false,"suffix":""}],"container-title":"Accident; analysis and prevention","id":"ITEM-3","issue":"1","issued":{"date-parts":[["2007","1"]]},"language":"eng","page":"125-134","publisher-place":"England","title":"Modeling crash outcome probabilities at rural intersections: application of  hierarchical binomial logistic models.","type":"article-journal","volume":"39"},"uris":["http://www.mendeley.com/documents/?uuid=47e77d86-c0fb-4c5a-83dd-e1147275784f"]},{"id":"ITEM-4","itemData":{"DOI":"10.3141/2061-07","ISSN":"0361-1981","abstract":"Despite the evident spatial character of road crashes, limited research has been conducted in road safety analysis to account for spatial correlation; further, the practical consequences of this omission are largely unknown. The purpose of this research is to explore the effect of spatial correlation in models of road crash frequency at the segment level. Different segment neighboring structures are tested to establish the most appropriate one in the context of modeling crash frequency in road networks. A full Bayes hierarchical approach is used with conditional autoregressive effects for the spatial correlation terms. Analysis of crash, traffic, and roadway inventory data from a rural county in Pennsylvania indicates the importance of including spatial correlation in road crash models. The models with spatial correlation show significantly better fit to the data than the Poisson lognormal model with only heterogeneity. Parameters significantly different from zero included annual average daily traffic (AADT) and shoulder widths less than 4 ft and between 6 and 10 ft. In four models with spatial correlation, goodness of fit was improved compared with the model including only heterogeneity. More important yet is the potential of spatial correlation to reduce the bias associated with model misspecification, as shown by the change in the estimate of the AADT coefficient and other parameters.","author":[{"dropping-particle":"","family":"Aguero-Valverde","given":"Jonathan","non-dropping-particle":"","parse-names":false,"suffix":""},{"dropping-particle":"","family":"Jovanis","given":"Paul P","non-dropping-particle":"","parse-names":false,"suffix":""}],"container-title":"Transportation Research Record","id":"ITEM-4","issue":"1","issued":{"date-parts":[["2008","1","1"]]},"note":"doi: 10.3141/2061-07","page":"55-63","publisher":"SAGE Publications Inc","title":"Analysis of Road Crash Frequency with Spatial Models","type":"article-journal","volume":"2061"},"uris":["http://www.mendeley.com/documents/?uuid=b6660d64-92fa-4db5-a282-9bc043db8b2a"]},{"id":"ITEM-5","itemData":{"DOI":"https://doi.org/10.1016/j.ssci.2008.06.007","ISSN":"0925-7535","abstract":"Safety at roadway intersections is of significant interest to transportation professionals due to the large number of intersections in transportation networks, the complexity of traffic movements at these locations that leads to large numbers of conflicts, and the wide variety of geometric and operational features that define them. A variety of collision types including head-on, sideswipe, rear-end, and angle crashes occur at intersections. While intersection crash totals may not reveal a site deficiency, over exposure of a specific crash type may reveal otherwise undetected deficiencies. Thus, there is a need to be able to model the expected frequency of crashes by collision type at intersections to enable the detection of problems and the implementation of effective design strategies and countermeasures. Statistically, it is important to consider modeling collision type frequencies simultaneously to account for the possibility of common unobserved factors affecting crash frequencies across crash types. In this paper, a simultaneous equations model of crash frequencies by collision type is developed and presented using crash data for rural intersections in Georgia. The model estimation results support the notion of the presence of significant common unobserved factors across crash types, although the impact of these factors on parameter estimates is found to be rather modest.","author":[{"dropping-particle":"","family":"Ye","given":"Xin","non-dropping-particle":"","parse-names":false,"suffix":""},{"dropping-particle":"","family":"Pendyala","given":"Ram M","non-dropping-particle":"","parse-names":false,"suffix":""},{"dropping-particle":"","family":"Washington","given":"Simon P","non-dropping-particle":"","parse-names":false,"suffix":""},{"dropping-particle":"","family":"Konduri","given":"Karthik","non-dropping-particle":"","parse-names":false,"suffix":""},{"dropping-particle":"","family":"Oh","given":"Jutaek","non-dropping-particle":"","parse-names":false,"suffix":""}],"container-title":"Safety Science","id":"ITEM-5","issue":"3","issued":{"date-parts":[["2009"]]},"page":"443-452","title":"A simultaneous equations model of crash frequency by collision type for rural intersections","type":"article-journal","volume":"47"},"uris":["http://www.mendeley.com/documents/?uuid=fce8047e-9a59-437c-bd56-395a11ed9970"]},{"id":"ITEM-6","itemData":{"DOI":"https://doi.org/10.1016/j.aap.2014.04.018","ISSN":"0001-4575","abstract":"Crash data are collected through police reports and integrated with road inventory data for further analysis. Integrated police reports and inventory data yield correlated multivariate data for roadway entities (e.g., segments or intersections). Analysis of such data reveals important relationships that can help focus on high-risk situations and coming up with safety countermeasures. To understand relationships between crash frequencies and associated variables, while taking full advantage of the available data, multivariate random-parameters models are appropriate since they can simultaneously consider the correlation among the specific crash types and account for unobserved heterogeneity. However, a key issue that arises with correlated multivariate data is the number of crash-free samples increases, as crash counts have many categories. In this paper, we describe a multivariate random-parameters zero-inflated negative binomial (MRZINB) regression model for jointly modeling crash counts. The full Bayesian method is employed to estimate the model parameters. Crash frequencies at urban signalized intersections in Tennessee are analyzed. The paper investigates the performance of MZINB and MRZINB regression models in establishing the relationship between crash frequencies, pavement conditions, traffic factors, and geometric design features of roadway intersections. Compared to the MZINB model, the MRZINB model identifies additional statistically significant factors and provides better goodness of fit in developing the relationships. The empirical results show that MRZINB model possesses most of the desirable statistical properties in terms of its ability to accommodate unobserved heterogeneity and excess zero counts in correlated data. Notably, in the random-parameters MZINB model, the estimated parameters vary significantly across intersections for different crash types.","author":[{"dropping-particle":"","family":"Dong","given":"Chunjiao","non-dropping-particle":"","parse-names":false,"suffix":""},{"dropping-particle":"","family":"Clarke","given":"David B","non-dropping-particle":"","parse-names":false,"suffix":""},{"dropping-particle":"","family":"Yan","given":"Xuedong","non-dropping-particle":"","parse-names":false,"suffix":""},{"dropping-particle":"","family":"Khattak","given":"Asad","non-dropping-particle":"","parse-names":false,"suffix":""},{"dropping-particle":"","family":"Huang","given":"Baoshan","non-dropping-particle":"","parse-names":false,"suffix":""}],"container-title":"Accident Analysis &amp; Prevention","id":"ITEM-6","issued":{"date-parts":[["2014"]]},"page":"320-329","title":"Multivariate random-parameters zero-inflated negative binomial regression model: An application to estimate crash frequencies at intersections","type":"article-journal","volume":"70"},"uris":["http://www.mendeley.com/documents/?uuid=ae409fab-5fde-4233-add0-f6344fa579da"]},{"id":"ITEM-7","itemData":{"DOI":"10.3141/2515-10","ISSN":"0361-1981","abstract":"The first edition of the Highway Safety Manual (HSM) provides a number of safety performance functions (SPFs) that can be used to predict severe collisions on a roadway network. This paper examines the calibration of the HSM SPFs for urban four-lane divided roadway segments with angle parking in Riyadh, Saudi Arabia, and the development of new SPFs. This study first calibrated the HSM SPFs by using HSM default crash modification factors (CMFs) and then proposed new local CMFs, which adjust the estimation of calibration factors by using fatal and injury crash data. In addition, new forms for specific SPFs were further evaluated to identify the best model by using the Poisson?gamma regression technique. It was found that the jurisdiction-specific SPFs provided the best fit of the data used in this study and would be the best SPFs for predicting severe collisions in the city of Riyadh. The best fatal and injury model describes the mean crash frequency as a function of the natural logarithm of the annual average daily traffic, segment length, speed limit, and driveway density. The study found that the HSM calibration using Riyadh local CMFs outperformed the calibration method using HSM default values. Based on these results, potential countermeasures were proposed to reduce the number of severe crashes on Riyadh urban roads, and the potential for HSM application in Saudi Arabia is addressed.","author":[{"dropping-particle":"Al","family":"Kaaf","given":"Khalid","non-dropping-particle":"","parse-names":false,"suffix":""},{"dropping-particle":"","family":"Abdel-Aty","given":"Mohamed","non-dropping-particle":"","parse-names":false,"suffix":""}],"container-title":"Transportation Research Record","id":"ITEM-7","issue":"1","issued":{"date-parts":[["2015","1","1"]]},"note":"doi: 10.3141/2515-10","page":"70-77","publisher":"SAGE Publications Inc","title":"Transferability and Calibration of Highway Safety Manual Performance Functions and Development of New Models for Urban Four-Lane Divided Roads in Riyadh, Saudi Arabia","type":"article-journal","volume":"2515"},"uris":["http://www.mendeley.com/documents/?uuid=ea05fc01-6c8d-4c16-bfe4-374b773cba2f"]},{"id":"ITEM-8","itemData":{"DOI":"10.4236/jtts.2016.64017","author":[{"dropping-particle":"","family":"Abdulhafedh","given":"Azad","non-dropping-particle":"","parse-names":false,"suffix":""}],"container-title":"Journal of Transportation Technologies","id":"ITEM-8","issue":"4","issued":{"date-parts":[["2016"]]},"page":"169","title":"Crash Frequency Analysis","type":"article-journal","volume":"6"},"uris":["http://www.mendeley.com/documents/?uuid=63501ac6-a95e-43ae-9f41-af4f48487135"]},{"id":"ITEM-9","itemData":{"DOI":"https://doi.org/10.1016/j.amar.2017.08.002","ISSN":"2213-6657","abstract":"Previous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Research","id":"ITEM-9","issued":{"date-parts":[["2017"]]},"page":"48-59","title":"Crash modeling for intersections and segments along corridors: A Bayesian multilevel joint model with random parameters","type":"article-journal","volume":"16"},"uris":["http://www.mendeley.com/documents/?uuid=b73af14e-2b54-4998-bf58-1dba6a015cb5"]},{"id":"ITEM-10","itemData":{"DOI":"https://doi.org/10.1016/j.aap.2018.07.026","ISSN":"0001-4575","abstract":"The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Prevention","id":"ITEM-10","issued":{"date-parts":[["2018"]]},"page":"263-273","title":"A Bayesian multivariate hierarchical spatial joint model for predicting crash counts by crash type at intersections and segments along corridors","type":"article-journal","volume":"119"},"uris":["http://www.mendeley.com/documents/?uuid=a236c13c-dcd9-47ca-9493-dc5ce004b810"]},{"id":"ITEM-11","itemData":{"DOI":"10.1177/0361198118767409","ISSN":"0361-1981","abstract":"To improve transportation safety, this study applies Highway Safety Manual (HSM) procedures to roadways while accounting for unobserved heterogeneity and exploring alternative functional forms for Safety Performance Functions (SPFs). Specifically, several functional forms are considered in Poisson and Poisson-gamma modeling frameworks. Using 5 years (2011?2015) of crash, traffic, and road inventory data for two-way, two-lane roads in Tennessee, fixed- and random-parameter count data models are calibrated. The models account for important methodological concerns of unobserved heterogeneity and omitted variable bias. With a validation dataset, the calibrated and uncalibrated HSM SPFs and eight new Tennessee-specific SPFs are compared for prediction accuracy. The results show that the statewide calibration factor is 2.48, suggesting rural two-lane, two-way road segment crashes are at least 1.48 times greater than what HSM SPF predicts. Significant variation in four different regions in Tennessee is observed with calibration factors ranging between 2.02 and 2.77. Among all the SPFs considered, fully specified Tennessee-specific random parameter Poisson SPF outperformed all competing SPFs in predicting out-of-sample crashes on these road segments. The best-fit random parameter SPF specification for crash frequency includes the following variables: annual average daily traffic, segment length, shoulder width, lane width, speed limit, and the presence of passing lanes. Significant heterogeneity is observed in the effects of traffic exposure-related variables on crash frequency. The study shows how heterogeneity-based models can be specified and used by practitioners for obtaining accurate crash predictions.","author":[{"dropping-particle":"","family":"Wali","given":"Behram","non-dropping-particle":"","parse-names":false,"suffix":""},{"dropping-particle":"","family":"Khattak","given":"Asad J","non-dropping-particle":"","parse-names":false,"suffix":""},{"dropping-particle":"","family":"Waters","given":"Jim","non-dropping-particle":"","parse-names":false,"suffix":""},{"dropping-particle":"","family":"Chimba","given":"Deo","non-dropping-particle":"","parse-names":false,"suffix":""},{"dropping-particle":"","family":"Li","given":"Xiaobing","non-dropping-particle":"","parse-names":false,"suffix":""}],"container-title":"Transportation Research Record","id":"ITEM-11","issue":"30","issued":{"date-parts":[["2018","5","7"]]},"note":"doi: 10.1177/0361198118767409","page":"9-20","publisher":"SAGE Publications Inc","title":"Development of Safety Performance Functions: Incorporating Unobserved Heterogeneity and Functional Form Analysis","type":"article-journal","volume":"2672"},"uris":["http://www.mendeley.com/documents/?uuid=6426fccb-a3ab-4282-9c5e-fb9afecc8751"]},{"id":"ITEM-12","itemData":{"DOI":"10.1016/j.aap.2019.07.025","ISSN":"1879-2057 (Electronic)","PMID":"31415995","abstract":"This study attempts to examine the main and interaction effects of roadway and  weather conditions on crash incidence, using the comprehensive crash, traffic and weather data from the Kaiyang Freeway in China in 2014. The dependent variable is monthly crash count on a roadway segment (with homogeneous horizontal and vertical profiles). A Bayesian spatio-temporal model is proposed to measure the association between crash frequency and possible risk factors including traffic composition, presence of curve and slope, weather conditions, and their interactions. The proposed model can also accommodate the unstructured random effect, and spatio-temporal correlation and interactions. Results of parameter estimation indicate that the interactions between wind speed and slope, between precipitation and curve, and between visibility and slope are significantly correlated to the increase in the freeway crash risk, while the interaction between precipitation and slope is significantly correlated to the reduction in the freeway crash risk, respectively. These findings are indicative of the design and implementation of real-time traffic management and control measures, e.g. variable message sign, that could mitigate the crash risk under the adverse weather conditions.","author":[{"dropping-particle":"","family":"Wen","given":"Huiying","non-dropping-particle":"","parse-names":false,"suffix":""},{"dropping-particle":"","family":"Zhang","given":"Xuan","non-dropping-particle":"","parse-names":false,"suffix":""},{"dropping-particle":"","family":"Zeng","given":"Qiang","non-dropping-particle":"","parse-names":false,"suffix":""},{"dropping-particle":"","family":"Sze","given":"N N","non-dropping-particle":"","parse-names":false,"suffix":""}],"container-title":"Accident; analysis and prevention","id":"ITEM-12","issued":{"date-parts":[["2019","11"]]},"language":"eng","page":"105249","publisher-place":"England","title":"Bayesian spatial-temporal model for the main and interaction effects of roadway and  weather characteristics on freeway crash incidence.","type":"article-journal","volume":"132"},"uris":["http://www.mendeley.com/documents/?uuid=cb0011f8-17e5-42b6-ae55-1c8a21aaaaaa"]},{"id":"ITEM-13","itemData":{"DOI":"https://doi.org/10.1016/j.amar.2019.100092","ISSN":"2213-6657","abstract":"Crash frequency prediction models have been an important subject of safety research that unveils a relationship between crash occurrences and their influencing factors. Recently, the hourly-based refined-scale crash frequency analysis becomes attractive since it holds the benefits of introducing time-varying explanatory information (e.g. traffic volume and operating speed). However, crash frequency data with short time intervals possess the analytical issues of excessive zeros and unobserved heterogeneity. In this study, a marginalized random effects hurdle negative binomial (MREHNB) model was, for the first time, developed in which the hurdle modelling structure handles the excessive zeros issue and site-specific random effect terms capture the factors associated with unobserved heterogeneity. Moreover, the marginalized inference approach was introduced here to obtain the marginal mean inference for the overall population rather than subject-specific estimations. Empirical analyses were conducted based on data from the Shanghai urban expressway system, and the MREHNB model was compared with the HNB (hurdle negative binomial) and the REHNB (random effects hurdle negative binomial) model. In terms of model goodness-of-fits, REHNB and MREHNB model showed substantial improvement compared to the HNB model while there was no distinct difference between the REHNB and MREHNB models. However, as for the estimated parameters, the MREHNB model provided better inference precisions. Furthermore, the MREHNB model provided interesting findings for the crash contributing factors, for example, higher ratios of local vehicles within the traffic volume would enhance the probability of crash occurrence; and a non-linear relationship was concluded between traffic volume and crash frequency with the moderate level of volume held the highest crash occurrence probability. Finally, in-depth analyses about the modeling results and the model technique were discussed. The results will assist in designing more efficient control strategies for near real-time traffic management.","author":[{"dropping-particle":"","family":"Yu","given":"Rongjie","non-dropping-particle":"","parse-names":false,"suffix":""},{"dropping-particle":"","family":"Wang","given":"Yiyun","non-dropping-particle":"","parse-names":false,"suffix":""},{"dropping-particle":"","family":"Quddus","given":"Mohammed","non-dropping-particle":"","parse-names":false,"suffix":""},{"dropping-particle":"","family":"Li","given":"Jian","non-dropping-particle":"","parse-names":false,"suffix":""}],"container-title":"Analytic Methods in Accident Research","id":"ITEM-13","issued":{"date-parts":[["2019"]]},"page":"100092","title":"A marginalized random effects hurdle negative binomial model for analyzing refined-scale crash frequency data","type":"article-journal","volume":"22"},"uris":["http://www.mendeley.com/documents/?uuid=5559b9f1-0e6f-40b7-8a40-77b8c955ec55"]},{"id":"ITEM-14","itemData":{"DOI":"https://doi.org/10.1016/j.aap.2020.105433","ISSN":"0001-4575","abstract":"Urban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author":[{"dropping-particle":"","family":"Alhomaidat","given":"Fadi","non-dropping-particle":"","parse-names":false,"suffix":""},{"dropping-particle":"","family":"Kwigizile","given":"Valerian","non-dropping-particle":"","parse-names":false,"suffix":""},{"dropping-particle":"","family":"Oh","given":"Jun-Seok","non-dropping-particle":"","parse-names":false,"suffix":""},{"dropping-particle":"Van","family":"Houten","given":"Ron","non-dropping-particle":"","parse-names":false,"suffix":""}],"container-title":"Accident Analysis &amp; Prevention","id":"ITEM-14","issued":{"date-parts":[["2020"]]},"page":"105433","title":"How does an increased freeway speed limit influence the frequency of crashes on adjacent roads?","type":"article-journal","volume":"136"},"uris":["http://www.mendeley.com/documents/?uuid=4ba7c30d-65b0-4a33-82ad-2d22a43901d0"]},{"id":"ITEM-15","itemData":{"DOI":"https://doi.org/10.1016/j.ijtst.2020.03.010","ISSN":"2046-0430","abstract":"One of the major challenges with vehicle crash frequency studies is how to deal with the unobserved heterogeneity in crash data. While statistical models of crash frequency analysis based on single probability distributions are constantly improving, several researchers discovered that multiple distribution models may better describe crash frequency data and capture more unobserved heterogeneity. Based on the hypothesis that total crash counts occurring at an intersection are affected by unique sets of factors, this research proposes a two-step approach to studying the contributing factors to crashes at intersections in the Mississippi coastal area. In this study, the data of single crash accidents are first clustered into subgroups using a hierarchical clustering method, and then a Random Effects Negative Binomial model is applied to each subgroup with crash counts at an intersection as observations. A model with no data clustering is also estimated to serve as the comparison benchmark. The analysis results show that this two-step approach can reveal more information about crash contributing factors and improve the predictive power and goodness of fit.","author":[{"dropping-particle":"","family":"Gong","given":"Haitao","non-dropping-particle":"","parse-names":false,"suffix":""},{"dropping-particle":"","family":"Wang","given":"Feng","non-dropping-particle":"","parse-names":false,"suffix":""},{"dropping-particle":"","family":"Zhou","given":"Bin (Brenda)","non-dropping-particle":"","parse-names":false,"suffix":""},{"dropping-particle":"","family":"Dent","given":"Shontria","non-dropping-particle":"","parse-names":false,"suffix":""}],"container-title":"International Journal of Transportation Science and Technology","id":"ITEM-15","issue":"3","issued":{"date-parts":[["2020"]]},"page":"183-194","title":"Application of random effects negative binomial model with clustered dataset for vehicle crash frequency analysis","type":"article-journal","volume":"9"},"uris":["http://www.mendeley.com/documents/?uuid=12573690-f62a-4547-acdc-4acecd826e2e"]},{"id":"ITEM-16","itemData":{"DOI":"https://doi.org/10.1016/j.aap.2020.105456","ISSN":"0001-4575","abstract":"This paper describes a study that applies the Poisson-Tweedie distribution in developing crash frequency models. The Poisson-Tweedie distribution offers a unified framework to model overdispersed, underdispersed, zero-inflated, spatial, and longitudinal count data, as well as multiple response variables of similar or mixed types. The form of its variance function is simple, and can be specified as the mean added to the product of dispersion and mean raised to the power P. The flexibility of the Poisson-Tweedie distribution lies in the domain of P, which includes positive real number values. Special cases of the Poisson-Tweedie distribution models include the linear form of the negative binomial (NB1) model with P equal to 1.0, the geometric Poisson (GeoP) model with P equal to 1.5, the quadratic form of the negative binomial (NB2) model with P equal to 2.0, and the Poisson Inverse Gaussian (PIG) model with P equal to 3.0. A series of models were developed in this study using the Poisson-Tweedie distribution without any restrictions on the value of the power parameter as well as with specific values of the power parameter representing NB1, GeoP, NB2, and PIG models. The effects of fixed and varying dispersion parameters (i.e., dispersion as a function of covariates) on the variance and expected crash frequency estimates were also examined. Three years (2012–2014) of crash data from urban three-leg stop-controlled intersections and urban four-leg signalized intersections in the state of Florida were used to develop the models. The Poisson-Tweedie models or the GeoP models were found to perform better when the dispersion parameter was constant or fixed. With the varying dispersion parameter, the NB2 and PIG models were found to perform better, with both performing equally well. Also, the fixed dispersion parameter values were found to be smaller in the models with a higher value of the power parameter. The variation across the models in their estimates of weight factor, expected crash frequency, and potential for safety improvement of hazardous sites based on the empirical Bayes method was also discussed.","author":[{"dropping-particle":"","family":"Saha","given":"Dibakar","non-dropping-particle":"","parse-names":false,"suffix":""},{"dropping-particle":"","family":"Alluri","given":"Priyanka","non-dropping-particle":"","parse-names":false,"suffix":""},{"dropping-particle":"","family":"Dumbaugh","given":"Eric","non-dropping-particle":"","parse-names":false,"suffix":""},{"dropping-particle":"","family":"Gan","given":"Albert","non-dropping-particle":"","parse-names":false,"suffix":""}],"container-title":"Accident Analysis &amp; Prevention","id":"ITEM-16","issued":{"date-parts":[["2020"]]},"page":"105456","title":"Application of the Poisson-Tweedie distribution in analyzing crash frequency data","type":"article-journal","volume":"137"},"uris":["http://www.mendeley.com/documents/?uuid=662a8589-ebaf-47c7-901a-bb9b651b7e31"]},{"id":"ITEM-17","itemData":{"DOI":"https://doi.org/10.1016/j.aap.2020.105735","ISSN":"0001-4575","abstract":"This study develops bicycle-vehicle safety performance functions (SPFs) for five facilities in the Highway Safety Manual (HSM). These are urban two-lane undivided segments (U2U), urban four-lane divided/undivided segments (U4DU), rural two-lane undivided segments (R2U), urban four-leg and three-leg signalized intersections (USG), and urban four-leg and three-leg stop-controlled intersections (UST). Two modeling techniques were explored, the Conway-Maxwell-Poisson (COM-Poisson) model (to accommodate bicycle-vehicle crash under-dispersion) and a machine learning technique, the multivariate adaptive regression splines (MARS). MARS is a non-black-box model and can effectively handle non-linear crash predictors and interactions. A total of 1,311 bicycle-vehicle crashes from 2011 through 2015 in Alabama were collected and their respective police reports were reviewed in details. Results from the SPFs for roadway segments using COM-Poisson showed that bicycle-vehicle crash frequencies were reduced along curved and downgrade/upgrade stretches and when having heavy traffic flow (along U2U segments). For urban signalized (USG) intersections, the absence of right-turn lanes on minor roads, the presence of bus stops, and the increase in the major road annual average daily traffic (AADT) were significant factors contributing to the increase in the number of bicycle-vehicle crashes. However, the presence of divided medians on major approaches was found to reduce bicycle-vehicle crashes at USG and UST intersections. MARS outperformed the corresponding COM-Poisson models for all five facilities based on mean absolute deviance (MAD), mean square prediction error (MSPE), and generalized R-square. MARS is recommended as a promising technique for effectively predicting bicycle-vehicle crashes on segments and intersections.","author":[{"dropping-particle":"","family":"Shirani-bidabadi","given":"Niloufar","non-dropping-particle":"","parse-names":false,"suffix":""},{"dropping-particle":"","family":"Mallipaddi","given":"Naveen","non-dropping-particle":"","parse-names":false,"suffix":""},{"dropping-particle":"","family":"Haleem","given":"Kirolos","non-dropping-particle":"","parse-names":false,"suffix":""},{"dropping-particle":"","family":"Anderson","given":"Michael","non-dropping-particle":"","parse-names":false,"suffix":""}],"container-title":"Accident Analysis &amp; Prevention","id":"ITEM-17","issued":{"date-parts":[["2020"]]},"page":"105735","title":"Developing Bicycle-Vehicle Crash-Specific Safety Performance Functions in Alabama Using Different Techniques","type":"article-journal","volume":"146"},"uris":["http://www.mendeley.com/documents/?uuid=73e613c2-eed7-4630-a519-b3bdf749820c"]},{"id":"ITEM-18","itemData":{"DOI":"DOI: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Hindawi","id":"ITEM-18","issued":{"date-parts":[["2020"]]},"page":"1-13","title":"Random-Parameter Multivariate Negative Binomial Regression for Modeling Impacts of Contributing Factors on the Crash Frequency by Crash Types","type":"article-journal"},"uris":["http://www.mendeley.com/documents/?uuid=cdbf3a30-fdf6-4917-b233-0595b70ecb59"]},{"id":"ITEM-19","itemData":{"DOI":"10.1080/19439962.2020.1726542","ISSN":"1943-9962","author":[{"dropping-particle":"","family":"Satria","given":"Romi","non-dropping-particle":"","parse-names":false,"suffix":""},{"dropping-particle":"","family":"Aguero-Valverde","given":"Jonathan","non-dropping-particle":"","parse-names":false,"suffix":""},{"dropping-particle":"","family":"Castro","given":"Maria","non-dropping-particle":"","parse-names":false,"suffix":""}],"container-title":"Journal of Transportation Safety &amp; Security","id":"ITEM-19","issued":{"date-parts":[["2020","3","23"]]},"note":"doi: 10.1080/19439962.2020.1726542","page":"1-23","publisher":"Taylor &amp; Francis","title":"Spatial analysis of road crash frequency using Bayesian models with Integrated Nested Laplace Approximation (INLA)","type":"article-journal"},"uris":["http://www.mendeley.com/documents/?uuid=f9ec4e08-69ec-413d-8597-df3dabeb5aa4"]},{"id":"ITEM-20","itemData":{"DOI":"https://doi.org/10.1016/j.physa.2019.123754","ISSN":"0378-4371","abstract":"Underreporting and spatial correlations are two important issues in traffic safety analysis. To deal with them simultaneously, this study proposes a Bayesian underreporting conditional autoregressive (CAR) model for analyzing crash frequency. In the formulation of the proposed model, a latent reporting process is incorporated into the crash counting process, and residual terms with CAR priors are added into the two processes to account for their respective spatial correlations. The seasonal crash data collected from Kaiyang Freeway, China in 2014 are used to verify the performance of the proposed model. It is estimated and compared with a traditional CAR model via Bayesian methods. The superiority of the underreporting model is indicated by its better model fit, more reasonable estimation results, and statistical significance of the spatial terms in the counting and reporting processes. Estimation results show that more crashes are expected to occur on longer freeway segments with larger traffic volume, smaller proportion of large truck/bus, greater horizontal curvature, and higher vertical grade. It is also shown that light traffic, traffic with more medium truck/bus or less large truck/bus, smaller horizontal curvature, bridge, and segments without ramps tend to increase the likelihood of crash reporting. These results are generally consistent with the findings in existing literature and engineering experience, which further support the proposed model as a good alternative for crash frequency analyzing.","author":[{"dropping-particle":"","family":"Zeng","given":"Qiang","non-dropping-particle":"","parse-names":false,"suffix":""},{"dropping-particle":"","family":"Wen","given":"Huiying","non-dropping-particle":"","parse-names":false,"suffix":""},{"dropping-particle":"","family":"Huang","given":"Helai","non-dropping-particle":"","parse-names":false,"suffix":""},{"dropping-particle":"","family":"Wang","given":"Jie","non-dropping-particle":"","parse-names":false,"suffix":""},{"dropping-particle":"","family":"Lee","given":"Jinwoo","non-dropping-particle":"","parse-names":false,"suffix":""}],"container-title":"Physica A: Statistical Mechanics and its Applications","id":"ITEM-20","issued":{"date-parts":[["2020"]]},"page":"123754","title":"Analysis of crash frequency using a Bayesian underreporting count model with spatial correlation","type":"article-journal","volume":"545"},"uris":["http://www.mendeley.com/documents/?uuid=9d37f56f-975e-4f25-a61c-34f2158ca56c"]},{"id":"ITEM-21","itemData":{"DOI":"https://doi.org/10.1016/j.aap.2021.105982","ISSN":"0001-4575","abstract":"Traffic congestion is monotonically increasing, especially in large cities, due to rapid urbanization. Traffic congestion not only deteriorates traffic operation and degrades traffic safety, but also imposes costs to the road users. The concerns associated with traffic congestion increase when considering more complicated situations such as unsignalized intersections and driveways at which maneuvers are entirely dependent upon drivers’ judgment. Urban arterials are characterized by closely spaced signalized and unsignalized intersections and high traffic volumes, which make them a priority while analyzing traffic safety and operation. Autonomous Vehicles (AV) provide ample opportunities to overcome the aforementioned challenges. In essence, this study evaluates the impact of various AV Market Penetration Rates (MPR) on the safety and operation of urban arterials in proximity of a driveway under different traffic levels of service (LOS). Twenty-four separate scenarios were developed using VISSIM, considering six AV MPRs of 0 %, 10 %, 25 %, 50 %, 75 %, and 100 %, and four LOS including A, B, C, and D. Various operational and safety measures were analyzed including traffic density, traffic speed, traffic conflict (rear-end and lane-changing), and driving volatility. The trajectory and lane-based analysis of the traffic density indicates that MPR significantly improves the overall traffic density for all the scenarios, especially under high traffic LOS. Additionally, by increasing the MPR and decreasing the traffic volume of the network, the mean speed increases significantly by up to 6 %. Exploring the safety of the scenarios indicates that by increasing the MPR from 0% to 100 % for all the LOS, the number of rear-end conflicts and lane-changing conflicts decreases 84 %–100 % and 42 %–100 %, respectively. Moreover, assessing the longitudinal driving volatility measures, which represent risky driving behaviors, showed that higher MPRs significantly reduce some of the driving volatility measures and enhance safety.","author":[{"dropping-particle":"","family":"Mousavi","given":"Seyedeh Maryam","non-dropping-particle":"","parse-names":false,"suffix":""},{"dropping-particle":"","family":"Osman","given":"Osama A","non-dropping-particle":"","parse-names":false,"suffix":""},{"dropping-particle":"","family":"Lord","given":"Dominique","non-dropping-particle":"","parse-names":false,"suffix":""},{"dropping-particle":"","family":"Dixon","given":"Karen K","non-dropping-particle":"","parse-names":false,"suffix":""},{"dropping-particle":"","family":"Dadashova","given":"Bahar","non-dropping-particle":"","parse-names":false,"suffix":""}],"container-title":"Accident Analysis &amp; Prevention","id":"ITEM-21","issued":{"date-parts":[["2021"]]},"page":"105982","title":"Investigating the safety and operational benefits of mixed traffic environments with different automated vehicle market penetration rates in the proximity of a driveway on an urban arterial","type":"article-journal","volume":"152"},"uris":["http://www.mendeley.com/documents/?uuid=9839b925-a4f9-47f8-b3ae-6991e4b9d323"]},{"id":"ITEM-22","itemData":{"DOI":"https://doi.org/10.1016/j.aap.2021.106146","ISSN":"0001-4575","abstract":"Safety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Prevention","id":"ITEM-22","issued":{"date-parts":[["2021"]]},"page":"106146","title":"Understanding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models","type":"article-journal","volume":"157"},"uris":["http://www.mendeley.com/documents/?uuid=695579bd-dcab-4336-8b91-e4e835539d73"]},{"id":"ITEM-23","itemData":{"DOI":"10.1080/19439962.2019.1611681","abstract":"In the current literature, data is aggregated for the estimation of functions to explain or predict crash patterns using either clustering analysis, regression analysis, or stage-wise models. Typically, analysis sites are grouped into site subtypes based on predefined characteristics. The assumption is that sites within each subtype experience similar crash patterns as a function of prespecified explanatory characteristics. To develop functions to estimate crashes, all data points are clustered only as a function of associated site characteristics. As a consequence, estimated parameters may be based on different crash patterns that represents various trends that could be better captured by using multiple functions. To address this limitation, this study proposes a mathematical program utilizing clusterwise regression to assign sites to clusters and simultaneously seek sets of parameter values for the corresponding estimation functions, so as to maximize the probability of observing the available data. A simulated annealing, coupled with maximum likelihood estimation, was used to solve the mathematical program. Results were analyzed for two site subtypes with fatal and all injury crashes: (1) roadway segments for urban multilane divided segments, and; (2) urban four-leg signalized intersections. Clusterwise regression improved the predicted number of crashes with multiple estimation functions within the same site subtype.","author":[{"dropping-particle":"","family":"Veeramisti","given":"Naveen","non-dropping-particle":"","parse-names":false,"suffix":""},{"dropping-particle":"","family":"Paz","given":"Alexander","non-dropping-particle":"","parse-names":false,"suffix":""},{"dropping-particle":"","family":"Khadka","given":"Mukesh","non-dropping-particle":"","parse-names":false,"suffix":""},{"dropping-particle":"","family":"Arteaga","given":"Cristian","non-dropping-particle":"","parse-names":false,"suffix":""}],"container-title":"Journal of Transportation Safety and Security","id":"ITEM-23","issue":"3","issued":{"date-parts":[["2021"]]},"page":"247-277","publisher":"Taylor and Francis Ltd.","title":"A clusterwise regression approach for the estimation of crash frequencies","type":"article-journal","volume":"13"},"uris":["http://www.mendeley.com/documents/?uuid=dc6fb334-625b-47b1-9e71-a730403b4677"]}],"mendeley":{"formattedCitation":"(Abdulhafedh,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2020)","plainTextFormattedCitation":"(Abdulhafedh,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2020)","previouslyFormattedCitation":"(Abdulhafedh,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2020)"},"properties":{"noteIndex":0},"schema":"https://github.com/citation-style-language/schema/raw/master/csl-citation.json"}</w:instrText>
      </w:r>
      <w:r w:rsidRPr="000B3E08">
        <w:fldChar w:fldCharType="separate"/>
      </w:r>
      <w:r w:rsidR="00C86B38" w:rsidRPr="000B3E08">
        <w:rPr>
          <w:noProof/>
        </w:rPr>
        <w:t>(Abdulhafedh, 2016; Aguero-Valverde and Jovanis, 2008; Alarifi et al., 2017, 2018; Alhomaidat et al., 2020; Dong et al., 2014; Gong et al., 2020; Kaaf and Abdel-Aty, 2015; Kim et al., 2007; Kim and Washington, 2006; Mohammadnazar et al., 2021; Mousavi et al., 2021; Oh et al., 2004; Saha et al., 2020; Satria et al., 2020; Shirani-bidabadi et al., 2020; Veeramisti et al., 2021; Wali et al., 2018; Wang et al., 2020; Wen et al., 2019; Ye et al., 2009; Yu et al., 2019; Zeng et al., 2020)</w:t>
      </w:r>
      <w:r w:rsidRPr="000B3E08">
        <w:fldChar w:fldCharType="end"/>
      </w:r>
      <w:r w:rsidRPr="000B3E08">
        <w:t xml:space="preserve">. </w:t>
      </w:r>
    </w:p>
    <w:p w14:paraId="408149F4" w14:textId="35897A3A" w:rsidR="00D94A95" w:rsidRPr="000B3E08" w:rsidRDefault="00DA4343" w:rsidP="004E5047">
      <w:pPr>
        <w:rPr>
          <w:rFonts w:cs="Times New Roman"/>
        </w:rPr>
      </w:pPr>
      <w:r>
        <w:rPr>
          <w:rFonts w:cs="Times New Roman"/>
        </w:rPr>
        <w:t>s</w:t>
      </w:r>
    </w:p>
    <w:p w14:paraId="2DC183F1" w14:textId="56DF043B" w:rsidR="004E5047" w:rsidRPr="000B3E08" w:rsidRDefault="004E5047" w:rsidP="004E5047">
      <w:pPr>
        <w:pStyle w:val="Heading2"/>
        <w:rPr>
          <w:color w:val="auto"/>
        </w:rPr>
      </w:pPr>
      <w:r w:rsidRPr="000B3E08">
        <w:rPr>
          <w:color w:val="auto"/>
        </w:rPr>
        <w:t xml:space="preserve">Independent Microscopic and Macroscopic </w:t>
      </w:r>
      <w:r w:rsidR="008D7361" w:rsidRPr="000B3E08">
        <w:rPr>
          <w:color w:val="auto"/>
        </w:rPr>
        <w:t>M</w:t>
      </w:r>
      <w:r w:rsidRPr="000B3E08">
        <w:rPr>
          <w:color w:val="auto"/>
        </w:rPr>
        <w:t>odels</w:t>
      </w:r>
    </w:p>
    <w:p w14:paraId="73EF8519" w14:textId="74E21799" w:rsidR="004E5047" w:rsidRPr="000B3E08" w:rsidRDefault="004E5047" w:rsidP="005D30B7">
      <w:r w:rsidRPr="000B3E08">
        <w:t>An exhaustive review of studies from the two levels is beyond the scope of the paper</w:t>
      </w:r>
      <w:r w:rsidR="00CF7A3E" w:rsidRPr="000B3E08">
        <w:t xml:space="preserve"> </w:t>
      </w:r>
      <w:r w:rsidR="008F564B" w:rsidRPr="000B3E08">
        <w:t>(</w:t>
      </w:r>
      <w:r w:rsidR="00CF7A3E" w:rsidRPr="000B3E08">
        <w:t>for recent reviews,</w:t>
      </w:r>
      <w:r w:rsidRPr="000B3E08">
        <w:t xml:space="preserve"> see </w:t>
      </w:r>
      <w:r w:rsidRPr="000B3E08">
        <w:fldChar w:fldCharType="begin" w:fldLock="1"/>
      </w:r>
      <w:r w:rsidR="00BB5C26" w:rsidRPr="000B3E08">
        <w:instrText>ADDIN CSL_CITATION {"citationItems":[{"id":"ITEM-1","itemData":{"DOI":"https://doi.org/10.1016/j.amar.2019.100107","ISSN":"2213-6657","abstract":"In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Research","id":"ITEM-1","issued":{"date-parts":[["2019"]]},"page":"100107","title":"Do we need multivariate modeling approaches to model crash frequency by crash types? A panel mixed approach to modeling crash frequency by crash types","type":"article-journal","volume":"24"},"uris":["http://www.mendeley.com/documents/?uuid=10d57005-a1df-46a3-bead-e9f55664fa74"]},{"id":"ITEM-2","itemData":{"DOI":"https://doi.org/10.1016/j.tra.2010.02.001","ISSN":"0965-8564","abstract":"Gaining a better understanding of the factors that affect the likelihood of a vehicle crash has been an area of research focus for many decades. However, in the absence of detailed driving data that would help improve the identification of cause and effect relationships with individual vehicle crashes, most researchers have addressed this problem by framing it in terms of understanding the factors that affect the frequency of crashes – the number of crashes occurring in some geographical space (usually a roadway segment or intersection) over some specified time period. This paper provides a detailed review of the key issues associated with crash-frequency data as well as the strengths and weaknesses of the various methodological approaches that researchers have used to address these problems. While the steady march of methodological innovation (including recent applications of random parameter and finite mixture models) has substantially improved our understanding of the factors that affect crash-frequencies, it is the prospect of combining evolving methodologies with far more detailed vehicle crash data that holds the greatest promise for the future.","author":[{"dropping-particle":"","family":"Lord","given":"Dominique","non-dropping-particle":"","parse-names":false,"suffix":""},{"dropping-particle":"","family":"Mannering","given":"Fred","non-dropping-particle":"","parse-names":false,"suffix":""}],"container-title":"Transportation Research Part A: Policy and Practice","id":"ITEM-2","issue":"5","issued":{"date-parts":[["2010"]]},"page":"291-305","title":"The statistical analysis of crash-frequency data: A review and assessment of methodological alternatives","type":"article-journal","volume":"44"},"uris":["http://www.mendeley.com/documents/?uuid=c0a43203-fcea-4df9-a0e7-231a139e2e62"]},{"id":"ITEM-3","itemData":{"DOI":"https://doi.org/10.1016/j.amar.2013.09.001","ISSN":"2213-6657","abstract":"The analysis of highway-crash data has long been used as a basis for influencing highway and vehicle designs, as well as directing and implementing a wide variety of regulatory policies aimed at improving safety. And, over time there has been a steady improvement in statistical methodologies that have enabled safety researchers to extract more information from crash databases to guide a wide array of safety design and policy improvements. In spite of the progress made over the years, important methodological barriers remain in the statistical analysis of crash data and this, along with the availability of many new data sources, present safety researchers with formidable future challenges, but also exciting future opportunities. This paper provides guidance in defining these challenges and opportunities by first reviewing the evolution of methodological applications and available data in highway-accident research. Based on this review, fruitful directions for future methodological developments are identified and the role that new data sources will play in defining these directions is discussed. It is shown that new methodologies that address complex issues relating to unobserved heterogeneity, endogeneity, risk compensation, spatial and temporal correlations, and more, have the potential to significantly expand our understanding of the many factors that affect the likelihood and severity (in terms of personal injury) of highway crashes. This in turn can lead to more effective safety countermeasures that can substantially reduce highway-related injuries and fatalities.","author":[{"dropping-particle":"","family":"Mannering","given":"Fred L","non-dropping-particle":"","parse-names":false,"suffix":""},{"dropping-particle":"","family":"Bhat","given":"Chandra R","non-dropping-particle":"","parse-names":false,"suffix":""}],"container-title":"Analytic Methods in Accident Research","id":"ITEM-3","issued":{"date-parts":[["2014"]]},"page":"1-22","title":"Analytic methods in accident research: Methodological frontier and future directions","type":"article-journal","volume":"1"},"uris":["http://www.mendeley.com/documents/?uuid=c11560df-c8ee-43a9-a601-1f677419d9d0"]},{"id":"ITEM-4","itemData":{"DOI":"https://doi.org/10.1016/j.jsr.2020.11.005","ISSN":"0022-4375","abstract":"Introduction: Predicting crash counts by severity plays a dominant role in identifying roadway sites that experience overrepresented crashes, or an increase in the potential for crashes with higher severity levels. Valid and reliable methodologies for predicting highway accidents by severity are necessary in assessing contributing factors to severe highway crashes, and assisting the practitioners in allocating safety improvement resources. Methods: This paper uses urban and suburban intersection data in Connecticut, along with two sophisticated modeling approaches, i.e. a Multivariate Poisson-Lognormal (MVPLN) model and a Joint Negative Binomial-Generalized Ordered Probit Fractional Split (NB-GOPFS) model to assess the methodological rationality and accuracy by accommodating for the unobserved factors in predicting crash counts by severity level. Furthermore, crash prediction models based on vehicle damage level are estimated using the same two methodologies to supplement the injury severity in estimating crashes by severity when the sample mean of severe injury crashes (e.g., fatal crashes) is very low. Results: The model estimation results highlight the presence of correlations of crash counts among severity levels, as well as the crash counts in total and crash proportions by different severity levels. A comparison of results indicates that injury severity and vehicle damage are highly consistent. Conclusions: Crash severity counts are significantly correlated and should be accommodated in crash prediction models. Practical application: The findings of this research could help select sound and reliable methodologies for predicting highway accidents by injury severity. When crash data samples have challenges associated with the low observed sampling rates for severe injury crashes, this research also confirmed that vehicle damage can be appropriate as an alternative to injury severity in crash prediction by severity.","author":[{"dropping-particle":"","family":"Wang","given":"Kai","non-dropping-particle":"","parse-names":false,"suffix":""},{"dropping-particle":"","family":"Bhowmik","given":"Tanmoy","non-dropping-particle":"","parse-names":false,"suffix":""},{"dropping-particle":"","family":"Zhao","given":"Shanshan","non-dropping-particle":"","parse-names":false,"suffix":""},{"dropping-particle":"","family":"Eluru","given":"Naveen","non-dropping-particle":"","parse-names":false,"suffix":""},{"dropping-particle":"","family":"Jackson","given":"Eric","non-dropping-particle":"","parse-names":false,"suffix":""}],"container-title":"Journal of Safety Research","id":"ITEM-4","issued":{"date-parts":[["2021"]]},"page":"44-55","title":"Highway safety assessment and improvement through crash prediction by injury severity and vehicle damage using Multivariate Poisson-Lognormal model and Joint Negative Binomial-Generalized Ordered Probit Fractional Split model","type":"article-journal","volume":"76"},"uris":["http://www.mendeley.com/documents/?uuid=d3f88f73-7653-4e84-96ac-4c4a2c82a012"]}],"mendeley":{"formattedCitation":"(Bhowmik et al., 2019; Lord and Mannering, 2010; Mannering and Bhat, 2014; Wang et al., 2021)","manualFormatting":"Bhowmik et al., 2019; Lord and Mannering, 2010; Mannering and Bhat, 2014; Wang et al., 2021)","plainTextFormattedCitation":"(Bhowmik et al., 2019; Lord and Mannering, 2010; Mannering and Bhat, 2014; Wang et al., 2021)","previouslyFormattedCitation":"(Bhowmik et al., 2019; Lord and Mannering, 2010; Mannering and Bhat, 2014; Wang et al., 2021)"},"properties":{"noteIndex":0},"schema":"https://github.com/citation-style-language/schema/raw/master/csl-citation.json"}</w:instrText>
      </w:r>
      <w:r w:rsidRPr="000B3E08">
        <w:fldChar w:fldCharType="separate"/>
      </w:r>
      <w:r w:rsidR="00B941CD" w:rsidRPr="000B3E08">
        <w:rPr>
          <w:noProof/>
        </w:rPr>
        <w:t>Bhowmik et al., 2019; Lord and Mannering, 2010; Mannering and Bhat, 2014; Wang et al., 2021)</w:t>
      </w:r>
      <w:r w:rsidRPr="000B3E08">
        <w:fldChar w:fldCharType="end"/>
      </w:r>
      <w:r w:rsidRPr="000B3E08">
        <w:t xml:space="preserve">. We provide a summary of earlier work on independent macro and micro level models along two dimensions: (a) methodologies employed, and (b) important factors that affect crash frequency. On the methodological front, as the dependent variable is crash frequency in the two systems, there is a lot of commonalities. Most commonly used methods include Poisson regression model </w:t>
      </w:r>
      <w:r w:rsidRPr="000B3E08">
        <w:fldChar w:fldCharType="begin" w:fldLock="1"/>
      </w:r>
      <w:r w:rsidR="00B941CD" w:rsidRPr="000B3E08">
        <w:instrText>ADDIN CSL_CITATION {"citationItems":[{"id":"ITEM-1","itemData":{"DOI":"10.3141/1897-03","ISSN":"0361-1981","abstract":"A study was done to develop macrolevel crash prediction models that can be used to understand and identify effective countermeasures for improving signalized highway intersections and multilane stop-controlled highway intersections in rural areas. Poisson and negative binomial regression models were fit to intersection crash data from Georgia, California, and Michigan. To assess the suitability of the models, several goodness-of-fit measures were computed. The statistical models were then used to shed light on the relationships between crash occurrence and traffic and geometric features of the rural signalized intersections. The results revealed that traffic flow variables significantly affected the overall safety performance of the intersections regardless of intersection type and that the geometric features of intersections varied across intersection type and also influenced crash type.","author":[{"dropping-particle":"","family":"Oh","given":"Jutaek","non-dropping-particle":"","parse-names":false,"suffix":""},{"dropping-particle":"","family":"Washington","given":"Simon","non-dropping-particle":"","parse-names":false,"suffix":""},{"dropping-particle":"","family":"Choi","given":"Keechoo","non-dropping-particle":"","parse-names":false,"suffix":""}],"container-title":"Transportation Research Record","id":"ITEM-1","issue":"1","issued":{"date-parts":[["2004","1","1"]]},"note":"doi: 10.3141/1897-03","page":"18-27","publisher":"SAGE Publications Inc","title":"Development of Accident Prediction Models for Rural Highway Intersections","type":"article-journal","volume":"1897"},"uris":["http://www.mendeley.com/documents/?uuid=bd05085d-01b3-4f33-b723-242c21d3faac"]},{"id":"ITEM-2","itemData":{"DOI":"10.4236/jtts.2016.64017","author":[{"dropping-particle":"","family":"Abdulhafedh","given":"Azad","non-dropping-particle":"","parse-names":false,"suffix":""}],"container-title":"Journal of Transportation Technologies","id":"ITEM-2","issue":"4","issued":{"date-parts":[["2016"]]},"page":"169","title":"Crash Frequency Analysis","type":"article-journal","volume":"6"},"uris":["http://www.mendeley.com/documents/?uuid=63501ac6-a95e-43ae-9f41-af4f48487135"]}],"mendeley":{"formattedCitation":"(Abdulhafedh, 2016; Oh et al., 2004)","plainTextFormattedCitation":"(Abdulhafedh, 2016; Oh et al., 2004)","previouslyFormattedCitation":"(Abdulhafedh, 2016; Oh et al., 2004)"},"properties":{"noteIndex":0},"schema":"https://github.com/citation-style-language/schema/raw/master/csl-citation.json"}</w:instrText>
      </w:r>
      <w:r w:rsidRPr="000B3E08">
        <w:fldChar w:fldCharType="separate"/>
      </w:r>
      <w:r w:rsidR="00B941CD" w:rsidRPr="000B3E08">
        <w:rPr>
          <w:noProof/>
        </w:rPr>
        <w:t>(Abdulhafedh, 2016; Oh et al., 2004)</w:t>
      </w:r>
      <w:r w:rsidRPr="000B3E08">
        <w:fldChar w:fldCharType="end"/>
      </w:r>
      <w:r w:rsidRPr="000B3E08">
        <w:t xml:space="preserve">, Poisson lognormal model </w:t>
      </w:r>
      <w:r w:rsidRPr="000B3E08">
        <w:fldChar w:fldCharType="begin" w:fldLock="1"/>
      </w:r>
      <w:r w:rsidR="00B941CD" w:rsidRPr="000B3E08">
        <w:instrText>ADDIN CSL_CITATION {"citationItems":[{"id":"ITEM-1","itemData":{"DOI":"10.3141/1897-03","ISSN":"0361-1981","abstract":"A study was done to develop macrolevel crash prediction models that can be used to understand and identify effective countermeasures for improving signalized highway intersections and multilane stop-controlled highway intersections in rural areas. Poisson and negative binomial regression models were fit to intersection crash data from Georgia, California, and Michigan. To assess the suitability of the models, several goodness-of-fit measures were computed. The statistical models were then used to shed light on the relationships between crash occurrence and traffic and geometric features of the rural signalized intersections. The results revealed that traffic flow variables significantly affected the overall safety performance of the intersections regardless of intersection type and that the geometric features of intersections varied across intersection type and also influenced crash type.","author":[{"dropping-particle":"","family":"Oh","given":"Jutaek","non-dropping-particle":"","parse-names":false,"suffix":""},{"dropping-particle":"","family":"Washington","given":"Simon","non-dropping-particle":"","parse-names":false,"suffix":""},{"dropping-particle":"","family":"Choi","given":"Keechoo","non-dropping-particle":"","parse-names":false,"suffix":""}],"container-title":"Transportation Research Record","id":"ITEM-1","issue":"1","issued":{"date-parts":[["2004","1","1"]]},"note":"doi: 10.3141/1897-03","page":"18-27","publisher":"SAGE Publications Inc","title":"Development of Accident Prediction Models for Rural Highway Intersections","type":"article-journal","volume":"1897"},"uris":["http://www.mendeley.com/documents/?uuid=bd05085d-01b3-4f33-b723-242c21d3faac"]}],"mendeley":{"formattedCitation":"(Oh et al., 2004)","plainTextFormattedCitation":"(Oh et al., 2004)","previouslyFormattedCitation":"(Oh et al., 2004)"},"properties":{"noteIndex":0},"schema":"https://github.com/citation-style-language/schema/raw/master/csl-citation.json"}</w:instrText>
      </w:r>
      <w:r w:rsidRPr="000B3E08">
        <w:fldChar w:fldCharType="separate"/>
      </w:r>
      <w:r w:rsidR="00B941CD" w:rsidRPr="000B3E08">
        <w:rPr>
          <w:noProof/>
        </w:rPr>
        <w:t>(Oh et al., 2004)</w:t>
      </w:r>
      <w:r w:rsidRPr="000B3E08">
        <w:fldChar w:fldCharType="end"/>
      </w:r>
      <w:r w:rsidRPr="000B3E08">
        <w:t xml:space="preserve">, multi-level Poisson lognormal model </w:t>
      </w:r>
      <w:r w:rsidRPr="000B3E08">
        <w:fldChar w:fldCharType="begin" w:fldLock="1"/>
      </w:r>
      <w:r w:rsidR="00B941CD" w:rsidRPr="000B3E08">
        <w:instrText>ADDIN CSL_CITATION {"citationItems":[{"id":"ITEM-1","itemData":{"DOI":"https://doi.org/10.1016/j.aap.2018.07.026","ISSN":"0001-4575","abstract":"The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Prevention","id":"ITEM-1","issued":{"date-parts":[["2018"]]},"page":"263-273","title":"A Bayesian multivariate hierarchical spatial joint model for predicting crash counts by crash type at intersections and segments along corridors","type":"article-journal","volume":"119"},"uris":["http://www.mendeley.com/documents/?uuid=a236c13c-dcd9-47ca-9493-dc5ce004b810"]},{"id":"ITEM-2","itemData":{"DOI":"https://doi.org/10.1016/j.amar.2017.08.002","ISSN":"2213-6657","abstract":"Previous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Research","id":"ITEM-2","issued":{"date-parts":[["2017"]]},"page":"48-59","title":"Crash modeling for intersections and segments along corridors: A Bayesian multilevel joint model with random parameters","type":"article-journal","volume":"16"},"uris":["http://www.mendeley.com/documents/?uuid=b73af14e-2b54-4998-bf58-1dba6a015cb5"]}],"mendeley":{"formattedCitation":"(Alarifi et al., 2018, 2017)","plainTextFormattedCitation":"(Alarifi et al., 2018, 2017)","previouslyFormattedCitation":"(Alarifi et al., 2018, 2017)"},"properties":{"noteIndex":0},"schema":"https://github.com/citation-style-language/schema/raw/master/csl-citation.json"}</w:instrText>
      </w:r>
      <w:r w:rsidRPr="000B3E08">
        <w:fldChar w:fldCharType="separate"/>
      </w:r>
      <w:r w:rsidR="00B941CD" w:rsidRPr="000B3E08">
        <w:rPr>
          <w:noProof/>
        </w:rPr>
        <w:t>(Alarifi et al., 2018, 2017)</w:t>
      </w:r>
      <w:r w:rsidRPr="000B3E08">
        <w:fldChar w:fldCharType="end"/>
      </w:r>
      <w:r w:rsidRPr="000B3E08">
        <w:t>, negative binomial</w:t>
      </w:r>
      <w:r w:rsidR="00CF7A3E" w:rsidRPr="000B3E08">
        <w:t xml:space="preserve"> (NB)/</w:t>
      </w:r>
      <w:r w:rsidRPr="000B3E08">
        <w:t xml:space="preserve">Poisson-Gamma model </w:t>
      </w:r>
      <w:r w:rsidRPr="000B3E08">
        <w:fldChar w:fldCharType="begin" w:fldLock="1"/>
      </w:r>
      <w:r w:rsidR="00BB5C26" w:rsidRPr="000B3E08">
        <w:instrText>ADDIN CSL_CITATION {"citationItems":[{"id":"ITEM-1","itemData":{"DOI":"10.1177/0361198118767409","ISSN":"0361-1981","abstract":"To improve transportation safety, this study applies Highway Safety Manual (HSM) procedures to roadways while accounting for unobserved heterogeneity and exploring alternative functional forms for Safety Performance Functions (SPFs). Specifically, several functional forms are considered in Poisson and Poisson-gamma modeling frameworks. Using 5 years (2011?2015) of crash, traffic, and road inventory data for two-way, two-lane roads in Tennessee, fixed- and random-parameter count data models are calibrated. The models account for important methodological concerns of unobserved heterogeneity and omitted variable bias. With a validation dataset, the calibrated and uncalibrated HSM SPFs and eight new Tennessee-specific SPFs are compared for prediction accuracy. The results show that the statewide calibration factor is 2.48, suggesting rural two-lane, two-way road segment crashes are at least 1.48 times greater than what HSM SPF predicts. Significant variation in four different regions in Tennessee is observed with calibration factors ranging between 2.02 and 2.77. Among all the SPFs considered, fully specified Tennessee-specific random parameter Poisson SPF outperformed all competing SPFs in predicting out-of-sample crashes on these road segments. The best-fit random parameter SPF specification for crash frequency includes the following variables: annual average daily traffic, segment length, shoulder width, lane width, speed limit, and the presence of passing lanes. Significant heterogeneity is observed in the effects of traffic exposure-related variables on crash frequency. The study shows how heterogeneity-based models can be specified and used by practitioners for obtaining accurate crash predictions.","author":[{"dropping-particle":"","family":"Wali","given":"Behram","non-dropping-particle":"","parse-names":false,"suffix":""},{"dropping-particle":"","family":"Khattak","given":"Asad J","non-dropping-particle":"","parse-names":false,"suffix":""},{"dropping-particle":"","family":"Waters","given":"Jim","non-dropping-particle":"","parse-names":false,"suffix":""},{"dropping-particle":"","family":"Chimba","given":"Deo","non-dropping-particle":"","parse-names":false,"suffix":""},{"dropping-particle":"","family":"Li","given":"Xiaobing","non-dropping-particle":"","parse-names":false,"suffix":""}],"container-title":"Transportation Research Record","id":"ITEM-1","issue":"30","issued":{"date-parts":[["2018","5","7"]]},"note":"doi: 10.1177/0361198118767409","page":"9-20","publisher":"SAGE Publications Inc","title":"Development of Safety Performance Functions: Incorporating Unobserved Heterogeneity and Functional Form Analysis","type":"article-journal","volume":"2672"},"uris":["http://www.mendeley.com/documents/?uuid=6426fccb-a3ab-4282-9c5e-fb9afecc8751"]},{"id":"ITEM-2","itemData":{"DOI":"https://doi.org/10.1016/j.aap.2020.105433","ISSN":"0001-4575","abstract":"Urban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author":[{"dropping-particle":"","family":"Alhomaidat","given":"Fadi","non-dropping-particle":"","parse-names":false,"suffix":""},{"dropping-particle":"","family":"Kwigizile","given":"Valerian","non-dropping-particle":"","parse-names":false,"suffix":""},{"dropping-particle":"","family":"Oh","given":"Jun-Seok","non-dropping-particle":"","parse-names":false,"suffix":""},{"dropping-particle":"Van","family":"Houten","given":"Ron","non-dropping-particle":"","parse-names":false,"suffix":""}],"container-title":"Accident Analysis &amp; Prevention","id":"ITEM-2","issued":{"date-parts":[["2020"]]},"page":"105433","title":"How does an increased freeway speed limit influence the frequency of crashes on adjacent roads?","type":"article-journal","volume":"136"},"uris":["http://www.mendeley.com/documents/?uuid=4ba7c30d-65b0-4a33-82ad-2d22a43901d0"]},{"id":"ITEM-3","itemData":{"DOI":"https://doi.org/10.1016/j.ijtst.2020.03.010","ISSN":"2046-0430","abstract":"One of the major challenges with vehicle crash frequency studies is how to deal with the unobserved heterogeneity in crash data. While statistical models of crash frequency analysis based on single probability distributions are constantly improving, several researchers discovered that multiple distribution models may better describe crash frequency data and capture more unobserved heterogeneity. Based on the hypothesis that total crash counts occurring at an intersection are affected by unique sets of factors, this research proposes a two-step approach to studying the contributing factors to crashes at intersections in the Mississippi coastal area. In this study, the data of single crash accidents are first clustered into subgroups using a hierarchical clustering method, and then a Random Effects Negative Binomial model is applied to each subgroup with crash counts at an intersection as observations. A model with no data clustering is also estimated to serve as the comparison benchmark. The analysis results show that this two-step approach can reveal more information about crash contributing factors and improve the predictive power and goodness of fit.","author":[{"dropping-particle":"","family":"Gong","given":"Haitao","non-dropping-particle":"","parse-names":false,"suffix":""},{"dropping-particle":"","family":"Wang","given":"Feng","non-dropping-particle":"","parse-names":false,"suffix":""},{"dropping-particle":"","family":"Zhou","given":"Bin (Brenda)","non-dropping-particle":"","parse-names":false,"suffix":""},{"dropping-particle":"","family":"Dent","given":"Shontria","non-dropping-particle":"","parse-names":false,"suffix":""}],"container-title":"International Journal of Transportation Science and Technology","id":"ITEM-3","issue":"3","issued":{"date-parts":[["2020"]]},"page":"183-194","title":"Application of random effects negative binomial model with clustered dataset for vehicle crash frequency analysis","type":"article-journal","volume":"9"},"uris":["http://www.mendeley.com/documents/?uuid=12573690-f62a-4547-acdc-4acecd826e2e"]},{"id":"ITEM-4","itemData":{"DOI":"DOI: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Hindawi","id":"ITEM-4","issued":{"date-parts":[["2020"]]},"page":"1-13","title":"Random-Parameter Multivariate Negative Binomial Regression for Modeling Impacts of Contributing Factors on the Crash Frequency by Crash Types","type":"article-journal"},"uris":["http://www.mendeley.com/documents/?uuid=cdbf3a30-fdf6-4917-b233-0595b70ecb59"]},{"id":"ITEM-5","itemData":{"DOI":"https://doi.org/10.1016/S0001-4575(03)00058-7","ISSN":"0001-4575","abstract":"This paper presents analyses of data from the Highway Safety Information System (HSIS) for the State of Illinois. Our analyses focuses on whether various changes in road network infrastructure and geometric design can be associated with changes in road fatalities and reported accidents. We also evaluate models that control for demographic changes. County-level time-series data is used and fixed effect negative binomial models are estimated. Results cannot confirm the hypothesis that changes in road infrastructure and geometric design have been beneficial for safety. Increases in the number of lanes appears to be associated with both increased traffic-related accidents and fatalities. Increased lane widths appears to be associated with increased fatalities. Increases in outside shoulder width appear to be associated with a decrease in accidents. Inclusion of demographic results does not significantly change these results but does capture much of the residual time trend in the models. Potentially mis-leading results are found when the time trend is not included. In this case a negative association between vertical curvature and both accidents and fatalities. No statistical association with changes in safety is found for median widths, inside shoulder widths, and horizontal and vertical curvature.","author":[{"dropping-particle":"","family":"Noland","given":"Robert B","non-dropping-particle":"","parse-names":false,"suffix":""},{"dropping-particle":"","family":"Oh","given":"Lyoong","non-dropping-particle":"","parse-names":false,"suffix":""}],"container-title":"Accident Analysis &amp; Prevention","id":"ITEM-5","issue":"4","issued":{"date-parts":[["2004"]]},"page":"525-532","title":"The effect of infrastructure and demographic change on traffic-related fatalities and crashes: a case study of Illinois county-level data","type":"article-journal","volume":"36"},"uris":["http://www.mendeley.com/documents/?uuid=cfdf77c1-c4d8-4345-bd06-7c0ae6b1d48b"]},{"id":"ITEM-6","itemData":{"DOI":"https://doi.org/10.1016/j.aap.2005.12.006","ISSN":"0001-4575","abstract":"Using injury and fatal crash data for Pennsylvania for 1996–2000, full Bayes (FB) hierarchical models (with spatial and temporal effects and space–time interactions) are compared to traditional negative binomial (NB) estimates of annual county-level crash frequency. Covariates include socio-demographics, weather conditions, transportation infrastructure and amount of travel. FB hierarchical models are generally consistent with the NB estimates. Counties with a higher percentage of the population under poverty level, higher percentage of their population in age groups 0–14, 15–24, and over 64 and those with increased road mileage and road density have significantly increased crash risk. Total precipitation is significant and positive in the NB models, but not significant with FB. Spatial correlation, time trend, and space–time interactions are significant in the FB injury crash models. County-level FB models reveal the existence of spatial correlation in crash data and provide a mechanism to quantify, and reduce the effect of, this correlation. Addressing spatial correlation is likely to be even more important in road segment and intersection-level crash models, where spatial correlation is likely to be even more pronounced.","author":[{"dropping-particle":"","family":"Aguero-Valverde","given":"Jonathan","non-dropping-particle":"","parse-names":false,"suffix":""},{"dropping-particle":"","family":"Jovanis","given":"Paul P","non-dropping-particle":"","parse-names":false,"suffix":""}],"container-title":"Accident Analysis &amp; Prevention","id":"ITEM-6","issue":"3","issued":{"date-parts":[["2006"]]},"page":"618-625","title":"Spatial analysis of fatal and injury crashes in Pennsylvania","type":"article-journal","volume":"38"},"uris":["http://www.mendeley.com/documents/?uuid=56fb9644-7d89-4145-bdb0-5f92651dc83c"]},{"id":"ITEM-7","itemData":{"DOI":"10.3141/2213-04","ISSN":"0361-1981","abstract":"A transportation network is a conglomeration of road-traffic-environment modules and features multicategories of interdependent factors. This mix makes the management of safety in traffic analysis zones (TAZs) explicitly challenging. This study investigated the association between crash frequencies and various types of trip productions and attractions in combination with the road characteristics of 1,349 TAZs of four counties in the state of Florida. Crash safety management of these TAZs is emphasized through prioritizing them by examining the effects of trip and roadway factors on the aggregated crash frequencies. Models were developed separately for total crashes, severe crashes (fatal and severe injury crashes), total crashes during peak hours, and pedestrian- and bicycle-related crashes on the basis of various groups of estimators. It was found that the total crash model and the peak-hour crash model were best estimated by total trip productions and total trip attractions. The severe crash model was best fit by trip-related variables only, and the pedestrian- and bicycle-related crash model was best fit by road-related variables only. The results from this study pave the way for better safety management and the incorporation of safety measures in travel and network planning.","author":[{"dropping-particle":"","family":"Abdel-Aty","given":"Mohamed","non-dropping-particle":"","parse-names":false,"suffix":""},{"dropping-particle":"","family":"Siddiqui","given":"Chowdhury","non-dropping-particle":"","parse-names":false,"suffix":""},{"dropping-particle":"","family":"Huang","given":"Helai","non-dropping-particle":"","parse-names":false,"suffix":""},{"dropping-particle":"","family":"Wang","given":"Xuesong","non-dropping-particle":"","parse-names":false,"suffix":""}],"container-title":"Transportation Research Record","id":"ITEM-7","issue":"1","issued":{"date-parts":[["2011","1","1"]]},"note":"doi: 10.3141/2213-04","page":"20-28","publisher":"SAGE Publications Inc","title":"Integrating Trip and Roadway Characteristics to Manage Safety in Traffic Analysis Zones","type":"article-journal","volume":"2213"},"uris":["http://www.mendeley.com/documents/?uuid=b392051d-ed19-427f-8ddd-39300db0f047"]}],"mendeley":{"formattedCitation":"(Abdel-Aty et al., 2011; Aguero-Valverde and Jovanis, 2006; Alhomaidat et al., 2020; Gong et al., 2020; Noland and Oh, 2004; Wali et al., 2018; Wang et al., 2020)","plainTextFormattedCitation":"(Abdel-Aty et al., 2011; Aguero-Valverde and Jovanis, 2006; Alhomaidat et al., 2020; Gong et al., 2020; Noland and Oh, 2004; Wali et al., 2018; Wang et al., 2020)","previouslyFormattedCitation":"(Abdel-Aty et al., 2011; Aguero-Valverde and Jovanis, 2006; Alhomaidat et al., 2020; Gong et al., 2020; Noland and Oh, 2004; Wali et al., 2018; Wang et al., 2020)"},"properties":{"noteIndex":0},"schema":"https://github.com/citation-style-language/schema/raw/master/csl-citation.json"}</w:instrText>
      </w:r>
      <w:r w:rsidRPr="000B3E08">
        <w:fldChar w:fldCharType="separate"/>
      </w:r>
      <w:r w:rsidR="00BB5C26" w:rsidRPr="000B3E08">
        <w:rPr>
          <w:noProof/>
        </w:rPr>
        <w:t>(Abdel-Aty et al., 2011; Aguero-Valverde and Jovanis, 2006; Alhomaidat et al., 2020; Gong et al., 2020; Noland and Oh, 2004; Wali et al., 2018; Wang et al., 2020)</w:t>
      </w:r>
      <w:r w:rsidRPr="000B3E08">
        <w:fldChar w:fldCharType="end"/>
      </w:r>
      <w:r w:rsidRPr="000B3E08">
        <w:t xml:space="preserve">, </w:t>
      </w:r>
      <w:r w:rsidR="00CF7A3E" w:rsidRPr="000B3E08">
        <w:t>NB</w:t>
      </w:r>
      <w:r w:rsidRPr="000B3E08">
        <w:t xml:space="preserve">-ordered logit fractional split model </w:t>
      </w:r>
      <w:r w:rsidRPr="000B3E08">
        <w:fldChar w:fldCharType="begin" w:fldLock="1"/>
      </w:r>
      <w:r w:rsidR="00B941CD" w:rsidRPr="000B3E08">
        <w:instrText>ADDIN CSL_CITATION {"citationItems":[{"id":"ITEM-1","itemData":{"DOI":"10.1080/23249935.2017.1369469","ISSN":"2324-9935","author":[{"dropping-particle":"","family":"Yasmin","given":"Shamsunnahar","non-dropping-particle":"","parse-names":false,"suffix":""},{"dropping-particle":"","family":"Eluru","given":"Naveen","non-dropping-particle":"","parse-names":false,"suffix":""}],"container-title":"Transportmetrica A: Transport Science","id":"ITEM-1","issue":"3","issued":{"date-parts":[["2018","3","16"]]},"note":"doi: 10.1080/23249935.2017.1369469","page":"230-255","publisher":"Taylor &amp; Francis","title":"A joint econometric framework for modeling crash counts by severity","type":"article-journal","volume":"14"},"uris":["http://www.mendeley.com/documents/?uuid=7c091ccb-95a3-4d74-8e75-86668e9e8a50"]}],"mendeley":{"formattedCitation":"(Yasmin and Eluru, 2018)","plainTextFormattedCitation":"(Yasmin and Eluru, 2018)","previouslyFormattedCitation":"(Yasmin and Eluru, 2018)"},"properties":{"noteIndex":0},"schema":"https://github.com/citation-style-language/schema/raw/master/csl-citation.json"}</w:instrText>
      </w:r>
      <w:r w:rsidRPr="000B3E08">
        <w:fldChar w:fldCharType="separate"/>
      </w:r>
      <w:r w:rsidR="00B941CD" w:rsidRPr="000B3E08">
        <w:rPr>
          <w:noProof/>
        </w:rPr>
        <w:t>(Yasmin and Eluru, 2018)</w:t>
      </w:r>
      <w:r w:rsidRPr="000B3E08">
        <w:fldChar w:fldCharType="end"/>
      </w:r>
      <w:r w:rsidRPr="000B3E08">
        <w:t xml:space="preserve">, latent segmentation Poisson/negative binomial model </w:t>
      </w:r>
      <w:r w:rsidRPr="000B3E08">
        <w:fldChar w:fldCharType="begin" w:fldLock="1"/>
      </w:r>
      <w:r w:rsidR="00B941CD" w:rsidRPr="000B3E08">
        <w:instrText>ADDIN CSL_CITATION {"citationItems":[{"id":"ITEM-1","itemData":{"DOI":"https://doi.org/10.1016/j.aap.2016.07.015","ISSN":"0001-4575","abstract":"The study contributes to literature on bicycle safety by building on the traditional count regression models to investigate factors affecting bicycle crashes at the Traffic Analysis Zone (TAZ) level. TAZ is a traffic related geographic entity which is most frequently used as spatial unit for macroscopic crash risk analysis. In conventional count models, the impact of exogenous factors is restricted to be the same across the entire region. However, it is possible that the influence of exogenous factors might vary across different TAZs. To accommodate for the potential variation in the impact of exogenous factors we formulate latent segmentation based count models. Specifically, we formulate and estimate latent segmentation based Poisson (LP) and latent segmentation based Negative Binomial (LNB) models to study bicycle crash counts. In our latent segmentation approach, we allow for more than two segments and also consider a large set of variables in segmentation and segment specific models. The formulated models are estimated using bicycle-motor vehicle crash data from the Island of Montreal and City of Toronto for the years 2006 through 2010. The TAZ level variables considered in our analysis include accessibility measures, exposure measures, sociodemographic characteristics, socioeconomic characteristics, road network characteristics and built environment. A policy analysis is also conducted to illustrate the applicability of the proposed model for planning purposes. This macro-level research would assist decision makers, transportation officials and community planners to make informed decisions to proactively improve bicycle safety – a prerequisite to promoting a culture of active transportation.","author":[{"dropping-particle":"","family":"Yasmin","given":"Shamsunnahar","non-dropping-particle":"","parse-names":false,"suffix":""},{"dropping-particle":"","family":"Eluru","given":"Naveen","non-dropping-particle":"","parse-names":false,"suffix":""}],"container-title":"Accident Analysis &amp; Prevention","id":"ITEM-1","issued":{"date-parts":[["2016"]]},"page":"157-171","title":"Latent segmentation based count models: Analysis of bicycle safety in Montreal and Toronto","type":"article-journal","volume":"95"},"uris":["http://www.mendeley.com/documents/?uuid=f0b2d158-550f-42cf-9c8f-8abb72ba7a4f"]}],"mendeley":{"formattedCitation":"(Yasmin and Eluru, 2016)","plainTextFormattedCitation":"(Yasmin and Eluru, 2016)","previouslyFormattedCitation":"(Yasmin and Eluru, 2016)"},"properties":{"noteIndex":0},"schema":"https://github.com/citation-style-language/schema/raw/master/csl-citation.json"}</w:instrText>
      </w:r>
      <w:r w:rsidRPr="000B3E08">
        <w:fldChar w:fldCharType="separate"/>
      </w:r>
      <w:r w:rsidR="00B941CD" w:rsidRPr="000B3E08">
        <w:rPr>
          <w:noProof/>
        </w:rPr>
        <w:t>(Yasmin and Eluru, 2016)</w:t>
      </w:r>
      <w:r w:rsidRPr="000B3E08">
        <w:fldChar w:fldCharType="end"/>
      </w:r>
      <w:r w:rsidRPr="000B3E08">
        <w:t xml:space="preserve">, panel mixed </w:t>
      </w:r>
      <w:r w:rsidR="00CF7A3E" w:rsidRPr="000B3E08">
        <w:t>NB</w:t>
      </w:r>
      <w:r w:rsidRPr="000B3E08">
        <w:t xml:space="preserve"> model </w:t>
      </w:r>
      <w:r w:rsidRPr="000B3E08">
        <w:fldChar w:fldCharType="begin" w:fldLock="1"/>
      </w:r>
      <w:r w:rsidR="00B941CD" w:rsidRPr="000B3E08">
        <w:instrText>ADDIN CSL_CITATION {"citationItems":[{"id":"ITEM-1","itemData":{"DOI":"https://doi.org/10.1016/j.amar.2019.100107","ISSN":"2213-6657","abstract":"In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Research","id":"ITEM-1","issued":{"date-parts":[["2019"]]},"page":"100107","title":"Do we need multivariate modeling approaches to model crash frequency by crash types? A panel mixed approach to modeling crash frequency by crash types","type":"article-journal","volume":"24"},"uris":["http://www.mendeley.com/documents/?uuid=10d57005-a1df-46a3-bead-e9f55664fa74"]}],"mendeley":{"formattedCitation":"(Bhowmik et al., 2019)","plainTextFormattedCitation":"(Bhowmik et al., 2019)","previouslyFormattedCitation":"(Bhowmik et al., 2019)"},"properties":{"noteIndex":0},"schema":"https://github.com/citation-style-language/schema/raw/master/csl-citation.json"}</w:instrText>
      </w:r>
      <w:r w:rsidRPr="000B3E08">
        <w:fldChar w:fldCharType="separate"/>
      </w:r>
      <w:r w:rsidR="00B941CD" w:rsidRPr="000B3E08">
        <w:rPr>
          <w:noProof/>
        </w:rPr>
        <w:t>(Bhowmik et al., 2019)</w:t>
      </w:r>
      <w:r w:rsidRPr="000B3E08">
        <w:fldChar w:fldCharType="end"/>
      </w:r>
      <w:r w:rsidRPr="000B3E08">
        <w:t xml:space="preserve">, spatial Durbin model </w:t>
      </w:r>
      <w:r w:rsidRPr="000B3E08">
        <w:fldChar w:fldCharType="begin" w:fldLock="1"/>
      </w:r>
      <w:r w:rsidR="00C86B38" w:rsidRPr="000B3E08">
        <w:instrText>ADDIN CSL_CITATION {"citationItems":[{"id":"ITEM-1","itemData":{"author":[{"dropping-particle":"","family":"Wang","given":"Shaohua","non-dropping-particle":"","parse-names":false,"suffix":""},{"dropping-particle":"","family":"Chen","given":"Yanyan","non-dropping-particle":"","parse-names":false,"suffix":""},{"dropping-particle":"","family":"Huang","given":"Jianling","non-dropping-particle":"","parse-names":false,"suffix":""},{"dropping-particle":"","family":"Chen","given":"N","non-dropping-particle":"","parse-names":false,"suffix":""},{"dropping-particle":"","family":"Lu","given":"Yao","non-dropping-particle":"","parse-names":false,"suffix":""}],"container-title":"Mathematical Problems in Engineering","id":"ITEM-1","issued":{"date-parts":[["2019"]]},"page":"1-10","title":"Macrolevel Traffic Crash Analysis: A Spatial Econometric Model Approach","type":"article-journal","volume":"2019"},"uris":["http://www.mendeley.com/documents/?uuid=ee6db0da-b91c-4e50-8765-59c363b35e62"]}],"mendeley":{"formattedCitation":"(Wang et al., 2019)","plainTextFormattedCitation":"(Wang et al., 2019)","previouslyFormattedCitation":"(Wang et al., 2019)"},"properties":{"noteIndex":0},"schema":"https://github.com/citation-style-language/schema/raw/master/csl-citation.json"}</w:instrText>
      </w:r>
      <w:r w:rsidRPr="000B3E08">
        <w:fldChar w:fldCharType="separate"/>
      </w:r>
      <w:r w:rsidR="00C86B38" w:rsidRPr="000B3E08">
        <w:rPr>
          <w:noProof/>
        </w:rPr>
        <w:t>(Wang et al., 2019)</w:t>
      </w:r>
      <w:r w:rsidRPr="000B3E08">
        <w:fldChar w:fldCharType="end"/>
      </w:r>
      <w:r w:rsidRPr="000B3E08">
        <w:t xml:space="preserve">, multivariate Tobit model </w:t>
      </w:r>
      <w:r w:rsidRPr="000B3E08">
        <w:fldChar w:fldCharType="begin" w:fldLock="1"/>
      </w:r>
      <w:r w:rsidR="00B941CD" w:rsidRPr="000B3E08">
        <w:instrText>ADDIN CSL_CITATION {"citationItems":[{"id":"ITEM-1","itemData":{"DOI":"10.1080/23249935.2019.1652867","ISSN":"2324-9935","author":[{"dropping-particle":"","family":"Zeng","given":"Qiang","non-dropping-particle":"","parse-names":false,"suffix":""},{"dropping-particle":"","family":"Guo","given":"Qiang","non-dropping-particle":"","parse-names":false,"suffix":""},{"dropping-particle":"","family":"Wong","given":"S C","non-dropping-particle":"","parse-names":false,"suffix":""},{"dropping-particle":"","family":"Wen","given":"Huiying","non-dropping-particle":"","parse-names":false,"suffix":""},{"dropping-particle":"","family":"Huang","given":"Heilai","non-dropping-particle":"","parse-names":false,"suffix":""},{"dropping-particle":"","family":"Pei","given":"Xin","non-dropping-particle":"","parse-names":false,"suffix":""}],"container-title":"Transportmetrica A: Transport Science","id":"ITEM-1","issue":"2","issued":{"date-parts":[["2019","11","29"]]},"note":"doi: 10.1080/23249935.2019.1652867","page":"1867-1884","publisher":"Taylor &amp; Francis","title":"Jointly modeling area-level crash rates by severity: a Bayesian multivariate random-parameters spatio-temporal Tobit regression","type":"article-journal","volume":"15"},"uris":["http://www.mendeley.com/documents/?uuid=acf3bdbb-7f9d-4ff9-ba63-513fbe40e25b"]}],"mendeley":{"formattedCitation":"(Zeng et al., 2019)","plainTextFormattedCitation":"(Zeng et al., 2019)","previouslyFormattedCitation":"(Zeng et al., 2019)"},"properties":{"noteIndex":0},"schema":"https://github.com/citation-style-language/schema/raw/master/csl-citation.json"}</w:instrText>
      </w:r>
      <w:r w:rsidRPr="000B3E08">
        <w:fldChar w:fldCharType="separate"/>
      </w:r>
      <w:r w:rsidR="00B941CD" w:rsidRPr="000B3E08">
        <w:rPr>
          <w:noProof/>
        </w:rPr>
        <w:t>(Zeng et al., 2019)</w:t>
      </w:r>
      <w:r w:rsidRPr="000B3E08">
        <w:fldChar w:fldCharType="end"/>
      </w:r>
      <w:r w:rsidRPr="000B3E08">
        <w:t xml:space="preserve">, copula-based crash frequency model </w:t>
      </w:r>
      <w:r w:rsidRPr="000B3E08">
        <w:fldChar w:fldCharType="begin" w:fldLock="1"/>
      </w:r>
      <w:r w:rsidR="00B941CD" w:rsidRPr="000B3E08">
        <w:instrText>ADDIN CSL_CITATION {"citationItems":[{"id":"ITEM-1","itemData":{"DOI":"10.1177/0361198118801348","ISSN":"0361-1981","abstract":"The current study contributes to safety literature both methodologically and empirically by developing a macro-level multivariate copula-based crash frequency model for crash counts. The multivariate model accommodates for the impact of observed and unobserved effects on zonal level crash counts of different road user groups including car, light truck, van, other motorized vehicle (including truck, bus and other vehicles), and non-motorists (including pedestrians and cyclists). The proposed model is estimated using Statewide Traffic Analysis Zone (STAZ) level road traffic crash data for the state of Florida. A host of variable groups including land-use characteristics, roadway attributes, traffic characteristics, socio-economic characteristics and demographic characteristics are considered. The model estimation results illustrate the applicability of the proposed framework for multivariate crash counts. Model estimation results are further augmented by evaluation of predictive performance and policy analysis.","author":[{"dropping-particle":"","family":"Yasmin","given":"Shamsunnahar","non-dropping-particle":"","parse-names":false,"suffix":""},{"dropping-particle":"","family":"Momtaz","given":"Salah Uddin","non-dropping-particle":"","parse-names":false,"suffix":""},{"dropping-particle":"","family":"Nashad","given":"Tammam","non-dropping-particle":"","parse-names":false,"suffix":""},{"dropping-particle":"","family":"Eluru","given":"Naveen","non-dropping-particle":"","parse-names":false,"suffix":""}],"container-title":"Transportation Research Record","id":"ITEM-1","issue":"30","issued":{"date-parts":[["2018","10","6"]]},"note":"doi: 10.1177/0361198118801348","page":"64-75","publisher":"SAGE Publications Inc","title":"A Multivariate Copula-Based Macro-Level Crash Count Model","type":"article-journal","volume":"2672"},"uris":["http://www.mendeley.com/documents/?uuid=13b48a7d-b702-45a2-a470-4966d93f3981"]},{"id":"ITEM-2","itemData":{"DOI":"https://doi.org/10.1016/j.amar.2021.100167","ISSN":"2213-6657","abstract":"In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author":[{"dropping-particle":"","family":"Bhowmik","given":"Tanmoy","non-dropping-particle":"","parse-names":false,"suffix":""},{"dropping-particle":"","family":"Rahman","given":"Moshiur","non-dropping-particle":"","parse-names":false,"suffix":""},{"dropping-particle":"","family":"Yasmin","given":"Shamsunnahar","non-dropping-particle":"","parse-names":false,"suffix":""},{"dropping-particle":"","family":"Eluru","given":"Naveen","non-dropping-particle":"","parse-names":false,"suffix":""}],"container-title":"Analytic Methods in Accident Research","id":"ITEM-2","issued":{"date-parts":[["2021"]]},"page":"100167","title":"Exploring analytical, simulation-based, and hybrid model structures for multivariate crash frequency modeling","type":"article-journal","volume":"31"},"uris":["http://www.mendeley.com/documents/?uuid=d3f55450-fd3f-4f7b-86ca-8c685e1abe6a"]}],"mendeley":{"formattedCitation":"(Bhowmik et al., 2021; Yasmin et al., 2018)","plainTextFormattedCitation":"(Bhowmik et al., 2021; Yasmin et al., 2018)","previouslyFormattedCitation":"(Bhowmik et al., 2021; Yasmin et al., 2018)"},"properties":{"noteIndex":0},"schema":"https://github.com/citation-style-language/schema/raw/master/csl-citation.json"}</w:instrText>
      </w:r>
      <w:r w:rsidRPr="000B3E08">
        <w:fldChar w:fldCharType="separate"/>
      </w:r>
      <w:r w:rsidR="00B941CD" w:rsidRPr="000B3E08">
        <w:rPr>
          <w:noProof/>
        </w:rPr>
        <w:t>(Bhowmik et al., 2021</w:t>
      </w:r>
      <w:r w:rsidR="00585A17">
        <w:rPr>
          <w:noProof/>
        </w:rPr>
        <w:t>a</w:t>
      </w:r>
      <w:r w:rsidR="00B941CD" w:rsidRPr="000B3E08">
        <w:rPr>
          <w:noProof/>
        </w:rPr>
        <w:t>; Yasmin et al., 2018)</w:t>
      </w:r>
      <w:r w:rsidRPr="000B3E08">
        <w:fldChar w:fldCharType="end"/>
      </w:r>
      <w:r w:rsidRPr="000B3E08">
        <w:t>, Bayesian Poisson-</w:t>
      </w:r>
      <w:r w:rsidRPr="000B3E08">
        <w:lastRenderedPageBreak/>
        <w:t xml:space="preserve">lognormal/hierarchical models </w:t>
      </w:r>
      <w:r w:rsidRPr="000B3E08">
        <w:fldChar w:fldCharType="begin" w:fldLock="1"/>
      </w:r>
      <w:r w:rsidR="00735639" w:rsidRPr="000B3E08">
        <w:instrText>ADDIN CSL_CITATION {"citationItems":[{"id":"ITEM-1","itemData":{"DOI":"10.1080/19439962.2020.1726542","ISSN":"1943-9962","author":[{"dropping-particle":"","family":"Satria","given":"Romi","non-dropping-particle":"","parse-names":false,"suffix":""},{"dropping-particle":"","family":"Aguero-Valverde","given":"Jonathan","non-dropping-particle":"","parse-names":false,"suffix":""},{"dropping-particle":"","family":"Castro","given":"Maria","non-dropping-particle":"","parse-names":false,"suffix":""}],"container-title":"Journal of Transportation Safety &amp; Security","id":"ITEM-1","issued":{"date-parts":[["2020","3","23"]]},"note":"doi: 10.1080/19439962.2020.1726542","page":"1-23","publisher":"Taylor &amp; Francis","title":"Spatial analysis of road crash frequency using Bayesian models with Integrated Nested Laplace Approximation (INLA)","type":"article-journal"},"uris":["http://www.mendeley.com/documents/?uuid=f9ec4e08-69ec-413d-8597-df3dabeb5aa4"]},{"id":"ITEM-2","itemData":{"DOI":"https://doi.org/10.1016/j.physa.2019.123754","ISSN":"0378-4371","abstract":"Underreporting and spatial correlations are two important issues in traffic safety analysis. To deal with them simultaneously, this study proposes a Bayesian underreporting conditional autoregressive (CAR) model for analyzing crash frequency. In the formulation of the proposed model, a latent reporting process is incorporated into the crash counting process, and residual terms with CAR priors are added into the two processes to account for their respective spatial correlations. The seasonal crash data collected from Kaiyang Freeway, China in 2014 are used to verify the performance of the proposed model. It is estimated and compared with a traditional CAR model via Bayesian methods. The superiority of the underreporting model is indicated by its better model fit, more reasonable estimation results, and statistical significance of the spatial terms in the counting and reporting processes. Estimation results show that more crashes are expected to occur on longer freeway segments with larger traffic volume, smaller proportion of large truck/bus, greater horizontal curvature, and higher vertical grade. It is also shown that light traffic, traffic with more medium truck/bus or less large truck/bus, smaller horizontal curvature, bridge, and segments without ramps tend to increase the likelihood of crash reporting. These results are generally consistent with the findings in existing literature and engineering experience, which further support the proposed model as a good alternative for crash frequency analyzing.","author":[{"dropping-particle":"","family":"Zeng","given":"Qiang","non-dropping-particle":"","parse-names":false,"suffix":""},{"dropping-particle":"","family":"Wen","given":"Huiying","non-dropping-particle":"","parse-names":false,"suffix":""},{"dropping-particle":"","family":"Huang","given":"Helai","non-dropping-particle":"","parse-names":false,"suffix":""},{"dropping-particle":"","family":"Wang","given":"Jie","non-dropping-particle":"","parse-names":false,"suffix":""},{"dropping-particle":"","family":"Lee","given":"Jinwoo","non-dropping-particle":"","parse-names":false,"suffix":""}],"container-title":"Physica A: Statistical Mechanics and its Applications","id":"ITEM-2","issued":{"date-parts":[["2020"]]},"page":"123754","title":"Analysis of crash frequency using a Bayesian underreporting count model with spatial correlation","type":"article-journal","volume":"545"},"uris":["http://www.mendeley.com/documents/?uuid=9d37f56f-975e-4f25-a61c-34f2158ca56c"]},{"id":"ITEM-3","itemData":{"DOI":"10.3141/2148-04","ISSN":"0361-1981","abstract":"An increasing research effort has been made on spatially disaggregated safety analysis models to meet the needs of region-level safety inspection and recently emerging transportation safety planning techniques. However, without explicitly differentiating exposure variables and risk factors, most existing studies alternate the use of crash frequency, crash rate, and crash risk to interpret model coefficients. This procedure may have resulted in the inconsistent findings in relevant studies. This study proposes a Bayesian spatial model to account for county-level variations of crash risk in Florida by explicitly controlling for exposure variables of daily vehicle miles traveled and population. A conditional autoregressive prior is specified to accommodate for the spatial autocorrelations of adjacent counties. The results show no significant difference in safety effects of risk factors on all crashes and severe crashes. Counties with higher traffic intensity and population density and a higher level of urbanization are associated with higher crash risk. Unlike arterials, freeways seem to be safer with respect to crash risk given either vehicle miles traveled or population. Increase in truck traffic volume tends to result in more severe crashes. The average travel time to work is negatively correlated with all types of crash risk. Regarding the population age cohort, the results suggest that young drivers tend to be involved in more crashes, whereas the increase in elderly population leads to fewer casualties. Finally, it is confirmed that the safety status is worse for more deprived areas with lower income and educational level and higher unemployment rate in comparison with relatively affluent areas.","author":[{"dropping-particle":"","family":"Huang","given":"Helai","non-dropping-particle":"","parse-names":false,"suffix":""},{"dropping-particle":"","family":"Abdel-Aty","given":"Mohamed A","non-dropping-particle":"","parse-names":false,"suffix":""},{"dropping-particle":"","family":"Darwiche","given":"Ali Lotfi","non-dropping-particle":"","parse-names":false,"suffix":""}],"container-title":"Transportation Research Record","id":"ITEM-3","issue":"1","issued":{"date-parts":[["2010","1","1"]]},"note":"doi: 10.3141/2148-04","page":"27-37","publisher":"SAGE Publications Inc","title":"County-Level Crash Risk Analysis in Florida: Bayesian Spatial Modeling","type":"article-journal","volume":"2148"},"uris":["http://www.mendeley.com/documents/?uuid=5b221e5e-f406-4983-a7b2-50245a2c589f"]},{"id":"ITEM-4","itemData":{"DOI":"https://doi.org/10.1016/j.tra.2013.01.030","ISSN":"0965-8564","abstract":"A wide array of spatial units has been explored in macro-level modeling. With the advancement of Geographic Information System (GIS) analysts are able to analyze crashes for various geographical units. However, a clear guideline on which geographic entity should be chosen is not present. Macro level safety analysis is at the core of transportation safety planning (TSP) which in turn is a key in many aspects of policy and decision making of safety investments. The preference of spatial unit can vary with the dependent variable of the model. Or, for a specific dependent variable, models may be invariant to multiple spatial units by producing a similar goodness-of-fits. In this study three different crash models were investigated for traffic analysis zones (TAZs), block groups (BGs) and census tracts (CTs) of two counties in Florida. The models were developed for the total crashes, severe crashes and pedestrian crashes in this region. The primary objective of the study was to explore and investigate the effect of zonal variation (scale and zoning) on these specific types of crash models. These models were developed based on various roadway characteristics and census variables (e.g., land use, socio-economic, etc.). It was found that the significance of explanatory variables is not consistent among models based on different zoning systems. Although the difference in variable significance across geographic units was found, the results also show that the sign of the coefficients are reasonable and explainable in all models. Key findings of this study are, first, signs of coefficients are consistent if these variables are significant in models with same response variables, even if geographic units are different. Second, the number of significant variables is affected by response variables and also geographic units. Admittedly, TAZs are now the only traffic related zone system, thus TAZs are being widely used by transportation planners and frequently utilized in research related to macroscopic crash analysis. Nevertheless, considering that TAZs are not delineated for traffic crash analysis but they were designed for the long range transportation plans, TAZs might not be the optimal zone system for traffic crash modeling at the macroscopic level. Therefore, it recommended that other zone systems be explored for crash analysis as well.","author":[{"dropping-particle":"","family":"Abdel-Aty","given":"Mohamed","non-dropping-particle":"","parse-names":false,"suffix":""},{"dropping-particle":"","family":"Lee","given":"Jaeyoung","non-dropping-particle":"","parse-names":false,"suffix":""},{"dropping-particle":"","family":"Siddiqui","given":"Chowdhury","non-dropping-particle":"","parse-names":false,"suffix":""},{"dropping-particle":"","family":"Choi","given":"Keechoo","non-dropping-particle":"","parse-names":false,"suffix":""}],"container-title":"Transportation Research Part A: Policy and Practice","id":"ITEM-4","issued":{"date-parts":[["2013"]]},"page":"62-75","title":"Geographical unit based analysis in the context of transportation safety planning","type":"article-journal","volume":"49"},"uris":["http://www.mendeley.com/documents/?uuid=8b3a7c78-7521-432c-b91a-12e35a90f001"]},{"id":"ITEM-5","itemData":{"DOI":"https://doi.org/10.1016/j.amar.2019.100105","ISSN":"2213-6657","abstract":"This study applies mixture components in a multivariate random parameters spatial model for zonal crash counts. Three different modeling formulations are employed to demonstrate the effects of mixture components and spatial heterogeneity in the goodness-of-fit in a multivariate random parameter model. The models are built for injury (i.e., possible, non-incapacitating, incapacitating, and fatal injury) and non-injury crashes using the data from 738 traffic analysis zones (TAZs) in Hillsborough County of Florida during a three-year period. The Deviance Information Criteria (DIC) is used to evaluate the performances of these models indicate the proposed model outperforms the rests. According to the estimated results, various traffic-related, demographics, and socioeconomic factors affect the occurrences of crashes for different severity levels. With regard to the effect of mixture components, it identifies two homogeneous sub-classes labeled as “stable pattern” and “unstable pattern” to better capture the heterogeneity. The standard deviation (SD) and correlation across injury and non-injury crashes are both very high in the “stable pattern” compared with its “unstable pattern” counterpart. On the other hand, the results of model comparison reveal that: (i) adding one more mixture component has no significant influences on the spatial heterogeneity and spatial correlation of different kinds of crash frequency and (ii) the consideration of spatial effects improves the accuracy of estimate results. Moreover, the multivariate random parameters spatial model with mixture components was compared with its univariate form to highlight the validity of applying multivariate structure.","author":[{"dropping-particle":"","family":"Huang","given":"Helai","non-dropping-particle":"","parse-names":false,"suffix":""},{"dropping-particle":"","family":"Chang","given":"Fangrong","non-dropping-particle":"","parse-names":false,"suffix":""},{"dropping-particle":"","family":"Zhou","given":"Hanchu","non-dropping-particle":"","parse-names":false,"suffix":""},{"dropping-particle":"","family":"Lee","given":"Jaeyoung","non-dropping-particle":"","parse-names":false,"suffix":""}],"container-title":"Analytic Methods in Accident Research","id":"ITEM-5","issued":{"date-parts":[["2019"]]},"page":"100105","title":"Modeling unobserved heterogeneity for zonal crash frequencies: A Bayesian multivariate random-parameters model with mixture components for spatially correlated data","type":"article-journal","volume":"24"},"uris":["http://www.mendeley.com/documents/?uuid=2db1508a-9faa-4016-94d1-83f83bf2b4ce"]},{"id":"ITEM-6","itemData":{"DOI":"https://doi.org/10.1016/j.amar.2019.01.002","ISSN":"2213-6657","abstract":"Unobserved heterogeneity, which has been recognized as a critical issue in crash frequency modelling, generates from multiple sources, including observable and unobservable factors, space and time instability, crash severities, etc. However, only a very limited body of research is dedicated to distinguish and simultaneously address all these sources of unobserved heterogeneity. In this study, hierarchical Bayesian random parameters models with various spatiotemporal interactions are developed to address this issue. Selected for analysis are the yearly county-level alcohol/drug impaired-driving related crash counts data of three different injury severities including minor injury, major injury, and fatal injury in Idaho from 2010 to 2015. The variables, including daily vehicle miles traveled (DVMT), the proportion of male (MALE), unemployment rate (UR), and the percentage of drivers of 25 years and older with a bachelor's degree or higher (BD), are found to have significant impacts on crash frequency and be normally distributed in certain crash severities. Significant temporal and spatial heterogenous effects are also detected in all three crash severities. These empirical results support the incorporation of temporal and spatial heterogeneity in random parameters models.","author":[{"dropping-particle":"","family":"Li","given":"Zhenning","non-dropping-particle":"","parse-names":false,"suffix":""},{"dropping-particle":"","family":"Chen","given":"Xiaofeng","non-dropping-particle":"","parse-names":false,"suffix":""},{"dropping-particle":"","family":"Ci","given":"Yusheng","non-dropping-particle":"","parse-names":false,"suffix":""},{"dropping-particle":"","family":"Chen","given":"Cong","non-dropping-particle":"","parse-names":false,"suffix":""},{"dropping-particle":"","family":"Zhang","given":"Guohui","non-dropping-particle":"","parse-names":false,"suffix":""}],"container-title":"Analytic Methods in Accident Research","id":"ITEM-6","issued":{"date-parts":[["2019"]]},"page":"44-61","title":"A hierarchical Bayesian spatiotemporal random parameters approach for alcohol/drug impaired-driving crash frequency analysis","type":"article-journal","volume":"21"},"uris":["http://www.mendeley.com/documents/?uuid=ac1383a5-ef23-4c0a-942f-9d22ea156815"]},{"id":"ITEM-7","itemData":{"DOI":"https://doi.org/10.1016/j.amar.2021.100163","ISSN":"2213-6657","abstract":"This study aims to rank high crash risk areas and measure the impacts of accessibility and other spatial and socio-economic factors on county-level crash severities while controlling for spatial and temporal unobserved effects. Among other insights, the results suggest that primary roadway density is positively associated with all crash severities. Contrary, intersection density is negatively associated with injury and no injury crashes. Furthermore, school density and rates of driving under the influence are both positively associated with no injury crashes. Additionally, the mean travel time to the hospital is positively associated, while urbanity is negatively associated with fatal crashes. Unobserved effects due to unstructured random effect terms are significant and contribute to the model’s overall goodness of fit. The within-area correlation among crash severities is positive and non-negligible. From a temporal perspective, both fatal and no injury crashes have decreasing trends. However, no clear pattern for injury crashes is observed across the years. From a spatial perspective, extreme high and low crash risk counties are identified throughout the study area with no clear observed patterns of clustering or dispersion.","author":[{"dropping-particle":"","family":"Azimian","given":"Amin","non-dropping-particle":"","parse-names":false,"suffix":""},{"dropping-particle":"","family":"Dimitra Pyrialakou","given":"V","non-dropping-particle":"","parse-names":false,"suffix":""},{"dropping-particle":"","family":"Lavrenz","given":"Steven","non-dropping-particle":"","parse-names":false,"suffix":""},{"dropping-particle":"","family":"Wen","given":"Sijin","non-dropping-particle":"","parse-names":false,"suffix":""}],"container-title":"Analytic Methods in Accident Research","id":"ITEM-7","issued":{"date-parts":[["2021"]]},"page":"100163","title":"Exploring the effects of area-level factors on traffic crash frequency by severity using multivariate space-time models","type":"article-journal","volume":"31"},"uris":["http://www.mendeley.com/documents/?uuid=899cf0b4-dd82-47e4-9fc5-68517f5d39c2"]},{"id":"ITEM-8","itemData":{"DOI":"https://doi.org/10.1016/j.aap.2021.106018","ISSN":"0001-4575","abstract":"Although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author":[{"dropping-particle":"","family":"Cui","given":"Haipeng","non-dropping-particle":"","parse-names":false,"suffix":""},{"dropping-particle":"","family":"Xie","given":"Kun","non-dropping-particle":"","parse-names":false,"suffix":""}],"container-title":"Accident Analysis &amp; Prevention","id":"ITEM-8","issued":{"date-parts":[["2021"]]},"page":"106018","title":"An accelerated hierarchical Bayesian crash frequency model with accommodation of spatiotemporal interactions","type":"article-journal","volume":"153"},"uris":["http://www.mendeley.com/documents/?uuid=b4e0c26d-e01e-4722-b34d-d1d01f7a8eb7"]},{"id":"ITEM-9","itemData":{"DOI":"https://doi.org/10.1016/j.aap.2016.02.018","ISSN":"0001-4575","abstract":"Safety and efficiency are commonly regarded as two significant performance indicators of transportation systems. In practice, road network planning has focused on road capacity and transport efficiency whereas the safety level of a road network has received little attention in the planning stage. This study develops a Bayesian hierarchical joint model for road network safety evaluation to help planners take traffic safety into account when planning a road network. The proposed model establishes relationships between road network risk and micro-level variables related to road entities and traffic volume, as well as socioeconomic, trip generation and network density variables at macro level which are generally used for long term transportation plans. In addition, network spatial correlation between intersections and their connected road segments is also considered in the model. A road network is elaborately selected in order to compare the proposed hierarchical joint model with a previous joint model and a negative binomial model. According to the results of the model comparison, the hierarchical joint model outperforms the joint model and negative binomial model in terms of the goodness-of-fit and predictive performance, which indicates the reasonableness of considering the hierarchical data structure in crash prediction and analysis. Moreover, both random effects at the TAZ level and the spatial correlation between intersections and their adjacent segments are found to be significant, supporting the employment of the hierarchical joint model as an alternative in road-network-level safety modeling as well.","author":[{"dropping-particle":"","family":"Wang","given":"Jie","non-dropping-particle":"","parse-names":false,"suffix":""},{"dropping-particle":"","family":"Huang","given":"Helai","non-dropping-particle":"","parse-names":false,"suffix":""}],"container-title":"Accident Analysis &amp; Prevention","id":"ITEM-9","issued":{"date-parts":[["2016"]]},"page":"152-158","title":"Road network safety evaluation using Bayesian hierarchical joint model","type":"article-journal","volume":"90"},"uris":["http://www.mendeley.com/documents/?uuid=4e9b2b0f-c647-4826-971b-d9af3875051e"]}],"mendeley":{"formattedCitation":"(Abdel-Aty et al., 2013; Azimian et al., 2021; Cui and Xie, 2021; Huang et al., 2019, 2010; Li et al., 2019; Satria et al., 2020; Wang and Huang, 2016; Zeng et al., 2020)","plainTextFormattedCitation":"(Abdel-Aty et al., 2013; Azimian et al., 2021; Cui and Xie, 2021; Huang et al., 2019, 2010; Li et al., 2019; Satria et al., 2020; Wang and Huang, 2016; Zeng et al., 2020)","previouslyFormattedCitation":"(Abdel-Aty et al., 2013; Azimian et al., 2021; Cui and Xie, 2021; Huang et al., 2019, 2010; Li et al., 2019; Satria et al., 2020; Wang and Huang, 2016; World Health Organization (WHO), 2018; Zeng et al., 2020)"},"properties":{"noteIndex":0},"schema":"https://github.com/citation-style-language/schema/raw/master/csl-citation.json"}</w:instrText>
      </w:r>
      <w:r w:rsidRPr="000B3E08">
        <w:fldChar w:fldCharType="separate"/>
      </w:r>
      <w:r w:rsidR="00735639" w:rsidRPr="000B3E08">
        <w:rPr>
          <w:noProof/>
        </w:rPr>
        <w:t>(Abdel-Aty et al., 2013; Azimian et al., 2021; Cui and Xie, 2021; Huang et al., 2019, 2010; Li et al., 2019; Satria et al., 2020; Wang and Huang, 2016; Zeng et al., 2020)</w:t>
      </w:r>
      <w:r w:rsidRPr="000B3E08">
        <w:fldChar w:fldCharType="end"/>
      </w:r>
      <w:r w:rsidRPr="000B3E08">
        <w:t xml:space="preserve">, geographically weighted regression model </w:t>
      </w:r>
      <w:r w:rsidRPr="000B3E08">
        <w:fldChar w:fldCharType="begin" w:fldLock="1"/>
      </w:r>
      <w:r w:rsidR="00C86B38" w:rsidRPr="000B3E08">
        <w:instrText>ADDIN CSL_CITATION {"citationItems":[{"id":"ITEM-1","itemData":{"DOI":"https://doi.org/10.1016/j.aap.2021.106146","ISSN":"0001-4575","abstract":"Safety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Prevention","id":"ITEM-1","issued":{"date-parts":[["2021"]]},"page":"106146","title":"Understanding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models","type":"article-journal","volume":"157"},"uris":["http://www.mendeley.com/documents/?uuid=695579bd-dcab-4336-8b91-e4e835539d73"]},{"id":"ITEM-2","itemData":{"DOI":"https://doi.org/10.1016/j.aap.2017.10.012","ISSN":"0001-4575","abstract":"Safety Performance Functions (SPFs) provide a basis for identifying locations where countermeasures can be effective. While SPFs in the Highway Safety Manual (HSM) were calibrated based on data from select states, calibration factors can be developed to localize SPFs to other states. Calibration factors typically provide a coarse adjustment—time and space stationarity of associations between crash frequencies and various factors is still assumed, implying that the SPF functional form is transferable. However, with increasing availability of statewide geo-referenced safety data, new spatial analysis methods, and increasing computational power, it is possible to relax the stationarity assumption. Specifically, to address spatial heterogeneity in SPFs, this study proposes relaxing SPFs (referring to them as Localized SPFs (L-SPFs)) that can be developed by using sophisticated geo-spatial modeling techniques that allow correlates of crash frequencies to vary in space. For demonstration, a 2013 geo-referenced freeway crash and traffic database from Virginia is used. As a potential methodological alternative, crash frequencies are predicted by estimating Geographically Weighted Negative Binomial Regressions. This model significantly outperforms the traditional negative binomial model in terms of model goodness-of-fit, providing a better and fuller understanding of spatial variations in modeled relationships. Our study results uncover significant spatial variations in parameter estimates for Annual Average Daily Traffic (AADT) and segment length. Ignoring such variations can result in prediction errors. The results indicate low transferability of a single statewide SPF highlighting the importance of developing L-SPFs. From a practical standpoint, L-SPFs can better predict crash frequencies and support prioritizing safety improvements in specific locations.","author":[{"dropping-particle":"","family":"Liu","given":"Jun","non-dropping-particle":"","parse-names":false,"suffix":""},{"dropping-particle":"","family":"Khattak","given":"Asad J","non-dropping-particle":"","parse-names":false,"suffix":""},{"dropping-particle":"","family":"Wali","given":"Behram","non-dropping-particle":"","parse-names":false,"suffix":""}],"container-title":"Accident Analysis &amp; Prevention","id":"ITEM-2","issued":{"date-parts":[["2017"]]},"page":"132-142","title":"Do safety performance functions used for predicting crash frequency vary across space? Applying geographically weighted regressions to account for spatial heterogeneity","type":"article-journal","volume":"109"},"uris":["http://www.mendeley.com/documents/?uuid=8a997be1-11cb-4ecd-ac1e-86e5414d1531"]},{"id":"ITEM-3","itemData":{"DOI":"https://doi.org/10.1016/j.ssci.2013.04.005","ISSN":"0925-7535","abstract":"Development of crash prediction models at the county-level has drawn the interests of state agencies for forecasting the normal level of traffic safety according to a series of countywide characteristics. A common technique for the county-level crash modeling is the generalized linear modeling (GLM) procedure. However, the GLM fails to capture the spatial heterogeneity that exists in the relationship between crash counts and explanatory variables over counties. This study aims to evaluate the use of a Geographically Weighted Poisson Regression (GWPR) to capture these spatially varying relationships in the county-level crash data. The performance of a GWPR was compared to a traditional GLM. Fatal crashes and countywide factors including traffic patterns, road network attributes, and socio-demographic characteristics were collected from the 58 counties in California. Results showed that the GWPR was useful in capturing the spatially non-stationary relationships between crashes and predicting factors at the county level. By capturing the spatial heterogeneity, the GWPR outperformed the GLM in predicting the fatal crashes in individual counties. The GWPR remarkably reduced the spatial correlation in the residuals of predictions of fatal crashes over counties.","author":[{"dropping-particle":"","family":"Li","given":"Zhibin","non-dropping-particle":"","parse-names":false,"suffix":""},{"dropping-particle":"","family":"Wang","given":"Wei","non-dropping-particle":"","parse-names":false,"suffix":""},{"dropping-particle":"","family":"Liu","given":"Pan","non-dropping-particle":"","parse-names":false,"suffix":""},{"dropping-particle":"","family":"Bigham","given":"John M","non-dropping-particle":"","parse-names":false,"suffix":""},{"dropping-particle":"","family":"Ragland","given":"David R","non-dropping-particle":"","parse-names":false,"suffix":""}],"container-title":"Safety Science","id":"ITEM-3","issued":{"date-parts":[["2013"]]},"page":"89-97","title":"Using Geographically Weighted Poisson Regression for county-level crash modeling in California","type":"article-journal","volume":"58"},"uris":["http://www.mendeley.com/documents/?uuid=454a70a9-be84-410b-a223-2014d347def0"]}],"mendeley":{"formattedCitation":"(Li et al., 2013; Liu et al., 2017; Mohammadnazar et al., 2021)","plainTextFormattedCitation":"(Li et al., 2013; Liu et al., 2017; Mohammadnazar et al., 2021)","previouslyFormattedCitation":"(Li et al., 2013; Liu et al., 2017; Mohammadnazar et al., 2021)"},"properties":{"noteIndex":0},"schema":"https://github.com/citation-style-language/schema/raw/master/csl-citation.json"}</w:instrText>
      </w:r>
      <w:r w:rsidRPr="000B3E08">
        <w:fldChar w:fldCharType="separate"/>
      </w:r>
      <w:r w:rsidR="00C86B38" w:rsidRPr="000B3E08">
        <w:rPr>
          <w:noProof/>
        </w:rPr>
        <w:t>(Li et al., 2013; Liu et al., 2017; Mohammadnazar et al., 2021)</w:t>
      </w:r>
      <w:r w:rsidRPr="000B3E08">
        <w:fldChar w:fldCharType="end"/>
      </w:r>
      <w:r w:rsidRPr="000B3E08">
        <w:t xml:space="preserve">, Poisson-Tweedie model </w:t>
      </w:r>
      <w:r w:rsidRPr="000B3E08">
        <w:fldChar w:fldCharType="begin" w:fldLock="1"/>
      </w:r>
      <w:r w:rsidR="00B941CD" w:rsidRPr="000B3E08">
        <w:instrText>ADDIN CSL_CITATION {"citationItems":[{"id":"ITEM-1","itemData":{"DOI":"https://doi.org/10.1016/j.aap.2020.105456","ISSN":"0001-4575","abstract":"This paper describes a study that applies the Poisson-Tweedie distribution in developing crash frequency models. The Poisson-Tweedie distribution offers a unified framework to model overdispersed, underdispersed, zero-inflated, spatial, and longitudinal count data, as well as multiple response variables of similar or mixed types. The form of its variance function is simple, and can be specified as the mean added to the product of dispersion and mean raised to the power P. The flexibility of the Poisson-Tweedie distribution lies in the domain of P, which includes positive real number values. Special cases of the Poisson-Tweedie distribution models include the linear form of the negative binomial (NB1) model with P equal to 1.0, the geometric Poisson (GeoP) model with P equal to 1.5, the quadratic form of the negative binomial (NB2) model with P equal to 2.0, and the Poisson Inverse Gaussian (PIG) model with P equal to 3.0. A series of models were developed in this study using the Poisson-Tweedie distribution without any restrictions on the value of the power parameter as well as with specific values of the power parameter representing NB1, GeoP, NB2, and PIG models. The effects of fixed and varying dispersion parameters (i.e., dispersion as a function of covariates) on the variance and expected crash frequency estimates were also examined. Three years (2012–2014) of crash data from urban three-leg stop-controlled intersections and urban four-leg signalized intersections in the state of Florida were used to develop the models. The Poisson-Tweedie models or the GeoP models were found to perform better when the dispersion parameter was constant or fixed. With the varying dispersion parameter, the NB2 and PIG models were found to perform better, with both performing equally well. Also, the fixed dispersion parameter values were found to be smaller in the models with a higher value of the power parameter. The variation across the models in their estimates of weight factor, expected crash frequency, and potential for safety improvement of hazardous sites based on the empirical Bayes method was also discussed.","author":[{"dropping-particle":"","family":"Saha","given":"Dibakar","non-dropping-particle":"","parse-names":false,"suffix":""},{"dropping-particle":"","family":"Alluri","given":"Priyanka","non-dropping-particle":"","parse-names":false,"suffix":""},{"dropping-particle":"","family":"Dumbaugh","given":"Eric","non-dropping-particle":"","parse-names":false,"suffix":""},{"dropping-particle":"","family":"Gan","given":"Albert","non-dropping-particle":"","parse-names":false,"suffix":""}],"container-title":"Accident Analysis &amp; Prevention","id":"ITEM-1","issued":{"date-parts":[["2020"]]},"page":"105456","title":"Application of the Poisson-Tweedie distribution in analyzing crash frequency data","type":"article-journal","volume":"137"},"uris":["http://www.mendeley.com/documents/?uuid=662a8589-ebaf-47c7-901a-bb9b651b7e31"]}],"mendeley":{"formattedCitation":"(Saha et al., 2020)","plainTextFormattedCitation":"(Saha et al., 2020)","previouslyFormattedCitation":"(Saha et al., 2020)"},"properties":{"noteIndex":0},"schema":"https://github.com/citation-style-language/schema/raw/master/csl-citation.json"}</w:instrText>
      </w:r>
      <w:r w:rsidRPr="000B3E08">
        <w:fldChar w:fldCharType="separate"/>
      </w:r>
      <w:r w:rsidR="00B941CD" w:rsidRPr="000B3E08">
        <w:rPr>
          <w:noProof/>
        </w:rPr>
        <w:t>(Saha et al., 2020)</w:t>
      </w:r>
      <w:r w:rsidRPr="000B3E08">
        <w:fldChar w:fldCharType="end"/>
      </w:r>
      <w:r w:rsidRPr="000B3E08">
        <w:t xml:space="preserve">, and Conway-Maxwell Poisson model </w:t>
      </w:r>
      <w:r w:rsidRPr="000B3E08">
        <w:fldChar w:fldCharType="begin" w:fldLock="1"/>
      </w:r>
      <w:r w:rsidR="00BB5C26" w:rsidRPr="000B3E08">
        <w:instrText>ADDIN CSL_CITATION {"citationItems":[{"id":"ITEM-1","itemData":{"DOI":"https://doi.org/10.1016/j.aap.2020.105735","ISSN":"0001-4575","abstract":"This study develops bicycle-vehicle safety performance functions (SPFs) for five facilities in the Highway Safety Manual (HSM). These are urban two-lane undivided segments (U2U), urban four-lane divided/undivided segments (U4DU), rural two-lane undivided segments (R2U), urban four-leg and three-leg signalized intersections (USG), and urban four-leg and three-leg stop-controlled intersections (UST). Two modeling techniques were explored, the Conway-Maxwell-Poisson (COM-Poisson) model (to accommodate bicycle-vehicle crash under-dispersion) and a machine learning technique, the multivariate adaptive regression splines (MARS). MARS is a non-black-box model and can effectively handle non-linear crash predictors and interactions. A total of 1,311 bicycle-vehicle crashes from 2011 through 2015 in Alabama were collected and their respective police reports were reviewed in details. Results from the SPFs for roadway segments using COM-Poisson showed that bicycle-vehicle crash frequencies were reduced along curved and downgrade/upgrade stretches and when having heavy traffic flow (along U2U segments). For urban signalized (USG) intersections, the absence of right-turn lanes on minor roads, the presence of bus stops, and the increase in the major road annual average daily traffic (AADT) were significant factors contributing to the increase in the number of bicycle-vehicle crashes. However, the presence of divided medians on major approaches was found to reduce bicycle-vehicle crashes at USG and UST intersections. MARS outperformed the corresponding COM-Poisson models for all five facilities based on mean absolute deviance (MAD), mean square prediction error (MSPE), and generalized R-square. MARS is recommended as a promising technique for effectively predicting bicycle-vehicle crashes on segments and intersections.","author":[{"dropping-particle":"","family":"Shirani-bidabadi","given":"Niloufar","non-dropping-particle":"","parse-names":false,"suffix":""},{"dropping-particle":"","family":"Mallipaddi","given":"Naveen","non-dropping-particle":"","parse-names":false,"suffix":""},{"dropping-particle":"","family":"Haleem","given":"Kirolos","non-dropping-particle":"","parse-names":false,"suffix":""},{"dropping-particle":"","family":"Anderson","given":"Michael","non-dropping-particle":"","parse-names":false,"suffix":""}],"container-title":"Accident Analysis &amp; Prevention","id":"ITEM-1","issued":{"date-parts":[["2020"]]},"page":"105735","title":"Developing Bicycle-Vehicle Crash-Specific Safety Performance Functions in Alabama Using Different Techniques","type":"article-journal","volume":"146"},"uris":["http://www.mendeley.com/documents/?uuid=73e613c2-eed7-4630-a519-b3bdf749820c"]}],"mendeley":{"formattedCitation":"(Shirani-bidabadi et al., 2020)","plainTextFormattedCitation":"(Shirani-bidabadi et al., 2020)","previouslyFormattedCitation":"(Shirani-bidabadi et al., 2020)"},"properties":{"noteIndex":0},"schema":"https://github.com/citation-style-language/schema/raw/master/csl-citation.json"}</w:instrText>
      </w:r>
      <w:r w:rsidRPr="000B3E08">
        <w:fldChar w:fldCharType="separate"/>
      </w:r>
      <w:r w:rsidR="00BB5C26" w:rsidRPr="000B3E08">
        <w:rPr>
          <w:noProof/>
        </w:rPr>
        <w:t>(Shirani-bidabadi et al., 2020)</w:t>
      </w:r>
      <w:r w:rsidRPr="000B3E08">
        <w:fldChar w:fldCharType="end"/>
      </w:r>
      <w:r w:rsidRPr="000B3E08">
        <w:t xml:space="preserve">. The reader would recognize that microscopic crash frequency models are likely to be affected in most cases with excessive zeros. Thus, microscopic models might see increased application of zero-inflated models and/or hurdle models </w:t>
      </w:r>
      <w:r w:rsidRPr="000B3E08">
        <w:fldChar w:fldCharType="begin" w:fldLock="1"/>
      </w:r>
      <w:r w:rsidR="00B941CD" w:rsidRPr="000B3E08">
        <w:instrText>ADDIN CSL_CITATION {"citationItems":[{"id":"ITEM-1","itemData":{"DOI":"https://doi.org/10.1016/j.aap.2014.04.018","ISSN":"0001-4575","abstract":"Crash data are collected through police reports and integrated with road inventory data for further analysis. Integrated police reports and inventory data yield correlated multivariate data for roadway entities (e.g., segments or intersections). Analysis of such data reveals important relationships that can help focus on high-risk situations and coming up with safety countermeasures. To understand relationships between crash frequencies and associated variables, while taking full advantage of the available data, multivariate random-parameters models are appropriate since they can simultaneously consider the correlation among the specific crash types and account for unobserved heterogeneity. However, a key issue that arises with correlated multivariate data is the number of crash-free samples increases, as crash counts have many categories. In this paper, we describe a multivariate random-parameters zero-inflated negative binomial (MRZINB) regression model for jointly modeling crash counts. The full Bayesian method is employed to estimate the model parameters. Crash frequencies at urban signalized intersections in Tennessee are analyzed. The paper investigates the performance of MZINB and MRZINB regression models in establishing the relationship between crash frequencies, pavement conditions, traffic factors, and geometric design features of roadway intersections. Compared to the MZINB model, the MRZINB model identifies additional statistically significant factors and provides better goodness of fit in developing the relationships. The empirical results show that MRZINB model possesses most of the desirable statistical properties in terms of its ability to accommodate unobserved heterogeneity and excess zero counts in correlated data. Notably, in the random-parameters MZINB model, the estimated parameters vary significantly across intersections for different crash types.","author":[{"dropping-particle":"","family":"Dong","given":"Chunjiao","non-dropping-particle":"","parse-names":false,"suffix":""},{"dropping-particle":"","family":"Clarke","given":"David B","non-dropping-particle":"","parse-names":false,"suffix":""},{"dropping-particle":"","family":"Yan","given":"Xuedong","non-dropping-particle":"","parse-names":false,"suffix":""},{"dropping-particle":"","family":"Khattak","given":"Asad","non-dropping-particle":"","parse-names":false,"suffix":""},{"dropping-particle":"","family":"Huang","given":"Baoshan","non-dropping-particle":"","parse-names":false,"suffix":""}],"container-title":"Accident Analysis &amp; Prevention","id":"ITEM-1","issued":{"date-parts":[["2014"]]},"page":"320-329","title":"Multivariate random-parameters zero-inflated negative binomial regression model: An application to estimate crash frequencies at intersections","type":"article-journal","volume":"70"},"uris":["http://www.mendeley.com/documents/?uuid=ae409fab-5fde-4233-add0-f6344fa579da"]},{"id":"ITEM-2","itemData":{"DOI":"https://doi.org/10.1016/j.amar.2019.100092","ISSN":"2213-6657","abstract":"Crash frequency prediction models have been an important subject of safety research that unveils a relationship between crash occurrences and their influencing factors. Recently, the hourly-based refined-scale crash frequency analysis becomes attractive since it holds the benefits of introducing time-varying explanatory information (e.g. traffic volume and operating speed). However, crash frequency data with short time intervals possess the analytical issues of excessive zeros and unobserved heterogeneity. In this study, a marginalized random effects hurdle negative binomial (MREHNB) model was, for the first time, developed in which the hurdle modelling structure handles the excessive zeros issue and site-specific random effect terms capture the factors associated with unobserved heterogeneity. Moreover, the marginalized inference approach was introduced here to obtain the marginal mean inference for the overall population rather than subject-specific estimations. Empirical analyses were conducted based on data from the Shanghai urban expressway system, and the MREHNB model was compared with the HNB (hurdle negative binomial) and the REHNB (random effects hurdle negative binomial) model. In terms of model goodness-of-fits, REHNB and MREHNB model showed substantial improvement compared to the HNB model while there was no distinct difference between the REHNB and MREHNB models. However, as for the estimated parameters, the MREHNB model provided better inference precisions. Furthermore, the MREHNB model provided interesting findings for the crash contributing factors, for example, higher ratios of local vehicles within the traffic volume would enhance the probability of crash occurrence; and a non-linear relationship was concluded between traffic volume and crash frequency with the moderate level of volume held the highest crash occurrence probability. Finally, in-depth analyses about the modeling results and the model technique were discussed. The results will assist in designing more efficient control strategies for near real-time traffic management.","author":[{"dropping-particle":"","family":"Yu","given":"Rongjie","non-dropping-particle":"","parse-names":false,"suffix":""},{"dropping-particle":"","family":"Wang","given":"Yiyun","non-dropping-particle":"","parse-names":false,"suffix":""},{"dropping-particle":"","family":"Quddus","given":"Mohammed","non-dropping-particle":"","parse-names":false,"suffix":""},{"dropping-particle":"","family":"Li","given":"Jian","non-dropping-particle":"","parse-names":false,"suffix":""}],"container-title":"Analytic Methods in Accident Research","id":"ITEM-2","issued":{"date-parts":[["2019"]]},"page":"100092","title":"A marginalized random effects hurdle negative binomial model for analyzing refined-scale crash frequency data","type":"article-journal","volume":"22"},"uris":["http://www.mendeley.com/documents/?uuid=5559b9f1-0e6f-40b7-8a40-77b8c955ec55"]}],"mendeley":{"formattedCitation":"(Dong et al., 2014; Yu et al., 2019)","plainTextFormattedCitation":"(Dong et al., 2014; Yu et al., 2019)","previouslyFormattedCitation":"(Dong et al., 2014; Yu et al., 2019)"},"properties":{"noteIndex":0},"schema":"https://github.com/citation-style-language/schema/raw/master/csl-citation.json"}</w:instrText>
      </w:r>
      <w:r w:rsidRPr="000B3E08">
        <w:fldChar w:fldCharType="separate"/>
      </w:r>
      <w:r w:rsidR="00B941CD" w:rsidRPr="000B3E08">
        <w:rPr>
          <w:noProof/>
        </w:rPr>
        <w:t>(Dong et al., 2014; Yu et al., 2019)</w:t>
      </w:r>
      <w:r w:rsidRPr="000B3E08">
        <w:fldChar w:fldCharType="end"/>
      </w:r>
      <w:r w:rsidRPr="000B3E08">
        <w:t xml:space="preserve">. </w:t>
      </w:r>
    </w:p>
    <w:p w14:paraId="46D1F409" w14:textId="1B59C6BB" w:rsidR="004E5047" w:rsidRPr="0046434D" w:rsidRDefault="004E5047" w:rsidP="005D30B7">
      <w:pPr>
        <w:ind w:firstLine="720"/>
      </w:pPr>
      <w:r w:rsidRPr="0029510D">
        <w:t>At the macroscopic level, the factors identified to be of significance include roadway and traffic factors, land-use, built environment, and sociodemographic factors. For instance, county level models identified factors include roadway density, intersection density, urban land-use, school density, population, proportion of male</w:t>
      </w:r>
      <w:r w:rsidR="00FC6751" w:rsidRPr="0029510D">
        <w:t>s</w:t>
      </w:r>
      <w:r w:rsidRPr="0029510D">
        <w:t xml:space="preserve">, population aged above 65, and median household income </w:t>
      </w:r>
      <w:r w:rsidRPr="0029510D">
        <w:fldChar w:fldCharType="begin" w:fldLock="1"/>
      </w:r>
      <w:r w:rsidR="00B941CD" w:rsidRPr="0029510D">
        <w:instrText>ADDIN CSL_CITATION {"citationItems":[{"id":"ITEM-1","itemData":{"DOI":"https://doi.org/10.1016/j.amar.2021.100163","ISSN":"2213-6657","abstract":"This study aims to rank high crash risk areas and measure the impacts of accessibility and other spatial and socio-economic factors on county-level crash severities while controlling for spatial and temporal unobserved effects. Among other insights, the results suggest that primary roadway density is positively associated with all crash severities. Contrary, intersection density is negatively associated with injury and no injury crashes. Furthermore, school density and rates of driving under the influence are both positively associated with no injury crashes. Additionally, the mean travel time to the hospital is positively associated, while urbanity is negatively associated with fatal crashes. Unobserved effects due to unstructured random effect terms are significant and contribute to the model’s overall goodness of fit. The within-area correlation among crash severities is positive and non-negligible. From a temporal perspective, both fatal and no injury crashes have decreasing trends. However, no clear pattern for injury crashes is observed across the years. From a spatial perspective, extreme high and low crash risk counties are identified throughout the study area with no clear observed patterns of clustering or dispersion.","author":[{"dropping-particle":"","family":"Azimian","given":"Amin","non-dropping-particle":"","parse-names":false,"suffix":""},{"dropping-particle":"","family":"Dimitra Pyrialakou","given":"V","non-dropping-particle":"","parse-names":false,"suffix":""},{"dropping-particle":"","family":"Lavrenz","given":"Steven","non-dropping-particle":"","parse-names":false,"suffix":""},{"dropping-particle":"","family":"Wen","given":"Sijin","non-dropping-particle":"","parse-names":false,"suffix":""}],"container-title":"Analytic Methods in Accident Research","id":"ITEM-1","issued":{"date-parts":[["2021"]]},"page":"100163","title":"Exploring the effects of area-level factors on traffic crash frequency by severity using multivariate space-time models","type":"article-journal","volume":"31"},"uris":["http://www.mendeley.com/documents/?uuid=899cf0b4-dd82-47e4-9fc5-68517f5d39c2"]},{"id":"ITEM-2","itemData":{"DOI":"10.1080/19439962.2018.1525631","ISSN":"1943-9962","author":[{"dropping-particle":"","family":"Cheng","given":"Wen","non-dropping-particle":"","parse-names":false,"suffix":""},{"dropping-particle":"","family":"Gill","given":"Gurdiljot Singh","non-dropping-particle":"","parse-names":false,"suffix":""},{"dropping-particle":"","family":"Zhou","given":"Jiao","non-dropping-particle":"","parse-names":false,"suffix":""},{"dropping-particle":"","family":"Ensch","given":"John L","non-dropping-particle":"","parse-names":false,"suffix":""},{"dropping-particle":"","family":"Kwong","given":"Jerry","non-dropping-particle":"","parse-names":false,"suffix":""},{"dropping-particle":"","family":"Jia","given":"Xudong","non-dropping-particle":"","parse-names":false,"suffix":""}],"container-title":"Journal of Transportation Safety &amp; Security","id":"ITEM-2","issue":"5","issued":{"date-parts":[["2020","5","27"]]},"note":"doi: 10.1080/19439962.2018.1525631","page":"628-652","publisher":"Taylor &amp; Francis","title":"Alternative multivariate multimodal crash frequency models","type":"article-journal","volume":"12"},"uris":["http://www.mendeley.com/documents/?uuid=29531952-8ac6-44fe-8174-54685f78856b"]},{"id":"ITEM-3","itemData":{"DOI":"https://doi.org/10.1016/j.amar.2019.01.002","ISSN":"2213-6657","abstract":"Unobserved heterogeneity, which has been recognized as a critical issue in crash frequency modelling, generates from multiple sources, including observable and unobservable factors, space and time instability, crash severities, etc. However, only a very limited body of research is dedicated to distinguish and simultaneously address all these sources of unobserved heterogeneity. In this study, hierarchical Bayesian random parameters models with various spatiotemporal interactions are developed to address this issue. Selected for analysis are the yearly county-level alcohol/drug impaired-driving related crash counts data of three different injury severities including minor injury, major injury, and fatal injury in Idaho from 2010 to 2015. The variables, including daily vehicle miles traveled (DVMT), the proportion of male (MALE), unemployment rate (UR), and the percentage of drivers of 25 years and older with a bachelor's degree or higher (BD), are found to have significant impacts on crash frequency and be normally distributed in certain crash severities. Significant temporal and spatial heterogenous effects are also detected in all three crash severities. These empirical results support the incorporation of temporal and spatial heterogeneity in random parameters models.","author":[{"dropping-particle":"","family":"Li","given":"Zhenning","non-dropping-particle":"","parse-names":false,"suffix":""},{"dropping-particle":"","family":"Chen","given":"Xiaofeng","non-dropping-particle":"","parse-names":false,"suffix":""},{"dropping-particle":"","family":"Ci","given":"Yusheng","non-dropping-particle":"","parse-names":false,"suffix":""},{"dropping-particle":"","family":"Chen","given":"Cong","non-dropping-particle":"","parse-names":false,"suffix":""},{"dropping-particle":"","family":"Zhang","given":"Guohui","non-dropping-particle":"","parse-names":false,"suffix":""}],"container-title":"Analytic Methods in Accident Research","id":"ITEM-3","issued":{"date-parts":[["2019"]]},"page":"44-61","title":"A hierarchical Bayesian spatiotemporal random parameters approach for alcohol/drug impaired-driving crash frequency analysis","type":"article-journal","volume":"21"},"uris":["http://www.mendeley.com/documents/?uuid=ac1383a5-ef23-4c0a-942f-9d22ea156815"]}],"mendeley":{"formattedCitation":"(Azimian et al., 2021; Cheng et al., 2020; Li et al., 2019)","plainTextFormattedCitation":"(Azimian et al., 2021; Cheng et al., 2020; Li et al., 2019)","previouslyFormattedCitation":"(Azimian et al., 2021; Cheng et al., 2020; Li et al., 2019)"},"properties":{"noteIndex":0},"schema":"https://github.com/citation-style-language/schema/raw/master/csl-citation.json"}</w:instrText>
      </w:r>
      <w:r w:rsidRPr="0029510D">
        <w:fldChar w:fldCharType="separate"/>
      </w:r>
      <w:r w:rsidR="00B941CD" w:rsidRPr="0029510D">
        <w:rPr>
          <w:noProof/>
        </w:rPr>
        <w:t>(Azimian et al., 2021; Cheng et al., 2020; Li et al., 2019)</w:t>
      </w:r>
      <w:r w:rsidRPr="0029510D">
        <w:fldChar w:fldCharType="end"/>
      </w:r>
      <w:r w:rsidRPr="0029510D">
        <w:t xml:space="preserve">. In addition to these factors, TAZ, TAD and census tract level models identified the effect of number of lanes, divided road length, sidewalk and shoulder width, speed limits, bikeway length, intersection types, signal intensity, Annual </w:t>
      </w:r>
      <w:r w:rsidR="006716B3" w:rsidRPr="0029510D">
        <w:t xml:space="preserve">Average </w:t>
      </w:r>
      <w:r w:rsidRPr="0029510D">
        <w:t xml:space="preserve">Daily Traffic (AADT), percentage of truck traffic, vehicle miles travelled, commercial, residential, office area, number of residential units, shopping centers, number of </w:t>
      </w:r>
      <w:r w:rsidRPr="0046434D">
        <w:t xml:space="preserve">household with no vehicles, unemployment rate, commute mode share for drive alone, public transit, and non-motorized means of transport on crash counts </w:t>
      </w:r>
      <w:r w:rsidRPr="0046434D">
        <w:fldChar w:fldCharType="begin" w:fldLock="1"/>
      </w:r>
      <w:r w:rsidR="00C86B38" w:rsidRPr="0046434D">
        <w:instrText>ADDIN CSL_CITATION {"citationItems":[{"id":"ITEM-1","itemData":{"DOI":"10.1080/23249935.2018.1564801","ISSN":"2324-9935","author":[{"dropping-particle":"","family":"Soroori","given":"Emad","non-dropping-particle":"","parse-names":false,"suffix":""},{"dropping-particle":"","family":"Mohammadzadeh Moghaddam","given":"Abolfazl","non-dropping-particle":"","parse-names":false,"suffix":""},{"dropping-particle":"","family":"Salehi","given":"Mahdi","non-dropping-particle":"","parse-names":false,"suffix":""}],"container-title":"Transportmetrica A: Transport Science","id":"ITEM-1","issue":"2","issued":{"date-parts":[["2019","11","29"]]},"note":"doi: 10.1080/23249935.2018.1564801","page":"1102-1123","publisher":"Taylor &amp; Francis","title":"Application of local conditional autoregressive models for development of zonal crash prediction models and identification of crash risk boundaries","type":"article-journal","volume":"15"},"uris":["http://www.mendeley.com/documents/?uuid=628fbe05-0c9f-482b-b5ce-95649c103579"]},{"id":"ITEM-2","itemData":{"DOI":"https://doi.org/10.1016/j.amar.2019.100105","ISSN":"2213-6657","abstract":"This study applies mixture components in a multivariate random parameters spatial model for zonal crash counts. Three different modeling formulations are employed to demonstrate the effects of mixture components and spatial heterogeneity in the goodness-of-fit in a multivariate random parameter model. The models are built for injury (i.e., possible, non-incapacitating, incapacitating, and fatal injury) and non-injury crashes using the data from 738 traffic analysis zones (TAZs) in Hillsborough County of Florida during a three-year period. The Deviance Information Criteria (DIC) is used to evaluate the performances of these models indicate the proposed model outperforms the rests. According to the estimated results, various traffic-related, demographics, and socioeconomic factors affect the occurrences of crashes for different severity levels. With regard to the effect of mixture components, it identifies two homogeneous sub-classes labeled as “stable pattern” and “unstable pattern” to better capture the heterogeneity. The standard deviation (SD) and correlation across injury and non-injury crashes are both very high in the “stable pattern” compared with its “unstable pattern” counterpart. On the other hand, the results of model comparison reveal that: (i) adding one more mixture component has no significant influences on the spatial heterogeneity and spatial correlation of different kinds of crash frequency and (ii) the consideration of spatial effects improves the accuracy of estimate results. Moreover, the multivariate random parameters spatial model with mixture components was compared with its univariate form to highlight the validity of applying multivariate structure.","author":[{"dropping-particle":"","family":"Huang","given":"Helai","non-dropping-particle":"","parse-names":false,"suffix":""},{"dropping-particle":"","family":"Chang","given":"Fangrong","non-dropping-particle":"","parse-names":false,"suffix":""},{"dropping-particle":"","family":"Zhou","given":"Hanchu","non-dropping-particle":"","parse-names":false,"suffix":""},{"dropping-particle":"","family":"Lee","given":"Jaeyoung","non-dropping-particle":"","parse-names":false,"suffix":""}],"container-title":"Analytic Methods in Accident Research","id":"ITEM-2","issued":{"date-parts":[["2019"]]},"page":"100105","title":"Modeling unobserved heterogeneity for zonal crash frequencies: A Bayesian multivariate random-parameters model with mixture components for spatially correlated data","type":"article-journal","volume":"24"},"uris":["http://www.mendeley.com/documents/?uuid=2db1508a-9faa-4016-94d1-83f83bf2b4ce"]},{"id":"ITEM-3","itemData":{"DOI":"https://doi.org/10.1016/j.aap.2020.105589","ISSN":"0001-4575","abstract":"Numerous studies have developed intersection crash prediction models to identify crash hotspots and evaluate safety countermeasures. These studies largely considered only micro-level crash contributing factors such as traffic volume, traffic signals, etc. Some recent studies, however, have attempted to include macro-level crash contributing factors, such as population per zone, to predict the number of crashes at intersections. As many intersections are located between multiple zones and thus affected by factors from the multiple zones, the inclusion of macro-level factors requires boundary problems to be resolved. In this study, we introduce an advanced multilevel model, the multiple membership multilevel model (MMMM), for intersection crash analysis. Our objective was to reduce heterogeneity issues between zones in crash prediction model while avoiding misspecification of the model structure. We used five years of intersection crash data (2009–2013) for the City of Regina, Saskatchewan, Canada and identified micro- and macro-level factors that most affected intersection crashes. We compared the fitting performance of the MMMM with that of two existing models, a traditional single model (SM) and a conventional multilevel model (CMM). The MMMM outperformed the SM and CMM in terms of fitting capability. We found that the MMMM avoided both the underestimation of macro-level variance and the type I statistical error that tend to occur when the crash data are analyzed using a SM or CMM. Statistically significant micro-level and macro-level crash contributing factors in Regina included major roadway AADT, four legs, traffic signals, speed, young drivers, and different types of land use.","author":[{"dropping-particle":"","family":"Park","given":"Ho-Chul","non-dropping-particle":"","parse-names":false,"suffix":""},{"dropping-particle":"","family":"Yang","given":"Seungho","non-dropping-particle":"","parse-names":false,"suffix":""},{"dropping-particle":"","family":"Park","given":"Peter Y","non-dropping-particle":"","parse-names":false,"suffix":""},{"dropping-particle":"","family":"Kim","given":"Dong-Kyu","non-dropping-particle":"","parse-names":false,"suffix":""}],"container-title":"Accident Analysis &amp; Prevention","id":"ITEM-3","issued":{"date-parts":[["2020"]]},"page":"105589","title":"Multiple membership multilevel model to estimate intersection crashes","type":"article-journal","volume":"144"},"uris":["http://www.mendeley.com/documents/?uuid=b406f401-08d3-46c8-9209-626acfc0ceaf"]},{"id":"ITEM-4","itemData":{"DOI":"https://doi.org/10.1016/j.aap.2019.105259","ISSN":"0001-4575","abstract":"In this study, a macroscopic analysis was conducted in order to identify the factors which have an effect on traffic accidents in traffic analysis zones. The factors that impact accidents vary according to the characteristics of the observed area, which in turn leads to a discrepancy between research and practice. The total number of accidents was observed in this paper, along with the number of motorized and non-motorized mode accidents within a three-year period in the city of Novi Sad. The models used for this analysis were spatial predictive models comprised of the classical predictive space model, spatial lag model and spatial error model. The spatial lag model showed the best performances concerning the total number of accidents and number of motorized mode accidents, whereas the spatial error model was prominent within the number of non-motorized mode accidents. The results found that increasing Daily Vehicle-Kilometers Traveled, parking spaces, 5-legged intersections and signalized intersections increased all types of accidents. The other demographic, traffic, road and environment characteristics showed that they had a different effect on the observed types of accidents. The results of this research can be benefitial to reserachers who deal with traffic engineering, space planning as well as making decisions with the aim of preparing countermeasures necessary for road safety improvement in the analysed area.","author":[{"dropping-particle":"","family":"Pljakić","given":"Miloš","non-dropping-particle":"","parse-names":false,"suffix":""},{"dropping-particle":"","family":"Jovanović","given":"Dragan","non-dropping-particle":"","parse-names":false,"suffix":""},{"dropping-particle":"","family":"Matović","given":"Boško","non-dropping-particle":"","parse-names":false,"suffix":""},{"dropping-particle":"","family":"Mićić","given":"Spasoje","non-dropping-particle":"","parse-names":false,"suffix":""}],"container-title":"Accident Analysis &amp; Prevention","id":"ITEM-4","issued":{"date-parts":[["2019"]]},"page":"105259","title":"Macro-level accident modeling in Novi Sad: A spatial regression approach","type":"article-journal","volume":"132"},"uris":["http://www.mendeley.com/documents/?uuid=70dae09c-ab33-4c00-aba6-c3b923d4c7c5"]},{"id":"ITEM-5","itemData":{"DOI":"10.1080/23249935.2019.1652867","ISSN":"2324-9935","author":[{"dropping-particle":"","family":"Zeng","given":"Qiang","non-dropping-particle":"","parse-names":false,"suffix":""},{"dropping-particle":"","family":"Guo","given":"Qiang","non-dropping-particle":"","parse-names":false,"suffix":""},{"dropping-particle":"","family":"Wong","given":"S C","non-dropping-particle":"","parse-names":false,"suffix":""},{"dropping-particle":"","family":"Wen","given":"Huiying","non-dropping-particle":"","parse-names":false,"suffix":""},{"dropping-particle":"","family":"Huang","given":"Heilai","non-dropping-particle":"","parse-names":false,"suffix":""},{"dropping-particle":"","family":"Pei","given":"Xin","non-dropping-particle":"","parse-names":false,"suffix":""}],"container-title":"Transportmetrica A: Transport Science","id":"ITEM-5","issue":"2","issued":{"date-parts":[["2019","11","29"]]},"note":"doi: 10.1080/23249935.2019.1652867","page":"1867-1884","publisher":"Taylor &amp; Francis","title":"Jointly modeling area-level crash rates by severity: a Bayesian multivariate random-parameters spatio-temporal Tobit regression","type":"article-journal","volume":"15"},"uris":["http://www.mendeley.com/documents/?uuid=acf3bdbb-7f9d-4ff9-ba63-513fbe40e25b"]},{"id":"ITEM-6","itemData":{"author":[{"dropping-particle":"","family":"Wang","given":"Shaohua","non-dropping-particle":"","parse-names":false,"suffix":""},{"dropping-particle":"","family":"Chen","given":"Yanyan","non-dropping-particle":"","parse-names":false,"suffix":""},{"dropping-particle":"","family":"Huang","given":"Jianling","non-dropping-particle":"","parse-names":false,"suffix":""},{"dropping-particle":"","family":"Chen","given":"N","non-dropping-particle":"","parse-names":false,"suffix":""},{"dropping-particle":"","family":"Lu","given":"Yao","non-dropping-particle":"","parse-names":false,"suffix":""}],"container-title":"Mathematical Problems in Engineering","id":"ITEM-6","issued":{"date-parts":[["2019"]]},"page":"1-10","title":"Macrolevel Traffic Crash Analysis: A Spatial Econometric Model Approach","type":"article-journal","volume":"2019"},"uris":["http://www.mendeley.com/documents/?uuid=ee6db0da-b91c-4e50-8765-59c363b35e62"]},{"id":"ITEM-7","itemData":{"DOI":"10.1080/23249935.2018.1493550","ISSN":"2324-9935","author":[{"dropping-particle":"","family":"Zhai","given":"Xiaoqi","non-dropping-particle":"","parse-names":false,"suffix":""},{"dropping-particle":"","family":"Huang","given":"Helai","non-dropping-particle":"","parse-names":false,"suffix":""},{"dropping-particle":"","family":"Xu","given":"Pengpeng","non-dropping-particle":"","parse-names":false,"suffix":""},{"dropping-particle":"","family":"Sze","given":"N N","non-dropping-particle":"","parse-names":false,"suffix":""}],"container-title":"Transportmetrica A: Transport Science","id":"ITEM-7","issue":"2","issued":{"date-parts":[["2019","11","29"]]},"note":"doi: 10.1080/23249935.2018.1493550","page":"417-434","publisher":"Taylor &amp; Francis","title":"The influence of zonal configurations on macro-level crash modeling","type":"article-journal","volume":"15"},"uris":["http://www.mendeley.com/documents/?uuid=beb0926c-51e1-4ddb-8b1c-d6e7a4b5bd45"]},{"id":"ITEM-8","itemData":{"DOI":"https://doi.org/10.1016/j.amar.2019.100107","ISSN":"2213-6657","abstract":"In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Research","id":"ITEM-8","issued":{"date-parts":[["2019"]]},"page":"100107","title":"Do we need multivariate modeling approaches to model crash frequency by crash types? A panel mixed approach to modeling crash frequency by crash types","type":"article-journal","volume":"24"},"uris":["http://www.mendeley.com/documents/?uuid=10d57005-a1df-46a3-bead-e9f55664fa74"]},{"id":"ITEM-9","itemData":{"DOI":"https://doi.org/10.1016/j.jtrangeo.2016.06.012","ISSN":"0966-6923","abstract":"Zonal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author":[{"dropping-particle":"","family":"Huang","given":"Helai","non-dropping-particle":"","parse-names":false,"suffix":""},{"dropping-particle":"","family":"Song","given":"Bo","non-dropping-particle":"","parse-names":false,"suffix":""},{"dropping-particle":"","family":"Xu","given":"Pengpeng","non-dropping-particle":"","parse-names":false,"suffix":""},{"dropping-particle":"","family":"Zeng","given":"Qiang","non-dropping-particle":"","parse-names":false,"suffix":""},{"dropping-particle":"","family":"Lee","given":"Jaeyoung","non-dropping-particle":"","parse-names":false,"suffix":""},{"dropping-particle":"","family":"Abdel-Aty","given":"Mohamed","non-dropping-particle":"","parse-names":false,"suffix":""}],"container-title":"Journal of Transport Geography","id":"ITEM-9","issued":{"date-parts":[["2016"]]},"page":"248-256","title":"Macro and micro models for zonal crash prediction with application in hot zones identification","type":"article-journal","volume":"54"},"uris":["http://www.mendeley.com/documents/?uuid=b68500ad-a0ff-4d33-bff5-ef368885e093"]},{"id":"ITEM-10","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Science","id":"ITEM-10","issue":"2","issued":{"date-parts":[["2019","11","29"]]},"note":"doi: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interaction","type":"article-journal","volume":"15"},"uris":["http://www.mendeley.com/documents/?uuid=b21ff7f8-fd41-4c63-a83e-a4f52d8aae4d"]},{"id":"ITEM-11","itemData":{"DOI":"https://doi.org/10.1016/j.aap.2021.106018","ISSN":"0001-4575","abstract":"Although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author":[{"dropping-particle":"","family":"Cui","given":"Haipeng","non-dropping-particle":"","parse-names":false,"suffix":""},{"dropping-particle":"","family":"Xie","given":"Kun","non-dropping-particle":"","parse-names":false,"suffix":""}],"container-title":"Accident Analysis &amp; Prevention","id":"ITEM-11","issued":{"date-parts":[["2021"]]},"page":"106018","title":"An accelerated hierarchical Bayesian crash frequency model with accommodation of spatiotemporal interactions","type":"article-journal","volume":"153"},"uris":["http://www.mendeley.com/documents/?uuid=b4e0c26d-e01e-4722-b34d-d1d01f7a8eb7"]},{"id":"ITEM-12","itemData":{"DOI":"https://doi.org/10.1016/j.aap.2018.10.009","ISSN":"0001-4575","abstract":"Conventional safety models rely on the assumption of independence of crash data, which is frequently violated. This study develops a novel multivariate conditional autoregressive (MVCAR) model to account for the spatial autocorrelation of neighboring sites and the inherent correlation across different crash types. Manhattan, which is the most densely populated urban area of New York City, is used as the study area. Census tracts are used as the basic geographic units to capture crash, transportation, land use, and demo-economic data. The specification of the proposed multivariate model allows for jointly modeling counts of various crash types that are classified according to injury severity. Results of Moran’s I tests show the ability of the MVCAR model to capture the multivariate spatial autocorrelation among different crash types. The MVCAR model is found to outperform the others by presenting the lowest deviance information criterion (DIC) value. It is also found that the unobserved heterogeneity was mostly attributed to spatial factors instead of non-spatial ones and there is a strong shared geographical pattern of risk among different crash types.","author":[{"dropping-particle":"","family":"Xie","given":"Kun","non-dropping-particle":"","parse-names":false,"suffix":""},{"dropping-particle":"","family":"Ozbay","given":"Kaan","non-dropping-particle":"","parse-names":false,"suffix":""},{"dropping-particle":"","family":"Yang","given":"Hong","non-dropping-particle":"","parse-names":false,"suffix":""}],"container-title":"Accident Analysis &amp; Prevention","id":"ITEM-12","issued":{"date-parts":[["2019"]]},"page":"189-198","title":"A multivariate spatial approach to model crash counts by injury severity","type":"article-journal","volume":"122"},"uris":["http://www.mendeley.com/documents/?uuid=313f3d4d-e004-47d8-99db-335112c8cb04"]}],"mendeley":{"formattedCitation":"(Bhowmik et al., 2019; Cai et al., 2019; Cui and Xie, 2021; Huang et al., 2019, 2016; Park et al., 2020; Pljakić et al., 2019; Soroori et al., 2019; Wang et al., 2019; Xie et al., 2019; Zeng et al., 2019; Zhai et al., 2019)","plainTextFormattedCitation":"(Bhowmik et al., 2019; Cai et al., 2019; Cui and Xie, 2021; Huang et al., 2019, 2016; Park et al., 2020; Pljakić et al., 2019; Soroori et al., 2019; Wang et al., 2019; Xie et al., 2019; Zeng et al., 2019; Zhai et al., 2019)","previouslyFormattedCitation":"(Bhowmik et al., 2019; Cai et al., 2019; Cui and Xie, 2021; Huang et al., 2019, 2016; Park et al., 2020; Pljakić et al., 2019; Soroori et al., 2019; Wang et al., 2019; Xie et al., 2019; Zeng et al., 2019; Zhai et al., 2019)"},"properties":{"noteIndex":0},"schema":"https://github.com/citation-style-language/schema/raw/master/csl-citation.json"}</w:instrText>
      </w:r>
      <w:r w:rsidRPr="0046434D">
        <w:fldChar w:fldCharType="separate"/>
      </w:r>
      <w:r w:rsidR="00C86B38" w:rsidRPr="0046434D">
        <w:rPr>
          <w:noProof/>
        </w:rPr>
        <w:t>(Bhowmik et al., 2019; Cai et al., 2019; Cui and Xie, 2021; Huang et al., 2019, 2016; Park et al., 2020; Pljakić et al., 2019; Soroori et al., 2019; Wang et al., 2019; Xie et al., 2019; Zeng et al., 2019; Zhai et al., 2019)</w:t>
      </w:r>
      <w:r w:rsidRPr="0046434D">
        <w:fldChar w:fldCharType="end"/>
      </w:r>
      <w:r w:rsidRPr="0046434D">
        <w:t>. At the microscopic level, for intersections, the factors identified include number of legs, number of exclusive left-turn and right-turn lanes, angle of intersection, presence of signs</w:t>
      </w:r>
      <w:r w:rsidR="00452C34" w:rsidRPr="0046434D">
        <w:t xml:space="preserve">, </w:t>
      </w:r>
      <w:r w:rsidRPr="0046434D">
        <w:t xml:space="preserve">bus stops, curvature and medians on approaches, major </w:t>
      </w:r>
      <w:r w:rsidR="00452C34" w:rsidRPr="0046434D">
        <w:t>and</w:t>
      </w:r>
      <w:r w:rsidRPr="0046434D">
        <w:t xml:space="preserve"> minor road AADT, and </w:t>
      </w:r>
      <w:r w:rsidR="00651BB1" w:rsidRPr="0046434D">
        <w:t>percentage of truck traffic</w:t>
      </w:r>
      <w:r w:rsidRPr="0046434D">
        <w:t xml:space="preserve"> </w:t>
      </w:r>
      <w:r w:rsidRPr="0046434D">
        <w:fldChar w:fldCharType="begin" w:fldLock="1"/>
      </w:r>
      <w:r w:rsidR="00B941CD" w:rsidRPr="0046434D">
        <w:instrText>ADDIN CSL_CITATION {"citationItems":[{"id":"ITEM-1","itemData":{"DOI":"https://doi.org/10.1016/j.aap.2020.105456","ISSN":"0001-4575","abstract":"This paper describes a study that applies the Poisson-Tweedie distribution in developing crash frequency models. The Poisson-Tweedie distribution offers a unified framework to model overdispersed, underdispersed, zero-inflated, spatial, and longitudinal count data, as well as multiple response variables of similar or mixed types. The form of its variance function is simple, and can be specified as the mean added to the product of dispersion and mean raised to the power P. The flexibility of the Poisson-Tweedie distribution lies in the domain of P, which includes positive real number values. Special cases of the Poisson-Tweedie distribution models include the linear form of the negative binomial (NB1) model with P equal to 1.0, the geometric Poisson (GeoP) model with P equal to 1.5, the quadratic form of the negative binomial (NB2) model with P equal to 2.0, and the Poisson Inverse Gaussian (PIG) model with P equal to 3.0. A series of models were developed in this study using the Poisson-Tweedie distribution without any restrictions on the value of the power parameter as well as with specific values of the power parameter representing NB1, GeoP, NB2, and PIG models. The effects of fixed and varying dispersion parameters (i.e., dispersion as a function of covariates) on the variance and expected crash frequency estimates were also examined. Three years (2012–2014) of crash data from urban three-leg stop-controlled intersections and urban four-leg signalized intersections in the state of Florida were used to develop the models. The Poisson-Tweedie models or the GeoP models were found to perform better when the dispersion parameter was constant or fixed. With the varying dispersion parameter, the NB2 and PIG models were found to perform better, with both performing equally well. Also, the fixed dispersion parameter values were found to be smaller in the models with a higher value of the power parameter. The variation across the models in their estimates of weight factor, expected crash frequency, and potential for safety improvement of hazardous sites based on the empirical Bayes method was also discussed.","author":[{"dropping-particle":"","family":"Saha","given":"Dibakar","non-dropping-particle":"","parse-names":false,"suffix":""},{"dropping-particle":"","family":"Alluri","given":"Priyanka","non-dropping-particle":"","parse-names":false,"suffix":""},{"dropping-particle":"","family":"Dumbaugh","given":"Eric","non-dropping-particle":"","parse-names":false,"suffix":""},{"dropping-particle":"","family":"Gan","given":"Albert","non-dropping-particle":"","parse-names":false,"suffix":""}],"container-title":"Accident Analysis &amp; Prevention","id":"ITEM-1","issued":{"date-parts":[["2020"]]},"page":"105456","title":"Application of the Poisson-Tweedie distribution in analyzing crash frequency data","type":"article-journal","volume":"137"},"uris":["http://www.mendeley.com/documents/?uuid=662a8589-ebaf-47c7-901a-bb9b651b7e31"]},{"id":"ITEM-2","itemData":{"DOI":"https://doi.org/10.1016/j.ijtst.2020.03.010","ISSN":"2046-0430","abstract":"One of the major challenges with vehicle crash frequency studies is how to deal with the unobserved heterogeneity in crash data. While statistical models of crash frequency analysis based on single probability distributions are constantly improving, several researchers discovered that multiple distribution models may better describe crash frequency data and capture more unobserved heterogeneity. Based on the hypothesis that total crash counts occurring at an intersection are affected by unique sets of factors, this research proposes a two-step approach to studying the contributing factors to crashes at intersections in the Mississippi coastal area. In this study, the data of single crash accidents are first clustered into subgroups using a hierarchical clustering method, and then a Random Effects Negative Binomial model is applied to each subgroup with crash counts at an intersection as observations. A model with no data clustering is also estimated to serve as the comparison benchmark. The analysis results show that this two-step approach can reveal more information about crash contributing factors and improve the predictive power and goodness of fit.","author":[{"dropping-particle":"","family":"Gong","given":"Haitao","non-dropping-particle":"","parse-names":false,"suffix":""},{"dropping-particle":"","family":"Wang","given":"Feng","non-dropping-particle":"","parse-names":false,"suffix":""},{"dropping-particle":"","family":"Zhou","given":"Bin (Brenda)","non-dropping-particle":"","parse-names":false,"suffix":""},{"dropping-particle":"","family":"Dent","given":"Shontria","non-dropping-particle":"","parse-names":false,"suffix":""}],"container-title":"International Journal of Transportation Science and Technology","id":"ITEM-2","issue":"3","issued":{"date-parts":[["2020"]]},"page":"183-194","title":"Application of random effects negative binomial model with clustered dataset for vehicle crash frequency analysis","type":"article-journal","volume":"9"},"uris":["http://www.mendeley.com/documents/?uuid=12573690-f62a-4547-acdc-4acecd826e2e"]},{"id":"ITEM-3","itemData":{"DOI":"https://doi.org/10.1016/j.aap.2020.105589","ISSN":"0001-4575","abstract":"Numerous studies have developed intersection crash prediction models to identify crash hotspots and evaluate safety countermeasures. These studies largely considered only micro-level crash contributing factors such as traffic volume, traffic signals, etc. Some recent studies, however, have attempted to include macro-level crash contributing factors, such as population per zone, to predict the number of crashes at intersections. As many intersections are located between multiple zones and thus affected by factors from the multiple zones, the inclusion of macro-level factors requires boundary problems to be resolved. In this study, we introduce an advanced multilevel model, the multiple membership multilevel model (MMMM), for intersection crash analysis. Our objective was to reduce heterogeneity issues between zones in crash prediction model while avoiding misspecification of the model structure. We used five years of intersection crash data (2009–2013) for the City of Regina, Saskatchewan, Canada and identified micro- and macro-level factors that most affected intersection crashes. We compared the fitting performance of the MMMM with that of two existing models, a traditional single model (SM) and a conventional multilevel model (CMM). The MMMM outperformed the SM and CMM in terms of fitting capability. We found that the MMMM avoided both the underestimation of macro-level variance and the type I statistical error that tend to occur when the crash data are analyzed using a SM or CMM. Statistically significant micro-level and macro-level crash contributing factors in Regina included major roadway AADT, four legs, traffic signals, speed, young drivers, and different types of land use.","author":[{"dropping-particle":"","family":"Park","given":"Ho-Chul","non-dropping-particle":"","parse-names":false,"suffix":""},{"dropping-particle":"","family":"Yang","given":"Seungho","non-dropping-particle":"","parse-names":false,"suffix":""},{"dropping-particle":"","family":"Park","given":"Peter Y","non-dropping-particle":"","parse-names":false,"suffix":""},{"dropping-particle":"","family":"Kim","given":"Dong-Kyu","non-dropping-particle":"","parse-names":false,"suffix":""}],"container-title":"Accident Analysis &amp; Prevention","id":"ITEM-3","issued":{"date-parts":[["2020"]]},"page":"105589","title":"Multiple membership multilevel model to estimate intersection crashes","type":"article-journal","volume":"144"},"uris":["http://www.mendeley.com/documents/?uuid=b406f401-08d3-46c8-9209-626acfc0ceaf"]},{"id":"ITEM-4","itemData":{"DOI":"10.1080/19439962.2019.1611681","abstract":"In the current literature, data is aggregated for the estimation of functions to explain or predict crash patterns using either clustering analysis, regression analysis, or stage-wise models. Typically, analysis sites are grouped into site subtypes based on predefined characteristics. The assumption is that sites within each subtype experience similar crash patterns as a function of prespecified explanatory characteristics. To develop functions to estimate crashes, all data points are clustered only as a function of associated site characteristics. As a consequence, estimated parameters may be based on different crash patterns that represents various trends that could be better captured by using multiple functions. To address this limitation, this study proposes a mathematical program utilizing clusterwise regression to assign sites to clusters and simultaneously seek sets of parameter values for the corresponding estimation functions, so as to maximize the probability of observing the available data. A simulated annealing, coupled with maximum likelihood estimation, was used to solve the mathematical program. Results were analyzed for two site subtypes with fatal and all injury crashes: (1) roadway segments for urban multilane divided segments, and; (2) urban four-leg signalized intersections. Clusterwise regression improved the predicted number of crashes with multiple estimation functions within the same site subtype.","author":[{"dropping-particle":"","family":"Veeramisti","given":"Naveen","non-dropping-particle":"","parse-names":false,"suffix":""},{"dropping-particle":"","family":"Paz","given":"Alexander","non-dropping-particle":"","parse-names":false,"suffix":""},{"dropping-particle":"","family":"Khadka","given":"Mukesh","non-dropping-particle":"","parse-names":false,"suffix":""},{"dropping-particle":"","family":"Arteaga","given":"Cristian","non-dropping-particle":"","parse-names":false,"suffix":""}],"container-title":"Journal of Transportation Safety and Security","id":"ITEM-4","issue":"3","issued":{"date-parts":[["2021"]]},"page":"247-277","publisher":"Taylor and Francis Ltd.","title":"A clusterwise regression approach for the estimation of crash frequencies","type":"article-journal","volume":"13"},"uris":["http://www.mendeley.com/documents/?uuid=dc6fb334-625b-47b1-9e71-a730403b4677"]},{"id":"ITEM-5","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Science","id":"ITEM-5","issue":"2","issued":{"date-parts":[["2019","11","29"]]},"note":"doi: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interaction","type":"article-journal","volume":"15"},"uris":["http://www.mendeley.com/documents/?uuid=b21ff7f8-fd41-4c63-a83e-a4f52d8aae4d"]},{"id":"ITEM-6","itemData":{"DOI":"https://doi.org/10.1016/j.jtrangeo.2016.06.012","ISSN":"0966-6923","abstract":"Zonal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author":[{"dropping-particle":"","family":"Huang","given":"Helai","non-dropping-particle":"","parse-names":false,"suffix":""},{"dropping-particle":"","family":"Song","given":"Bo","non-dropping-particle":"","parse-names":false,"suffix":""},{"dropping-particle":"","family":"Xu","given":"Pengpeng","non-dropping-particle":"","parse-names":false,"suffix":""},{"dropping-particle":"","family":"Zeng","given":"Qiang","non-dropping-particle":"","parse-names":false,"suffix":""},{"dropping-particle":"","family":"Lee","given":"Jaeyoung","non-dropping-particle":"","parse-names":false,"suffix":""},{"dropping-particle":"","family":"Abdel-Aty","given":"Mohamed","non-dropping-particle":"","parse-names":false,"suffix":""}],"container-title":"Journal of Transport Geography","id":"ITEM-6","issued":{"date-parts":[["2016"]]},"page":"248-256","title":"Macro and micro models for zonal crash prediction with application in hot zones identification","type":"article-journal","volume":"54"},"uris":["http://www.mendeley.com/documents/?uuid=b68500ad-a0ff-4d33-bff5-ef368885e093"]},{"id":"ITEM-7","itemData":{"DOI":"https://doi.org/10.1016/j.amar.2017.08.002","ISSN":"2213-6657","abstract":"Previous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Research","id":"ITEM-7","issued":{"date-parts":[["2017"]]},"page":"48-59","title":"Crash modeling for intersections and segments along corridors: A Bayesian multilevel joint model with random parameters","type":"article-journal","volume":"16"},"uris":["http://www.mendeley.com/documents/?uuid=b73af14e-2b54-4998-bf58-1dba6a015cb5"]},{"id":"ITEM-8","itemData":{"DOI":"https://doi.org/10.1016/j.aap.2018.07.026","ISSN":"0001-4575","abstract":"The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Prevention","id":"ITEM-8","issued":{"date-parts":[["2018"]]},"page":"263-273","title":"A Bayesian multivariate hierarchical spatial joint model for predicting crash counts by crash type at intersections and segments along corridors","type":"article-journal","volume":"119"},"uris":["http://www.mendeley.com/documents/?uuid=a236c13c-dcd9-47ca-9493-dc5ce004b810"]},{"id":"ITEM-9","itemData":{"DOI":"https://doi.org/10.1016/j.aap.2014.04.018","ISSN":"0001-4575","abstract":"Crash data are collected through police reports and integrated with road inventory data for further analysis. Integrated police reports and inventory data yield correlated multivariate data for roadway entities (e.g., segments or intersections). Analysis of such data reveals important relationships that can help focus on high-risk situations and coming up with safety countermeasures. To understand relationships between crash frequencies and associated variables, while taking full advantage of the available data, multivariate random-parameters models are appropriate since they can simultaneously consider the correlation among the specific crash types and account for unobserved heterogeneity. However, a key issue that arises with correlated multivariate data is the number of crash-free samples increases, as crash counts have many categories. In this paper, we describe a multivariate random-parameters zero-inflated negative binomial (MRZINB) regression model for jointly modeling crash counts. The full Bayesian method is employed to estimate the model parameters. Crash frequencies at urban signalized intersections in Tennessee are analyzed. The paper investigates the performance of MZINB and MRZINB regression models in establishing the relationship between crash frequencies, pavement conditions, traffic factors, and geometric design features of roadway intersections. Compared to the MZINB model, the MRZINB model identifies additional statistically significant factors and provides better goodness of fit in developing the relationships. The empirical results show that MRZINB model possesses most of the desirable statistical properties in terms of its ability to accommodate unobserved heterogeneity and excess zero counts in correlated data. Notably, in the random-parameters MZINB model, the estimated parameters vary significantly across intersections for different crash types.","author":[{"dropping-particle":"","family":"Dong","given":"Chunjiao","non-dropping-particle":"","parse-names":false,"suffix":""},{"dropping-particle":"","family":"Clarke","given":"David B","non-dropping-particle":"","parse-names":false,"suffix":""},{"dropping-particle":"","family":"Yan","given":"Xuedong","non-dropping-particle":"","parse-names":false,"suffix":""},{"dropping-particle":"","family":"Khattak","given":"Asad","non-dropping-particle":"","parse-names":false,"suffix":""},{"dropping-particle":"","family":"Huang","given":"Baoshan","non-dropping-particle":"","parse-names":false,"suffix":""}],"container-title":"Accident Analysis &amp; Prevention","id":"ITEM-9","issued":{"date-parts":[["2014"]]},"page":"320-329","title":"Multivariate random-parameters zero-inflated negative binomial regression model: An application to estimate crash frequencies at intersections","type":"article-journal","volume":"70"},"uris":["http://www.mendeley.com/documents/?uuid=ae409fab-5fde-4233-add0-f6344fa579da"]}],"mendeley":{"formattedCitation":"(Alarifi et al., 2018, 2017; Cai et al., 2019; Dong et al., 2014; Gong et al., 2020; Huang et al., 2016; Park et al., 2020; Saha et al., 2020; Veeramisti et al., 2021)","plainTextFormattedCitation":"(Alarifi et al., 2018, 2017; Cai et al., 2019; Dong et al., 2014; Gong et al., 2020; Huang et al., 2016; Park et al., 2020; Saha et al., 2020; Veeramisti et al., 2021)","previouslyFormattedCitation":"(Alarifi et al., 2018, 2017; Cai et al., 2019; Dong et al., 2014; Gong et al., 2020; Huang et al., 2016; Park et al., 2020; Saha et al., 2020; Veeramisti et al., 2021)"},"properties":{"noteIndex":0},"schema":"https://github.com/citation-style-language/schema/raw/master/csl-citation.json"}</w:instrText>
      </w:r>
      <w:r w:rsidRPr="0046434D">
        <w:fldChar w:fldCharType="separate"/>
      </w:r>
      <w:r w:rsidR="00B941CD" w:rsidRPr="0046434D">
        <w:rPr>
          <w:noProof/>
        </w:rPr>
        <w:t>(Alarifi et al., 2018, 2017; Cai et al., 2019; Dong et al., 2014; Gong et al., 2020; Huang et al., 2016; Park et al., 2020; Saha et al., 2020; Veeramisti et al., 2021)</w:t>
      </w:r>
      <w:r w:rsidRPr="0046434D">
        <w:fldChar w:fldCharType="end"/>
      </w:r>
      <w:r w:rsidRPr="0046434D">
        <w:t>. For segment crash frequency models, factors identified include segment length, posted speed limit, median width, access control, number of lanes, curvature, gradient</w:t>
      </w:r>
      <w:r w:rsidR="00452C34" w:rsidRPr="0046434D">
        <w:t xml:space="preserve">, </w:t>
      </w:r>
      <w:r w:rsidRPr="0046434D">
        <w:t xml:space="preserve">AADT, and </w:t>
      </w:r>
      <w:r w:rsidR="00651BB1" w:rsidRPr="0046434D">
        <w:t>percentage of truck traffic</w:t>
      </w:r>
      <w:r w:rsidRPr="0046434D">
        <w:t xml:space="preserve"> </w:t>
      </w:r>
      <w:r w:rsidRPr="0046434D">
        <w:fldChar w:fldCharType="begin" w:fldLock="1"/>
      </w:r>
      <w:r w:rsidR="00623AEF" w:rsidRPr="0046434D">
        <w:instrText>ADDIN CSL_CITATION {"citationItems":[{"id":"ITEM-1","itemData":{"DOI":"https://doi.org/10.1016/j.aap.2021.106146","ISSN":"0001-4575","abstract":"Safety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Prevention","id":"ITEM-1","issued":{"date-parts":[["2021"]]},"page":"106146","title":"Understanding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models","type":"article-journal","volume":"157"},"uris":["http://www.mendeley.com/documents/?uuid=695579bd-dcab-4336-8b91-e4e835539d73"]},{"id":"ITEM-2","itemData":{"DOI":"DOI: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Hindawi","id":"ITEM-2","issued":{"date-parts":[["2020"]]},"page":"1-13","title":"Random-Parameter Multivariate Negative Binomial Regression for Modeling Impacts of Contributing Factors on the Crash Frequency by Crash Types","type":"article-journal"},"uris":["http://www.mendeley.com/documents/?uuid=cdbf3a30-fdf6-4917-b233-0595b70ecb59"]},{"id":"ITEM-3","itemData":{"DOI":"https://doi.org/10.1016/j.aap.2020.105433","ISSN":"0001-4575","abstract":"Urban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author":[{"dropping-particle":"","family":"Alhomaidat","given":"Fadi","non-dropping-particle":"","parse-names":false,"suffix":""},{"dropping-particle":"","family":"Kwigizile","given":"Valerian","non-dropping-particle":"","parse-names":false,"suffix":""},{"dropping-particle":"","family":"Oh","given":"Jun-Seok","non-dropping-particle":"","parse-names":false,"suffix":""},{"dropping-particle":"Van","family":"Houten","given":"Ron","non-dropping-particle":"","parse-names":false,"suffix":""}],"container-title":"Accident Analysis &amp; Prevention","id":"ITEM-3","issued":{"date-parts":[["2020"]]},"page":"105433","title":"How does an increased freeway speed limit influence the frequency of crashes on adjacent roads?","type":"article-journal","volume":"136"},"uris":["http://www.mendeley.com/documents/?uuid=4ba7c30d-65b0-4a33-82ad-2d22a43901d0"]},{"id":"ITEM-4","itemData":{"DOI":"10.1016/j.aap.2019.07.025","ISSN":"1879-2057 (Electronic)","PMID":"31415995","abstract":"This study attempts to examine the main and interaction effects of roadway and  weather conditions on crash incidence, using the comprehensive crash, traffic and weather data from the Kaiyang Freeway in China in 2014. The dependent variable is monthly crash count on a roadway segment (with homogeneous horizontal and vertical profiles). A Bayesian spatio-temporal model is proposed to measure the association between crash frequency and possible risk factors including traffic composition, presence of curve and slope, weather conditions, and their interactions. The proposed model can also accommodate the unstructured random effect, and spatio-temporal correlation and interactions. Results of parameter estimation indicate that the interactions between wind speed and slope, between precipitation and curve, and between visibility and slope are significantly correlated to the increase in the freeway crash risk, while the interaction between precipitation and slope is significantly correlated to the reduction in the freeway crash risk, respectively. These findings are indicative of the design and implementation of real-time traffic management and control measures, e.g. variable message sign, that could mitigate the crash risk under the adverse weather conditions.","author":[{"dropping-particle":"","family":"Wen","given":"Huiying","non-dropping-particle":"","parse-names":false,"suffix":""},{"dropping-particle":"","family":"Zhang","given":"Xuan","non-dropping-particle":"","parse-names":false,"suffix":""},{"dropping-particle":"","family":"Zeng","given":"Qiang","non-dropping-particle":"","parse-names":false,"suffix":""},{"dropping-particle":"","family":"Sze","given":"N N","non-dropping-particle":"","parse-names":false,"suffix":""}],"container-title":"Accident; analysis and prevention","id":"ITEM-4","issued":{"date-parts":[["2019","11"]]},"language":"eng","page":"105249","publisher-place":"England","title":"Bayesian spatial-temporal model for the main and interaction effects of roadway and  weather characteristics on freeway crash incidence.","type":"article-journal","volume":"132"},"uris":["http://www.mendeley.com/documents/?uuid=cb0011f8-17e5-42b6-ae55-1c8a21aaaaaa"]},{"id":"ITEM-5","itemData":{"DOI":"10.1080/19439962.2019.1611681","abstract":"In the current literature, data is aggregated for the estimation of functions to explain or predict crash patterns using either clustering analysis, regression analysis, or stage-wise models. Typically, analysis sites are grouped into site subtypes based on predefined characteristics. The assumption is that sites within each subtype experience similar crash patterns as a function of prespecified explanatory characteristics. To develop functions to estimate crashes, all data points are clustered only as a function of associated site characteristics. As a consequence, estimated parameters may be based on different crash patterns that represents various trends that could be better captured by using multiple functions. To address this limitation, this study proposes a mathematical program utilizing clusterwise regression to assign sites to clusters and simultaneously seek sets of parameter values for the corresponding estimation functions, so as to maximize the probability of observing the available data. A simulated annealing, coupled with maximum likelihood estimation, was used to solve the mathematical program. Results were analyzed for two site subtypes with fatal and all injury crashes: (1) roadway segments for urban multilane divided segments, and; (2) urban four-leg signalized intersections. Clusterwise regression improved the predicted number of crashes with multiple estimation functions within the same site subtype.","author":[{"dropping-particle":"","family":"Veeramisti","given":"Naveen","non-dropping-particle":"","parse-names":false,"suffix":""},{"dropping-particle":"","family":"Paz","given":"Alexander","non-dropping-particle":"","parse-names":false,"suffix":""},{"dropping-particle":"","family":"Khadka","given":"Mukesh","non-dropping-particle":"","parse-names":false,"suffix":""},{"dropping-particle":"","family":"Arteaga","given":"Cristian","non-dropping-particle":"","parse-names":false,"suffix":""}],"container-title":"Journal of Transportation Safety and Security","id":"ITEM-5","issue":"3","issued":{"date-parts":[["2021"]]},"page":"247-277","publisher":"Taylor and Francis Ltd.","title":"A clusterwise regression approach for the estimation of crash frequencies","type":"article-journal","volume":"13"},"uris":["http://www.mendeley.com/documents/?uuid=dc6fb334-625b-47b1-9e71-a730403b4677"]},{"id":"ITEM-6","itemData":{"DOI":"https://doi.org/10.1016/j.physa.2019.123754","ISSN":"0378-4371","abstract":"Underreporting and spatial correlations are two important issues in traffic safety analysis. To deal with them simultaneously, this study proposes a Bayesian underreporting conditional autoregressive (CAR) model for analyzing crash frequency. In the formulation of the proposed model, a latent reporting process is incorporated into the crash counting process, and residual terms with CAR priors are added into the two processes to account for their respective spatial correlations. The seasonal crash data collected from Kaiyang Freeway, China in 2014 are used to verify the performance of the proposed model. It is estimated and compared with a traditional CAR model via Bayesian methods. The superiority of the underreporting model is indicated by its better model fit, more reasonable estimation results, and statistical significance of the spatial terms in the counting and reporting processes. Estimation results show that more crashes are expected to occur on longer freeway segments with larger traffic volume, smaller proportion of large truck/bus, greater horizontal curvature, and higher vertical grade. It is also shown that light traffic, traffic with more medium truck/bus or less large truck/bus, smaller horizontal curvature, bridge, and segments without ramps tend to increase the likelihood of crash reporting. These results are generally consistent with the findings in existing literature and engineering experience, which further support the proposed model as a good alternative for crash frequency analyzing.","author":[{"dropping-particle":"","family":"Zeng","given":"Qiang","non-dropping-particle":"","parse-names":false,"suffix":""},{"dropping-particle":"","family":"Wen","given":"Huiying","non-dropping-particle":"","parse-names":false,"suffix":""},{"dropping-particle":"","family":"Huang","given":"Helai","non-dropping-particle":"","parse-names":false,"suffix":""},{"dropping-particle":"","family":"Wang","given":"Jie","non-dropping-particle":"","parse-names":false,"suffix":""},{"dropping-particle":"","family":"Lee","given":"Jinwoo","non-dropping-particle":"","parse-names":false,"suffix":""}],"container-title":"Physica A: Statistical Mechanics and its Applications","id":"ITEM-6","issued":{"date-parts":[["2020"]]},"page":"123754","title":"Analysis of crash frequency using a Bayesian underreporting count model with spatial correlation","type":"article-journal","volume":"545"},"uris":["http://www.mendeley.com/documents/?uuid=9d37f56f-975e-4f25-a61c-34f2158ca56c"]},{"id":"ITEM-7","itemData":{"DOI":"10.1080/19439962.2020.1726542","ISSN":"1943-9962","author":[{"dropping-particle":"","family":"Satria","given":"Romi","non-dropping-particle":"","parse-names":false,"suffix":""},{"dropping-particle":"","family":"Aguero-Valverde","given":"Jonathan","non-dropping-particle":"","parse-names":false,"suffix":""},{"dropping-particle":"","family":"Castro","given":"Maria","non-dropping-particle":"","parse-names":false,"suffix":""}],"container-title":"Journal of Transportation Safety &amp; Security","id":"ITEM-7","issued":{"date-parts":[["2020","3","23"]]},"note":"doi: 10.1080/19439962.2020.1726542","page":"1-23","publisher":"Taylor &amp; Francis","title":"Spatial analysis of road crash frequency using Bayesian models with Integrated Nested Laplace Approximation (INLA)","type":"article-journal"},"uris":["http://www.mendeley.com/documents/?uuid=f9ec4e08-69ec-413d-8597-df3dabeb5aa4"]},{"id":"ITEM-8","itemData":{"DOI":"https://doi.org/10.1016/j.amar.2019.100092","ISSN":"2213-6657","abstract":"Crash frequency prediction models have been an important subject of safety research that unveils a relationship between crash occurrences and their influencing factors. Recently, the hourly-based refined-scale crash frequency analysis becomes attractive since it holds the benefits of introducing time-varying explanatory information (e.g. traffic volume and operating speed). However, crash frequency data with short time intervals possess the analytical issues of excessive zeros and unobserved heterogeneity. In this study, a marginalized random effects hurdle negative binomial (MREHNB) model was, for the first time, developed in which the hurdle modelling structure handles the excessive zeros issue and site-specific random effect terms capture the factors associated with unobserved heterogeneity. Moreover, the marginalized inference approach was introduced here to obtain the marginal mean inference for the overall population rather than subject-specific estimations. Empirical analyses were conducted based on data from the Shanghai urban expressway system, and the MREHNB model was compared with the HNB (hurdle negative binomial) and the REHNB (random effects hurdle negative binomial) model. In terms of model goodness-of-fits, REHNB and MREHNB model showed substantial improvement compared to the HNB model while there was no distinct difference between the REHNB and MREHNB models. However, as for the estimated parameters, the MREHNB model provided better inference precisions. Furthermore, the MREHNB model provided interesting findings for the crash contributing factors, for example, higher ratios of local vehicles within the traffic volume would enhance the probability of crash occurrence; and a non-linear relationship was concluded between traffic volume and crash frequency with the moderate level of volume held the highest crash occurrence probability. Finally, in-depth analyses about the modeling results and the model technique were discussed. The results will assist in designing more efficient control strategies for near real-time traffic management.","author":[{"dropping-particle":"","family":"Yu","given":"Rongjie","non-dropping-particle":"","parse-names":false,"suffix":""},{"dropping-particle":"","family":"Wang","given":"Yiyun","non-dropping-particle":"","parse-names":false,"suffix":""},{"dropping-particle":"","family":"Quddus","given":"Mohammed","non-dropping-particle":"","parse-names":false,"suffix":""},{"dropping-particle":"","family":"Li","given":"Jian","non-dropping-particle":"","parse-names":false,"suffix":""}],"container-title":"Analytic Methods in Accident Research","id":"ITEM-8","issued":{"date-parts":[["2019"]]},"page":"100092","title":"A marginalized random effects hurdle negative binomial model for analyzing refined-scale crash frequency data","type":"article-journal","volume":"22"},"uris":["http://www.mendeley.com/documents/?uuid=5559b9f1-0e6f-40b7-8a40-77b8c955ec55"]},{"id":"ITEM-9","itemData":{"DOI":"https://doi.org/10.1016/j.jtrangeo.2016.06.012","ISSN":"0966-6923","abstract":"Zonal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author":[{"dropping-particle":"","family":"Huang","given":"Helai","non-dropping-particle":"","parse-names":false,"suffix":""},{"dropping-particle":"","family":"Song","given":"Bo","non-dropping-particle":"","parse-names":false,"suffix":""},{"dropping-particle":"","family":"Xu","given":"Pengpeng","non-dropping-particle":"","parse-names":false,"suffix":""},{"dropping-particle":"","family":"Zeng","given":"Qiang","non-dropping-particle":"","parse-names":false,"suffix":""},{"dropping-particle":"","family":"Lee","given":"Jaeyoung","non-dropping-particle":"","parse-names":false,"suffix":""},{"dropping-particle":"","family":"Abdel-Aty","given":"Mohamed","non-dropping-particle":"","parse-names":false,"suffix":""}],"container-title":"Journal of Transport Geography","id":"ITEM-9","issued":{"date-parts":[["2016"]]},"page":"248-256","title":"Macro and micro models for zonal crash prediction with application in hot zones identification","type":"article-journal","volume":"54"},"uris":["http://www.mendeley.com/documents/?uuid=b68500ad-a0ff-4d33-bff5-ef368885e093"]},{"id":"ITEM-10","itemData":{"DOI":"https://doi.org/10.1016/j.amar.2017.08.002","ISSN":"2213-6657","abstract":"Previous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Research","id":"ITEM-10","issued":{"date-parts":[["2017"]]},"page":"48-59","title":"Crash modeling for intersections and segments along corridors: A Bayesian multilevel joint model with random parameters","type":"article-journal","volume":"16"},"uris":["http://www.mendeley.com/documents/?uuid=b73af14e-2b54-4998-bf58-1dba6a015cb5"]},{"id":"ITEM-11","itemData":{"DOI":"https://doi.org/10.1016/j.aap.2018.07.026","ISSN":"0001-4575","abstract":"The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Prevention","id":"ITEM-11","issued":{"date-parts":[["2018"]]},"page":"263-273","title":"A Bayesian multivariate hierarchical spatial joint model for predicting crash counts by crash type at intersections and segments along corridors","type":"article-journal","volume":"119"},"uris":["http://www.mendeley.com/documents/?uuid=a236c13c-dcd9-47ca-9493-dc5ce004b810"]}],"mendeley":{"formattedCitation":"(Alarifi et al., 2018, 2017; Alhomaidat et al., 2020; Huang et al., 2016; Mohammadnazar et al., 2021; Satria et al., 2020; Veeramisti et al., 2021; Wang et al., 2020; Wen et al., 2019; Yu et al., 2019; Zeng et al., 2020)","plainTextFormattedCitation":"(Alarifi et al., 2018, 2017; Alhomaidat et al., 2020; Huang et al., 2016; Mohammadnazar et al., 2021; Satria et al., 2020; Veeramisti et al., 2021; Wang et al., 2020; Wen et al., 2019; Yu et al., 2019; Zeng et al., 2020)","previouslyFormattedCitation":"(Alarifi et al., 2018, 2017; Alhomaidat et al., 2020; Huang et al., 2016; Mohammadnazar et al., 2021; Satria et al., 2020; Veeramisti et al., 2021; Wang et al., 2020; Wen et al., 2019; Yu et al., 2019; Zeng et al., 2020)"},"properties":{"noteIndex":0},"schema":"https://github.com/citation-style-language/schema/raw/master/csl-citation.json"}</w:instrText>
      </w:r>
      <w:r w:rsidRPr="0046434D">
        <w:fldChar w:fldCharType="separate"/>
      </w:r>
      <w:r w:rsidR="00C86B38" w:rsidRPr="0046434D">
        <w:rPr>
          <w:noProof/>
        </w:rPr>
        <w:t>(Alarifi et al., 2018, 2017; Alhomaidat et al., 2020; Huang et al., 2016; Mohammadnazar et al., 2021; Satria et al., 2020; Veeramisti et al., 2021; Wang et al., 2020; Wen et al., 2019; Yu et al., 2019; Zeng et al., 2020)</w:t>
      </w:r>
      <w:r w:rsidRPr="0046434D">
        <w:fldChar w:fldCharType="end"/>
      </w:r>
      <w:r w:rsidRPr="0046434D">
        <w:t xml:space="preserve">.   </w:t>
      </w:r>
    </w:p>
    <w:p w14:paraId="7F8BE318" w14:textId="77777777" w:rsidR="004E5047" w:rsidRPr="0046434D" w:rsidRDefault="004E5047" w:rsidP="004E5047">
      <w:pPr>
        <w:rPr>
          <w:rFonts w:cs="Times New Roman"/>
          <w:szCs w:val="24"/>
        </w:rPr>
      </w:pPr>
    </w:p>
    <w:p w14:paraId="34940A27" w14:textId="4C1091A6" w:rsidR="004E5047" w:rsidRPr="0046434D" w:rsidRDefault="004E5047" w:rsidP="005E0487">
      <w:pPr>
        <w:pStyle w:val="Heading2"/>
        <w:rPr>
          <w:color w:val="auto"/>
        </w:rPr>
      </w:pPr>
      <w:r w:rsidRPr="0046434D">
        <w:rPr>
          <w:color w:val="auto"/>
        </w:rPr>
        <w:t xml:space="preserve">Integrated </w:t>
      </w:r>
      <w:r w:rsidR="00B66BEE" w:rsidRPr="0046434D">
        <w:rPr>
          <w:color w:val="auto"/>
        </w:rPr>
        <w:t>M</w:t>
      </w:r>
      <w:r w:rsidRPr="0046434D">
        <w:rPr>
          <w:color w:val="auto"/>
        </w:rPr>
        <w:t xml:space="preserve">icroscopic and </w:t>
      </w:r>
      <w:r w:rsidR="00B66BEE" w:rsidRPr="0046434D">
        <w:rPr>
          <w:color w:val="auto"/>
        </w:rPr>
        <w:t>M</w:t>
      </w:r>
      <w:r w:rsidRPr="0046434D">
        <w:rPr>
          <w:color w:val="auto"/>
        </w:rPr>
        <w:t xml:space="preserve">acroscopic </w:t>
      </w:r>
      <w:r w:rsidR="00B66BEE" w:rsidRPr="0046434D">
        <w:rPr>
          <w:color w:val="auto"/>
        </w:rPr>
        <w:t>M</w:t>
      </w:r>
      <w:r w:rsidRPr="0046434D">
        <w:rPr>
          <w:color w:val="auto"/>
        </w:rPr>
        <w:t>odels</w:t>
      </w:r>
    </w:p>
    <w:p w14:paraId="2E564C84" w14:textId="6A76BC5A" w:rsidR="004E5047" w:rsidRPr="0046434D" w:rsidRDefault="004E5047" w:rsidP="005D30B7">
      <w:r w:rsidRPr="0046434D">
        <w:t xml:space="preserve">The primary focus of our review is on studies that recognize the interconnectedness of macroscopic and microscopic crash models. </w:t>
      </w:r>
      <w:r w:rsidR="008F564B" w:rsidRPr="0046434D">
        <w:fldChar w:fldCharType="begin" w:fldLock="1"/>
      </w:r>
      <w:r w:rsidR="00BB5C26" w:rsidRPr="0046434D">
        <w:instrText>ADDIN CSL_CITATION {"citationItems":[{"id":"ITEM-1","itemData":{"DOI":"https://doi.org/10.1016/j.aap.2010.03.013","ISSN":"0001-4575","abstract":"Background Traditional crash prediction models, such as generalized linear regression model, are incapable of taking into account multilevel data structure. Therefore they suffer from a common underlying limitation that each observation (e.g. a crash or a vehicle involvement) in the estimation procedure corresponds to an individual situation in which the residuals exhibit independence. Problem However, this “independence” assumption may often not hold true since multilevel data structures exist extensively because of the traffic data collection and clustering process. Disregarding the possible within-group correlations may lead to production of models with unreliable parameter estimates and statistical inferences. Proposed theory In this paper, a 5×ST-level hierarchy is proposed to represent the general framework of multilevel data structures in traffic safety, i.e. [Geographic region level−Traffic site level−Traffic crash level−Driver-vehicle unit level−Occupant level]×Spatiotemporal level. The involvement and emphasis for different sub-groups of these levels depend on different research purposes and also rely on the heterogeneity examination on crash data employed. To properly accommodate the potential cross-group heterogeneity and spatiotemporal correlation due to the multilevel data structure, a Bayesian hierarchical approach that explicitly specifies multilevel structure and reliably yields parameter estimates is introduced and recommended. Case studies Using Bayesian hierarchical models, the results from several case studies are highlighted to show the improvements on model fitting and predictive performance over traditional models by appropriately accounting for the multilevel data structure.","author":[{"dropping-particle":"","family":"Huang","given":"Helai","non-dropping-particle":"","parse-names":false,"suffix":""},{"dropping-particle":"","family":"Abdel-Aty","given":"Mohamed","non-dropping-particle":"","parse-names":false,"suffix":""}],"container-title":"Accident Analysis &amp; Prevention","id":"ITEM-1","issue":"6","issued":{"date-parts":[["2010"]]},"page":"1556-1565","title":"Multilevel data and Bayesian analysis in traffic safety","type":"article-journal","volume":"42"},"uris":["http://www.mendeley.com/documents/?uuid=4a866196-0f89-4e8e-8f08-0ab1c776d424"]}],"mendeley":{"formattedCitation":"(Huang and Abdel-Aty, 2010)","manualFormatting":"Huang and Abdel-Aty (2010)","plainTextFormattedCitation":"(Huang and Abdel-Aty, 2010)","previouslyFormattedCitation":"(Huang and Abdel-Aty, 2010)"},"properties":{"noteIndex":0},"schema":"https://github.com/citation-style-language/schema/raw/master/csl-citation.json"}</w:instrText>
      </w:r>
      <w:r w:rsidR="008F564B" w:rsidRPr="0046434D">
        <w:fldChar w:fldCharType="separate"/>
      </w:r>
      <w:r w:rsidR="008F564B" w:rsidRPr="0046434D">
        <w:rPr>
          <w:noProof/>
        </w:rPr>
        <w:t>Huang and Abdel-Aty (2010)</w:t>
      </w:r>
      <w:r w:rsidR="008F564B" w:rsidRPr="0046434D">
        <w:fldChar w:fldCharType="end"/>
      </w:r>
      <w:r w:rsidRPr="0046434D">
        <w:t xml:space="preserve"> presented the potential hierarchical relationships involved in safety literature such as crash frequency for county – corridor – intersection combination. They suggest the consideration of county and corridor level observed and unobserved variables in modeling intersection crash frequency. </w:t>
      </w:r>
      <w:r w:rsidR="008F564B" w:rsidRPr="0046434D">
        <w:fldChar w:fldCharType="begin" w:fldLock="1"/>
      </w:r>
      <w:r w:rsidR="00BB5C26" w:rsidRPr="0046434D">
        <w:instrText>ADDIN CSL_CITATION {"citationItems":[{"id":"ITEM-1","itemData":{"DOI":"https://doi.org/10.1016/j.jtrangeo.2016.06.012","ISSN":"0966-6923","abstract":"Zonal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author":[{"dropping-particle":"","family":"Huang","given":"Helai","non-dropping-particle":"","parse-names":false,"suffix":""},{"dropping-particle":"","family":"Song","given":"Bo","non-dropping-particle":"","parse-names":false,"suffix":""},{"dropping-particle":"","family":"Xu","given":"Pengpeng","non-dropping-particle":"","parse-names":false,"suffix":""},{"dropping-particle":"","family":"Zeng","given":"Qiang","non-dropping-particle":"","parse-names":false,"suffix":""},{"dropping-particle":"","family":"Lee","given":"Jaeyoung","non-dropping-particle":"","parse-names":false,"suffix":""},{"dropping-particle":"","family":"Abdel-Aty","given":"Mohamed","non-dropping-particle":"","parse-names":false,"suffix":""}],"container-title":"Journal of Transport Geography","id":"ITEM-1","issued":{"date-parts":[["2016"]]},"page":"248-256","title":"Macro and micro models for zonal crash prediction with application in hot zones identification","type":"article-journal","volume":"54"},"uris":["http://www.mendeley.com/documents/?uuid=b68500ad-a0ff-4d33-bff5-ef368885e093"]}],"mendeley":{"formattedCitation":"(Huang et al., 2016)","manualFormatting":"Huang et al. (2016)","plainTextFormattedCitation":"(Huang et al., 2016)","previouslyFormattedCitation":"(Huang et al., 2016)"},"properties":{"noteIndex":0},"schema":"https://github.com/citation-style-language/schema/raw/master/csl-citation.json"}</w:instrText>
      </w:r>
      <w:r w:rsidR="008F564B" w:rsidRPr="0046434D">
        <w:fldChar w:fldCharType="separate"/>
      </w:r>
      <w:r w:rsidR="008F564B" w:rsidRPr="0046434D">
        <w:rPr>
          <w:noProof/>
        </w:rPr>
        <w:t>Huang et al. (2016)</w:t>
      </w:r>
      <w:r w:rsidR="008F564B" w:rsidRPr="0046434D">
        <w:fldChar w:fldCharType="end"/>
      </w:r>
      <w:r w:rsidRPr="0046434D">
        <w:t xml:space="preserve"> estimated separate models for microscopic and macroscopic levels. The microscopic model predictions were aggregated at the zonal level and were compared to the prediction from macroscopic model and observed counts. As expected, the microscopic model performed better given the larger amount of data that is incorporated in the micro model. </w:t>
      </w:r>
      <w:r w:rsidR="008F564B" w:rsidRPr="0046434D">
        <w:fldChar w:fldCharType="begin" w:fldLock="1"/>
      </w:r>
      <w:r w:rsidR="00BB5C26" w:rsidRPr="0046434D">
        <w:instrText>ADDIN CSL_CITATION {"citationItems":[{"id":"ITEM-1","itemData":{"DOI":"https://doi.org/10.1016/j.amar.2017.08.002","ISSN":"2213-6657","abstract":"Previous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Research","id":"ITEM-1","issued":{"date-parts":[["2017"]]},"page":"48-59","title":"Crash modeling for intersections and segments along corridors: A Bayesian multilevel joint model with random parameters","type":"article-journal","volume":"16"},"uris":["http://www.mendeley.com/documents/?uuid=b73af14e-2b54-4998-bf58-1dba6a015cb5"]}],"mendeley":{"formattedCitation":"(Alarifi et al., 2017)","manualFormatting":"Alarifi et al. (2017)","plainTextFormattedCitation":"(Alarifi et al., 2017)","previouslyFormattedCitation":"(Alarifi et al., 2017)"},"properties":{"noteIndex":0},"schema":"https://github.com/citation-style-language/schema/raw/master/csl-citation.json"}</w:instrText>
      </w:r>
      <w:r w:rsidR="008F564B" w:rsidRPr="0046434D">
        <w:fldChar w:fldCharType="separate"/>
      </w:r>
      <w:r w:rsidR="008F564B" w:rsidRPr="0046434D">
        <w:rPr>
          <w:noProof/>
        </w:rPr>
        <w:t>Alarifi et al. (2017)</w:t>
      </w:r>
      <w:r w:rsidR="008F564B" w:rsidRPr="0046434D">
        <w:fldChar w:fldCharType="end"/>
      </w:r>
      <w:r w:rsidRPr="0046434D">
        <w:t xml:space="preserve"> proposed a multilevel joint model that examines segment and intersection level crash frequency simultaneously by relating them based on a corridor level identifier. The authors employed corridor level observed and unobserved variables to accommodate for the potential correlation across the two facility types</w:t>
      </w:r>
      <w:r w:rsidR="008F564B" w:rsidRPr="0046434D">
        <w:t xml:space="preserve"> (</w:t>
      </w:r>
      <w:r w:rsidRPr="0046434D">
        <w:t xml:space="preserve">see </w:t>
      </w:r>
      <w:r w:rsidRPr="0046434D">
        <w:fldChar w:fldCharType="begin" w:fldLock="1"/>
      </w:r>
      <w:r w:rsidR="00BB5C26" w:rsidRPr="0046434D">
        <w:instrText>ADDIN CSL_CITATION {"citationItems":[{"id":"ITEM-1","itemData":{"DOI":"https://doi.org/10.1016/j.aap.2016.02.018","ISSN":"0001-4575","abstract":"Safety and efficiency are commonly regarded as two significant performance indicators of transportation systems. In practice, road network planning has focused on road capacity and transport efficiency whereas the safety level of a road network has received little attention in the planning stage. This study develops a Bayesian hierarchical joint model for road network safety evaluation to help planners take traffic safety into account when planning a road network. The proposed model establishes relationships between road network risk and micro-level variables related to road entities and traffic volume, as well as socioeconomic, trip generation and network density variables at macro level which are generally used for long term transportation plans. In addition, network spatial correlation between intersections and their connected road segments is also considered in the model. A road network is elaborately selected in order to compare the proposed hierarchical joint model with a previous joint model and a negative binomial model. According to the results of the model comparison, the hierarchical joint model outperforms the joint model and negative binomial model in terms of the goodness-of-fit and predictive performance, which indicates the reasonableness of considering the hierarchical data structure in crash prediction and analysis. Moreover, both random effects at the TAZ level and the spatial correlation between intersections and their adjacent segments are found to be significant, supporting the employment of the hierarchical joint model as an alternative in road-network-level safety modeling as well.","author":[{"dropping-particle":"","family":"Wang","given":"Jie","non-dropping-particle":"","parse-names":false,"suffix":""},{"dropping-particle":"","family":"Huang","given":"Helai","non-dropping-particle":"","parse-names":false,"suffix":""}],"container-title":"Accident Analysis &amp; Prevention","id":"ITEM-1","issued":{"date-parts":[["2016"]]},"page":"152-158","title":"Road network safety evaluation using Bayesian hierarchical joint model","type":"article-journal","volume":"90"},"uris":["http://www.mendeley.com/documents/?uuid=4e9b2b0f-c647-4826-971b-d9af3875051e"]}],"mendeley":{"formattedCitation":"(Wang and Huang, 2016)","manualFormatting":"Wang and Huang, 2016","plainTextFormattedCitation":"(Wang and Huang, 2016)","previouslyFormattedCitation":"(Wang and Huang, 2016)"},"properties":{"noteIndex":0},"schema":"https://github.com/citation-style-language/schema/raw/master/csl-citation.json"}</w:instrText>
      </w:r>
      <w:r w:rsidRPr="0046434D">
        <w:fldChar w:fldCharType="separate"/>
      </w:r>
      <w:r w:rsidR="00B941CD" w:rsidRPr="0046434D">
        <w:rPr>
          <w:noProof/>
        </w:rPr>
        <w:t>Wang and Huang</w:t>
      </w:r>
      <w:r w:rsidR="00B42395" w:rsidRPr="0046434D">
        <w:rPr>
          <w:noProof/>
        </w:rPr>
        <w:t>,</w:t>
      </w:r>
      <w:r w:rsidR="00B941CD" w:rsidRPr="0046434D">
        <w:rPr>
          <w:noProof/>
        </w:rPr>
        <w:t xml:space="preserve"> 2016</w:t>
      </w:r>
      <w:r w:rsidRPr="0046434D">
        <w:fldChar w:fldCharType="end"/>
      </w:r>
      <w:r w:rsidRPr="0046434D">
        <w:t xml:space="preserve"> for similar analysis at the zonal level</w:t>
      </w:r>
      <w:r w:rsidR="008F564B" w:rsidRPr="0046434D">
        <w:t>)</w:t>
      </w:r>
      <w:r w:rsidRPr="0046434D">
        <w:t xml:space="preserve">. The research was further extended in </w:t>
      </w:r>
      <w:r w:rsidR="008F564B" w:rsidRPr="0046434D">
        <w:fldChar w:fldCharType="begin" w:fldLock="1"/>
      </w:r>
      <w:r w:rsidR="00BB5C26" w:rsidRPr="0046434D">
        <w:instrText>ADDIN CSL_CITATION {"citationItems":[{"id":"ITEM-1","itemData":{"DOI":"https://doi.org/10.1016/j.aap.2018.07.026","ISSN":"0001-4575","abstract":"The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Prevention","id":"ITEM-1","issued":{"date-parts":[["2018"]]},"page":"263-273","title":"A Bayesian multivariate hierarchical spatial joint model for predicting crash counts by crash type at intersections and segments along corridors","type":"article-journal","volume":"119"},"uris":["http://www.mendeley.com/documents/?uuid=a236c13c-dcd9-47ca-9493-dc5ce004b810"]}],"mendeley":{"formattedCitation":"(Alarifi et al., 2018)","manualFormatting":"Alarifi et al. (2018)","plainTextFormattedCitation":"(Alarifi et al., 2018)","previouslyFormattedCitation":"(Alarifi et al., 2018)"},"properties":{"noteIndex":0},"schema":"https://github.com/citation-style-language/schema/raw/master/csl-citation.json"}</w:instrText>
      </w:r>
      <w:r w:rsidR="008F564B" w:rsidRPr="0046434D">
        <w:fldChar w:fldCharType="separate"/>
      </w:r>
      <w:r w:rsidR="008F564B" w:rsidRPr="0046434D">
        <w:rPr>
          <w:noProof/>
        </w:rPr>
        <w:t>Alarifi et al. (2018)</w:t>
      </w:r>
      <w:r w:rsidR="008F564B" w:rsidRPr="0046434D">
        <w:fldChar w:fldCharType="end"/>
      </w:r>
      <w:r w:rsidRPr="0046434D">
        <w:t xml:space="preserve"> by considering crash frequency by crash type. </w:t>
      </w:r>
      <w:r w:rsidR="008F564B" w:rsidRPr="0046434D">
        <w:fldChar w:fldCharType="begin" w:fldLock="1"/>
      </w:r>
      <w:r w:rsidR="00BB5C26" w:rsidRPr="0046434D">
        <w:instrText>ADDIN CSL_CITATION {"citationItems":[{"id":"ITEM-1","itemData":{"DOI":"https://doi.org/10.1016/j.aap.2016.10.018","ISSN":"0001-4575","abstract":"Objectives This paper aimed to (i) differentiate the effects of contributory factors on crash risks related to different transportation modes, i.e., motor vehicle, bicycle and pedestrian; (ii) explore the potential contribution of zone-level factors which are traditionally excluded or omitted, so as to track the source of heterogeneous effects of certain risk factors in crash-frequency models by different modes. Methods Two analytical methods, i.e. negative binomial models (NB) and random parameters negative binomial models (RPNB), were employed to relate crash frequencies of different transportation modes to a variety of risk factors at intersections. Five years of crash data, traffic volume, geometric design as well as macroscopic variables at traffic analysis zone (TAZ) level for 279 intersections were used for analysis as a case study. Results Among the findings are: (1) the sets of significant variables in crash-frequency analysis differed for different transportation modes; (2) omission of macroscopic variables would result in biased parameters estimation and incorrect inferences; (3) the zonal factors (macroscopic factors) considered played a more important role in elevating the model performance for non-motorized than motor-vehicle crashes; (4) a relatively smaller buffer width to extract macroscopic factors surrounding the intersection yielded better estimations.","author":[{"dropping-particle":"","family":"Wang","given":"Jie","non-dropping-particle":"","parse-names":false,"suffix":""},{"dropping-particle":"","family":"Huang","given":"Helai","non-dropping-particle":"","parse-names":false,"suffix":""},{"dropping-particle":"","family":"Zeng","given":"Qiang","non-dropping-particle":"","parse-names":false,"suffix":""}],"container-title":"Accident Analysis &amp; Prevention","id":"ITEM-1","issued":{"date-parts":[["2017"]]},"page":"223-231","title":"The effect of zonal factors in estimating crash risks by transportation modes: Motor vehicle, bicycle and pedestrian","type":"article-journal","volume":"98"},"uris":["http://www.mendeley.com/documents/?uuid=0bcd30b9-0351-42b5-a64a-3d08b2297353"]}],"mendeley":{"formattedCitation":"(Wang et al., 2017)","manualFormatting":"Wang et al. (2017)","plainTextFormattedCitation":"(Wang et al., 2017)","previouslyFormattedCitation":"(Wang et al., 2017)"},"properties":{"noteIndex":0},"schema":"https://github.com/citation-style-language/schema/raw/master/csl-citation.json"}</w:instrText>
      </w:r>
      <w:r w:rsidR="008F564B" w:rsidRPr="0046434D">
        <w:fldChar w:fldCharType="separate"/>
      </w:r>
      <w:r w:rsidR="008F564B" w:rsidRPr="0046434D">
        <w:rPr>
          <w:noProof/>
        </w:rPr>
        <w:t>Wang et al. (2017)</w:t>
      </w:r>
      <w:r w:rsidR="008F564B" w:rsidRPr="0046434D">
        <w:fldChar w:fldCharType="end"/>
      </w:r>
      <w:r w:rsidRPr="0046434D">
        <w:t xml:space="preserve"> developed crash </w:t>
      </w:r>
      <w:r w:rsidRPr="0046434D">
        <w:lastRenderedPageBreak/>
        <w:t xml:space="preserve">frequency models by transportation mode at the microscopic level by considering macroscopic variables and concluded their consideration improved model fit. </w:t>
      </w:r>
      <w:r w:rsidR="008F564B" w:rsidRPr="0046434D">
        <w:rPr>
          <w:rFonts w:eastAsia="CharisSIL"/>
        </w:rPr>
        <w:fldChar w:fldCharType="begin" w:fldLock="1"/>
      </w:r>
      <w:r w:rsidR="00BB5C26" w:rsidRPr="0046434D">
        <w:rPr>
          <w:rFonts w:eastAsia="CharisSIL"/>
        </w:rPr>
        <w:instrText>ADDIN CSL_CITATION {"citationItems":[{"id":"ITEM-1","itemData":{"DOI":"https://doi.org/10.1016/j.aap.2020.105589","ISSN":"0001-4575","abstract":"Numerous studies have developed intersection crash prediction models to identify crash hotspots and evaluate safety countermeasures. These studies largely considered only micro-level crash contributing factors such as traffic volume, traffic signals, etc. Some recent studies, however, have attempted to include macro-level crash contributing factors, such as population per zone, to predict the number of crashes at intersections. As many intersections are located between multiple zones and thus affected by factors from the multiple zones, the inclusion of macro-level factors requires boundary problems to be resolved. In this study, we introduce an advanced multilevel model, the multiple membership multilevel model (MMMM), for intersection crash analysis. Our objective was to reduce heterogeneity issues between zones in crash prediction model while avoiding misspecification of the model structure. We used five years of intersection crash data (2009–2013) for the City of Regina, Saskatchewan, Canada and identified micro- and macro-level factors that most affected intersection crashes. We compared the fitting performance of the MMMM with that of two existing models, a traditional single model (SM) and a conventional multilevel model (CMM). The MMMM outperformed the SM and CMM in terms of fitting capability. We found that the MMMM avoided both the underestimation of macro-level variance and the type I statistical error that tend to occur when the crash data are analyzed using a SM or CMM. Statistically significant micro-level and macro-level crash contributing factors in Regina included major roadway AADT, four legs, traffic signals, speed, young drivers, and different types of land use.","author":[{"dropping-particle":"","family":"Park","given":"Ho-Chul","non-dropping-particle":"","parse-names":false,"suffix":""},{"dropping-particle":"","family":"Yang","given":"Seungho","non-dropping-particle":"","parse-names":false,"suffix":""},{"dropping-particle":"","family":"Park","given":"Peter Y","non-dropping-particle":"","parse-names":false,"suffix":""},{"dropping-particle":"","family":"Kim","given":"Dong-Kyu","non-dropping-particle":"","parse-names":false,"suffix":""}],"container-title":"Accident Analysis &amp; Prevention","id":"ITEM-1","issued":{"date-parts":[["2020"]]},"page":"105589","title":"Multiple membership multilevel model to estimate intersection crashes","type":"article-journal","volume":"144"},"uris":["http://www.mendeley.com/documents/?uuid=b406f401-08d3-46c8-9209-626acfc0ceaf"]}],"mendeley":{"formattedCitation":"(Park et al., 2020)","manualFormatting":"Park et al. (2020)","plainTextFormattedCitation":"(Park et al., 2020)","previouslyFormattedCitation":"(Park et al., 2020)"},"properties":{"noteIndex":0},"schema":"https://github.com/citation-style-language/schema/raw/master/csl-citation.json"}</w:instrText>
      </w:r>
      <w:r w:rsidR="008F564B" w:rsidRPr="0046434D">
        <w:rPr>
          <w:rFonts w:eastAsia="CharisSIL"/>
        </w:rPr>
        <w:fldChar w:fldCharType="separate"/>
      </w:r>
      <w:r w:rsidR="008F564B" w:rsidRPr="0046434D">
        <w:rPr>
          <w:rFonts w:eastAsia="CharisSIL"/>
          <w:noProof/>
        </w:rPr>
        <w:t>Park et al. (2020)</w:t>
      </w:r>
      <w:r w:rsidR="008F564B" w:rsidRPr="0046434D">
        <w:rPr>
          <w:rFonts w:eastAsia="CharisSIL"/>
        </w:rPr>
        <w:fldChar w:fldCharType="end"/>
      </w:r>
      <w:r w:rsidRPr="0046434D">
        <w:rPr>
          <w:rFonts w:eastAsia="CharisSIL"/>
        </w:rPr>
        <w:t xml:space="preserve"> </w:t>
      </w:r>
      <w:r w:rsidRPr="0046434D">
        <w:t xml:space="preserve">built on earlier multilevel modeling research by considering segment/intersection </w:t>
      </w:r>
      <w:r w:rsidRPr="0046434D">
        <w:rPr>
          <w:rFonts w:eastAsia="CharisSIL"/>
        </w:rPr>
        <w:t xml:space="preserve">membership as a weighted function to predict crashes. Overall, the summary of these research efforts clearly highlights how microscopic models were enhanced by considering macroscopic variables (observed and unobserved) in the analysis. It is important to note that none of these studies enhance the macroscopic model development process by embedding microscopic facility level attributes. </w:t>
      </w:r>
    </w:p>
    <w:p w14:paraId="3FC22F55" w14:textId="597B3F26" w:rsidR="004E5047" w:rsidRPr="0046434D" w:rsidRDefault="004E5047" w:rsidP="005D30B7">
      <w:pPr>
        <w:ind w:firstLine="720"/>
      </w:pPr>
      <w:r w:rsidRPr="0046434D">
        <w:t xml:space="preserve">An exception to this is the </w:t>
      </w:r>
      <w:r w:rsidR="008F564B" w:rsidRPr="0046434D">
        <w:fldChar w:fldCharType="begin" w:fldLock="1"/>
      </w:r>
      <w:r w:rsidR="00BB5C26" w:rsidRPr="0046434D">
        <w:instrText>ADDIN CSL_CITATION {"citationItems":[{"id":"ITEM-1","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Science","id":"ITEM-1","issue":"2","issued":{"date-parts":[["2019","11","29"]]},"note":"doi: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interaction","type":"article-journal","volume":"15"},"uris":["http://www.mendeley.com/documents/?uuid=b21ff7f8-fd41-4c63-a83e-a4f52d8aae4d"]}],"mendeley":{"formattedCitation":"(Cai et al., 2019)","manualFormatting":"Cai et al. (2019)","plainTextFormattedCitation":"(Cai et al., 2019)","previouslyFormattedCitation":"(Cai et al., 2019)"},"properties":{"noteIndex":0},"schema":"https://github.com/citation-style-language/schema/raw/master/csl-citation.json"}</w:instrText>
      </w:r>
      <w:r w:rsidR="008F564B" w:rsidRPr="0046434D">
        <w:fldChar w:fldCharType="separate"/>
      </w:r>
      <w:r w:rsidR="008F564B" w:rsidRPr="0046434D">
        <w:rPr>
          <w:noProof/>
        </w:rPr>
        <w:t>Cai et al. (2019)</w:t>
      </w:r>
      <w:r w:rsidR="008F564B" w:rsidRPr="0046434D">
        <w:fldChar w:fldCharType="end"/>
      </w:r>
      <w:r w:rsidRPr="0046434D">
        <w:t xml:space="preserve"> that proposed a joint modeling approach. In this study, the authors recognize that sum of observed crashes at the microscopic level (segments and intersections) should add up to the macroscopic crashes in the zone. At the same time, to accommodate for potential error in microscopic model prediction, they employ an adjustment factor as a function of zonal variables. The adjustment factor acts as a calibration parameter for the macro level crashes. While this study is a substantial improvement on prior research, the authors restrict the macroscopic model estimation to macro level socioeconomic variables. Further, the model structure is such that the framework cannot be used to estimate traditional microscopic and macroscopic models within the same system. </w:t>
      </w:r>
    </w:p>
    <w:p w14:paraId="179E9F61" w14:textId="77777777" w:rsidR="004E5047" w:rsidRPr="006772E2" w:rsidRDefault="004E5047" w:rsidP="004E5047">
      <w:pPr>
        <w:rPr>
          <w:rFonts w:cs="Times New Roman"/>
          <w:b/>
          <w:bCs/>
          <w:szCs w:val="24"/>
        </w:rPr>
      </w:pPr>
    </w:p>
    <w:p w14:paraId="3B551B5D" w14:textId="77777777" w:rsidR="004E5047" w:rsidRPr="006772E2" w:rsidRDefault="004E5047" w:rsidP="005E0487">
      <w:pPr>
        <w:pStyle w:val="Heading2"/>
        <w:rPr>
          <w:color w:val="auto"/>
        </w:rPr>
      </w:pPr>
      <w:r w:rsidRPr="006772E2">
        <w:rPr>
          <w:color w:val="auto"/>
        </w:rPr>
        <w:t>Context of the Current Study</w:t>
      </w:r>
    </w:p>
    <w:p w14:paraId="4B07916E" w14:textId="77777777" w:rsidR="004E5047" w:rsidRPr="006772E2" w:rsidRDefault="004E5047" w:rsidP="005D30B7">
      <w:r w:rsidRPr="006772E2">
        <w:t xml:space="preserve">In our current study, we develop a representatively integrated model from the first principles. The model system proposed recognizes that crashes at the micro level facilities contribute to total macroscopic level crash counts. To allow for this influence, we add one component per micro level facility type (such as intersection or segment) in the form of an additional variable in the propensity of the macroscopic model system. The component for a facility type is evaluated as the sum of crash propensity for all facilities of that type in the spatial unit. A scalar parameter for each facility type component can be estimated in the model system. The introduction of component by micro level facility type provides two possible model frameworks. In the first framework, we focus on the optimization of the macroscopic model data fit by only estimating the scalar parameter per component. The parameters embedded with the micro level models are assumed fixed for this purpose. In the second approach, a joint log-likelihood function of macroscopic and microscopic models is considered, and the microscopic parameters are estimated based on their contribution to microscopic model directly and the macroscopic model via the microscopic propensity component in the macroscopic model. The proposed model system can also accommodate for hierarchical correlations such as correlation between all segments or intersections in a zone. These correlations also implicitly account for spatial variations for facilities in the zone. </w:t>
      </w:r>
    </w:p>
    <w:p w14:paraId="140B69C5" w14:textId="6281BB37" w:rsidR="00321B0E" w:rsidRPr="006772E2" w:rsidRDefault="004E5047" w:rsidP="006772E2">
      <w:pPr>
        <w:ind w:firstLine="720"/>
        <w:rPr>
          <w:rFonts w:cs="Times New Roman"/>
          <w:szCs w:val="24"/>
        </w:rPr>
      </w:pPr>
      <w:r w:rsidRPr="006772E2">
        <w:t>The overall model development process is achieved using a negative binomial regression framework at the micro and macro level. The approach can be extended readily to any possible mathematical model (such as Poisson lognormal). In terms of empirical analysis, this study incorporates both micro and macro level factors for crash frequency analysis of both zonal level, and segment and intersection level. The empirical analysis is based on the traffic analysis zone (TAZ) level crash count data</w:t>
      </w:r>
      <w:r w:rsidR="00512B5E" w:rsidRPr="006772E2">
        <w:t>,</w:t>
      </w:r>
      <w:r w:rsidRPr="006772E2">
        <w:t xml:space="preserve"> and segments and intersections level crash count data from Orlando city of Florida. The model estimation results are further augmented by the evaluation of the predictive performance of the proposed model.</w:t>
      </w:r>
      <w:r w:rsidR="00321B0E" w:rsidRPr="006772E2">
        <w:rPr>
          <w:rFonts w:cs="Times New Roman"/>
          <w:szCs w:val="24"/>
        </w:rPr>
        <w:t xml:space="preserve"> </w:t>
      </w:r>
      <w:r w:rsidR="00BA0FC8" w:rsidRPr="006772E2">
        <w:rPr>
          <w:rFonts w:cs="Times New Roman"/>
          <w:szCs w:val="24"/>
        </w:rPr>
        <w:t xml:space="preserve">The proposed approach will offer significant advantages methodologically and empirically. Methodologically, a single integrated model will allow us to employ a single model code for estimation of macroscopic and microscopic models. The integrated model developed can be employed to estimate the traditional macroscopic and microscopic models by setting the appropriate parameters to zero. In addition, incorporating micro </w:t>
      </w:r>
      <w:r w:rsidR="00BA0FC8" w:rsidRPr="006772E2">
        <w:rPr>
          <w:rFonts w:cs="Times New Roman"/>
          <w:szCs w:val="24"/>
        </w:rPr>
        <w:lastRenderedPageBreak/>
        <w:t>level variables into the macro level propensity offers improved model performance. Thus, a better understanding of the crash occurrence can be achieved with this framework. On the empirical side, a better understanding of crash contributing factors will allow us to provide pragmatic and efficient crash countermeasures. Since the proposed model considers variable</w:t>
      </w:r>
      <w:r w:rsidR="00E96BE5" w:rsidRPr="006772E2">
        <w:rPr>
          <w:rFonts w:cs="Times New Roman"/>
          <w:szCs w:val="24"/>
        </w:rPr>
        <w:t>s</w:t>
      </w:r>
      <w:r w:rsidR="00BA0FC8" w:rsidRPr="006772E2">
        <w:rPr>
          <w:rFonts w:cs="Times New Roman"/>
          <w:szCs w:val="24"/>
        </w:rPr>
        <w:t xml:space="preserve"> from both macro and micro levels, it is possible to select countermeasures for both levels from this framework. The proposed model can also be applied to identify crash hotspots, which is a top priority for safety treatment.</w:t>
      </w:r>
    </w:p>
    <w:p w14:paraId="60FD8B02" w14:textId="6C2FF9A5" w:rsidR="00D94A95" w:rsidRPr="006772E2" w:rsidRDefault="004E5047" w:rsidP="005D30B7">
      <w:pPr>
        <w:ind w:firstLine="720"/>
      </w:pPr>
      <w:r w:rsidRPr="006772E2">
        <w:t xml:space="preserve">The rest of the paper is organized as follows: The methodology section will provide mathematical details of the proposed model system. The data section will describe data compilation procedures. The results section will present the findings of the model estimation and discuss the predictive performance of the model. The final section will conclude the paper and offer thoughts for future work. </w:t>
      </w:r>
    </w:p>
    <w:p w14:paraId="328A5827" w14:textId="0064AA29" w:rsidR="004E5047" w:rsidRDefault="004E5047" w:rsidP="00D94A95"/>
    <w:p w14:paraId="0591ABE2" w14:textId="77777777" w:rsidR="004E5047" w:rsidRPr="00844EF6" w:rsidRDefault="004E5047" w:rsidP="005E0487">
      <w:pPr>
        <w:pStyle w:val="Heading1"/>
        <w:rPr>
          <w:color w:val="auto"/>
        </w:rPr>
      </w:pPr>
      <w:r w:rsidRPr="00844EF6">
        <w:rPr>
          <w:color w:val="auto"/>
        </w:rPr>
        <w:t>METHODOLOGY</w:t>
      </w:r>
    </w:p>
    <w:p w14:paraId="407BBE5D" w14:textId="58F7F85B" w:rsidR="004E5047" w:rsidRPr="00844EF6" w:rsidRDefault="004E5047" w:rsidP="005D30B7">
      <w:r w:rsidRPr="00844EF6">
        <w:t>The econometric formulation of the proposed integrated micro-macro model is presented here</w:t>
      </w:r>
      <w:r w:rsidR="008F564B" w:rsidRPr="00844EF6">
        <w:t xml:space="preserve"> (</w:t>
      </w:r>
      <w:r w:rsidRPr="00844EF6">
        <w:t xml:space="preserve">please see </w:t>
      </w:r>
      <w:r w:rsidRPr="00844EF6">
        <w:fldChar w:fldCharType="begin" w:fldLock="1"/>
      </w:r>
      <w:r w:rsidR="00BB5C26" w:rsidRPr="00844EF6">
        <w:instrText>ADDIN CSL_CITATION {"citationItems":[{"id":"ITEM-1","itemData":{"DOI":"https://doi.org/10.1016/j.amar.2021.100167","ISSN":"2213-6657","abstract":"In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author":[{"dropping-particle":"","family":"Bhowmik","given":"Tanmoy","non-dropping-particle":"","parse-names":false,"suffix":""},{"dropping-particle":"","family":"Rahman","given":"Moshiur","non-dropping-particle":"","parse-names":false,"suffix":""},{"dropping-particle":"","family":"Yasmin","given":"Shamsunnahar","non-dropping-particle":"","parse-names":false,"suffix":""},{"dropping-particle":"","family":"Eluru","given":"Naveen","non-dropping-particle":"","parse-names":false,"suffix":""}],"container-title":"Analytic Methods in Accident Research","id":"ITEM-1","issued":{"date-parts":[["2021"]]},"page":"100167","title":"Exploring analytical, simulation-based, and hybrid model structures for multivariate crash frequency modeling","type":"article-journal","volume":"31"},"uris":["http://www.mendeley.com/documents/?uuid=d3f55450-fd3f-4f7b-86ca-8c685e1abe6a"]},{"id":"ITEM-2","itemData":{"DOI":"DOI: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Hindawi","id":"ITEM-2","issued":{"date-parts":[["2020"]]},"page":"1-13","title":"Random-Parameter Multivariate Negative Binomial Regression for Modeling Impacts of Contributing Factors on the Crash Frequency by Crash Types","type":"article-journal"},"uris":["http://www.mendeley.com/documents/?uuid=cdbf3a30-fdf6-4917-b233-0595b70ecb59"]}],"mendeley":{"formattedCitation":"(Bhowmik et al., 2021; Wang et al., 2020)","manualFormatting":"Bhowmik et al., 2021; Wang et al., 2020 for details methodology of simple macro and micro model)","plainTextFormattedCitation":"(Bhowmik et al., 2021; Wang et al., 2020)","previouslyFormattedCitation":"(Bhowmik et al., 2021; Wang et al., 2020)"},"properties":{"noteIndex":0},"schema":"https://github.com/citation-style-language/schema/raw/master/csl-citation.json"}</w:instrText>
      </w:r>
      <w:r w:rsidRPr="00844EF6">
        <w:fldChar w:fldCharType="separate"/>
      </w:r>
      <w:r w:rsidR="00B941CD" w:rsidRPr="00844EF6">
        <w:rPr>
          <w:noProof/>
        </w:rPr>
        <w:t>Bhowmik et al.</w:t>
      </w:r>
      <w:r w:rsidR="008F564B" w:rsidRPr="00844EF6">
        <w:rPr>
          <w:noProof/>
        </w:rPr>
        <w:t>,</w:t>
      </w:r>
      <w:r w:rsidR="00B941CD" w:rsidRPr="00844EF6">
        <w:rPr>
          <w:noProof/>
        </w:rPr>
        <w:t xml:space="preserve"> 2021</w:t>
      </w:r>
      <w:r w:rsidR="00585A17">
        <w:rPr>
          <w:noProof/>
        </w:rPr>
        <w:t>a</w:t>
      </w:r>
      <w:r w:rsidR="00B941CD" w:rsidRPr="00844EF6">
        <w:rPr>
          <w:noProof/>
        </w:rPr>
        <w:t>; Wang et al.</w:t>
      </w:r>
      <w:r w:rsidR="008F564B" w:rsidRPr="00844EF6">
        <w:rPr>
          <w:noProof/>
        </w:rPr>
        <w:t>,</w:t>
      </w:r>
      <w:r w:rsidR="00B941CD" w:rsidRPr="00844EF6">
        <w:rPr>
          <w:noProof/>
        </w:rPr>
        <w:t xml:space="preserve"> 2020</w:t>
      </w:r>
      <w:r w:rsidR="008F564B" w:rsidRPr="00844EF6">
        <w:rPr>
          <w:noProof/>
        </w:rPr>
        <w:t xml:space="preserve"> for details methodology of simple macro and micro model</w:t>
      </w:r>
      <w:r w:rsidR="00B941CD" w:rsidRPr="00844EF6">
        <w:rPr>
          <w:noProof/>
        </w:rPr>
        <w:t>)</w:t>
      </w:r>
      <w:r w:rsidRPr="00844EF6">
        <w:fldChar w:fldCharType="end"/>
      </w:r>
      <w:r w:rsidRPr="00844EF6">
        <w:t xml:space="preserve">. </w:t>
      </w:r>
    </w:p>
    <w:p w14:paraId="6642D7A4" w14:textId="3BFFA41C" w:rsidR="004E5047" w:rsidRPr="00844EF6" w:rsidRDefault="004E5047" w:rsidP="00146D56"/>
    <w:p w14:paraId="2D5790F6" w14:textId="77777777" w:rsidR="004E5047" w:rsidRPr="00844EF6" w:rsidRDefault="004E5047" w:rsidP="005E0487">
      <w:pPr>
        <w:pStyle w:val="Heading2"/>
        <w:rPr>
          <w:color w:val="auto"/>
        </w:rPr>
      </w:pPr>
      <w:r w:rsidRPr="00844EF6">
        <w:rPr>
          <w:color w:val="auto"/>
        </w:rPr>
        <w:t>Integrated Micro-Macro Approach</w:t>
      </w:r>
    </w:p>
    <w:p w14:paraId="1360F3CE" w14:textId="7299DAFB" w:rsidR="004E5047" w:rsidRPr="00844EF6" w:rsidRDefault="004E5047" w:rsidP="005D30B7">
      <w:pPr>
        <w:rPr>
          <w:rFonts w:cs="Times New Roman"/>
        </w:rPr>
      </w:pPr>
      <w:r w:rsidRPr="00844EF6">
        <w:rPr>
          <w:rFonts w:cs="Times New Roman"/>
        </w:rPr>
        <w:t>For any spatial unit, the general form of the probability equation of the NB formulation can be written as follows:</w:t>
      </w:r>
    </w:p>
    <w:p w14:paraId="1372BBAF" w14:textId="77777777" w:rsidR="005D30B7" w:rsidRPr="00844EF6" w:rsidRDefault="005D30B7" w:rsidP="005D30B7">
      <w:pPr>
        <w:rPr>
          <w:rFonts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4E5047" w:rsidRPr="00844EF6" w14:paraId="1B2DA31F" w14:textId="77777777" w:rsidTr="00FE4351">
        <w:tc>
          <w:tcPr>
            <w:tcW w:w="4349" w:type="pct"/>
            <w:vAlign w:val="center"/>
          </w:tcPr>
          <w:p w14:paraId="0975CF6D" w14:textId="77777777" w:rsidR="004E5047" w:rsidRPr="00844EF6" w:rsidRDefault="004E5047" w:rsidP="005D30B7">
            <w:pPr>
              <w:rPr>
                <w:rFonts w:ascii="Times New Roman" w:hAnsi="Times New Roman" w:cs="Times New Roman"/>
              </w:rPr>
            </w:pPr>
            <m:oMathPara>
              <m:oMathParaPr>
                <m:jc m:val="left"/>
              </m:oMathParaPr>
              <m:oMath>
                <m:r>
                  <w:rPr>
                    <w:rFonts w:ascii="Cambria Math" w:eastAsia="Calibri" w:hAnsi="Cambria Math" w:cs="Times New Roman"/>
                  </w:rPr>
                  <m:t>P</m:t>
                </m:r>
                <m:d>
                  <m:dPr>
                    <m:ctrlPr>
                      <w:rPr>
                        <w:rFonts w:ascii="Cambria Math" w:eastAsia="Calibri" w:hAnsi="Cambria Math" w:cs="Times New Roman"/>
                        <w:i/>
                        <w:lang w:val="en-US"/>
                      </w:rPr>
                    </m:ctrlPr>
                  </m:dPr>
                  <m:e>
                    <m:sSub>
                      <m:sSubPr>
                        <m:ctrlPr>
                          <w:rPr>
                            <w:rFonts w:ascii="Cambria Math" w:eastAsia="Times New Roman" w:hAnsi="Cambria Math" w:cs="Times New Roman"/>
                            <w:i/>
                            <w:lang w:val="en-US"/>
                          </w:rPr>
                        </m:ctrlPr>
                      </m:sSubPr>
                      <m:e>
                        <m:r>
                          <w:rPr>
                            <w:rFonts w:ascii="Cambria Math" w:eastAsia="Times New Roman" w:hAnsi="Cambria Math" w:cs="Times New Roman"/>
                          </w:rPr>
                          <m:t>y</m:t>
                        </m:r>
                      </m:e>
                      <m:sub>
                        <m:r>
                          <w:rPr>
                            <w:rFonts w:ascii="Cambria Math" w:eastAsia="Times New Roman" w:hAnsi="Cambria Math" w:cs="Times New Roman"/>
                          </w:rPr>
                          <m:t xml:space="preserve">t </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e>
                </m:d>
                <m:r>
                  <w:rPr>
                    <w:rFonts w:ascii="Cambria Math" w:eastAsia="Calibri" w:hAnsi="Cambria Math" w:cs="Times New Roman"/>
                  </w:rPr>
                  <m:t xml:space="preserve">= </m:t>
                </m:r>
                <m:f>
                  <m:fPr>
                    <m:ctrlPr>
                      <w:rPr>
                        <w:rFonts w:ascii="Cambria Math" w:eastAsia="Calibri" w:hAnsi="Cambria Math" w:cs="Times New Roman"/>
                        <w:i/>
                        <w:lang w:val="en-US"/>
                      </w:rPr>
                    </m:ctrlPr>
                  </m:fPr>
                  <m:num>
                    <m:r>
                      <m:rPr>
                        <m:sty m:val="p"/>
                      </m:rPr>
                      <w:rPr>
                        <w:rFonts w:ascii="Cambria Math" w:eastAsia="Calibri" w:hAnsi="Cambria Math" w:cs="Times New Roman"/>
                      </w:rPr>
                      <m:t>Γ</m:t>
                    </m:r>
                    <m:d>
                      <m:dPr>
                        <m:ctrlPr>
                          <w:rPr>
                            <w:rFonts w:ascii="Cambria Math" w:eastAsia="Calibri" w:hAnsi="Cambria Math" w:cs="Times New Roman"/>
                            <w:i/>
                            <w:lang w:val="en-US"/>
                          </w:rPr>
                        </m:ctrlPr>
                      </m:dPr>
                      <m:e>
                        <m:sSub>
                          <m:sSubPr>
                            <m:ctrlPr>
                              <w:rPr>
                                <w:rFonts w:ascii="Cambria Math" w:eastAsia="Times New Roman" w:hAnsi="Cambria Math" w:cs="Times New Roman"/>
                                <w:i/>
                                <w:lang w:val="en-US"/>
                              </w:rPr>
                            </m:ctrlPr>
                          </m:sSubPr>
                          <m:e>
                            <m:r>
                              <w:rPr>
                                <w:rFonts w:ascii="Cambria Math" w:eastAsia="Times New Roman" w:hAnsi="Cambria Math" w:cs="Times New Roman"/>
                              </w:rPr>
                              <m:t>y</m:t>
                            </m:r>
                          </m:e>
                          <m:sub>
                            <m:r>
                              <w:rPr>
                                <w:rFonts w:ascii="Cambria Math" w:eastAsia="Times New Roman" w:hAnsi="Cambria Math" w:cs="Times New Roman"/>
                              </w:rPr>
                              <m:t xml:space="preserve">t </m:t>
                            </m:r>
                          </m:sub>
                        </m:sSub>
                        <m:r>
                          <w:rPr>
                            <w:rFonts w:ascii="Cambria Math" w:eastAsia="Calibri" w:hAnsi="Cambria Math" w:cs="Times New Roman"/>
                          </w:rPr>
                          <m:t>+</m:t>
                        </m:r>
                        <m:f>
                          <m:fPr>
                            <m:ctrlPr>
                              <w:rPr>
                                <w:rFonts w:ascii="Cambria Math" w:eastAsia="Calibri" w:hAnsi="Cambria Math" w:cs="Times New Roman"/>
                                <w:i/>
                                <w:lang w:val="en-US"/>
                              </w:rPr>
                            </m:ctrlPr>
                          </m:fPr>
                          <m:num>
                            <m:r>
                              <w:rPr>
                                <w:rFonts w:ascii="Cambria Math" w:eastAsia="Calibri"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den>
                        </m:f>
                      </m:e>
                    </m:d>
                  </m:num>
                  <m:den>
                    <m:r>
                      <m:rPr>
                        <m:sty m:val="p"/>
                      </m:rPr>
                      <w:rPr>
                        <w:rFonts w:ascii="Cambria Math" w:eastAsia="Calibri" w:hAnsi="Cambria Math" w:cs="Times New Roman"/>
                      </w:rPr>
                      <m:t>Γ</m:t>
                    </m:r>
                    <m:d>
                      <m:dPr>
                        <m:ctrlPr>
                          <w:rPr>
                            <w:rFonts w:ascii="Cambria Math" w:eastAsia="Calibri" w:hAnsi="Cambria Math" w:cs="Times New Roman"/>
                            <w:lang w:val="en-US"/>
                          </w:rPr>
                        </m:ctrlPr>
                      </m:dPr>
                      <m:e>
                        <m:sSub>
                          <m:sSubPr>
                            <m:ctrlPr>
                              <w:rPr>
                                <w:rFonts w:ascii="Cambria Math" w:eastAsia="Times New Roman" w:hAnsi="Cambria Math" w:cs="Times New Roman"/>
                                <w:i/>
                                <w:lang w:val="en-US"/>
                              </w:rPr>
                            </m:ctrlPr>
                          </m:sSubPr>
                          <m:e>
                            <m:r>
                              <w:rPr>
                                <w:rFonts w:ascii="Cambria Math" w:eastAsia="Times New Roman" w:hAnsi="Cambria Math" w:cs="Times New Roman"/>
                              </w:rPr>
                              <m:t>y</m:t>
                            </m:r>
                          </m:e>
                          <m:sub>
                            <m:r>
                              <w:rPr>
                                <w:rFonts w:ascii="Cambria Math" w:eastAsia="Times New Roman" w:hAnsi="Cambria Math" w:cs="Times New Roman"/>
                              </w:rPr>
                              <m:t xml:space="preserve">t </m:t>
                            </m:r>
                          </m:sub>
                        </m:sSub>
                        <m:r>
                          <w:rPr>
                            <w:rFonts w:ascii="Cambria Math" w:eastAsia="Calibri" w:hAnsi="Cambria Math" w:cs="Times New Roman"/>
                          </w:rPr>
                          <m:t>+1</m:t>
                        </m:r>
                      </m:e>
                    </m:d>
                    <m:r>
                      <m:rPr>
                        <m:sty m:val="p"/>
                      </m:rPr>
                      <w:rPr>
                        <w:rFonts w:ascii="Cambria Math" w:eastAsia="Calibri" w:hAnsi="Cambria Math" w:cs="Times New Roman"/>
                      </w:rPr>
                      <m:t>Γ</m:t>
                    </m:r>
                    <m:d>
                      <m:dPr>
                        <m:ctrlPr>
                          <w:rPr>
                            <w:rFonts w:ascii="Cambria Math" w:eastAsia="Calibri" w:hAnsi="Cambria Math" w:cs="Times New Roman"/>
                            <w:lang w:val="en-US"/>
                          </w:rPr>
                        </m:ctrlPr>
                      </m:dPr>
                      <m:e>
                        <m:f>
                          <m:fPr>
                            <m:ctrlPr>
                              <w:rPr>
                                <w:rFonts w:ascii="Cambria Math" w:eastAsia="Calibri" w:hAnsi="Cambria Math" w:cs="Times New Roman"/>
                                <w:i/>
                                <w:lang w:val="en-US"/>
                              </w:rPr>
                            </m:ctrlPr>
                          </m:fPr>
                          <m:num>
                            <m:r>
                              <w:rPr>
                                <w:rFonts w:ascii="Cambria Math" w:eastAsia="Calibri"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den>
                        </m:f>
                      </m:e>
                    </m:d>
                  </m:den>
                </m:f>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
                          <m:fPr>
                            <m:ctrlPr>
                              <w:rPr>
                                <w:rFonts w:ascii="Cambria Math" w:eastAsia="Calibri" w:hAnsi="Cambria Math" w:cs="Times New Roman"/>
                                <w:i/>
                                <w:lang w:val="en-US"/>
                              </w:rPr>
                            </m:ctrlPr>
                          </m:fPr>
                          <m:num>
                            <m:r>
                              <w:rPr>
                                <w:rFonts w:ascii="Cambria Math" w:eastAsia="Calibri" w:hAnsi="Cambria Math" w:cs="Times New Roman"/>
                              </w:rPr>
                              <m:t>1</m:t>
                            </m:r>
                          </m:num>
                          <m:den>
                            <m:r>
                              <w:rPr>
                                <w:rFonts w:ascii="Cambria Math" w:eastAsia="Calibri"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den>
                        </m:f>
                      </m:e>
                    </m:d>
                  </m:e>
                  <m:sup>
                    <m:f>
                      <m:fPr>
                        <m:ctrlPr>
                          <w:rPr>
                            <w:rFonts w:ascii="Cambria Math" w:eastAsia="Calibri" w:hAnsi="Cambria Math" w:cs="Times New Roman"/>
                            <w:i/>
                            <w:lang w:val="en-US"/>
                          </w:rPr>
                        </m:ctrlPr>
                      </m:fPr>
                      <m:num>
                        <m:r>
                          <w:rPr>
                            <w:rFonts w:ascii="Cambria Math" w:eastAsia="Calibri"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den>
                    </m:f>
                  </m:sup>
                </m:sSup>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r>
                          <w:rPr>
                            <w:rFonts w:ascii="Cambria Math" w:eastAsia="Calibri" w:hAnsi="Cambria Math" w:cs="Times New Roman"/>
                          </w:rPr>
                          <m:t>1-</m:t>
                        </m:r>
                        <m:f>
                          <m:fPr>
                            <m:ctrlPr>
                              <w:rPr>
                                <w:rFonts w:ascii="Cambria Math" w:eastAsia="Calibri" w:hAnsi="Cambria Math" w:cs="Times New Roman"/>
                                <w:i/>
                                <w:lang w:val="en-US"/>
                              </w:rPr>
                            </m:ctrlPr>
                          </m:fPr>
                          <m:num>
                            <m:r>
                              <w:rPr>
                                <w:rFonts w:ascii="Cambria Math" w:eastAsia="Calibri" w:hAnsi="Cambria Math" w:cs="Times New Roman"/>
                              </w:rPr>
                              <m:t>1</m:t>
                            </m:r>
                          </m:num>
                          <m:den>
                            <m:r>
                              <w:rPr>
                                <w:rFonts w:ascii="Cambria Math" w:eastAsia="Calibri"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den>
                        </m:f>
                      </m:e>
                    </m:d>
                  </m:e>
                  <m:sup>
                    <m:sSub>
                      <m:sSubPr>
                        <m:ctrlPr>
                          <w:rPr>
                            <w:rFonts w:ascii="Cambria Math" w:eastAsia="Times New Roman" w:hAnsi="Cambria Math" w:cs="Times New Roman"/>
                            <w:i/>
                            <w:lang w:val="en-US"/>
                          </w:rPr>
                        </m:ctrlPr>
                      </m:sSubPr>
                      <m:e>
                        <m:r>
                          <w:rPr>
                            <w:rFonts w:ascii="Cambria Math" w:eastAsia="Times New Roman" w:hAnsi="Cambria Math" w:cs="Times New Roman"/>
                          </w:rPr>
                          <m:t>y</m:t>
                        </m:r>
                      </m:e>
                      <m:sub>
                        <m:r>
                          <w:rPr>
                            <w:rFonts w:ascii="Cambria Math" w:eastAsia="Times New Roman" w:hAnsi="Cambria Math" w:cs="Times New Roman"/>
                          </w:rPr>
                          <m:t xml:space="preserve">t </m:t>
                        </m:r>
                      </m:sub>
                    </m:sSub>
                  </m:sup>
                </m:sSup>
              </m:oMath>
            </m:oMathPara>
          </w:p>
        </w:tc>
        <w:tc>
          <w:tcPr>
            <w:tcW w:w="651" w:type="pct"/>
            <w:vAlign w:val="center"/>
          </w:tcPr>
          <w:p w14:paraId="07A334CF" w14:textId="77777777" w:rsidR="004E5047" w:rsidRPr="00844EF6" w:rsidRDefault="004E5047" w:rsidP="00134029">
            <w:pPr>
              <w:pStyle w:val="ListParagraph"/>
              <w:numPr>
                <w:ilvl w:val="0"/>
                <w:numId w:val="2"/>
              </w:numPr>
              <w:jc w:val="right"/>
              <w:rPr>
                <w:rFonts w:eastAsia="Calibri" w:cs="Times New Roman"/>
                <w:lang w:val="en-US"/>
              </w:rPr>
            </w:pPr>
          </w:p>
        </w:tc>
      </w:tr>
    </w:tbl>
    <w:p w14:paraId="3D9BAF5C" w14:textId="77777777" w:rsidR="005D30B7" w:rsidRPr="00844EF6" w:rsidRDefault="005D30B7" w:rsidP="005D30B7">
      <w:pPr>
        <w:rPr>
          <w:rFonts w:cs="Times New Roman"/>
        </w:rPr>
      </w:pPr>
    </w:p>
    <w:p w14:paraId="40D79F66" w14:textId="2E853424" w:rsidR="004E5047" w:rsidRPr="00844EF6" w:rsidRDefault="004E5047" w:rsidP="005D30B7">
      <w:pPr>
        <w:rPr>
          <w:rFonts w:eastAsia="Times New Roman" w:cs="Times New Roman"/>
        </w:rPr>
      </w:pPr>
      <w:r w:rsidRPr="00844EF6">
        <w:rPr>
          <w:rFonts w:cs="Times New Roman"/>
        </w:rPr>
        <w:t xml:space="preserve">where, </w:t>
      </w:r>
      <m:oMath>
        <m:r>
          <w:rPr>
            <w:rFonts w:ascii="Cambria Math" w:eastAsia="Times New Roman" w:hAnsi="Cambria Math" w:cs="Times New Roman"/>
          </w:rPr>
          <m:t>t</m:t>
        </m:r>
      </m:oMath>
      <w:r w:rsidRPr="00844EF6">
        <w:rPr>
          <w:rFonts w:cs="Times New Roman"/>
        </w:rPr>
        <w:t xml:space="preserve"> represents the different spatial unit</w:t>
      </w:r>
      <w:r w:rsidR="005B286C" w:rsidRPr="00844EF6">
        <w:rPr>
          <w:rFonts w:cs="Times New Roman"/>
        </w:rPr>
        <w:t>s</w:t>
      </w:r>
      <w:r w:rsidRPr="00844EF6">
        <w:rPr>
          <w:rFonts w:cs="Times New Roman"/>
        </w:rPr>
        <w:t xml:space="preserve"> including segments (</w:t>
      </w:r>
      <m:oMath>
        <m:r>
          <w:rPr>
            <w:rFonts w:ascii="Cambria Math" w:eastAsia="Times New Roman" w:hAnsi="Cambria Math" w:cs="Times New Roman"/>
          </w:rPr>
          <m:t>s:1,2…. S=1,818</m:t>
        </m:r>
      </m:oMath>
      <w:r w:rsidRPr="00844EF6">
        <w:rPr>
          <w:rFonts w:cs="Times New Roman"/>
        </w:rPr>
        <w:t xml:space="preserve">), intersections </w:t>
      </w:r>
      <m:oMath>
        <m:r>
          <w:rPr>
            <w:rFonts w:ascii="Cambria Math" w:hAnsi="Cambria Math" w:cs="Times New Roman"/>
          </w:rPr>
          <m:t>(</m:t>
        </m:r>
        <m:r>
          <w:rPr>
            <w:rFonts w:ascii="Cambria Math" w:eastAsia="Times New Roman" w:hAnsi="Cambria Math" w:cs="Times New Roman"/>
          </w:rPr>
          <m:t>i:1,2… I=4,184)</m:t>
        </m:r>
      </m:oMath>
      <w:r w:rsidRPr="00844EF6">
        <w:rPr>
          <w:rFonts w:cs="Times New Roman"/>
        </w:rPr>
        <w:t xml:space="preserve"> and TAZs </w:t>
      </w:r>
      <m:oMath>
        <m:r>
          <w:rPr>
            <w:rFonts w:ascii="Cambria Math" w:hAnsi="Cambria Math" w:cs="Times New Roman"/>
          </w:rPr>
          <m:t>(</m:t>
        </m:r>
        <m:r>
          <w:rPr>
            <w:rFonts w:ascii="Cambria Math" w:eastAsia="Times New Roman" w:hAnsi="Cambria Math" w:cs="Times New Roman"/>
          </w:rPr>
          <m:t>z:1,2…. Z=300)</m:t>
        </m:r>
      </m:oMath>
      <w:r w:rsidRPr="00844EF6">
        <w:rPr>
          <w:rFonts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oMath>
      <w:r w:rsidRPr="00844EF6">
        <w:rPr>
          <w:rFonts w:eastAsia="Times New Roman" w:cs="Times New Roman"/>
        </w:rPr>
        <w:t xml:space="preserve"> be the index for crash counts occurring over a period of time in the corresponding spatial unit </w:t>
      </w:r>
      <m:oMath>
        <m:r>
          <w:rPr>
            <w:rFonts w:ascii="Cambria Math" w:eastAsia="Times New Roman" w:hAnsi="Cambria Math" w:cs="Times New Roman"/>
          </w:rPr>
          <m:t>t</m:t>
        </m:r>
      </m:oMath>
      <w:r w:rsidRPr="00844EF6">
        <w:rPr>
          <w:rFonts w:eastAsia="Times New Roman" w:cs="Times New Roman"/>
        </w:rPr>
        <w:t xml:space="preserve"> . </w:t>
      </w:r>
      <m:oMath>
        <m:r>
          <w:rPr>
            <w:rFonts w:ascii="Cambria Math" w:eastAsia="Calibri" w:hAnsi="Cambria Math" w:cs="Times New Roman"/>
          </w:rPr>
          <m:t>P</m:t>
        </m:r>
        <m:d>
          <m:dPr>
            <m:ctrlPr>
              <w:rPr>
                <w:rFonts w:ascii="Cambria Math" w:eastAsia="Calibri"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e>
        </m:d>
      </m:oMath>
      <w:r w:rsidRPr="00844EF6">
        <w:rPr>
          <w:rFonts w:eastAsia="Times New Roman" w:cs="Times New Roman"/>
        </w:rPr>
        <w:t xml:space="preserve"> is the probability that unit </w:t>
      </w:r>
      <m:oMath>
        <m:r>
          <w:rPr>
            <w:rFonts w:ascii="Cambria Math" w:eastAsia="Times New Roman" w:hAnsi="Cambria Math" w:cs="Times New Roman"/>
          </w:rPr>
          <m:t>t</m:t>
        </m:r>
      </m:oMath>
      <w:r w:rsidRPr="00844EF6">
        <w:rPr>
          <w:rFonts w:eastAsia="Times New Roman" w:cs="Times New Roman"/>
        </w:rPr>
        <w:t xml:space="preserve"> has </w:t>
      </w: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oMath>
      <w:r w:rsidRPr="00844EF6">
        <w:rPr>
          <w:rFonts w:eastAsia="Times New Roman" w:cs="Times New Roman"/>
        </w:rPr>
        <w:t xml:space="preserve"> number of total crashes. </w:t>
      </w:r>
      <m:oMath>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t</m:t>
            </m:r>
          </m:sub>
        </m:sSub>
        <m:r>
          <w:rPr>
            <w:rFonts w:ascii="Cambria Math" w:eastAsia="Times New Roman" w:hAnsi="Cambria Math" w:cs="Times New Roman"/>
          </w:rPr>
          <m:t>'</m:t>
        </m:r>
      </m:oMath>
      <w:r w:rsidRPr="00844EF6">
        <w:rPr>
          <w:rFonts w:eastAsia="Times New Roman" w:cs="Times New Roman"/>
        </w:rPr>
        <w:t xml:space="preserve"> is NB over</w:t>
      </w:r>
      <w:r w:rsidR="00712A19">
        <w:rPr>
          <w:rFonts w:eastAsia="Times New Roman" w:cs="Times New Roman"/>
        </w:rPr>
        <w:t>-</w:t>
      </w:r>
      <w:r w:rsidRPr="00844EF6">
        <w:rPr>
          <w:rFonts w:eastAsia="Times New Roman" w:cs="Times New Roman"/>
        </w:rPr>
        <w:t xml:space="preserve">dispersion parameter specific to the spatial unit </w:t>
      </w:r>
      <m:oMath>
        <m:r>
          <w:rPr>
            <w:rFonts w:ascii="Cambria Math" w:eastAsia="Times New Roman" w:hAnsi="Cambria Math" w:cs="Times New Roman"/>
          </w:rPr>
          <m:t>t</m:t>
        </m:r>
      </m:oMath>
      <w:r w:rsidRPr="00844EF6">
        <w:rPr>
          <w:rFonts w:eastAsia="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oMath>
      <w:r w:rsidRPr="00844EF6">
        <w:rPr>
          <w:rFonts w:eastAsia="Times New Roman" w:cs="Times New Roman"/>
        </w:rPr>
        <w:t xml:space="preserve"> is the expected number of crashes occurring in </w:t>
      </w:r>
      <m:oMath>
        <m:r>
          <w:rPr>
            <w:rFonts w:ascii="Cambria Math" w:eastAsia="Times New Roman" w:hAnsi="Cambria Math" w:cs="Times New Roman"/>
          </w:rPr>
          <m:t xml:space="preserve">t </m:t>
        </m:r>
      </m:oMath>
      <w:r w:rsidRPr="00844EF6">
        <w:rPr>
          <w:rFonts w:eastAsia="Times New Roman" w:cs="Times New Roman"/>
        </w:rPr>
        <w:t xml:space="preserve">over a given time period. This,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oMath>
      <w:r w:rsidRPr="00844EF6">
        <w:rPr>
          <w:rFonts w:eastAsia="Times New Roman" w:cs="Times New Roman"/>
        </w:rPr>
        <w:t xml:space="preserve"> can be expressed as a function of explanatory variables using a log-link function. </w:t>
      </w:r>
      <w:bookmarkStart w:id="1" w:name="_Hlk103222718"/>
      <w:r w:rsidR="00FE458E" w:rsidRPr="00844EF6">
        <w:rPr>
          <w:rFonts w:eastAsia="Times New Roman" w:cs="Times New Roman"/>
        </w:rPr>
        <w:t xml:space="preserve">In our analysis,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oMath>
      <w:r w:rsidR="00FE458E" w:rsidRPr="00844EF6">
        <w:rPr>
          <w:rFonts w:eastAsia="Times New Roman" w:cs="Times New Roman"/>
        </w:rPr>
        <w:t xml:space="preserve"> at the zonal level </w:t>
      </w:r>
      <w:r w:rsidR="004E73D2" w:rsidRPr="00844EF6">
        <w:rPr>
          <w:rFonts w:eastAsia="Times New Roman" w:cs="Times New Roman"/>
        </w:rPr>
        <w:t xml:space="preserve">is </w:t>
      </w:r>
      <w:r w:rsidR="00FE458E" w:rsidRPr="00844EF6">
        <w:rPr>
          <w:rFonts w:eastAsia="Times New Roman" w:cs="Times New Roman"/>
        </w:rPr>
        <w:t xml:space="preserve">labelled as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z</m:t>
            </m:r>
          </m:sub>
        </m:sSub>
      </m:oMath>
      <w:r w:rsidR="00FE458E" w:rsidRPr="00844EF6">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oMath>
      <w:r w:rsidR="00FE458E" w:rsidRPr="00844EF6">
        <w:rPr>
          <w:rFonts w:eastAsia="Times New Roman" w:cs="Times New Roman"/>
        </w:rPr>
        <w:t xml:space="preserve"> at the </w:t>
      </w:r>
      <w:r w:rsidR="004E73D2" w:rsidRPr="00844EF6">
        <w:rPr>
          <w:rFonts w:eastAsia="Times New Roman" w:cs="Times New Roman"/>
        </w:rPr>
        <w:t>segment</w:t>
      </w:r>
      <w:r w:rsidR="00FE458E" w:rsidRPr="00844EF6">
        <w:rPr>
          <w:rFonts w:eastAsia="Times New Roman" w:cs="Times New Roman"/>
        </w:rPr>
        <w:t xml:space="preserve"> level </w:t>
      </w:r>
      <w:r w:rsidR="004E73D2" w:rsidRPr="00844EF6">
        <w:rPr>
          <w:rFonts w:eastAsia="Times New Roman" w:cs="Times New Roman"/>
        </w:rPr>
        <w:t xml:space="preserve">is </w:t>
      </w:r>
      <w:r w:rsidR="00FE458E" w:rsidRPr="00844EF6">
        <w:rPr>
          <w:rFonts w:eastAsia="Times New Roman" w:cs="Times New Roman"/>
        </w:rPr>
        <w:t xml:space="preserve">labelled as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s</m:t>
            </m:r>
          </m:sub>
        </m:sSub>
      </m:oMath>
      <w:r w:rsidR="004E73D2" w:rsidRPr="00844EF6">
        <w:rPr>
          <w:rFonts w:eastAsia="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oMath>
      <w:r w:rsidR="004E73D2" w:rsidRPr="00844EF6">
        <w:rPr>
          <w:rFonts w:eastAsia="Times New Roman" w:cs="Times New Roman"/>
        </w:rPr>
        <w:t xml:space="preserve"> at the intersection level is labelled as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oMath>
      <w:r w:rsidR="005E5C8B" w:rsidRPr="00844EF6">
        <w:rPr>
          <w:rFonts w:eastAsia="Times New Roman" w:cs="Times New Roman"/>
        </w:rPr>
        <w:t>.</w:t>
      </w:r>
      <w:bookmarkEnd w:id="1"/>
      <w:r w:rsidR="00844EF6" w:rsidRPr="00844EF6">
        <w:rPr>
          <w:rFonts w:eastAsia="Times New Roman" w:cs="Times New Roman"/>
        </w:rPr>
        <w:t xml:space="preserve"> </w:t>
      </w:r>
      <w:r w:rsidRPr="00844EF6">
        <w:rPr>
          <w:rFonts w:eastAsia="Times New Roman" w:cs="Times New Roman"/>
        </w:rPr>
        <w:t xml:space="preserve">For the micro level specifications (segments and intersections), the formulation of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s</m:t>
            </m:r>
          </m:sub>
        </m:sSub>
      </m:oMath>
      <w:r w:rsidR="000D37C8" w:rsidRPr="00844EF6">
        <w:rPr>
          <w:rFonts w:eastAsia="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oMath>
      <w:r w:rsidRPr="00844EF6">
        <w:rPr>
          <w:rFonts w:eastAsia="Times New Roman" w:cs="Times New Roman"/>
        </w:rPr>
        <w:t xml:space="preserve"> is </w:t>
      </w:r>
      <w:r w:rsidR="000D37C8" w:rsidRPr="00844EF6">
        <w:rPr>
          <w:rFonts w:eastAsia="Times New Roman" w:cs="Times New Roman"/>
        </w:rPr>
        <w:t xml:space="preserve">collectively </w:t>
      </w:r>
      <w:r w:rsidR="00FE458E" w:rsidRPr="00844EF6">
        <w:rPr>
          <w:rFonts w:eastAsia="Times New Roman" w:cs="Times New Roman"/>
        </w:rPr>
        <w:t xml:space="preserve">defined </w:t>
      </w:r>
      <w:r w:rsidRPr="00844EF6">
        <w:rPr>
          <w:rFonts w:eastAsia="Times New Roman" w:cs="Times New Roman"/>
        </w:rPr>
        <w:t>as follows:</w:t>
      </w:r>
    </w:p>
    <w:p w14:paraId="5D3919A6" w14:textId="77777777" w:rsidR="005D30B7" w:rsidRPr="00844EF6" w:rsidRDefault="005D30B7" w:rsidP="005D30B7">
      <w:pPr>
        <w:rPr>
          <w:rFonts w:eastAsia="Times New Roman"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844EF6" w:rsidRPr="00844EF6" w14:paraId="08C32CAC" w14:textId="77777777" w:rsidTr="00FE4351">
        <w:tc>
          <w:tcPr>
            <w:tcW w:w="4349" w:type="pct"/>
            <w:vAlign w:val="center"/>
          </w:tcPr>
          <w:p w14:paraId="2B0ADC4E" w14:textId="43398636" w:rsidR="004E5047" w:rsidRPr="00844EF6" w:rsidRDefault="00C07222" w:rsidP="005D30B7">
            <w:pPr>
              <w:rPr>
                <w:rFonts w:ascii="Times New Roman" w:eastAsia="Calibri" w:hAnsi="Times New Roman" w:cs="Times New Roman"/>
                <w:lang w:val="en-US"/>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rPr>
                      <m:t>v</m:t>
                    </m:r>
                  </m:e>
                  <m:sub>
                    <m:r>
                      <w:rPr>
                        <w:rFonts w:ascii="Cambria Math" w:eastAsia="Calibri" w:hAnsi="Cambria Math" w:cs="Times New Roman"/>
                      </w:rPr>
                      <m:t>(s,i)</m:t>
                    </m:r>
                  </m:sub>
                </m:sSub>
                <m:r>
                  <w:rPr>
                    <w:rFonts w:ascii="Cambria Math" w:eastAsia="Times New Roman" w:hAnsi="Cambria Math" w:cs="Times New Roman"/>
                  </w:rPr>
                  <m:t>=E</m:t>
                </m:r>
                <m:d>
                  <m:dPr>
                    <m:ctrlPr>
                      <w:rPr>
                        <w:rFonts w:ascii="Cambria Math" w:eastAsia="Times New Roman"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rPr>
                          <m:t>y</m:t>
                        </m:r>
                      </m:e>
                      <m:sub>
                        <m:r>
                          <w:rPr>
                            <w:rFonts w:ascii="Cambria Math" w:eastAsia="Calibri" w:hAnsi="Cambria Math" w:cs="Times New Roman"/>
                          </w:rPr>
                          <m:t>(s,i)</m:t>
                        </m:r>
                      </m:sub>
                    </m:sSub>
                    <m:r>
                      <w:rPr>
                        <w:rFonts w:ascii="Cambria Math" w:eastAsia="Times New Roman" w:hAnsi="Cambria Math" w:cs="Times New Roman"/>
                      </w:rPr>
                      <m:t>|</m:t>
                    </m:r>
                    <m:sSub>
                      <m:sSubPr>
                        <m:ctrlPr>
                          <w:rPr>
                            <w:rFonts w:ascii="Cambria Math" w:eastAsia="Times New Roman" w:hAnsi="Cambria Math" w:cs="Times New Roman"/>
                            <w:i/>
                            <w:lang w:val="en-US"/>
                          </w:rPr>
                        </m:ctrlPr>
                      </m:sSubPr>
                      <m:e>
                        <m:r>
                          <m:rPr>
                            <m:sty m:val="bi"/>
                          </m:rPr>
                          <w:rPr>
                            <w:rFonts w:ascii="Cambria Math" w:eastAsia="Times New Roman" w:hAnsi="Cambria Math" w:cs="Times New Roman"/>
                          </w:rPr>
                          <m:t>x</m:t>
                        </m:r>
                      </m:e>
                      <m:sub>
                        <m:r>
                          <w:rPr>
                            <w:rFonts w:ascii="Cambria Math" w:eastAsia="Calibri" w:hAnsi="Cambria Math" w:cs="Times New Roman"/>
                          </w:rPr>
                          <m:t>(s,i)</m:t>
                        </m:r>
                      </m:sub>
                    </m:sSub>
                  </m:e>
                </m:d>
                <m:r>
                  <w:rPr>
                    <w:rFonts w:ascii="Cambria Math" w:eastAsia="Times New Roman" w:hAnsi="Cambria Math" w:cs="Times New Roman"/>
                  </w:rPr>
                  <m:t>=exp</m:t>
                </m:r>
                <m:d>
                  <m:dPr>
                    <m:ctrlPr>
                      <w:rPr>
                        <w:rFonts w:ascii="Cambria Math" w:eastAsia="Times New Roman" w:hAnsi="Cambria Math" w:cs="Times New Roman"/>
                        <w:i/>
                        <w:lang w:val="en-US"/>
                      </w:rPr>
                    </m:ctrlPr>
                  </m:dPr>
                  <m:e>
                    <m:r>
                      <m:rPr>
                        <m:sty m:val="bi"/>
                      </m:rPr>
                      <w:rPr>
                        <w:rFonts w:ascii="Cambria Math" w:eastAsia="Times New Roman" w:hAnsi="Cambria Math" w:cs="Times New Roman"/>
                      </w:rPr>
                      <m:t>(</m:t>
                    </m:r>
                    <m:sSub>
                      <m:sSubPr>
                        <m:ctrlPr>
                          <w:rPr>
                            <w:rFonts w:ascii="Cambria Math" w:eastAsia="Times New Roman" w:hAnsi="Cambria Math" w:cs="Times New Roman"/>
                            <w:b/>
                            <w:i/>
                            <w:lang w:val="en-US"/>
                          </w:rPr>
                        </m:ctrlPr>
                      </m:sSubPr>
                      <m:e>
                        <m:r>
                          <m:rPr>
                            <m:sty m:val="bi"/>
                          </m:rPr>
                          <w:rPr>
                            <w:rFonts w:ascii="Cambria Math" w:eastAsia="Times New Roman" w:hAnsi="Cambria Math" w:cs="Times New Roman"/>
                          </w:rPr>
                          <m:t>β</m:t>
                        </m:r>
                      </m:e>
                      <m:sub>
                        <m:r>
                          <w:rPr>
                            <w:rFonts w:ascii="Cambria Math" w:eastAsia="Calibri" w:hAnsi="Cambria Math" w:cs="Times New Roman"/>
                          </w:rPr>
                          <m:t>s,i</m:t>
                        </m:r>
                      </m:sub>
                    </m:sSub>
                    <m:r>
                      <w:rPr>
                        <w:rFonts w:ascii="Cambria Math" w:eastAsia="Times New Roman" w:hAnsi="Cambria Math" w:cs="Times New Roman"/>
                      </w:rPr>
                      <m:t>+</m:t>
                    </m:r>
                    <m:sSub>
                      <m:sSubPr>
                        <m:ctrlPr>
                          <w:rPr>
                            <w:rFonts w:ascii="Cambria Math" w:eastAsia="Times New Roman" w:hAnsi="Cambria Math" w:cs="Times New Roman"/>
                            <w:i/>
                          </w:rPr>
                        </m:ctrlPr>
                      </m:sSubPr>
                      <m:e>
                        <m:r>
                          <m:rPr>
                            <m:sty m:val="bi"/>
                          </m:rPr>
                          <w:rPr>
                            <w:rFonts w:ascii="Cambria Math" w:eastAsia="Times New Roman" w:hAnsi="Cambria Math" w:cs="Times New Roman"/>
                          </w:rPr>
                          <m:t>ϱ</m:t>
                        </m:r>
                      </m:e>
                      <m:sub>
                        <m:d>
                          <m:dPr>
                            <m:ctrlPr>
                              <w:rPr>
                                <w:rFonts w:ascii="Cambria Math" w:eastAsia="Calibri" w:hAnsi="Cambria Math" w:cs="Times New Roman"/>
                                <w:i/>
                                <w:lang w:val="en-US"/>
                              </w:rPr>
                            </m:ctrlPr>
                          </m:dPr>
                          <m:e>
                            <m:r>
                              <w:rPr>
                                <w:rFonts w:ascii="Cambria Math" w:eastAsia="Calibri" w:hAnsi="Cambria Math" w:cs="Times New Roman"/>
                              </w:rPr>
                              <m:t>s,i</m:t>
                            </m:r>
                          </m:e>
                        </m:d>
                      </m:sub>
                    </m:sSub>
                    <m:r>
                      <w:rPr>
                        <w:rFonts w:ascii="Cambria Math" w:eastAsia="Times New Roman" w:hAnsi="Cambria Math" w:cs="Times New Roman"/>
                      </w:rPr>
                      <m:t>)</m:t>
                    </m:r>
                    <m:sSub>
                      <m:sSubPr>
                        <m:ctrlPr>
                          <w:rPr>
                            <w:rFonts w:ascii="Cambria Math" w:eastAsia="Times New Roman" w:hAnsi="Cambria Math" w:cs="Times New Roman"/>
                            <w:i/>
                            <w:lang w:val="en-US"/>
                          </w:rPr>
                        </m:ctrlPr>
                      </m:sSubPr>
                      <m:e>
                        <m:r>
                          <m:rPr>
                            <m:sty m:val="bi"/>
                          </m:rPr>
                          <w:rPr>
                            <w:rFonts w:ascii="Cambria Math" w:eastAsia="Times New Roman" w:hAnsi="Cambria Math" w:cs="Times New Roman"/>
                          </w:rPr>
                          <m:t>x</m:t>
                        </m:r>
                      </m:e>
                      <m:sub>
                        <m:r>
                          <w:rPr>
                            <w:rFonts w:ascii="Cambria Math" w:eastAsia="Calibri" w:hAnsi="Cambria Math" w:cs="Times New Roman"/>
                          </w:rPr>
                          <m:t>(s,i)</m:t>
                        </m:r>
                      </m:sub>
                    </m:sSub>
                    <m:r>
                      <w:rPr>
                        <w:rFonts w:ascii="Cambria Math" w:eastAsia="Times New Roman" w:hAnsi="Cambria Math" w:cs="Times New Roman"/>
                      </w:rPr>
                      <m:t>+</m:t>
                    </m:r>
                    <m:sSub>
                      <m:sSubPr>
                        <m:ctrlPr>
                          <w:rPr>
                            <w:rFonts w:ascii="Cambria Math" w:eastAsia="Times New Roman" w:hAnsi="Cambria Math" w:cs="Times New Roman"/>
                            <w:i/>
                            <w:lang w:val="en-US"/>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z (s,i)</m:t>
                        </m:r>
                      </m:sub>
                    </m:sSub>
                    <m:r>
                      <w:rPr>
                        <w:rFonts w:ascii="Cambria Math" w:eastAsia="Times New Roman" w:hAnsi="Cambria Math" w:cs="Times New Roman"/>
                      </w:rPr>
                      <m:t>+</m:t>
                    </m:r>
                    <m:sSub>
                      <m:sSubPr>
                        <m:ctrlPr>
                          <w:rPr>
                            <w:rFonts w:ascii="Cambria Math" w:eastAsia="Times New Roman" w:hAnsi="Cambria Math" w:cs="Times New Roman"/>
                            <w:i/>
                            <w:lang w:val="en-US"/>
                          </w:rPr>
                        </m:ctrlPr>
                      </m:sSubPr>
                      <m:e>
                        <m:r>
                          <w:rPr>
                            <w:rFonts w:ascii="Cambria Math" w:eastAsia="Times New Roman" w:hAnsi="Cambria Math" w:cs="Times New Roman"/>
                          </w:rPr>
                          <m:t>ε</m:t>
                        </m:r>
                      </m:e>
                      <m:sub>
                        <m:r>
                          <w:rPr>
                            <w:rFonts w:ascii="Cambria Math" w:eastAsia="Calibri" w:hAnsi="Cambria Math" w:cs="Times New Roman"/>
                          </w:rPr>
                          <m:t>(s,i)</m:t>
                        </m:r>
                      </m:sub>
                    </m:sSub>
                  </m:e>
                </m:d>
              </m:oMath>
            </m:oMathPara>
          </w:p>
        </w:tc>
        <w:tc>
          <w:tcPr>
            <w:tcW w:w="651" w:type="pct"/>
            <w:vAlign w:val="center"/>
          </w:tcPr>
          <w:p w14:paraId="5AB2646A" w14:textId="77777777" w:rsidR="004E5047" w:rsidRPr="00844EF6" w:rsidRDefault="004E5047" w:rsidP="00134029">
            <w:pPr>
              <w:pStyle w:val="ListParagraph"/>
              <w:numPr>
                <w:ilvl w:val="0"/>
                <w:numId w:val="2"/>
              </w:numPr>
              <w:jc w:val="right"/>
              <w:rPr>
                <w:rFonts w:eastAsia="Calibri" w:cs="Times New Roman"/>
                <w:lang w:val="en-US"/>
              </w:rPr>
            </w:pPr>
          </w:p>
        </w:tc>
      </w:tr>
    </w:tbl>
    <w:p w14:paraId="06B6B9B4" w14:textId="77777777" w:rsidR="005D30B7" w:rsidRPr="00844EF6" w:rsidRDefault="005D30B7" w:rsidP="005D30B7">
      <w:pPr>
        <w:rPr>
          <w:rFonts w:eastAsia="Times New Roman" w:cs="Times New Roman"/>
        </w:rPr>
      </w:pPr>
    </w:p>
    <w:p w14:paraId="4295871E" w14:textId="5A45C2BB" w:rsidR="004E5047" w:rsidRPr="00844EF6" w:rsidRDefault="004E5047" w:rsidP="005D30B7">
      <w:pPr>
        <w:rPr>
          <w:rFonts w:cs="Times New Roman"/>
        </w:rPr>
      </w:pPr>
      <w:r w:rsidRPr="00844EF6">
        <w:rPr>
          <w:rFonts w:eastAsia="Times New Roman"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(s,i)</m:t>
            </m:r>
          </m:sub>
        </m:sSub>
      </m:oMath>
      <w:r w:rsidRPr="00844EF6">
        <w:rPr>
          <w:rFonts w:eastAsia="Times New Roman" w:cs="Times New Roman"/>
        </w:rPr>
        <w:t xml:space="preserve"> is the expected number of crashes </w:t>
      </w:r>
      <w:r w:rsidR="00A93321" w:rsidRPr="00844EF6">
        <w:rPr>
          <w:rFonts w:eastAsia="Times New Roman" w:cs="Times New Roman"/>
        </w:rPr>
        <w:t xml:space="preserve">that </w:t>
      </w:r>
      <w:r w:rsidRPr="00844EF6">
        <w:rPr>
          <w:rFonts w:eastAsia="Times New Roman" w:cs="Times New Roman"/>
        </w:rPr>
        <w:t>correspond to each micro</w:t>
      </w:r>
      <w:r w:rsidR="00846B89" w:rsidRPr="00844EF6">
        <w:rPr>
          <w:rFonts w:eastAsia="Times New Roman" w:cs="Times New Roman"/>
        </w:rPr>
        <w:t xml:space="preserve"> level</w:t>
      </w:r>
      <w:r w:rsidRPr="00844EF6">
        <w:rPr>
          <w:rFonts w:eastAsia="Times New Roman" w:cs="Times New Roman"/>
        </w:rPr>
        <w:t xml:space="preserve"> spatial unit </w:t>
      </w:r>
      <w:r w:rsidR="00846B89" w:rsidRPr="00844EF6">
        <w:rPr>
          <w:rFonts w:eastAsia="Times New Roman" w:cs="Times New Roman"/>
        </w:rPr>
        <w:t>(</w:t>
      </w:r>
      <w:r w:rsidRPr="00844EF6">
        <w:rPr>
          <w:rFonts w:eastAsia="Times New Roman" w:cs="Times New Roman"/>
        </w:rPr>
        <w:t>segments</w:t>
      </w:r>
      <w:r w:rsidR="00A93321" w:rsidRPr="00844EF6">
        <w:rPr>
          <w:rFonts w:eastAsia="Times New Roman" w:cs="Times New Roman"/>
        </w:rPr>
        <w:t xml:space="preserve"> (</w:t>
      </w:r>
      <w:r w:rsidR="00A93321" w:rsidRPr="00844EF6">
        <w:rPr>
          <w:rFonts w:eastAsia="Times New Roman" w:cs="Times New Roman"/>
          <w:i/>
          <w:iCs/>
        </w:rPr>
        <w:t>s</w:t>
      </w:r>
      <w:r w:rsidR="00A93321" w:rsidRPr="00844EF6">
        <w:rPr>
          <w:rFonts w:eastAsia="Times New Roman" w:cs="Times New Roman"/>
        </w:rPr>
        <w:t>)</w:t>
      </w:r>
      <w:r w:rsidRPr="00844EF6">
        <w:rPr>
          <w:rFonts w:eastAsia="Times New Roman" w:cs="Times New Roman"/>
        </w:rPr>
        <w:t xml:space="preserve"> and intersections</w:t>
      </w:r>
      <w:r w:rsidR="00A93321" w:rsidRPr="00844EF6">
        <w:rPr>
          <w:rFonts w:eastAsia="Times New Roman" w:cs="Times New Roman"/>
        </w:rPr>
        <w:t xml:space="preserve"> (</w:t>
      </w:r>
      <w:proofErr w:type="spellStart"/>
      <w:r w:rsidR="00A93321" w:rsidRPr="00844EF6">
        <w:rPr>
          <w:rFonts w:eastAsia="Times New Roman" w:cs="Times New Roman"/>
          <w:i/>
          <w:iCs/>
        </w:rPr>
        <w:t>i</w:t>
      </w:r>
      <w:proofErr w:type="spellEnd"/>
      <w:r w:rsidR="00A93321" w:rsidRPr="00844EF6">
        <w:rPr>
          <w:rFonts w:eastAsia="Times New Roman" w:cs="Times New Roman"/>
        </w:rPr>
        <w:t>)</w:t>
      </w:r>
      <w:r w:rsidR="00846B89" w:rsidRPr="00844EF6">
        <w:rPr>
          <w:rFonts w:eastAsia="Times New Roman" w:cs="Times New Roman"/>
        </w:rPr>
        <w:t>)</w:t>
      </w:r>
      <w:r w:rsidRPr="00844EF6">
        <w:rPr>
          <w:rFonts w:eastAsia="Times New Roman" w:cs="Times New Roman"/>
        </w:rPr>
        <w:t xml:space="preserve">.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x</m:t>
            </m:r>
          </m:e>
          <m:sub>
            <m:r>
              <w:rPr>
                <w:rFonts w:ascii="Cambria Math" w:eastAsia="Calibri" w:hAnsi="Cambria Math" w:cs="Times New Roman"/>
              </w:rPr>
              <m:t>(s,i)</m:t>
            </m:r>
          </m:sub>
        </m:sSub>
      </m:oMath>
      <w:r w:rsidRPr="00844EF6">
        <w:rPr>
          <w:rFonts w:eastAsia="Times New Roman" w:cs="Times New Roman"/>
        </w:rPr>
        <w:t xml:space="preserve"> is a vector of explanatory variables and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β</m:t>
            </m:r>
          </m:e>
          <m:sub>
            <m:r>
              <w:rPr>
                <w:rFonts w:ascii="Cambria Math" w:eastAsia="Calibri" w:hAnsi="Cambria Math" w:cs="Times New Roman"/>
              </w:rPr>
              <m:t>s,i</m:t>
            </m:r>
          </m:sub>
        </m:sSub>
      </m:oMath>
      <w:r w:rsidRPr="00844EF6">
        <w:rPr>
          <w:rFonts w:eastAsia="Times New Roman" w:cs="Times New Roman"/>
          <w:b/>
        </w:rPr>
        <w:t xml:space="preserve"> </w:t>
      </w:r>
      <w:r w:rsidRPr="00844EF6">
        <w:rPr>
          <w:rFonts w:eastAsia="Times New Roman" w:cs="Times New Roman"/>
        </w:rPr>
        <w:t xml:space="preserve">is a vector of </w:t>
      </w:r>
      <w:r w:rsidR="00703CAF" w:rsidRPr="00844EF6">
        <w:rPr>
          <w:rFonts w:eastAsia="Times New Roman" w:cs="Times New Roman"/>
        </w:rPr>
        <w:t xml:space="preserve">mean </w:t>
      </w:r>
      <w:r w:rsidRPr="00844EF6">
        <w:rPr>
          <w:rFonts w:eastAsia="Times New Roman" w:cs="Times New Roman"/>
        </w:rPr>
        <w:t>coefficients to be estimated corresponds to the spatial unit</w:t>
      </w:r>
      <m:oMath>
        <m:r>
          <w:rPr>
            <w:rFonts w:ascii="Cambria Math" w:eastAsia="Times New Roman" w:hAnsi="Cambria Math" w:cs="Times New Roman"/>
          </w:rPr>
          <m:t>(s,i)</m:t>
        </m:r>
      </m:oMath>
      <w:r w:rsidRPr="00844EF6">
        <w:rPr>
          <w:rFonts w:eastAsia="Times New Roman" w:cs="Times New Roman"/>
        </w:rPr>
        <w:t xml:space="preserve">.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ϱ</m:t>
            </m:r>
          </m:e>
          <m:sub>
            <m:d>
              <m:dPr>
                <m:ctrlPr>
                  <w:rPr>
                    <w:rFonts w:ascii="Cambria Math" w:eastAsia="Calibri" w:hAnsi="Cambria Math" w:cs="Times New Roman"/>
                    <w:i/>
                  </w:rPr>
                </m:ctrlPr>
              </m:dPr>
              <m:e>
                <m:r>
                  <w:rPr>
                    <w:rFonts w:ascii="Cambria Math" w:eastAsia="Calibri" w:hAnsi="Cambria Math" w:cs="Times New Roman"/>
                  </w:rPr>
                  <m:t>s,i</m:t>
                </m:r>
              </m:e>
            </m:d>
          </m:sub>
        </m:sSub>
      </m:oMath>
      <w:r w:rsidRPr="00844EF6">
        <w:rPr>
          <w:rFonts w:eastAsia="Times New Roman" w:cs="Times New Roman"/>
        </w:rPr>
        <w:t xml:space="preserve"> is a </w:t>
      </w:r>
      <w:r w:rsidRPr="00844EF6">
        <w:rPr>
          <w:rFonts w:cs="Times New Roman"/>
        </w:rPr>
        <w:t xml:space="preserve">vector of unobserved factors moderating the influence of attributes in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x</m:t>
            </m:r>
          </m:e>
          <m:sub>
            <m:r>
              <w:rPr>
                <w:rFonts w:ascii="Cambria Math" w:eastAsia="Calibri" w:hAnsi="Cambria Math" w:cs="Times New Roman"/>
              </w:rPr>
              <m:t>(s,i)</m:t>
            </m:r>
          </m:sub>
        </m:sSub>
      </m:oMath>
      <w:r w:rsidRPr="00844EF6">
        <w:rPr>
          <w:rFonts w:cs="Times New Roman"/>
        </w:rPr>
        <w:t xml:space="preserve"> on the total crash count propensity for analysis unit </w:t>
      </w:r>
      <m:oMath>
        <m:r>
          <w:rPr>
            <w:rFonts w:ascii="Cambria Math" w:eastAsia="Times New Roman" w:hAnsi="Cambria Math" w:cs="Times New Roman"/>
          </w:rPr>
          <m:t>(s,i)</m:t>
        </m:r>
      </m:oMath>
      <w:r w:rsidRPr="00844EF6">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z(s,i)</m:t>
            </m:r>
          </m:sub>
        </m:sSub>
      </m:oMath>
      <w:r w:rsidRPr="00844EF6">
        <w:rPr>
          <w:rFonts w:eastAsia="Times New Roman" w:cs="Times New Roman"/>
        </w:rPr>
        <w:t xml:space="preserve"> </w:t>
      </w:r>
      <w:r w:rsidRPr="00844EF6">
        <w:rPr>
          <w:rFonts w:cs="Times New Roman"/>
          <w:lang w:eastAsia="en-CA"/>
        </w:rPr>
        <w:t>is a</w:t>
      </w:r>
      <w:r w:rsidRPr="00844EF6">
        <w:rPr>
          <w:rFonts w:cs="Times New Roman"/>
          <w:b/>
          <w:lang w:eastAsia="en-CA"/>
        </w:rPr>
        <w:t xml:space="preserve"> </w:t>
      </w:r>
      <w:r w:rsidRPr="00844EF6">
        <w:rPr>
          <w:rFonts w:cs="Times New Roman"/>
          <w:lang w:eastAsia="en-CA"/>
        </w:rPr>
        <w:t>vector of unobserved effects specific to the zone</w:t>
      </w:r>
      <w:r w:rsidR="00991E6C" w:rsidRPr="00844EF6">
        <w:rPr>
          <w:rFonts w:cs="Times New Roman"/>
          <w:lang w:eastAsia="en-CA"/>
        </w:rPr>
        <w:t xml:space="preserve"> for either segments or intersections</w:t>
      </w:r>
      <w:r w:rsidRPr="00844EF6">
        <w:rPr>
          <w:rFonts w:cs="Times New Roman"/>
          <w:lang w:eastAsia="en-CA"/>
        </w:rPr>
        <w:t xml:space="preserve"> highlighting the spatial arrangement of the segments and intersection</w:t>
      </w:r>
      <w:r w:rsidR="00844EF6" w:rsidRPr="00844EF6">
        <w:rPr>
          <w:rFonts w:cs="Times New Roman"/>
          <w:lang w:eastAsia="en-CA"/>
        </w:rPr>
        <w:t>s</w:t>
      </w:r>
      <w:r w:rsidRPr="00844EF6">
        <w:rPr>
          <w:rFonts w:cs="Times New Roman"/>
          <w:lang w:eastAsia="en-CA"/>
        </w:rPr>
        <w:t xml:space="preserve"> within the same zone. </w:t>
      </w:r>
      <w:r w:rsidRPr="00844EF6">
        <w:rPr>
          <w:rFonts w:cs="Times New Roman"/>
        </w:rPr>
        <w:t xml:space="preserve">This </w:t>
      </w: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z(s,i)</m:t>
            </m:r>
          </m:sub>
        </m:sSub>
      </m:oMath>
      <w:r w:rsidRPr="00844EF6">
        <w:rPr>
          <w:rFonts w:cs="Times New Roman"/>
        </w:rPr>
        <w:t xml:space="preserve"> will be same across the spatial unit </w:t>
      </w:r>
      <m:oMath>
        <m:r>
          <w:rPr>
            <w:rFonts w:ascii="Cambria Math" w:eastAsia="Times New Roman" w:hAnsi="Cambria Math" w:cs="Times New Roman"/>
          </w:rPr>
          <m:t>(s,i)</m:t>
        </m:r>
      </m:oMath>
      <w:r w:rsidRPr="00844EF6">
        <w:rPr>
          <w:rFonts w:cs="Times New Roman"/>
        </w:rPr>
        <w:t xml:space="preserve"> if they </w:t>
      </w:r>
      <w:r w:rsidRPr="00844EF6">
        <w:rPr>
          <w:rFonts w:cs="Times New Roman"/>
        </w:rPr>
        <w:lastRenderedPageBreak/>
        <w:t xml:space="preserve">correspond to same zone (TAZ) and thus the adjacency heterogeneity (dependency) will be captured through the proposed system. Finally, </w:t>
      </w:r>
      <m:oMath>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(s,i)</m:t>
            </m:r>
          </m:sub>
        </m:sSub>
      </m:oMath>
      <w:r w:rsidRPr="00844EF6">
        <w:rPr>
          <w:rFonts w:eastAsia="Times New Roman" w:cs="Times New Roman"/>
        </w:rPr>
        <w:t xml:space="preserve"> term represents a gamma distributed error term with mean 1 and variance </w:t>
      </w:r>
      <m:oMath>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(s,i)</m:t>
            </m:r>
          </m:sub>
        </m:sSub>
        <m:r>
          <w:rPr>
            <w:rFonts w:ascii="Cambria Math" w:eastAsia="Times New Roman" w:hAnsi="Cambria Math" w:cs="Times New Roman"/>
          </w:rPr>
          <m:t>'</m:t>
        </m:r>
      </m:oMath>
      <w:r w:rsidR="0004670B">
        <w:rPr>
          <w:rFonts w:eastAsia="Times New Roman" w:cs="Times New Roman"/>
        </w:rPr>
        <w:t>.</w:t>
      </w:r>
    </w:p>
    <w:p w14:paraId="7D6D726C" w14:textId="709627D9" w:rsidR="004E5047" w:rsidRPr="00844EF6" w:rsidRDefault="004E5047" w:rsidP="005D30B7">
      <w:pPr>
        <w:ind w:firstLine="720"/>
        <w:rPr>
          <w:rFonts w:eastAsia="Times New Roman" w:cs="Times New Roman"/>
        </w:rPr>
      </w:pPr>
      <w:r w:rsidRPr="00844EF6">
        <w:rPr>
          <w:rFonts w:cs="Times New Roman"/>
        </w:rPr>
        <w:t xml:space="preserve">The reader would note that, </w:t>
      </w:r>
      <w:r w:rsidRPr="00844EF6">
        <w:rPr>
          <w:rFonts w:eastAsia="Times New Roman" w:cs="Times New Roman"/>
        </w:rPr>
        <w:t xml:space="preserve">the spatial unobserved heterogeneity can vary across the spatial unit </w:t>
      </w:r>
      <m:oMath>
        <m:r>
          <w:rPr>
            <w:rFonts w:ascii="Cambria Math" w:eastAsia="Times New Roman" w:hAnsi="Cambria Math" w:cs="Times New Roman"/>
          </w:rPr>
          <m:t>(s,i)</m:t>
        </m:r>
      </m:oMath>
      <w:r w:rsidRPr="00844EF6">
        <w:rPr>
          <w:rFonts w:eastAsia="Times New Roman" w:cs="Times New Roman"/>
        </w:rPr>
        <w:t xml:space="preserve">. Therefore, in the current study, we parameterized the correlation parameter </w:t>
      </w: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z</m:t>
            </m:r>
          </m:sub>
        </m:sSub>
      </m:oMath>
      <w:r w:rsidRPr="00844EF6">
        <w:rPr>
          <w:rFonts w:eastAsia="Times New Roman" w:cs="Times New Roman"/>
        </w:rPr>
        <w:t xml:space="preserve"> as a function of observed attributes as follows:</w:t>
      </w:r>
    </w:p>
    <w:p w14:paraId="4B83962F" w14:textId="77777777" w:rsidR="005D30B7" w:rsidRPr="00844EF6" w:rsidRDefault="005D30B7" w:rsidP="005D30B7">
      <w:pPr>
        <w:ind w:firstLine="720"/>
        <w:rPr>
          <w:rFonts w:eastAsia="Times New Roman" w:cs="Times New Roman"/>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4E5047" w:rsidRPr="00844EF6" w14:paraId="5675FDD9" w14:textId="77777777" w:rsidTr="00FE4351">
        <w:tc>
          <w:tcPr>
            <w:tcW w:w="4349" w:type="pct"/>
            <w:vAlign w:val="center"/>
          </w:tcPr>
          <w:p w14:paraId="6ACB81FB" w14:textId="0AACF9BE" w:rsidR="004E5047" w:rsidRPr="00844EF6" w:rsidRDefault="00C07222" w:rsidP="005D30B7">
            <w:pPr>
              <w:rPr>
                <w:rFonts w:ascii="Times New Roman" w:eastAsia="Calibri" w:hAnsi="Times New Roman" w:cs="Times New Roman"/>
                <w:lang w:val="en-US"/>
              </w:rPr>
            </w:pPr>
            <m:oMathPara>
              <m:oMathParaPr>
                <m:jc m:val="left"/>
              </m:oMathParaPr>
              <m:oMath>
                <m:sSub>
                  <m:sSubPr>
                    <m:ctrlPr>
                      <w:rPr>
                        <w:rFonts w:ascii="Cambria Math" w:eastAsia="Times New Roman" w:hAnsi="Cambria Math" w:cs="Times New Roman"/>
                        <w:i/>
                        <w:lang w:val="en-US"/>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z(s,i)</m:t>
                    </m:r>
                  </m:sub>
                </m:sSub>
                <m:r>
                  <w:rPr>
                    <w:rFonts w:ascii="Cambria Math" w:eastAsia="Times New Roman" w:hAnsi="Cambria Math" w:cs="Times New Roman"/>
                  </w:rPr>
                  <m:t>=</m:t>
                </m:r>
                <m:sSub>
                  <m:sSubPr>
                    <m:ctrlPr>
                      <w:rPr>
                        <w:rFonts w:ascii="Cambria Math" w:eastAsia="Times New Roman" w:hAnsi="Cambria Math" w:cs="Times New Roman"/>
                        <w:b/>
                        <w:i/>
                        <w:lang w:val="en-US"/>
                      </w:rPr>
                    </m:ctrlPr>
                  </m:sSubPr>
                  <m:e>
                    <m:r>
                      <m:rPr>
                        <m:sty m:val="bi"/>
                      </m:rPr>
                      <w:rPr>
                        <w:rFonts w:ascii="Cambria Math" w:eastAsia="Times New Roman" w:hAnsi="Cambria Math" w:cs="Times New Roman"/>
                      </w:rPr>
                      <m:t>γ</m:t>
                    </m:r>
                  </m:e>
                  <m:sub>
                    <m:r>
                      <w:rPr>
                        <w:rFonts w:ascii="Cambria Math" w:eastAsia="Times New Roman" w:hAnsi="Cambria Math" w:cs="Times New Roman"/>
                      </w:rPr>
                      <m:t>z(s,i</m:t>
                    </m:r>
                    <m:r>
                      <m:rPr>
                        <m:sty m:val="bi"/>
                      </m:rPr>
                      <w:rPr>
                        <w:rFonts w:ascii="Cambria Math" w:eastAsia="Times New Roman" w:hAnsi="Cambria Math" w:cs="Times New Roman"/>
                      </w:rPr>
                      <m:t>)</m:t>
                    </m:r>
                  </m:sub>
                </m:sSub>
                <m:sSub>
                  <m:sSubPr>
                    <m:ctrlPr>
                      <w:rPr>
                        <w:rFonts w:ascii="Cambria Math" w:eastAsia="Times New Roman" w:hAnsi="Cambria Math" w:cs="Times New Roman"/>
                        <w:i/>
                        <w:lang w:val="en-US"/>
                      </w:rPr>
                    </m:ctrlPr>
                  </m:sSubPr>
                  <m:e>
                    <m:r>
                      <m:rPr>
                        <m:sty m:val="bi"/>
                      </m:rPr>
                      <w:rPr>
                        <w:rFonts w:ascii="Cambria Math" w:eastAsia="Times New Roman" w:hAnsi="Cambria Math" w:cs="Times New Roman"/>
                      </w:rPr>
                      <m:t>s</m:t>
                    </m:r>
                  </m:e>
                  <m:sub>
                    <m:r>
                      <w:rPr>
                        <w:rFonts w:ascii="Cambria Math" w:eastAsia="Times New Roman" w:hAnsi="Cambria Math" w:cs="Times New Roman"/>
                      </w:rPr>
                      <m:t>z(s,i)</m:t>
                    </m:r>
                  </m:sub>
                </m:sSub>
              </m:oMath>
            </m:oMathPara>
          </w:p>
        </w:tc>
        <w:tc>
          <w:tcPr>
            <w:tcW w:w="651" w:type="pct"/>
            <w:vAlign w:val="center"/>
          </w:tcPr>
          <w:p w14:paraId="1C4677FE" w14:textId="77777777" w:rsidR="004E5047" w:rsidRPr="00844EF6" w:rsidRDefault="004E5047" w:rsidP="00134029">
            <w:pPr>
              <w:pStyle w:val="ListParagraph"/>
              <w:numPr>
                <w:ilvl w:val="0"/>
                <w:numId w:val="2"/>
              </w:numPr>
              <w:jc w:val="right"/>
              <w:rPr>
                <w:rFonts w:eastAsia="Calibri" w:cs="Times New Roman"/>
                <w:lang w:val="en-US"/>
              </w:rPr>
            </w:pPr>
          </w:p>
        </w:tc>
      </w:tr>
    </w:tbl>
    <w:p w14:paraId="38210726" w14:textId="77777777" w:rsidR="005D30B7" w:rsidRPr="00844EF6" w:rsidRDefault="005D30B7" w:rsidP="005D30B7">
      <w:pPr>
        <w:rPr>
          <w:rFonts w:eastAsia="Times New Roman" w:cs="Times New Roman"/>
        </w:rPr>
      </w:pPr>
    </w:p>
    <w:p w14:paraId="2CA1A00B" w14:textId="1CBDCCA1" w:rsidR="008F786E" w:rsidRPr="004048CB" w:rsidRDefault="004E5047" w:rsidP="005D30B7">
      <w:pPr>
        <w:rPr>
          <w:rFonts w:cs="Times New Roman"/>
        </w:rPr>
      </w:pPr>
      <w:r w:rsidRPr="004048CB">
        <w:rPr>
          <w:rFonts w:eastAsia="Times New Roman" w:cs="Times New Roman"/>
        </w:rPr>
        <w:t xml:space="preserve">where,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s</m:t>
            </m:r>
          </m:e>
          <m:sub>
            <m:r>
              <w:rPr>
                <w:rFonts w:ascii="Cambria Math" w:eastAsia="Times New Roman" w:hAnsi="Cambria Math" w:cs="Times New Roman"/>
              </w:rPr>
              <m:t>z(s,i)</m:t>
            </m:r>
          </m:sub>
        </m:sSub>
      </m:oMath>
      <w:r w:rsidRPr="004048CB">
        <w:rPr>
          <w:rFonts w:eastAsia="Times New Roman" w:cs="Times New Roman"/>
        </w:rPr>
        <w:t xml:space="preserve"> is a vector of exogenous variables at </w:t>
      </w:r>
      <w:r w:rsidR="00E962A1" w:rsidRPr="004048CB">
        <w:rPr>
          <w:rFonts w:eastAsia="Times New Roman" w:cs="Times New Roman"/>
        </w:rPr>
        <w:t xml:space="preserve">the </w:t>
      </w:r>
      <w:r w:rsidRPr="004048CB">
        <w:rPr>
          <w:rFonts w:eastAsia="Times New Roman" w:cs="Times New Roman"/>
        </w:rPr>
        <w:t xml:space="preserve">zonal level </w:t>
      </w:r>
      <m:oMath>
        <m:r>
          <w:rPr>
            <w:rFonts w:ascii="Cambria Math" w:eastAsia="Times New Roman" w:hAnsi="Cambria Math" w:cs="Times New Roman"/>
          </w:rPr>
          <m:t>z</m:t>
        </m:r>
      </m:oMath>
      <w:r w:rsidR="00E962A1" w:rsidRPr="004048CB">
        <w:rPr>
          <w:rFonts w:eastAsia="Times New Roman" w:cs="Times New Roman"/>
        </w:rPr>
        <w:t xml:space="preserve"> (including a constant)</w:t>
      </w:r>
      <w:r w:rsidR="00133847" w:rsidRPr="004048CB">
        <w:rPr>
          <w:rFonts w:eastAsia="Times New Roman" w:cs="Times New Roman"/>
        </w:rPr>
        <w:t xml:space="preserve"> employed for segment </w:t>
      </w:r>
      <w:r w:rsidR="00133847" w:rsidRPr="004048CB">
        <w:rPr>
          <w:rFonts w:eastAsia="Times New Roman" w:cs="Times New Roman"/>
          <w:i/>
          <w:iCs/>
        </w:rPr>
        <w:t>s</w:t>
      </w:r>
      <w:r w:rsidR="00133847" w:rsidRPr="004048CB">
        <w:rPr>
          <w:rFonts w:eastAsia="Times New Roman" w:cs="Times New Roman"/>
        </w:rPr>
        <w:t xml:space="preserve"> or intersection </w:t>
      </w:r>
      <w:proofErr w:type="spellStart"/>
      <w:r w:rsidR="00133847" w:rsidRPr="004048CB">
        <w:rPr>
          <w:rFonts w:eastAsia="Times New Roman" w:cs="Times New Roman"/>
          <w:i/>
          <w:iCs/>
        </w:rPr>
        <w:t>i</w:t>
      </w:r>
      <w:proofErr w:type="spellEnd"/>
      <w:r w:rsidRPr="004048CB">
        <w:rPr>
          <w:rFonts w:eastAsia="Times New Roman" w:cs="Times New Roman"/>
        </w:rPr>
        <w:t xml:space="preserve">, </w:t>
      </w:r>
      <m:oMath>
        <m:sSub>
          <m:sSubPr>
            <m:ctrlPr>
              <w:rPr>
                <w:rFonts w:ascii="Cambria Math" w:eastAsia="Times New Roman" w:hAnsi="Cambria Math" w:cs="Times New Roman"/>
                <w:b/>
                <w:i/>
                <w:lang w:val="en-US"/>
              </w:rPr>
            </m:ctrlPr>
          </m:sSubPr>
          <m:e>
            <m:r>
              <m:rPr>
                <m:sty m:val="bi"/>
              </m:rPr>
              <w:rPr>
                <w:rFonts w:ascii="Cambria Math" w:eastAsia="Times New Roman" w:hAnsi="Cambria Math" w:cs="Times New Roman"/>
              </w:rPr>
              <m:t>γ</m:t>
            </m:r>
          </m:e>
          <m:sub>
            <m:r>
              <w:rPr>
                <w:rFonts w:ascii="Cambria Math" w:eastAsia="Times New Roman" w:hAnsi="Cambria Math" w:cs="Times New Roman"/>
              </w:rPr>
              <m:t>z(s,i)</m:t>
            </m:r>
          </m:sub>
        </m:sSub>
      </m:oMath>
      <w:r w:rsidR="00E46024" w:rsidRPr="004048CB">
        <w:rPr>
          <w:rFonts w:eastAsia="Times New Roman" w:cs="Times New Roman"/>
          <w:b/>
          <w:lang w:val="en-US"/>
        </w:rPr>
        <w:t xml:space="preserve"> </w:t>
      </w:r>
      <w:r w:rsidRPr="004048CB">
        <w:rPr>
          <w:rFonts w:eastAsia="Times New Roman" w:cs="Times New Roman"/>
        </w:rPr>
        <w:t>is a vector of parameters to be estimated.</w:t>
      </w:r>
      <w:r w:rsidRPr="004048CB">
        <w:rPr>
          <w:rFonts w:cs="Times New Roman"/>
        </w:rPr>
        <w:t xml:space="preserve"> </w:t>
      </w:r>
    </w:p>
    <w:p w14:paraId="07985EFA" w14:textId="2B59776C" w:rsidR="004E5047" w:rsidRPr="004048CB" w:rsidRDefault="004E5047" w:rsidP="004A5C6A">
      <w:pPr>
        <w:ind w:firstLine="720"/>
      </w:pPr>
      <w:r w:rsidRPr="004048CB">
        <w:rPr>
          <w:rFonts w:cs="Times New Roman"/>
        </w:rPr>
        <w:t xml:space="preserve">Once the micro level propensities are estimated, we adopt two alternative approaches to estimate the zonal level </w:t>
      </w:r>
      <w:r w:rsidR="00E6271C" w:rsidRPr="004048CB">
        <w:rPr>
          <w:rFonts w:cs="Times New Roman"/>
        </w:rPr>
        <w:t>expected number of crashes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z</m:t>
            </m:r>
          </m:sub>
        </m:sSub>
      </m:oMath>
      <w:r w:rsidR="00E6271C" w:rsidRPr="004048CB">
        <w:rPr>
          <w:rFonts w:cs="Times New Roman"/>
        </w:rPr>
        <w:t>)</w:t>
      </w:r>
      <w:r w:rsidRPr="004048CB">
        <w:rPr>
          <w:rFonts w:cs="Times New Roman"/>
        </w:rPr>
        <w:t xml:space="preserve"> as presented in equation 4 and 5 respectively.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4048CB" w:rsidRPr="004048CB" w14:paraId="189E7106" w14:textId="77777777" w:rsidTr="00FE4351">
        <w:tc>
          <w:tcPr>
            <w:tcW w:w="4349" w:type="pct"/>
            <w:vAlign w:val="center"/>
          </w:tcPr>
          <w:p w14:paraId="7B805AEF" w14:textId="77777777" w:rsidR="004E5047" w:rsidRPr="004048CB" w:rsidRDefault="00C07222" w:rsidP="00FE4351">
            <w:pPr>
              <w:spacing w:before="360" w:after="360"/>
              <w:rPr>
                <w:rFonts w:asciiTheme="majorHAnsi" w:eastAsia="Calibri" w:hAnsiTheme="majorHAnsi" w:cstheme="majorHAnsi"/>
                <w:sz w:val="24"/>
                <w:szCs w:val="24"/>
                <w:lang w:val="en-US"/>
              </w:rPr>
            </w:pPr>
            <m:oMathPara>
              <m:oMathParaPr>
                <m:jc m:val="left"/>
              </m:oMathParaPr>
              <m:oMath>
                <m:sSub>
                  <m:sSubPr>
                    <m:ctrlPr>
                      <w:rPr>
                        <w:rFonts w:ascii="Cambria Math" w:eastAsia="Calibri" w:hAnsi="Cambria Math" w:cstheme="majorHAnsi"/>
                        <w:i/>
                        <w:sz w:val="24"/>
                        <w:szCs w:val="24"/>
                        <w:lang w:val="en-US"/>
                      </w:rPr>
                    </m:ctrlPr>
                  </m:sSubPr>
                  <m:e>
                    <m:r>
                      <w:rPr>
                        <w:rFonts w:ascii="Cambria Math" w:eastAsia="Calibri" w:hAnsi="Cambria Math" w:cstheme="majorHAnsi"/>
                        <w:szCs w:val="24"/>
                      </w:rPr>
                      <m:t>v</m:t>
                    </m:r>
                  </m:e>
                  <m:sub>
                    <m:r>
                      <w:rPr>
                        <w:rFonts w:ascii="Cambria Math" w:eastAsia="Calibri" w:hAnsi="Cambria Math" w:cstheme="majorHAnsi"/>
                        <w:szCs w:val="24"/>
                      </w:rPr>
                      <m:t>z</m:t>
                    </m:r>
                  </m:sub>
                </m:sSub>
                <m:r>
                  <w:rPr>
                    <w:rFonts w:ascii="Cambria Math" w:eastAsia="Times New Roman" w:hAnsi="Cambria Math" w:cstheme="majorHAnsi"/>
                    <w:szCs w:val="24"/>
                  </w:rPr>
                  <m:t>=E</m:t>
                </m:r>
                <m:d>
                  <m:dPr>
                    <m:ctrlPr>
                      <w:rPr>
                        <w:rFonts w:ascii="Cambria Math" w:eastAsia="Times New Roman" w:hAnsi="Cambria Math" w:cstheme="majorHAnsi"/>
                        <w:i/>
                        <w:sz w:val="24"/>
                        <w:szCs w:val="24"/>
                        <w:lang w:val="en-US"/>
                      </w:rPr>
                    </m:ctrlPr>
                  </m:dPr>
                  <m:e>
                    <m:sSub>
                      <m:sSubPr>
                        <m:ctrlPr>
                          <w:rPr>
                            <w:rFonts w:ascii="Cambria Math" w:eastAsia="Calibri" w:hAnsi="Cambria Math" w:cstheme="majorHAnsi"/>
                            <w:i/>
                            <w:sz w:val="24"/>
                            <w:szCs w:val="24"/>
                            <w:lang w:val="en-US"/>
                          </w:rPr>
                        </m:ctrlPr>
                      </m:sSubPr>
                      <m:e>
                        <m:r>
                          <w:rPr>
                            <w:rFonts w:ascii="Cambria Math" w:eastAsia="Calibri" w:hAnsi="Cambria Math" w:cstheme="majorHAnsi"/>
                            <w:szCs w:val="24"/>
                          </w:rPr>
                          <m:t>y</m:t>
                        </m:r>
                      </m:e>
                      <m:sub>
                        <m:r>
                          <w:rPr>
                            <w:rFonts w:ascii="Cambria Math" w:eastAsia="Calibri" w:hAnsi="Cambria Math" w:cstheme="majorHAnsi"/>
                            <w:szCs w:val="24"/>
                          </w:rPr>
                          <m:t>z</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c</m:t>
                        </m:r>
                      </m:e>
                      <m:sub>
                        <m:r>
                          <w:rPr>
                            <w:rFonts w:ascii="Cambria Math" w:eastAsia="Calibri" w:hAnsi="Cambria Math" w:cstheme="majorHAnsi"/>
                            <w:szCs w:val="24"/>
                          </w:rPr>
                          <m:t>z</m:t>
                        </m:r>
                      </m:sub>
                    </m:sSub>
                  </m:e>
                </m:d>
                <m:r>
                  <w:rPr>
                    <w:rFonts w:ascii="Cambria Math" w:eastAsia="Times New Roman" w:hAnsi="Cambria Math" w:cstheme="majorHAnsi"/>
                    <w:szCs w:val="24"/>
                  </w:rPr>
                  <m:t>=exp</m:t>
                </m:r>
                <m:d>
                  <m:dPr>
                    <m:ctrlPr>
                      <w:rPr>
                        <w:rFonts w:ascii="Cambria Math" w:eastAsia="Times New Roman" w:hAnsi="Cambria Math" w:cstheme="majorHAnsi"/>
                        <w:i/>
                        <w:sz w:val="24"/>
                        <w:szCs w:val="24"/>
                        <w:lang w:val="en-US"/>
                      </w:rPr>
                    </m:ctrlPr>
                  </m:dPr>
                  <m:e>
                    <m:d>
                      <m:dPr>
                        <m:ctrlPr>
                          <w:rPr>
                            <w:rFonts w:ascii="Cambria Math" w:eastAsia="Times New Roman" w:hAnsi="Cambria Math" w:cstheme="majorHAnsi"/>
                            <w:b/>
                            <w:i/>
                            <w:sz w:val="24"/>
                            <w:szCs w:val="24"/>
                            <w:lang w:val="en-US"/>
                          </w:rPr>
                        </m:ctrlPr>
                      </m:dPr>
                      <m:e>
                        <m:r>
                          <m:rPr>
                            <m:sty m:val="bi"/>
                          </m:rPr>
                          <w:rPr>
                            <w:rFonts w:ascii="Cambria Math" w:eastAsia="Times New Roman" w:hAnsi="Cambria Math" w:cstheme="majorHAnsi"/>
                            <w:szCs w:val="24"/>
                          </w:rPr>
                          <m:t>∝</m:t>
                        </m:r>
                        <m:r>
                          <w:rPr>
                            <w:rFonts w:ascii="Cambria Math" w:eastAsia="Times New Roman" w:hAnsi="Cambria Math" w:cstheme="majorHAnsi"/>
                            <w:szCs w:val="24"/>
                          </w:rPr>
                          <m:t>+</m:t>
                        </m:r>
                        <m:sSub>
                          <m:sSubPr>
                            <m:ctrlPr>
                              <w:rPr>
                                <w:rFonts w:ascii="Cambria Math" w:eastAsia="Times New Roman" w:hAnsi="Cambria Math" w:cstheme="majorHAnsi"/>
                                <w:i/>
                                <w:sz w:val="24"/>
                                <w:szCs w:val="24"/>
                              </w:rPr>
                            </m:ctrlPr>
                          </m:sSubPr>
                          <m:e>
                            <m:r>
                              <m:rPr>
                                <m:sty m:val="bi"/>
                              </m:rPr>
                              <w:rPr>
                                <w:rFonts w:ascii="Cambria Math" w:eastAsia="Times New Roman" w:hAnsi="Cambria Math" w:cstheme="majorHAnsi"/>
                                <w:szCs w:val="24"/>
                              </w:rPr>
                              <m:t>ϕ</m:t>
                            </m:r>
                          </m:e>
                          <m:sub>
                            <m:r>
                              <w:rPr>
                                <w:rFonts w:ascii="Cambria Math" w:eastAsia="Calibri" w:hAnsi="Cambria Math" w:cstheme="majorHAnsi"/>
                                <w:szCs w:val="24"/>
                              </w:rPr>
                              <m:t>z</m:t>
                            </m:r>
                          </m:sub>
                        </m:sSub>
                        <m:ctrlPr>
                          <w:rPr>
                            <w:rFonts w:ascii="Cambria Math" w:eastAsia="Times New Roman" w:hAnsi="Cambria Math" w:cstheme="majorHAnsi"/>
                            <w:i/>
                            <w:sz w:val="24"/>
                            <w:szCs w:val="24"/>
                            <w:lang w:val="en-US"/>
                          </w:rPr>
                        </m:ctrlPr>
                      </m:e>
                    </m:d>
                    <m:sSub>
                      <m:sSubPr>
                        <m:ctrlPr>
                          <w:rPr>
                            <w:rFonts w:ascii="Cambria Math" w:eastAsia="Times New Roman" w:hAnsi="Cambria Math" w:cstheme="majorHAnsi"/>
                            <w:i/>
                            <w:sz w:val="24"/>
                            <w:szCs w:val="24"/>
                            <w:lang w:val="en-US"/>
                          </w:rPr>
                        </m:ctrlPr>
                      </m:sSubPr>
                      <m:e>
                        <m:r>
                          <m:rPr>
                            <m:sty m:val="bi"/>
                          </m:rPr>
                          <w:rPr>
                            <w:rFonts w:ascii="Cambria Math" w:eastAsia="Times New Roman" w:hAnsi="Cambria Math" w:cstheme="majorHAnsi"/>
                            <w:szCs w:val="24"/>
                          </w:rPr>
                          <m:t>c</m:t>
                        </m:r>
                      </m:e>
                      <m:sub>
                        <m:r>
                          <w:rPr>
                            <w:rFonts w:ascii="Cambria Math" w:eastAsia="Calibri" w:hAnsi="Cambria Math" w:cstheme="majorHAnsi"/>
                            <w:szCs w:val="24"/>
                          </w:rPr>
                          <m:t>z</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ρ</m:t>
                        </m:r>
                      </m:e>
                      <m:sub>
                        <m:r>
                          <w:rPr>
                            <w:rFonts w:ascii="Cambria Math" w:eastAsia="Times New Roman" w:hAnsi="Cambria Math" w:cstheme="majorHAnsi"/>
                            <w:szCs w:val="24"/>
                          </w:rPr>
                          <m:t>s</m:t>
                        </m:r>
                      </m:sub>
                    </m:sSub>
                    <m:r>
                      <w:rPr>
                        <w:rFonts w:ascii="Cambria Math" w:eastAsia="Times New Roman" w:hAnsi="Cambria Math" w:cstheme="majorHAnsi"/>
                        <w:szCs w:val="24"/>
                      </w:rPr>
                      <m:t>*</m:t>
                    </m:r>
                    <m:func>
                      <m:funcPr>
                        <m:ctrlPr>
                          <w:rPr>
                            <w:rFonts w:ascii="Cambria Math" w:eastAsia="Times New Roman" w:hAnsi="Cambria Math" w:cstheme="majorHAnsi"/>
                            <w:sz w:val="24"/>
                            <w:szCs w:val="24"/>
                            <w:lang w:val="en-US"/>
                          </w:rPr>
                        </m:ctrlPr>
                      </m:funcPr>
                      <m:fName>
                        <m:r>
                          <m:rPr>
                            <m:sty m:val="p"/>
                          </m:rPr>
                          <w:rPr>
                            <w:rFonts w:ascii="Cambria Math" w:eastAsia="Times New Roman" w:hAnsi="Cambria Math" w:cstheme="majorHAnsi"/>
                            <w:szCs w:val="24"/>
                          </w:rPr>
                          <m:t>ln</m:t>
                        </m:r>
                        <m:ctrlPr>
                          <w:rPr>
                            <w:rFonts w:ascii="Cambria Math" w:eastAsia="Times New Roman" w:hAnsi="Cambria Math" w:cstheme="majorHAnsi"/>
                            <w:i/>
                            <w:sz w:val="24"/>
                            <w:szCs w:val="24"/>
                            <w:lang w:val="en-US"/>
                          </w:rPr>
                        </m:ctrlPr>
                      </m:fName>
                      <m:e>
                        <m:d>
                          <m:dPr>
                            <m:ctrlPr>
                              <w:rPr>
                                <w:rFonts w:ascii="Cambria Math" w:eastAsia="Times New Roman" w:hAnsi="Cambria Math" w:cstheme="majorHAnsi"/>
                                <w:i/>
                                <w:sz w:val="24"/>
                                <w:szCs w:val="24"/>
                                <w:lang w:val="en-US"/>
                              </w:rPr>
                            </m:ctrlPr>
                          </m:dPr>
                          <m:e>
                            <m:nary>
                              <m:naryPr>
                                <m:chr m:val="∑"/>
                                <m:grow m:val="1"/>
                                <m:ctrlPr>
                                  <w:rPr>
                                    <w:rFonts w:ascii="Cambria Math" w:eastAsia="Times New Roman" w:hAnsi="Cambria Math" w:cstheme="majorHAnsi"/>
                                    <w:sz w:val="24"/>
                                    <w:szCs w:val="24"/>
                                    <w:lang w:val="en-US"/>
                                  </w:rPr>
                                </m:ctrlPr>
                              </m:naryPr>
                              <m:sub>
                                <m:r>
                                  <w:rPr>
                                    <w:rFonts w:ascii="Cambria Math" w:eastAsia="Times New Roman" w:hAnsi="Cambria Math" w:cstheme="majorHAnsi"/>
                                    <w:szCs w:val="24"/>
                                  </w:rPr>
                                  <m:t>p=1</m:t>
                                </m:r>
                              </m:sub>
                              <m:sup>
                                <m:r>
                                  <w:rPr>
                                    <w:rFonts w:ascii="Cambria Math" w:eastAsia="Times New Roman" w:hAnsi="Cambria Math" w:cstheme="majorHAnsi"/>
                                    <w:szCs w:val="24"/>
                                  </w:rPr>
                                  <m:t>Sz</m:t>
                                </m:r>
                              </m:sup>
                              <m:e>
                                <m:d>
                                  <m:dPr>
                                    <m:ctrlPr>
                                      <w:rPr>
                                        <w:rFonts w:ascii="Cambria Math" w:eastAsia="Times New Roman" w:hAnsi="Cambria Math" w:cstheme="majorHAnsi"/>
                                        <w:sz w:val="24"/>
                                        <w:szCs w:val="24"/>
                                        <w:lang w:val="en-US"/>
                                      </w:rPr>
                                    </m:ctrlPr>
                                  </m:dPr>
                                  <m:e>
                                    <m:sSub>
                                      <m:sSubPr>
                                        <m:ctrlPr>
                                          <w:rPr>
                                            <w:rFonts w:ascii="Cambria Math" w:eastAsia="Calibri" w:hAnsi="Cambria Math" w:cstheme="majorHAnsi"/>
                                            <w:i/>
                                            <w:sz w:val="24"/>
                                            <w:szCs w:val="24"/>
                                            <w:lang w:val="en-US"/>
                                          </w:rPr>
                                        </m:ctrlPr>
                                      </m:sSubPr>
                                      <m:e>
                                        <m:r>
                                          <w:rPr>
                                            <w:rFonts w:ascii="Cambria Math" w:eastAsia="Calibri" w:hAnsi="Cambria Math" w:cstheme="majorHAnsi"/>
                                            <w:szCs w:val="24"/>
                                          </w:rPr>
                                          <m:t>v</m:t>
                                        </m:r>
                                      </m:e>
                                      <m:sub>
                                        <m:r>
                                          <w:rPr>
                                            <w:rFonts w:ascii="Cambria Math" w:eastAsia="Calibri" w:hAnsi="Cambria Math" w:cstheme="majorHAnsi"/>
                                            <w:szCs w:val="24"/>
                                          </w:rPr>
                                          <m:t>s</m:t>
                                        </m:r>
                                      </m:sub>
                                    </m:sSub>
                                  </m:e>
                                </m:d>
                              </m:e>
                            </m:nary>
                            <m:ctrlPr>
                              <w:rPr>
                                <w:rFonts w:ascii="Cambria Math" w:eastAsia="Calibri" w:hAnsi="Cambria Math" w:cstheme="majorHAnsi"/>
                                <w:i/>
                                <w:sz w:val="24"/>
                                <w:szCs w:val="24"/>
                                <w:lang w:val="en-US"/>
                              </w:rPr>
                            </m:ctrlPr>
                          </m:e>
                        </m:d>
                      </m:e>
                    </m:func>
                    <m:r>
                      <w:rPr>
                        <w:rFonts w:ascii="Cambria Math" w:eastAsia="Calibri" w:hAnsi="Cambria Math" w:cstheme="majorHAnsi"/>
                        <w:szCs w:val="24"/>
                      </w:rPr>
                      <m:t>+</m:t>
                    </m:r>
                    <m:func>
                      <m:funcPr>
                        <m:ctrlPr>
                          <w:rPr>
                            <w:rFonts w:ascii="Cambria Math" w:eastAsia="Times New Roman" w:hAnsi="Cambria Math" w:cstheme="majorHAnsi"/>
                            <w:sz w:val="24"/>
                            <w:szCs w:val="24"/>
                            <w:lang w:val="en-US"/>
                          </w:rPr>
                        </m:ctrlPr>
                      </m:funcPr>
                      <m:fName>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ρ</m:t>
                            </m:r>
                          </m:e>
                          <m:sub>
                            <m:r>
                              <w:rPr>
                                <w:rFonts w:ascii="Cambria Math" w:eastAsia="Times New Roman" w:hAnsi="Cambria Math" w:cstheme="majorHAnsi"/>
                                <w:szCs w:val="24"/>
                              </w:rPr>
                              <m:t>i</m:t>
                            </m:r>
                          </m:sub>
                        </m:sSub>
                        <m:r>
                          <m:rPr>
                            <m:sty m:val="p"/>
                          </m:rPr>
                          <w:rPr>
                            <w:rFonts w:ascii="Cambria Math" w:eastAsia="Times New Roman" w:hAnsi="Cambria Math" w:cstheme="majorHAnsi"/>
                            <w:szCs w:val="24"/>
                          </w:rPr>
                          <m:t>*ln</m:t>
                        </m:r>
                        <m:ctrlPr>
                          <w:rPr>
                            <w:rFonts w:ascii="Cambria Math" w:eastAsia="Times New Roman" w:hAnsi="Cambria Math" w:cstheme="majorHAnsi"/>
                            <w:i/>
                            <w:sz w:val="24"/>
                            <w:szCs w:val="24"/>
                            <w:lang w:val="en-US"/>
                          </w:rPr>
                        </m:ctrlPr>
                      </m:fName>
                      <m:e>
                        <m:d>
                          <m:dPr>
                            <m:ctrlPr>
                              <w:rPr>
                                <w:rFonts w:ascii="Cambria Math" w:eastAsia="Times New Roman" w:hAnsi="Cambria Math" w:cstheme="majorHAnsi"/>
                                <w:i/>
                                <w:sz w:val="24"/>
                                <w:szCs w:val="24"/>
                                <w:lang w:val="en-US"/>
                              </w:rPr>
                            </m:ctrlPr>
                          </m:dPr>
                          <m:e>
                            <m:nary>
                              <m:naryPr>
                                <m:chr m:val="∑"/>
                                <m:grow m:val="1"/>
                                <m:ctrlPr>
                                  <w:rPr>
                                    <w:rFonts w:ascii="Cambria Math" w:eastAsia="Times New Roman" w:hAnsi="Cambria Math" w:cstheme="majorHAnsi"/>
                                    <w:sz w:val="24"/>
                                    <w:szCs w:val="24"/>
                                    <w:lang w:val="en-US"/>
                                  </w:rPr>
                                </m:ctrlPr>
                              </m:naryPr>
                              <m:sub>
                                <m:r>
                                  <w:rPr>
                                    <w:rFonts w:ascii="Cambria Math" w:eastAsia="Times New Roman" w:hAnsi="Cambria Math" w:cstheme="majorHAnsi"/>
                                    <w:szCs w:val="24"/>
                                  </w:rPr>
                                  <m:t>p=1</m:t>
                                </m:r>
                              </m:sub>
                              <m:sup>
                                <m:r>
                                  <w:rPr>
                                    <w:rFonts w:ascii="Cambria Math" w:eastAsia="Times New Roman" w:hAnsi="Cambria Math" w:cstheme="majorHAnsi"/>
                                    <w:szCs w:val="24"/>
                                  </w:rPr>
                                  <m:t>Iz</m:t>
                                </m:r>
                              </m:sup>
                              <m:e>
                                <m:d>
                                  <m:dPr>
                                    <m:ctrlPr>
                                      <w:rPr>
                                        <w:rFonts w:ascii="Cambria Math" w:eastAsia="Times New Roman" w:hAnsi="Cambria Math" w:cstheme="majorHAnsi"/>
                                        <w:sz w:val="24"/>
                                        <w:szCs w:val="24"/>
                                        <w:lang w:val="en-US"/>
                                      </w:rPr>
                                    </m:ctrlPr>
                                  </m:dPr>
                                  <m:e>
                                    <m:sSub>
                                      <m:sSubPr>
                                        <m:ctrlPr>
                                          <w:rPr>
                                            <w:rFonts w:ascii="Cambria Math" w:eastAsia="Calibri" w:hAnsi="Cambria Math" w:cstheme="majorHAnsi"/>
                                            <w:i/>
                                            <w:sz w:val="24"/>
                                            <w:szCs w:val="24"/>
                                            <w:lang w:val="en-US"/>
                                          </w:rPr>
                                        </m:ctrlPr>
                                      </m:sSubPr>
                                      <m:e>
                                        <m:r>
                                          <w:rPr>
                                            <w:rFonts w:ascii="Cambria Math" w:eastAsia="Calibri" w:hAnsi="Cambria Math" w:cstheme="majorHAnsi"/>
                                            <w:szCs w:val="24"/>
                                          </w:rPr>
                                          <m:t>v</m:t>
                                        </m:r>
                                      </m:e>
                                      <m:sub>
                                        <m:r>
                                          <w:rPr>
                                            <w:rFonts w:ascii="Cambria Math" w:eastAsia="Calibri" w:hAnsi="Cambria Math" w:cstheme="majorHAnsi"/>
                                            <w:szCs w:val="24"/>
                                          </w:rPr>
                                          <m:t>i</m:t>
                                        </m:r>
                                      </m:sub>
                                    </m:sSub>
                                  </m:e>
                                </m:d>
                              </m:e>
                            </m:nary>
                            <m:ctrlPr>
                              <w:rPr>
                                <w:rFonts w:ascii="Cambria Math" w:eastAsia="Calibri" w:hAnsi="Cambria Math" w:cstheme="majorHAnsi"/>
                                <w:i/>
                                <w:sz w:val="24"/>
                                <w:szCs w:val="24"/>
                                <w:lang w:val="en-US"/>
                              </w:rPr>
                            </m:ctrlPr>
                          </m:e>
                        </m:d>
                        <m:r>
                          <w:rPr>
                            <w:rFonts w:ascii="Cambria Math" w:eastAsia="Calibri" w:hAnsi="Cambria Math" w:cstheme="majorHAnsi"/>
                            <w:szCs w:val="24"/>
                          </w:rPr>
                          <m:t>+</m:t>
                        </m:r>
                      </m:e>
                    </m:func>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ε</m:t>
                        </m:r>
                      </m:e>
                      <m:sub>
                        <m:r>
                          <w:rPr>
                            <w:rFonts w:ascii="Cambria Math" w:eastAsia="Calibri" w:hAnsi="Cambria Math" w:cstheme="majorHAnsi"/>
                            <w:szCs w:val="24"/>
                          </w:rPr>
                          <m:t>z</m:t>
                        </m:r>
                      </m:sub>
                    </m:sSub>
                  </m:e>
                </m:d>
              </m:oMath>
            </m:oMathPara>
          </w:p>
        </w:tc>
        <w:tc>
          <w:tcPr>
            <w:tcW w:w="651" w:type="pct"/>
            <w:vAlign w:val="center"/>
          </w:tcPr>
          <w:p w14:paraId="062D72EC" w14:textId="77777777" w:rsidR="004E5047" w:rsidRPr="004048CB" w:rsidRDefault="004E5047" w:rsidP="00134029">
            <w:pPr>
              <w:pStyle w:val="ListParagraph"/>
              <w:numPr>
                <w:ilvl w:val="0"/>
                <w:numId w:val="2"/>
              </w:numPr>
              <w:spacing w:before="360" w:after="360"/>
              <w:jc w:val="right"/>
              <w:rPr>
                <w:rFonts w:asciiTheme="majorHAnsi" w:eastAsia="Calibri" w:hAnsiTheme="majorHAnsi" w:cstheme="majorHAnsi"/>
                <w:szCs w:val="24"/>
                <w:lang w:val="en-US"/>
              </w:rPr>
            </w:pPr>
          </w:p>
        </w:tc>
      </w:tr>
      <w:tr w:rsidR="004048CB" w:rsidRPr="004048CB" w14:paraId="767F3813" w14:textId="77777777" w:rsidTr="00FE4351">
        <w:tc>
          <w:tcPr>
            <w:tcW w:w="4349" w:type="pct"/>
          </w:tcPr>
          <w:p w14:paraId="1162A9E1" w14:textId="64956868" w:rsidR="004E5047" w:rsidRPr="004048CB" w:rsidRDefault="00C07222" w:rsidP="00FE4351">
            <w:pPr>
              <w:spacing w:before="360" w:after="360"/>
              <w:rPr>
                <w:rFonts w:asciiTheme="majorHAnsi" w:eastAsia="Calibri" w:hAnsiTheme="majorHAnsi" w:cstheme="majorHAnsi"/>
                <w:sz w:val="24"/>
                <w:szCs w:val="24"/>
                <w:lang w:val="en-US"/>
              </w:rPr>
            </w:pPr>
            <m:oMathPara>
              <m:oMathParaPr>
                <m:jc m:val="left"/>
              </m:oMathParaPr>
              <m:oMath>
                <m:sSub>
                  <m:sSubPr>
                    <m:ctrlPr>
                      <w:rPr>
                        <w:rFonts w:ascii="Cambria Math" w:eastAsia="Calibri" w:hAnsi="Cambria Math" w:cstheme="majorHAnsi"/>
                        <w:i/>
                        <w:sz w:val="24"/>
                        <w:szCs w:val="24"/>
                        <w:lang w:val="en-US"/>
                      </w:rPr>
                    </m:ctrlPr>
                  </m:sSubPr>
                  <m:e>
                    <m:r>
                      <w:rPr>
                        <w:rFonts w:ascii="Cambria Math" w:eastAsia="Calibri" w:hAnsi="Cambria Math" w:cstheme="majorHAnsi"/>
                        <w:szCs w:val="24"/>
                      </w:rPr>
                      <m:t>v</m:t>
                    </m:r>
                  </m:e>
                  <m:sub>
                    <m:r>
                      <w:rPr>
                        <w:rFonts w:ascii="Cambria Math" w:eastAsia="Calibri" w:hAnsi="Cambria Math" w:cstheme="majorHAnsi"/>
                        <w:szCs w:val="24"/>
                      </w:rPr>
                      <m:t>z</m:t>
                    </m:r>
                  </m:sub>
                </m:sSub>
                <m:r>
                  <w:rPr>
                    <w:rFonts w:ascii="Cambria Math" w:eastAsia="Times New Roman" w:hAnsi="Cambria Math" w:cstheme="majorHAnsi"/>
                    <w:szCs w:val="24"/>
                  </w:rPr>
                  <m:t>=E</m:t>
                </m:r>
                <m:d>
                  <m:dPr>
                    <m:ctrlPr>
                      <w:rPr>
                        <w:rFonts w:ascii="Cambria Math" w:eastAsia="Times New Roman" w:hAnsi="Cambria Math" w:cstheme="majorHAnsi"/>
                        <w:i/>
                        <w:sz w:val="24"/>
                        <w:szCs w:val="24"/>
                        <w:lang w:val="en-US"/>
                      </w:rPr>
                    </m:ctrlPr>
                  </m:dPr>
                  <m:e>
                    <m:sSub>
                      <m:sSubPr>
                        <m:ctrlPr>
                          <w:rPr>
                            <w:rFonts w:ascii="Cambria Math" w:eastAsia="Calibri" w:hAnsi="Cambria Math" w:cstheme="majorHAnsi"/>
                            <w:i/>
                            <w:sz w:val="24"/>
                            <w:szCs w:val="24"/>
                            <w:lang w:val="en-US"/>
                          </w:rPr>
                        </m:ctrlPr>
                      </m:sSubPr>
                      <m:e>
                        <m:r>
                          <w:rPr>
                            <w:rFonts w:ascii="Cambria Math" w:eastAsia="Calibri" w:hAnsi="Cambria Math" w:cstheme="majorHAnsi"/>
                            <w:szCs w:val="24"/>
                          </w:rPr>
                          <m:t>y</m:t>
                        </m:r>
                      </m:e>
                      <m:sub>
                        <m:r>
                          <w:rPr>
                            <w:rFonts w:ascii="Cambria Math" w:eastAsia="Calibri" w:hAnsi="Cambria Math" w:cstheme="majorHAnsi"/>
                            <w:szCs w:val="24"/>
                          </w:rPr>
                          <m:t>z</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c</m:t>
                        </m:r>
                      </m:e>
                      <m:sub>
                        <m:r>
                          <w:rPr>
                            <w:rFonts w:ascii="Cambria Math" w:eastAsia="Calibri" w:hAnsi="Cambria Math" w:cstheme="majorHAnsi"/>
                            <w:szCs w:val="24"/>
                          </w:rPr>
                          <m:t>z</m:t>
                        </m:r>
                      </m:sub>
                    </m:sSub>
                  </m:e>
                </m:d>
                <m:r>
                  <w:rPr>
                    <w:rFonts w:ascii="Cambria Math" w:eastAsia="Times New Roman" w:hAnsi="Cambria Math" w:cstheme="majorHAnsi"/>
                    <w:szCs w:val="24"/>
                  </w:rPr>
                  <m:t>=exp</m:t>
                </m:r>
                <m:d>
                  <m:dPr>
                    <m:ctrlPr>
                      <w:rPr>
                        <w:rFonts w:ascii="Cambria Math" w:eastAsia="Times New Roman" w:hAnsi="Cambria Math" w:cstheme="majorHAnsi"/>
                        <w:i/>
                        <w:sz w:val="24"/>
                        <w:szCs w:val="24"/>
                        <w:lang w:val="en-US"/>
                      </w:rPr>
                    </m:ctrlPr>
                  </m:dPr>
                  <m:e>
                    <m:d>
                      <m:dPr>
                        <m:ctrlPr>
                          <w:rPr>
                            <w:rFonts w:ascii="Cambria Math" w:eastAsia="Times New Roman" w:hAnsi="Cambria Math" w:cstheme="majorHAnsi"/>
                            <w:b/>
                            <w:i/>
                            <w:sz w:val="24"/>
                            <w:szCs w:val="24"/>
                            <w:lang w:val="en-US"/>
                          </w:rPr>
                        </m:ctrlPr>
                      </m:dPr>
                      <m:e>
                        <m:r>
                          <m:rPr>
                            <m:sty m:val="bi"/>
                          </m:rPr>
                          <w:rPr>
                            <w:rFonts w:ascii="Cambria Math" w:eastAsia="Times New Roman" w:hAnsi="Cambria Math" w:cstheme="majorHAnsi"/>
                            <w:szCs w:val="24"/>
                          </w:rPr>
                          <m:t>∝</m:t>
                        </m:r>
                        <m:r>
                          <w:rPr>
                            <w:rFonts w:ascii="Cambria Math" w:eastAsia="Times New Roman" w:hAnsi="Cambria Math" w:cstheme="majorHAnsi"/>
                            <w:szCs w:val="24"/>
                          </w:rPr>
                          <m:t>+</m:t>
                        </m:r>
                        <m:sSub>
                          <m:sSubPr>
                            <m:ctrlPr>
                              <w:rPr>
                                <w:rFonts w:ascii="Cambria Math" w:eastAsia="Times New Roman" w:hAnsi="Cambria Math" w:cstheme="majorHAnsi"/>
                                <w:i/>
                                <w:sz w:val="24"/>
                                <w:szCs w:val="24"/>
                              </w:rPr>
                            </m:ctrlPr>
                          </m:sSubPr>
                          <m:e>
                            <m:r>
                              <m:rPr>
                                <m:sty m:val="bi"/>
                              </m:rPr>
                              <w:rPr>
                                <w:rFonts w:ascii="Cambria Math" w:eastAsia="Times New Roman" w:hAnsi="Cambria Math" w:cstheme="majorHAnsi"/>
                                <w:szCs w:val="24"/>
                              </w:rPr>
                              <m:t>ϕ</m:t>
                            </m:r>
                          </m:e>
                          <m:sub>
                            <m:r>
                              <w:rPr>
                                <w:rFonts w:ascii="Cambria Math" w:eastAsia="Calibri" w:hAnsi="Cambria Math" w:cstheme="majorHAnsi"/>
                                <w:szCs w:val="24"/>
                              </w:rPr>
                              <m:t>z</m:t>
                            </m:r>
                          </m:sub>
                        </m:sSub>
                        <m:ctrlPr>
                          <w:rPr>
                            <w:rFonts w:ascii="Cambria Math" w:eastAsia="Times New Roman" w:hAnsi="Cambria Math" w:cstheme="majorHAnsi"/>
                            <w:i/>
                            <w:sz w:val="24"/>
                            <w:szCs w:val="24"/>
                            <w:lang w:val="en-US"/>
                          </w:rPr>
                        </m:ctrlPr>
                      </m:e>
                    </m:d>
                    <m:sSub>
                      <m:sSubPr>
                        <m:ctrlPr>
                          <w:rPr>
                            <w:rFonts w:ascii="Cambria Math" w:eastAsia="Times New Roman" w:hAnsi="Cambria Math" w:cstheme="majorHAnsi"/>
                            <w:i/>
                            <w:sz w:val="24"/>
                            <w:szCs w:val="24"/>
                            <w:lang w:val="en-US"/>
                          </w:rPr>
                        </m:ctrlPr>
                      </m:sSubPr>
                      <m:e>
                        <m:r>
                          <m:rPr>
                            <m:sty m:val="bi"/>
                          </m:rPr>
                          <w:rPr>
                            <w:rFonts w:ascii="Cambria Math" w:eastAsia="Times New Roman" w:hAnsi="Cambria Math" w:cstheme="majorHAnsi"/>
                            <w:szCs w:val="24"/>
                          </w:rPr>
                          <m:t>c</m:t>
                        </m:r>
                      </m:e>
                      <m:sub>
                        <m:r>
                          <w:rPr>
                            <w:rFonts w:ascii="Cambria Math" w:eastAsia="Calibri" w:hAnsi="Cambria Math" w:cstheme="majorHAnsi"/>
                            <w:szCs w:val="24"/>
                          </w:rPr>
                          <m:t>z</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ρ</m:t>
                        </m:r>
                      </m:e>
                      <m:sub>
                        <m:r>
                          <w:rPr>
                            <w:rFonts w:ascii="Cambria Math" w:eastAsia="Times New Roman" w:hAnsi="Cambria Math" w:cstheme="majorHAnsi"/>
                            <w:szCs w:val="24"/>
                          </w:rPr>
                          <m:t>s</m:t>
                        </m:r>
                      </m:sub>
                    </m:sSub>
                    <m:r>
                      <w:rPr>
                        <w:rFonts w:ascii="Cambria Math" w:eastAsia="Times New Roman" w:hAnsi="Cambria Math" w:cstheme="majorHAnsi"/>
                        <w:szCs w:val="24"/>
                      </w:rPr>
                      <m:t>*</m:t>
                    </m:r>
                    <m:func>
                      <m:funcPr>
                        <m:ctrlPr>
                          <w:rPr>
                            <w:rFonts w:ascii="Cambria Math" w:eastAsia="Times New Roman" w:hAnsi="Cambria Math" w:cstheme="majorHAnsi"/>
                            <w:sz w:val="24"/>
                            <w:szCs w:val="24"/>
                            <w:lang w:val="en-US"/>
                          </w:rPr>
                        </m:ctrlPr>
                      </m:funcPr>
                      <m:fName>
                        <m:r>
                          <m:rPr>
                            <m:sty m:val="p"/>
                          </m:rPr>
                          <w:rPr>
                            <w:rFonts w:ascii="Cambria Math" w:eastAsia="Times New Roman" w:hAnsi="Cambria Math" w:cstheme="majorHAnsi"/>
                            <w:szCs w:val="24"/>
                          </w:rPr>
                          <m:t>ln</m:t>
                        </m:r>
                        <m:ctrlPr>
                          <w:rPr>
                            <w:rFonts w:ascii="Cambria Math" w:eastAsia="Times New Roman" w:hAnsi="Cambria Math" w:cstheme="majorHAnsi"/>
                            <w:i/>
                            <w:sz w:val="24"/>
                            <w:szCs w:val="24"/>
                            <w:lang w:val="en-US"/>
                          </w:rPr>
                        </m:ctrlPr>
                      </m:fName>
                      <m:e>
                        <m:d>
                          <m:dPr>
                            <m:ctrlPr>
                              <w:rPr>
                                <w:rFonts w:ascii="Cambria Math" w:eastAsia="Times New Roman" w:hAnsi="Cambria Math" w:cstheme="majorHAnsi"/>
                                <w:i/>
                                <w:sz w:val="24"/>
                                <w:szCs w:val="24"/>
                                <w:lang w:val="en-US"/>
                              </w:rPr>
                            </m:ctrlPr>
                          </m:dPr>
                          <m:e>
                            <m:nary>
                              <m:naryPr>
                                <m:chr m:val="∑"/>
                                <m:grow m:val="1"/>
                                <m:ctrlPr>
                                  <w:rPr>
                                    <w:rFonts w:ascii="Cambria Math" w:eastAsia="Times New Roman" w:hAnsi="Cambria Math" w:cstheme="majorHAnsi"/>
                                    <w:sz w:val="24"/>
                                    <w:szCs w:val="24"/>
                                    <w:lang w:val="en-US"/>
                                  </w:rPr>
                                </m:ctrlPr>
                              </m:naryPr>
                              <m:sub>
                                <m:r>
                                  <w:rPr>
                                    <w:rFonts w:ascii="Cambria Math" w:eastAsia="Times New Roman" w:hAnsi="Cambria Math" w:cstheme="majorHAnsi"/>
                                    <w:szCs w:val="24"/>
                                  </w:rPr>
                                  <m:t>p=1</m:t>
                                </m:r>
                              </m:sub>
                              <m:sup>
                                <m:r>
                                  <w:rPr>
                                    <w:rFonts w:ascii="Cambria Math" w:eastAsia="Times New Roman" w:hAnsi="Cambria Math" w:cstheme="majorHAnsi"/>
                                    <w:szCs w:val="24"/>
                                  </w:rPr>
                                  <m:t>Sz</m:t>
                                </m:r>
                              </m:sup>
                              <m:e>
                                <m:d>
                                  <m:dPr>
                                    <m:ctrlPr>
                                      <w:rPr>
                                        <w:rFonts w:ascii="Cambria Math" w:eastAsia="Times New Roman" w:hAnsi="Cambria Math" w:cstheme="majorHAnsi"/>
                                        <w:sz w:val="24"/>
                                        <w:szCs w:val="24"/>
                                        <w:lang w:val="en-US"/>
                                      </w:rPr>
                                    </m:ctrlPr>
                                  </m:dPr>
                                  <m:e>
                                    <m:r>
                                      <w:rPr>
                                        <w:rFonts w:ascii="Cambria Math" w:eastAsia="Times New Roman" w:hAnsi="Cambria Math" w:cstheme="majorHAnsi"/>
                                        <w:szCs w:val="24"/>
                                      </w:rPr>
                                      <m:t>exp</m:t>
                                    </m:r>
                                    <m:d>
                                      <m:dPr>
                                        <m:ctrlPr>
                                          <w:rPr>
                                            <w:rFonts w:ascii="Cambria Math" w:eastAsia="Times New Roman" w:hAnsi="Cambria Math" w:cstheme="majorHAnsi"/>
                                            <w:i/>
                                            <w:sz w:val="24"/>
                                            <w:szCs w:val="24"/>
                                            <w:lang w:val="en-US"/>
                                          </w:rPr>
                                        </m:ctrlPr>
                                      </m:dPr>
                                      <m:e>
                                        <m:r>
                                          <m:rPr>
                                            <m:sty m:val="bi"/>
                                          </m:rPr>
                                          <w:rPr>
                                            <w:rFonts w:ascii="Cambria Math" w:eastAsia="Times New Roman" w:hAnsi="Cambria Math" w:cstheme="majorHAnsi"/>
                                            <w:szCs w:val="24"/>
                                          </w:rPr>
                                          <m:t>(</m:t>
                                        </m:r>
                                        <m:sSub>
                                          <m:sSubPr>
                                            <m:ctrlPr>
                                              <w:rPr>
                                                <w:rFonts w:ascii="Cambria Math" w:eastAsia="Times New Roman" w:hAnsi="Cambria Math" w:cstheme="majorHAnsi"/>
                                                <w:b/>
                                                <w:i/>
                                                <w:sz w:val="24"/>
                                                <w:szCs w:val="24"/>
                                                <w:lang w:val="en-US"/>
                                              </w:rPr>
                                            </m:ctrlPr>
                                          </m:sSubPr>
                                          <m:e>
                                            <m:r>
                                              <m:rPr>
                                                <m:sty m:val="bi"/>
                                              </m:rPr>
                                              <w:rPr>
                                                <w:rFonts w:ascii="Cambria Math" w:eastAsia="Times New Roman" w:hAnsi="Cambria Math" w:cstheme="majorHAnsi"/>
                                                <w:szCs w:val="24"/>
                                              </w:rPr>
                                              <m:t>β</m:t>
                                            </m:r>
                                          </m:e>
                                          <m:sub>
                                            <m:r>
                                              <w:rPr>
                                                <w:rFonts w:ascii="Cambria Math" w:eastAsia="Calibri" w:hAnsi="Cambria Math" w:cstheme="majorHAnsi"/>
                                                <w:szCs w:val="24"/>
                                              </w:rPr>
                                              <m:t>s</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rPr>
                                            </m:ctrlPr>
                                          </m:sSubPr>
                                          <m:e>
                                            <m:r>
                                              <m:rPr>
                                                <m:sty m:val="bi"/>
                                              </m:rPr>
                                              <w:rPr>
                                                <w:rFonts w:ascii="Cambria Math" w:eastAsia="Times New Roman" w:hAnsi="Cambria Math" w:cstheme="majorHAnsi"/>
                                                <w:szCs w:val="24"/>
                                              </w:rPr>
                                              <m:t>ϱ</m:t>
                                            </m:r>
                                          </m:e>
                                          <m:sub>
                                            <m:r>
                                              <w:rPr>
                                                <w:rFonts w:ascii="Cambria Math" w:eastAsia="Calibri" w:hAnsi="Cambria Math" w:cstheme="majorHAnsi"/>
                                                <w:szCs w:val="24"/>
                                              </w:rPr>
                                              <m:t>s</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m:rPr>
                                                <m:sty m:val="bi"/>
                                              </m:rPr>
                                              <w:rPr>
                                                <w:rFonts w:ascii="Cambria Math" w:eastAsia="Times New Roman" w:hAnsi="Cambria Math" w:cstheme="majorHAnsi"/>
                                                <w:szCs w:val="24"/>
                                              </w:rPr>
                                              <m:t>x</m:t>
                                            </m:r>
                                          </m:e>
                                          <m:sub>
                                            <m:r>
                                              <w:rPr>
                                                <w:rFonts w:ascii="Cambria Math" w:eastAsia="Calibri" w:hAnsi="Cambria Math" w:cstheme="majorHAnsi"/>
                                                <w:szCs w:val="24"/>
                                              </w:rPr>
                                              <m:t>s</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 xml:space="preserve"> </m:t>
                                            </m:r>
                                            <m:r>
                                              <m:rPr>
                                                <m:sty m:val="bi"/>
                                              </m:rPr>
                                              <w:rPr>
                                                <w:rFonts w:ascii="Cambria Math" w:hAnsi="Cambria Math" w:cstheme="majorHAnsi"/>
                                                <w:szCs w:val="24"/>
                                              </w:rPr>
                                              <m:t>θ</m:t>
                                            </m:r>
                                          </m:e>
                                          <m:sub>
                                            <m:r>
                                              <w:rPr>
                                                <w:rFonts w:ascii="Cambria Math" w:eastAsia="Calibri" w:hAnsi="Cambria Math" w:cstheme="majorHAnsi"/>
                                                <w:szCs w:val="24"/>
                                              </w:rPr>
                                              <m:t>zs</m:t>
                                            </m:r>
                                          </m:sub>
                                        </m:sSub>
                                      </m:e>
                                    </m:d>
                                  </m:e>
                                </m:d>
                              </m:e>
                            </m:nary>
                            <m:ctrlPr>
                              <w:rPr>
                                <w:rFonts w:ascii="Cambria Math" w:eastAsia="Calibri" w:hAnsi="Cambria Math" w:cstheme="majorHAnsi"/>
                                <w:i/>
                                <w:sz w:val="24"/>
                                <w:szCs w:val="24"/>
                                <w:lang w:val="en-US"/>
                              </w:rPr>
                            </m:ctrlPr>
                          </m:e>
                        </m:d>
                      </m:e>
                    </m:func>
                    <m:r>
                      <w:rPr>
                        <w:rFonts w:ascii="Cambria Math" w:eastAsia="Calibri" w:hAnsi="Cambria Math" w:cstheme="majorHAnsi"/>
                        <w:szCs w:val="24"/>
                      </w:rPr>
                      <m:t>+</m:t>
                    </m:r>
                    <m:func>
                      <m:funcPr>
                        <m:ctrlPr>
                          <w:rPr>
                            <w:rFonts w:ascii="Cambria Math" w:eastAsia="Times New Roman" w:hAnsi="Cambria Math" w:cstheme="majorHAnsi"/>
                            <w:sz w:val="24"/>
                            <w:szCs w:val="24"/>
                            <w:lang w:val="en-US"/>
                          </w:rPr>
                        </m:ctrlPr>
                      </m:funcPr>
                      <m:fName>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ρ</m:t>
                            </m:r>
                          </m:e>
                          <m:sub>
                            <m:r>
                              <w:rPr>
                                <w:rFonts w:ascii="Cambria Math" w:eastAsia="Times New Roman" w:hAnsi="Cambria Math" w:cstheme="majorHAnsi"/>
                                <w:szCs w:val="24"/>
                              </w:rPr>
                              <m:t>i</m:t>
                            </m:r>
                          </m:sub>
                        </m:sSub>
                        <m:r>
                          <m:rPr>
                            <m:sty m:val="p"/>
                          </m:rPr>
                          <w:rPr>
                            <w:rFonts w:ascii="Cambria Math" w:eastAsia="Times New Roman" w:hAnsi="Cambria Math" w:cstheme="majorHAnsi"/>
                            <w:szCs w:val="24"/>
                          </w:rPr>
                          <m:t>*ln</m:t>
                        </m:r>
                        <m:ctrlPr>
                          <w:rPr>
                            <w:rFonts w:ascii="Cambria Math" w:eastAsia="Times New Roman" w:hAnsi="Cambria Math" w:cstheme="majorHAnsi"/>
                            <w:i/>
                            <w:sz w:val="24"/>
                            <w:szCs w:val="24"/>
                            <w:lang w:val="en-US"/>
                          </w:rPr>
                        </m:ctrlPr>
                      </m:fName>
                      <m:e>
                        <m:d>
                          <m:dPr>
                            <m:ctrlPr>
                              <w:rPr>
                                <w:rFonts w:ascii="Cambria Math" w:eastAsia="Times New Roman" w:hAnsi="Cambria Math" w:cstheme="majorHAnsi"/>
                                <w:i/>
                                <w:sz w:val="24"/>
                                <w:szCs w:val="24"/>
                                <w:lang w:val="en-US"/>
                              </w:rPr>
                            </m:ctrlPr>
                          </m:dPr>
                          <m:e>
                            <m:nary>
                              <m:naryPr>
                                <m:chr m:val="∑"/>
                                <m:grow m:val="1"/>
                                <m:ctrlPr>
                                  <w:rPr>
                                    <w:rFonts w:ascii="Cambria Math" w:eastAsia="Times New Roman" w:hAnsi="Cambria Math" w:cstheme="majorHAnsi"/>
                                    <w:sz w:val="24"/>
                                    <w:szCs w:val="24"/>
                                    <w:lang w:val="en-US"/>
                                  </w:rPr>
                                </m:ctrlPr>
                              </m:naryPr>
                              <m:sub>
                                <m:r>
                                  <w:rPr>
                                    <w:rFonts w:ascii="Cambria Math" w:eastAsia="Times New Roman" w:hAnsi="Cambria Math" w:cstheme="majorHAnsi"/>
                                    <w:szCs w:val="24"/>
                                  </w:rPr>
                                  <m:t>p=1</m:t>
                                </m:r>
                              </m:sub>
                              <m:sup>
                                <m:r>
                                  <w:rPr>
                                    <w:rFonts w:ascii="Cambria Math" w:eastAsia="Times New Roman" w:hAnsi="Cambria Math" w:cstheme="majorHAnsi"/>
                                    <w:szCs w:val="24"/>
                                  </w:rPr>
                                  <m:t>Iz</m:t>
                                </m:r>
                              </m:sup>
                              <m:e>
                                <m:d>
                                  <m:dPr>
                                    <m:ctrlPr>
                                      <w:rPr>
                                        <w:rFonts w:ascii="Cambria Math" w:eastAsia="Times New Roman" w:hAnsi="Cambria Math" w:cstheme="majorHAnsi"/>
                                        <w:sz w:val="24"/>
                                        <w:szCs w:val="24"/>
                                        <w:lang w:val="en-US"/>
                                      </w:rPr>
                                    </m:ctrlPr>
                                  </m:dPr>
                                  <m:e>
                                    <m:r>
                                      <w:rPr>
                                        <w:rFonts w:ascii="Cambria Math" w:eastAsia="Times New Roman" w:hAnsi="Cambria Math" w:cstheme="majorHAnsi"/>
                                        <w:szCs w:val="24"/>
                                      </w:rPr>
                                      <m:t>exp</m:t>
                                    </m:r>
                                    <m:d>
                                      <m:dPr>
                                        <m:ctrlPr>
                                          <w:rPr>
                                            <w:rFonts w:ascii="Cambria Math" w:eastAsia="Times New Roman" w:hAnsi="Cambria Math" w:cstheme="majorHAnsi"/>
                                            <w:i/>
                                            <w:sz w:val="24"/>
                                            <w:szCs w:val="24"/>
                                            <w:lang w:val="en-US"/>
                                          </w:rPr>
                                        </m:ctrlPr>
                                      </m:dPr>
                                      <m:e>
                                        <m:r>
                                          <m:rPr>
                                            <m:sty m:val="bi"/>
                                          </m:rPr>
                                          <w:rPr>
                                            <w:rFonts w:ascii="Cambria Math" w:eastAsia="Times New Roman" w:hAnsi="Cambria Math" w:cstheme="majorHAnsi"/>
                                            <w:szCs w:val="24"/>
                                          </w:rPr>
                                          <m:t>(</m:t>
                                        </m:r>
                                        <m:sSub>
                                          <m:sSubPr>
                                            <m:ctrlPr>
                                              <w:rPr>
                                                <w:rFonts w:ascii="Cambria Math" w:eastAsia="Times New Roman" w:hAnsi="Cambria Math" w:cstheme="majorHAnsi"/>
                                                <w:b/>
                                                <w:i/>
                                                <w:sz w:val="24"/>
                                                <w:szCs w:val="24"/>
                                                <w:lang w:val="en-US"/>
                                              </w:rPr>
                                            </m:ctrlPr>
                                          </m:sSubPr>
                                          <m:e>
                                            <m:r>
                                              <m:rPr>
                                                <m:sty m:val="bi"/>
                                              </m:rPr>
                                              <w:rPr>
                                                <w:rFonts w:ascii="Cambria Math" w:eastAsia="Times New Roman" w:hAnsi="Cambria Math" w:cstheme="majorHAnsi"/>
                                                <w:szCs w:val="24"/>
                                              </w:rPr>
                                              <m:t>β</m:t>
                                            </m:r>
                                          </m:e>
                                          <m:sub>
                                            <m:r>
                                              <w:rPr>
                                                <w:rFonts w:ascii="Cambria Math" w:eastAsia="Calibri" w:hAnsi="Cambria Math" w:cstheme="majorHAnsi"/>
                                                <w:szCs w:val="24"/>
                                              </w:rPr>
                                              <m:t>i</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rPr>
                                            </m:ctrlPr>
                                          </m:sSubPr>
                                          <m:e>
                                            <m:r>
                                              <m:rPr>
                                                <m:sty m:val="bi"/>
                                              </m:rPr>
                                              <w:rPr>
                                                <w:rFonts w:ascii="Cambria Math" w:eastAsia="Times New Roman" w:hAnsi="Cambria Math" w:cstheme="majorHAnsi"/>
                                                <w:szCs w:val="24"/>
                                              </w:rPr>
                                              <m:t>ϱ</m:t>
                                            </m:r>
                                          </m:e>
                                          <m:sub>
                                            <m:r>
                                              <w:rPr>
                                                <w:rFonts w:ascii="Cambria Math" w:eastAsia="Calibri" w:hAnsi="Cambria Math" w:cstheme="majorHAnsi"/>
                                                <w:szCs w:val="24"/>
                                              </w:rPr>
                                              <m:t>i</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m:rPr>
                                                <m:sty m:val="bi"/>
                                              </m:rPr>
                                              <w:rPr>
                                                <w:rFonts w:ascii="Cambria Math" w:eastAsia="Times New Roman" w:hAnsi="Cambria Math" w:cstheme="majorHAnsi"/>
                                                <w:szCs w:val="24"/>
                                              </w:rPr>
                                              <m:t>x</m:t>
                                            </m:r>
                                          </m:e>
                                          <m:sub>
                                            <m:r>
                                              <w:rPr>
                                                <w:rFonts w:ascii="Cambria Math" w:eastAsia="Calibri" w:hAnsi="Cambria Math" w:cstheme="majorHAnsi"/>
                                                <w:szCs w:val="24"/>
                                              </w:rPr>
                                              <m:t>i</m:t>
                                            </m:r>
                                          </m:sub>
                                        </m:sSub>
                                        <m:r>
                                          <w:rPr>
                                            <w:rFonts w:ascii="Cambria Math" w:eastAsia="Times New Roman" w:hAnsi="Cambria Math" w:cstheme="majorHAnsi"/>
                                            <w:szCs w:val="24"/>
                                          </w:rPr>
                                          <m:t>+</m:t>
                                        </m:r>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 xml:space="preserve"> </m:t>
                                            </m:r>
                                            <m:r>
                                              <m:rPr>
                                                <m:sty m:val="bi"/>
                                              </m:rPr>
                                              <w:rPr>
                                                <w:rFonts w:ascii="Cambria Math" w:hAnsi="Cambria Math" w:cstheme="majorHAnsi"/>
                                                <w:szCs w:val="24"/>
                                              </w:rPr>
                                              <m:t>θ</m:t>
                                            </m:r>
                                          </m:e>
                                          <m:sub>
                                            <m:r>
                                              <w:rPr>
                                                <w:rFonts w:ascii="Cambria Math" w:eastAsia="Calibri" w:hAnsi="Cambria Math" w:cstheme="majorHAnsi"/>
                                                <w:szCs w:val="24"/>
                                              </w:rPr>
                                              <m:t>zi</m:t>
                                            </m:r>
                                          </m:sub>
                                        </m:sSub>
                                      </m:e>
                                    </m:d>
                                  </m:e>
                                </m:d>
                              </m:e>
                            </m:nary>
                            <m:ctrlPr>
                              <w:rPr>
                                <w:rFonts w:ascii="Cambria Math" w:eastAsia="Calibri" w:hAnsi="Cambria Math" w:cstheme="majorHAnsi"/>
                                <w:i/>
                                <w:sz w:val="24"/>
                                <w:szCs w:val="24"/>
                                <w:lang w:val="en-US"/>
                              </w:rPr>
                            </m:ctrlPr>
                          </m:e>
                        </m:d>
                        <m:r>
                          <w:rPr>
                            <w:rFonts w:ascii="Cambria Math" w:eastAsia="Calibri" w:hAnsi="Cambria Math" w:cstheme="majorHAnsi"/>
                            <w:szCs w:val="24"/>
                          </w:rPr>
                          <m:t>+</m:t>
                        </m:r>
                      </m:e>
                    </m:func>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ε</m:t>
                        </m:r>
                      </m:e>
                      <m:sub>
                        <m:r>
                          <w:rPr>
                            <w:rFonts w:ascii="Cambria Math" w:eastAsia="Calibri" w:hAnsi="Cambria Math" w:cstheme="majorHAnsi"/>
                            <w:szCs w:val="24"/>
                          </w:rPr>
                          <m:t>z</m:t>
                        </m:r>
                      </m:sub>
                    </m:sSub>
                  </m:e>
                </m:d>
              </m:oMath>
            </m:oMathPara>
          </w:p>
        </w:tc>
        <w:tc>
          <w:tcPr>
            <w:tcW w:w="651" w:type="pct"/>
            <w:vAlign w:val="center"/>
          </w:tcPr>
          <w:p w14:paraId="111BE725" w14:textId="77777777" w:rsidR="004E5047" w:rsidRPr="004048CB" w:rsidRDefault="004E5047" w:rsidP="00134029">
            <w:pPr>
              <w:pStyle w:val="ListParagraph"/>
              <w:numPr>
                <w:ilvl w:val="0"/>
                <w:numId w:val="2"/>
              </w:numPr>
              <w:spacing w:before="360" w:after="360"/>
              <w:jc w:val="right"/>
              <w:rPr>
                <w:rFonts w:asciiTheme="majorHAnsi" w:eastAsia="Calibri" w:hAnsiTheme="majorHAnsi" w:cstheme="majorHAnsi"/>
                <w:szCs w:val="24"/>
                <w:lang w:val="en-US"/>
              </w:rPr>
            </w:pPr>
          </w:p>
        </w:tc>
      </w:tr>
    </w:tbl>
    <w:p w14:paraId="0997359B" w14:textId="537C3BE4" w:rsidR="004E5047" w:rsidRPr="004048CB" w:rsidRDefault="004E5047" w:rsidP="004E5047">
      <w:r w:rsidRPr="004048CB">
        <w:t xml:space="preserve">where, </w:t>
      </w:r>
      <m:oMath>
        <m:sSub>
          <m:sSubPr>
            <m:ctrlPr>
              <w:rPr>
                <w:rFonts w:ascii="Cambria Math" w:hAnsi="Cambria Math"/>
              </w:rPr>
            </m:ctrlPr>
          </m:sSubPr>
          <m:e>
            <m:r>
              <m:rPr>
                <m:sty m:val="bi"/>
              </m:rPr>
              <w:rPr>
                <w:rFonts w:ascii="Cambria Math" w:hAnsi="Cambria Math"/>
              </w:rPr>
              <m:t>c</m:t>
            </m:r>
          </m:e>
          <m:sub>
            <m:r>
              <w:rPr>
                <w:rFonts w:ascii="Cambria Math" w:hAnsi="Cambria Math"/>
              </w:rPr>
              <m:t>z</m:t>
            </m:r>
          </m:sub>
        </m:sSub>
      </m:oMath>
      <w:r w:rsidRPr="004048CB">
        <w:t xml:space="preserve"> is a vector of exogenous variables at zonal level </w:t>
      </w:r>
      <m:oMath>
        <m:r>
          <w:rPr>
            <w:rFonts w:ascii="Cambria Math" w:hAnsi="Cambria Math"/>
          </w:rPr>
          <m:t>z</m:t>
        </m:r>
      </m:oMath>
      <w:r w:rsidRPr="004048CB">
        <w:t xml:space="preserve">, </w:t>
      </w:r>
      <m:oMath>
        <m:r>
          <m:rPr>
            <m:sty m:val="bi"/>
          </m:rPr>
          <w:rPr>
            <w:rFonts w:ascii="Cambria Math" w:hAnsi="Cambria Math"/>
          </w:rPr>
          <m:t>∝</m:t>
        </m:r>
      </m:oMath>
      <w:r w:rsidRPr="004048CB">
        <w:t xml:space="preserve"> is a vector of </w:t>
      </w:r>
      <w:r w:rsidR="00F27B33" w:rsidRPr="004048CB">
        <w:t xml:space="preserve">mean </w:t>
      </w:r>
      <w:r w:rsidRPr="004048CB">
        <w:t xml:space="preserve">parameters to be estimated. </w:t>
      </w:r>
      <m:oMath>
        <m:sSub>
          <m:sSubPr>
            <m:ctrlPr>
              <w:rPr>
                <w:rFonts w:ascii="Cambria Math" w:hAnsi="Cambria Math"/>
              </w:rPr>
            </m:ctrlPr>
          </m:sSubPr>
          <m:e>
            <m:r>
              <m:rPr>
                <m:sty m:val="bi"/>
              </m:rPr>
              <w:rPr>
                <w:rFonts w:ascii="Cambria Math" w:hAnsi="Cambria Math"/>
              </w:rPr>
              <m:t>ϕ</m:t>
            </m:r>
          </m:e>
          <m:sub>
            <m:r>
              <w:rPr>
                <w:rFonts w:ascii="Cambria Math" w:hAnsi="Cambria Math"/>
              </w:rPr>
              <m:t>z</m:t>
            </m:r>
          </m:sub>
        </m:sSub>
      </m:oMath>
      <w:r w:rsidRPr="004048CB">
        <w:t xml:space="preserve"> is a vector of unobserved factors moderating the influence of attributes in </w:t>
      </w:r>
      <m:oMath>
        <m:sSub>
          <m:sSubPr>
            <m:ctrlPr>
              <w:rPr>
                <w:rFonts w:ascii="Cambria Math" w:hAnsi="Cambria Math"/>
              </w:rPr>
            </m:ctrlPr>
          </m:sSubPr>
          <m:e>
            <m:r>
              <m:rPr>
                <m:sty m:val="bi"/>
              </m:rPr>
              <w:rPr>
                <w:rFonts w:ascii="Cambria Math" w:hAnsi="Cambria Math"/>
              </w:rPr>
              <m:t>c</m:t>
            </m:r>
          </m:e>
          <m:sub>
            <m:r>
              <w:rPr>
                <w:rFonts w:ascii="Cambria Math" w:hAnsi="Cambria Math"/>
              </w:rPr>
              <m:t>z</m:t>
            </m:r>
          </m:sub>
        </m:sSub>
      </m:oMath>
      <w:r w:rsidRPr="004048CB">
        <w:t xml:space="preserve"> on the total crash count propensity for zone </w:t>
      </w:r>
      <m:oMath>
        <m:r>
          <w:rPr>
            <w:rFonts w:ascii="Cambria Math" w:hAnsi="Cambria Math"/>
          </w:rPr>
          <m:t>z</m:t>
        </m:r>
      </m:oMath>
      <w:r w:rsidRPr="004048CB">
        <w:t xml:space="preserve">. </w:t>
      </w:r>
      <m:oMath>
        <m:sSub>
          <m:sSubPr>
            <m:ctrlPr>
              <w:rPr>
                <w:rFonts w:ascii="Cambria Math" w:hAnsi="Cambria Math"/>
              </w:rPr>
            </m:ctrlPr>
          </m:sSubPr>
          <m:e>
            <m:r>
              <w:rPr>
                <w:rFonts w:ascii="Cambria Math" w:hAnsi="Cambria Math"/>
              </w:rPr>
              <m:t>ρ</m:t>
            </m:r>
          </m:e>
          <m:sub>
            <m:r>
              <w:rPr>
                <w:rFonts w:ascii="Cambria Math" w:hAnsi="Cambria Math"/>
              </w:rPr>
              <m:t>s</m:t>
            </m:r>
          </m:sub>
        </m:sSub>
      </m:oMath>
      <w:r w:rsidRPr="004048CB">
        <w:t xml:space="preserve"> and </w:t>
      </w:r>
      <m:oMath>
        <m:sSub>
          <m:sSubPr>
            <m:ctrlPr>
              <w:rPr>
                <w:rFonts w:ascii="Cambria Math" w:hAnsi="Cambria Math"/>
              </w:rPr>
            </m:ctrlPr>
          </m:sSubPr>
          <m:e>
            <m:r>
              <w:rPr>
                <w:rFonts w:ascii="Cambria Math" w:hAnsi="Cambria Math"/>
              </w:rPr>
              <m:t>ρ</m:t>
            </m:r>
          </m:e>
          <m:sub>
            <m:r>
              <w:rPr>
                <w:rFonts w:ascii="Cambria Math" w:hAnsi="Cambria Math"/>
              </w:rPr>
              <m:t>i</m:t>
            </m:r>
          </m:sub>
        </m:sSub>
      </m:oMath>
      <w:r w:rsidRPr="004048CB">
        <w:t xml:space="preserve"> is a scalar associated with the corresponding micro level spatial unit (segments and intersections) highlighting the share of each micro level propensities to be linked with the macro level propensities. p is a counter here ranging from 1 to </w:t>
      </w:r>
      <m:oMath>
        <m:sSub>
          <m:sSubPr>
            <m:ctrlPr>
              <w:rPr>
                <w:rFonts w:ascii="Cambria Math" w:hAnsi="Cambria Math"/>
              </w:rPr>
            </m:ctrlPr>
          </m:sSubPr>
          <m:e>
            <m:r>
              <w:rPr>
                <w:rFonts w:ascii="Cambria Math" w:hAnsi="Cambria Math"/>
              </w:rPr>
              <m:t>S</m:t>
            </m:r>
          </m:e>
          <m:sub>
            <m:r>
              <w:rPr>
                <w:rFonts w:ascii="Cambria Math" w:hAnsi="Cambria Math"/>
              </w:rPr>
              <m:t>z</m:t>
            </m:r>
          </m:sub>
        </m:sSub>
      </m:oMath>
      <w:r w:rsidRPr="004048CB">
        <w:t xml:space="preserve"> (</w:t>
      </w:r>
      <m:oMath>
        <m:sSub>
          <m:sSubPr>
            <m:ctrlPr>
              <w:rPr>
                <w:rFonts w:ascii="Cambria Math" w:hAnsi="Cambria Math"/>
              </w:rPr>
            </m:ctrlPr>
          </m:sSubPr>
          <m:e>
            <m:r>
              <w:rPr>
                <w:rFonts w:ascii="Cambria Math" w:hAnsi="Cambria Math"/>
              </w:rPr>
              <m:t>I</m:t>
            </m:r>
          </m:e>
          <m:sub>
            <m:r>
              <w:rPr>
                <w:rFonts w:ascii="Cambria Math" w:hAnsi="Cambria Math"/>
              </w:rPr>
              <m:t>z</m:t>
            </m:r>
          </m:sub>
        </m:sSub>
      </m:oMath>
      <w:r w:rsidRPr="004048CB">
        <w:t xml:space="preserve">) where </w:t>
      </w:r>
      <m:oMath>
        <m:sSub>
          <m:sSubPr>
            <m:ctrlPr>
              <w:rPr>
                <w:rFonts w:ascii="Cambria Math" w:hAnsi="Cambria Math"/>
              </w:rPr>
            </m:ctrlPr>
          </m:sSubPr>
          <m:e>
            <m:r>
              <w:rPr>
                <w:rFonts w:ascii="Cambria Math" w:hAnsi="Cambria Math"/>
              </w:rPr>
              <m:t>S</m:t>
            </m:r>
          </m:e>
          <m:sub>
            <m:r>
              <w:rPr>
                <w:rFonts w:ascii="Cambria Math" w:hAnsi="Cambria Math"/>
              </w:rPr>
              <m:t>z</m:t>
            </m:r>
          </m:sub>
        </m:sSub>
      </m:oMath>
      <w:r w:rsidRPr="004048CB">
        <w:t xml:space="preserve"> (</w:t>
      </w:r>
      <m:oMath>
        <m:sSub>
          <m:sSubPr>
            <m:ctrlPr>
              <w:rPr>
                <w:rFonts w:ascii="Cambria Math" w:hAnsi="Cambria Math"/>
              </w:rPr>
            </m:ctrlPr>
          </m:sSubPr>
          <m:e>
            <m:r>
              <w:rPr>
                <w:rFonts w:ascii="Cambria Math" w:hAnsi="Cambria Math"/>
              </w:rPr>
              <m:t>I</m:t>
            </m:r>
          </m:e>
          <m:sub>
            <m:r>
              <w:rPr>
                <w:rFonts w:ascii="Cambria Math" w:hAnsi="Cambria Math"/>
              </w:rPr>
              <m:t>z</m:t>
            </m:r>
          </m:sub>
        </m:sSub>
      </m:oMath>
      <w:r w:rsidRPr="004048CB">
        <w:t xml:space="preserve">) represents the segments (intersections) in zone  </w:t>
      </w:r>
      <m:oMath>
        <m:r>
          <w:rPr>
            <w:rFonts w:ascii="Cambria Math" w:hAnsi="Cambria Math"/>
          </w:rPr>
          <m:t>z</m:t>
        </m:r>
      </m:oMath>
      <w:r w:rsidRPr="004048CB">
        <w:t xml:space="preserve">. For example, if 5 segments are present in the zone </w:t>
      </w:r>
      <m:oMath>
        <m:sSub>
          <m:sSubPr>
            <m:ctrlPr>
              <w:rPr>
                <w:rFonts w:ascii="Cambria Math" w:hAnsi="Cambria Math"/>
              </w:rPr>
            </m:ctrlPr>
          </m:sSubPr>
          <m:e>
            <m:r>
              <w:rPr>
                <w:rFonts w:ascii="Cambria Math" w:hAnsi="Cambria Math"/>
              </w:rPr>
              <m:t>z</m:t>
            </m:r>
          </m:e>
          <m:sub>
            <m:r>
              <w:rPr>
                <w:rFonts w:ascii="Cambria Math" w:hAnsi="Cambria Math"/>
              </w:rPr>
              <m:t>1</m:t>
            </m:r>
          </m:sub>
        </m:sSub>
      </m:oMath>
      <w:r w:rsidRPr="004048CB">
        <w:t xml:space="preserve">, then we will sum the propensity for these 5 segments to obtain a value for </w:t>
      </w:r>
      <m:oMath>
        <m:sSub>
          <m:sSubPr>
            <m:ctrlPr>
              <w:rPr>
                <w:rFonts w:ascii="Cambria Math" w:hAnsi="Cambria Math"/>
              </w:rPr>
            </m:ctrlPr>
          </m:sSubPr>
          <m:e>
            <m:r>
              <w:rPr>
                <w:rFonts w:ascii="Cambria Math" w:hAnsi="Cambria Math"/>
              </w:rPr>
              <m:t>z</m:t>
            </m:r>
          </m:e>
          <m:sub>
            <m:r>
              <w:rPr>
                <w:rFonts w:ascii="Cambria Math" w:hAnsi="Cambria Math"/>
              </w:rPr>
              <m:t>1</m:t>
            </m:r>
          </m:sub>
        </m:sSub>
      </m:oMath>
      <w:r w:rsidRPr="004048CB">
        <w:t xml:space="preserve"> . </w:t>
      </w:r>
      <m:oMath>
        <m:sSub>
          <m:sSubPr>
            <m:ctrlPr>
              <w:rPr>
                <w:rFonts w:ascii="Cambria Math" w:hAnsi="Cambria Math"/>
              </w:rPr>
            </m:ctrlPr>
          </m:sSubPr>
          <m:e>
            <m:r>
              <w:rPr>
                <w:rFonts w:ascii="Cambria Math" w:hAnsi="Cambria Math"/>
              </w:rPr>
              <m:t>ε</m:t>
            </m:r>
          </m:e>
          <m:sub>
            <m:r>
              <w:rPr>
                <w:rFonts w:ascii="Cambria Math" w:hAnsi="Cambria Math"/>
              </w:rPr>
              <m:t>z</m:t>
            </m:r>
          </m:sub>
        </m:sSub>
      </m:oMath>
      <w:r w:rsidRPr="004048CB">
        <w:t xml:space="preserve"> is a gamma distributed error term with mean 1 and variance </w:t>
      </w:r>
      <m:oMath>
        <m:sSub>
          <m:sSubPr>
            <m:ctrlPr>
              <w:rPr>
                <w:rFonts w:ascii="Cambria Math" w:hAnsi="Cambria Math"/>
              </w:rPr>
            </m:ctrlPr>
          </m:sSubPr>
          <m:e>
            <m:r>
              <w:rPr>
                <w:rFonts w:ascii="Cambria Math" w:hAnsi="Cambria Math"/>
              </w:rPr>
              <m:t>λ</m:t>
            </m:r>
          </m:e>
          <m:sub>
            <m:r>
              <w:rPr>
                <w:rFonts w:ascii="Cambria Math" w:hAnsi="Cambria Math"/>
              </w:rPr>
              <m:t>z</m:t>
            </m:r>
          </m:sub>
        </m:sSub>
        <m:r>
          <w:rPr>
            <w:rFonts w:ascii="Cambria Math" w:hAnsi="Cambria Math"/>
          </w:rPr>
          <m:t>'</m:t>
        </m:r>
      </m:oMath>
      <w:r w:rsidRPr="004048CB">
        <w:t xml:space="preserve">. The main difference between the two approaches is that the micro level propensities will remain fixed and only the scalar parameters will be estimated for approach 1. In the second approach, we allow the micro level parameters to be jointly influenced by microscopic and macroscopic fit. </w:t>
      </w:r>
    </w:p>
    <w:p w14:paraId="08F022CD" w14:textId="74BC93D1" w:rsidR="004E5047" w:rsidRPr="004048CB" w:rsidRDefault="004E5047" w:rsidP="005D30B7">
      <w:pPr>
        <w:ind w:firstLine="720"/>
      </w:pPr>
      <w:r w:rsidRPr="004048CB">
        <w:rPr>
          <w:rFonts w:eastAsia="Times New Roman"/>
        </w:rPr>
        <w:t>I</w:t>
      </w:r>
      <w:r w:rsidRPr="004048CB">
        <w:t xml:space="preserve">n estimating the model, it is necessary to specify the structure for the unobserved vectors </w:t>
      </w:r>
      <m:oMath>
        <m:r>
          <w:rPr>
            <w:rFonts w:ascii="Cambria Math" w:eastAsia="Times New Roman" w:hAnsi="Cambria Math"/>
          </w:rPr>
          <m:t xml:space="preserve"> </m:t>
        </m:r>
        <m:r>
          <m:rPr>
            <m:sty m:val="bi"/>
          </m:rPr>
          <w:rPr>
            <w:rFonts w:ascii="Cambria Math" w:eastAsia="Times New Roman" w:hAnsi="Cambria Math"/>
          </w:rPr>
          <m:t xml:space="preserve">ϱ, </m:t>
        </m:r>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(s,i)</m:t>
            </m:r>
          </m:sub>
        </m:sSub>
        <m:r>
          <m:rPr>
            <m:sty m:val="bi"/>
          </m:rPr>
          <w:rPr>
            <w:rFonts w:ascii="Cambria Math" w:hAnsi="Cambria Math"/>
          </w:rPr>
          <m:t xml:space="preserve">, </m:t>
        </m:r>
        <m:r>
          <m:rPr>
            <m:sty m:val="bi"/>
          </m:rPr>
          <w:rPr>
            <w:rFonts w:ascii="Cambria Math" w:eastAsia="Times New Roman" w:hAnsi="Cambria Math"/>
          </w:rPr>
          <m:t>ϕ</m:t>
        </m:r>
      </m:oMath>
      <w:r w:rsidRPr="004048CB">
        <w:t xml:space="preserve"> represented by </w:t>
      </w:r>
      <m:oMath>
        <m:r>
          <m:rPr>
            <m:sty m:val="p"/>
          </m:rPr>
          <w:rPr>
            <w:rFonts w:ascii="Cambria Math" w:hAnsi="Cambria Math"/>
          </w:rPr>
          <m:t>Ψ</m:t>
        </m:r>
      </m:oMath>
      <w:r w:rsidRPr="004048CB">
        <w:t xml:space="preserve">. In this paper, it is assumed that these elements are drawn from </w:t>
      </w:r>
      <w:r w:rsidRPr="004048CB">
        <w:lastRenderedPageBreak/>
        <w:t xml:space="preserve">independent </w:t>
      </w:r>
      <w:r w:rsidRPr="004048CB">
        <w:rPr>
          <w:rFonts w:eastAsia="Times New Roman"/>
        </w:rPr>
        <w:t xml:space="preserve">normal distribution: </w:t>
      </w:r>
      <m:oMath>
        <m:r>
          <m:rPr>
            <m:sty m:val="p"/>
          </m:rPr>
          <w:rPr>
            <w:rFonts w:ascii="Cambria Math" w:hAnsi="Cambria Math"/>
          </w:rPr>
          <m:t>Ψ</m:t>
        </m:r>
        <m:r>
          <w:rPr>
            <w:rFonts w:ascii="Cambria Math" w:eastAsia="Times New Roman" w:hAnsi="Cambria Math"/>
          </w:rPr>
          <m:t>~N(0, (</m:t>
        </m:r>
        <m:sSup>
          <m:sSupPr>
            <m:ctrlPr>
              <w:rPr>
                <w:rFonts w:ascii="Cambria Math" w:hAnsi="Cambria Math"/>
                <w:b/>
                <w:i/>
              </w:rPr>
            </m:ctrlPr>
          </m:sSupPr>
          <m:e>
            <m:r>
              <m:rPr>
                <m:sty m:val="bi"/>
              </m:rPr>
              <w:rPr>
                <w:rFonts w:ascii="Cambria Math" w:eastAsia="Times New Roman" w:hAnsi="Cambria Math"/>
              </w:rPr>
              <m:t>π</m:t>
            </m:r>
            <m:ctrlPr>
              <w:rPr>
                <w:rFonts w:ascii="Cambria Math" w:hAnsi="Cambria Math"/>
              </w:rPr>
            </m:ctrlPr>
          </m:e>
          <m:sup>
            <m:r>
              <m:rPr>
                <m:sty m:val="bi"/>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σ</m:t>
            </m:r>
          </m:e>
          <m:sub>
            <m:r>
              <w:rPr>
                <w:rFonts w:ascii="Cambria Math" w:hAnsi="Cambria Math"/>
              </w:rPr>
              <m:t>(s,i)</m:t>
            </m:r>
          </m:sub>
          <m:sup>
            <m:r>
              <m:rPr>
                <m:sty m:val="bi"/>
              </m:rPr>
              <w:rPr>
                <w:rFonts w:ascii="Cambria Math" w:hAnsi="Cambria Math"/>
              </w:rPr>
              <m:t>2</m:t>
            </m:r>
          </m:sup>
        </m:sSubSup>
        <m:r>
          <m:rPr>
            <m:sty m:val="bi"/>
          </m:rPr>
          <w:rPr>
            <w:rFonts w:ascii="Cambria Math" w:hAnsi="Cambria Math"/>
          </w:rPr>
          <m:t xml:space="preserve"> , </m:t>
        </m:r>
        <m:sSup>
          <m:sSupPr>
            <m:ctrlPr>
              <w:rPr>
                <w:rFonts w:ascii="Cambria Math" w:eastAsia="Times New Roman" w:hAnsi="Cambria Math"/>
                <w:b/>
                <w:i/>
              </w:rPr>
            </m:ctrlPr>
          </m:sSupPr>
          <m:e>
            <m:r>
              <m:rPr>
                <m:sty m:val="bi"/>
              </m:rPr>
              <w:rPr>
                <w:rFonts w:ascii="Cambria Math" w:eastAsia="Times New Roman" w:hAnsi="Cambria Math"/>
              </w:rPr>
              <m:t>ζ</m:t>
            </m:r>
            <m:ctrlPr>
              <w:rPr>
                <w:rFonts w:ascii="Cambria Math" w:hAnsi="Cambria Math"/>
                <w:b/>
                <w:i/>
              </w:rPr>
            </m:ctrlPr>
          </m:e>
          <m:sup>
            <m:r>
              <m:rPr>
                <m:sty m:val="bi"/>
              </m:rPr>
              <w:rPr>
                <w:rFonts w:ascii="Cambria Math" w:eastAsia="Times New Roman" w:hAnsi="Cambria Math"/>
              </w:rPr>
              <m:t>2</m:t>
            </m:r>
          </m:sup>
        </m:sSup>
        <m:r>
          <w:rPr>
            <w:rFonts w:ascii="Cambria Math" w:hAnsi="Cambria Math"/>
          </w:rPr>
          <m:t>))</m:t>
        </m:r>
      </m:oMath>
      <w:r w:rsidRPr="004048CB">
        <w:t xml:space="preserve">. Thus, conditional on </w:t>
      </w:r>
      <m:oMath>
        <m:r>
          <m:rPr>
            <m:sty m:val="p"/>
          </m:rPr>
          <w:rPr>
            <w:rFonts w:ascii="Cambria Math" w:hAnsi="Cambria Math"/>
          </w:rPr>
          <m:t>Ψ</m:t>
        </m:r>
      </m:oMath>
      <w:r w:rsidRPr="004048CB">
        <w:t xml:space="preserve">, the likelihood function for approach 1 (equation 6) and 2 (equation 7) across TAZ can be expressed as follows: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4048CB" w:rsidRPr="004048CB" w14:paraId="13640D29" w14:textId="77777777" w:rsidTr="00FE4351">
        <w:tc>
          <w:tcPr>
            <w:tcW w:w="4349" w:type="pct"/>
          </w:tcPr>
          <w:p w14:paraId="7F73BB61" w14:textId="56FF3C16" w:rsidR="004E5047" w:rsidRPr="004048CB" w:rsidRDefault="00C07222" w:rsidP="00FE4351">
            <w:pPr>
              <w:spacing w:before="360" w:after="360"/>
              <w:rPr>
                <w:rFonts w:asciiTheme="majorHAnsi" w:eastAsia="Calibri" w:hAnsiTheme="majorHAnsi" w:cstheme="majorHAnsi"/>
                <w:sz w:val="24"/>
                <w:szCs w:val="24"/>
                <w:lang w:val="en-US"/>
              </w:rPr>
            </w:pPr>
            <m:oMathPara>
              <m:oMathParaPr>
                <m:jc m:val="left"/>
              </m:oMathParaPr>
              <m:oMath>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L</m:t>
                    </m:r>
                  </m:e>
                  <m:sub>
                    <m:r>
                      <w:rPr>
                        <w:rFonts w:ascii="Cambria Math" w:eastAsia="Times New Roman" w:hAnsi="Cambria Math" w:cs="Times New Roman"/>
                      </w:rPr>
                      <m:t>z</m:t>
                    </m:r>
                  </m:sub>
                </m:sSub>
                <m:r>
                  <w:rPr>
                    <w:rFonts w:ascii="Cambria Math" w:eastAsia="Times New Roman" w:hAnsi="Cambria Math" w:cstheme="majorHAnsi"/>
                    <w:szCs w:val="24"/>
                  </w:rPr>
                  <m:t xml:space="preserve">= </m:t>
                </m:r>
                <m:nary>
                  <m:naryPr>
                    <m:limLoc m:val="subSup"/>
                    <m:ctrlPr>
                      <w:rPr>
                        <w:rFonts w:ascii="Cambria Math" w:eastAsia="Times New Roman" w:hAnsi="Cambria Math" w:cstheme="majorHAnsi"/>
                        <w:i/>
                        <w:sz w:val="24"/>
                        <w:szCs w:val="24"/>
                        <w:lang w:val="en-US"/>
                      </w:rPr>
                    </m:ctrlPr>
                  </m:naryPr>
                  <m:sub>
                    <m:r>
                      <m:rPr>
                        <m:sty m:val="p"/>
                      </m:rPr>
                      <w:rPr>
                        <w:rFonts w:ascii="Cambria Math" w:hAnsi="Cambria Math" w:cstheme="majorHAnsi"/>
                        <w:szCs w:val="24"/>
                      </w:rPr>
                      <m:t>Ψ</m:t>
                    </m:r>
                  </m:sub>
                  <m:sup/>
                  <m:e>
                    <m:r>
                      <w:rPr>
                        <w:rFonts w:ascii="Cambria Math" w:eastAsia="Times New Roman" w:hAnsi="Cambria Math" w:cstheme="majorHAnsi"/>
                        <w:szCs w:val="24"/>
                      </w:rPr>
                      <m:t>P</m:t>
                    </m:r>
                    <m:d>
                      <m:dPr>
                        <m:ctrlPr>
                          <w:rPr>
                            <w:rFonts w:ascii="Cambria Math" w:eastAsia="Calibri" w:hAnsi="Cambria Math" w:cstheme="majorHAnsi"/>
                            <w:i/>
                            <w:sz w:val="24"/>
                            <w:szCs w:val="24"/>
                            <w:lang w:val="en-US"/>
                          </w:rPr>
                        </m:ctrlPr>
                      </m:dPr>
                      <m:e>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y</m:t>
                            </m:r>
                          </m:e>
                          <m:sub>
                            <m:r>
                              <w:rPr>
                                <w:rFonts w:ascii="Cambria Math" w:eastAsia="Times New Roman" w:hAnsi="Cambria Math" w:cstheme="majorHAnsi"/>
                                <w:szCs w:val="24"/>
                              </w:rPr>
                              <m:t xml:space="preserve">z </m:t>
                            </m:r>
                          </m:sub>
                        </m:sSub>
                      </m:e>
                    </m:d>
                  </m:e>
                </m:nary>
                <m:r>
                  <w:rPr>
                    <w:rFonts w:ascii="Cambria Math" w:eastAsia="Times New Roman" w:hAnsi="Cambria Math" w:cstheme="majorHAnsi"/>
                    <w:szCs w:val="24"/>
                  </w:rPr>
                  <m:t>f</m:t>
                </m:r>
                <m:d>
                  <m:dPr>
                    <m:ctrlPr>
                      <w:rPr>
                        <w:rFonts w:ascii="Cambria Math" w:eastAsia="Times New Roman" w:hAnsi="Cambria Math" w:cstheme="majorHAnsi"/>
                        <w:i/>
                        <w:sz w:val="24"/>
                        <w:szCs w:val="24"/>
                        <w:lang w:val="en-US"/>
                      </w:rPr>
                    </m:ctrlPr>
                  </m:dPr>
                  <m:e>
                    <m:r>
                      <m:rPr>
                        <m:sty m:val="p"/>
                      </m:rPr>
                      <w:rPr>
                        <w:rFonts w:ascii="Cambria Math" w:hAnsi="Cambria Math" w:cstheme="majorHAnsi"/>
                        <w:szCs w:val="24"/>
                      </w:rPr>
                      <m:t>Ψ</m:t>
                    </m:r>
                  </m:e>
                </m:d>
                <m:r>
                  <w:rPr>
                    <w:rFonts w:ascii="Cambria Math" w:eastAsia="Times New Roman" w:hAnsi="Cambria Math" w:cstheme="majorHAnsi"/>
                    <w:szCs w:val="24"/>
                  </w:rPr>
                  <m:t>d</m:t>
                </m:r>
                <m:r>
                  <m:rPr>
                    <m:sty m:val="p"/>
                  </m:rPr>
                  <w:rPr>
                    <w:rFonts w:ascii="Cambria Math" w:hAnsi="Cambria Math" w:cstheme="majorHAnsi"/>
                    <w:szCs w:val="24"/>
                  </w:rPr>
                  <m:t>Ψ</m:t>
                </m:r>
              </m:oMath>
            </m:oMathPara>
          </w:p>
        </w:tc>
        <w:tc>
          <w:tcPr>
            <w:tcW w:w="651" w:type="pct"/>
            <w:vAlign w:val="center"/>
          </w:tcPr>
          <w:p w14:paraId="15E87F30" w14:textId="77777777" w:rsidR="004E5047" w:rsidRPr="004048CB" w:rsidRDefault="004E5047" w:rsidP="00134029">
            <w:pPr>
              <w:pStyle w:val="ListParagraph"/>
              <w:numPr>
                <w:ilvl w:val="0"/>
                <w:numId w:val="2"/>
              </w:numPr>
              <w:spacing w:before="360" w:after="360"/>
              <w:jc w:val="right"/>
              <w:rPr>
                <w:rFonts w:asciiTheme="majorHAnsi" w:eastAsia="Calibri" w:hAnsiTheme="majorHAnsi" w:cstheme="majorHAnsi"/>
                <w:szCs w:val="24"/>
                <w:lang w:val="en-US"/>
              </w:rPr>
            </w:pPr>
          </w:p>
        </w:tc>
      </w:tr>
      <w:tr w:rsidR="004048CB" w:rsidRPr="004048CB" w14:paraId="420C215E" w14:textId="77777777" w:rsidTr="00FE4351">
        <w:tc>
          <w:tcPr>
            <w:tcW w:w="4349" w:type="pct"/>
            <w:vAlign w:val="center"/>
          </w:tcPr>
          <w:p w14:paraId="0059A4A2" w14:textId="5B8178C7" w:rsidR="004E5047" w:rsidRPr="004048CB" w:rsidRDefault="00C07222" w:rsidP="00FE4351">
            <w:pPr>
              <w:spacing w:before="360" w:after="360"/>
              <w:rPr>
                <w:rFonts w:asciiTheme="majorHAnsi" w:eastAsia="Calibri" w:hAnsiTheme="majorHAnsi" w:cstheme="majorHAnsi"/>
                <w:sz w:val="24"/>
                <w:szCs w:val="24"/>
                <w:lang w:val="en-US"/>
              </w:rPr>
            </w:pPr>
            <m:oMathPara>
              <m:oMathParaPr>
                <m:jc m:val="left"/>
              </m:oMathParaPr>
              <m:oMath>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L</m:t>
                    </m:r>
                  </m:e>
                  <m:sub>
                    <m:r>
                      <w:rPr>
                        <w:rFonts w:ascii="Cambria Math" w:eastAsia="Times New Roman" w:hAnsi="Cambria Math" w:cs="Times New Roman"/>
                      </w:rPr>
                      <m:t>z</m:t>
                    </m:r>
                  </m:sub>
                </m:sSub>
                <m:r>
                  <w:rPr>
                    <w:rFonts w:ascii="Cambria Math" w:eastAsia="Times New Roman" w:hAnsi="Cambria Math" w:cstheme="majorHAnsi"/>
                    <w:szCs w:val="24"/>
                  </w:rPr>
                  <m:t xml:space="preserve">= </m:t>
                </m:r>
                <m:nary>
                  <m:naryPr>
                    <m:limLoc m:val="subSup"/>
                    <m:ctrlPr>
                      <w:rPr>
                        <w:rFonts w:ascii="Cambria Math" w:eastAsia="Times New Roman" w:hAnsi="Cambria Math" w:cstheme="majorHAnsi"/>
                        <w:i/>
                        <w:sz w:val="24"/>
                        <w:szCs w:val="24"/>
                        <w:lang w:val="en-US"/>
                      </w:rPr>
                    </m:ctrlPr>
                  </m:naryPr>
                  <m:sub>
                    <m:r>
                      <m:rPr>
                        <m:sty m:val="p"/>
                      </m:rPr>
                      <w:rPr>
                        <w:rFonts w:ascii="Cambria Math" w:hAnsi="Cambria Math" w:cstheme="majorHAnsi"/>
                        <w:szCs w:val="24"/>
                      </w:rPr>
                      <m:t>Ψ</m:t>
                    </m:r>
                  </m:sub>
                  <m:sup/>
                  <m:e>
                    <m:r>
                      <w:rPr>
                        <w:rFonts w:ascii="Cambria Math" w:eastAsia="Times New Roman" w:hAnsi="Cambria Math" w:cstheme="majorHAnsi"/>
                        <w:szCs w:val="24"/>
                      </w:rPr>
                      <m:t>P</m:t>
                    </m:r>
                    <m:d>
                      <m:dPr>
                        <m:ctrlPr>
                          <w:rPr>
                            <w:rFonts w:ascii="Cambria Math" w:eastAsia="Calibri" w:hAnsi="Cambria Math" w:cstheme="majorHAnsi"/>
                            <w:i/>
                            <w:sz w:val="24"/>
                            <w:szCs w:val="24"/>
                            <w:lang w:val="en-US"/>
                          </w:rPr>
                        </m:ctrlPr>
                      </m:dPr>
                      <m:e>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Cs w:val="24"/>
                              </w:rPr>
                              <m:t>y</m:t>
                            </m:r>
                          </m:e>
                          <m:sub>
                            <m:r>
                              <w:rPr>
                                <w:rFonts w:ascii="Cambria Math" w:eastAsia="Times New Roman" w:hAnsi="Cambria Math" w:cstheme="majorHAnsi"/>
                                <w:szCs w:val="24"/>
                              </w:rPr>
                              <m:t xml:space="preserve">z </m:t>
                            </m:r>
                          </m:sub>
                        </m:sSub>
                      </m:e>
                    </m:d>
                    <m:r>
                      <w:rPr>
                        <w:rFonts w:ascii="Cambria Math" w:eastAsia="Times New Roman" w:hAnsi="Cambria Math" w:cstheme="majorHAnsi"/>
                        <w:szCs w:val="24"/>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Sz</m:t>
                        </m:r>
                      </m:sup>
                      <m:e>
                        <m:r>
                          <w:rPr>
                            <w:rFonts w:ascii="Cambria Math" w:hAnsi="Cambria Math"/>
                          </w:rPr>
                          <m:t>P</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s</m:t>
                                    </m:r>
                                  </m:sub>
                                </m:sSub>
                              </m:e>
                            </m:d>
                          </m:e>
                          <m:sup>
                            <m:sSub>
                              <m:sSubPr>
                                <m:ctrlPr>
                                  <w:rPr>
                                    <w:rFonts w:ascii="Cambria Math" w:hAnsi="Cambria Math"/>
                                    <w:i/>
                                  </w:rPr>
                                </m:ctrlPr>
                              </m:sSubPr>
                              <m:e>
                                <m:r>
                                  <w:rPr>
                                    <w:rFonts w:ascii="Cambria Math" w:hAnsi="Cambria Math"/>
                                  </w:rPr>
                                  <m:t>w</m:t>
                                </m:r>
                              </m:e>
                              <m:sub>
                                <m:r>
                                  <w:rPr>
                                    <w:rFonts w:ascii="Cambria Math" w:hAnsi="Cambria Math"/>
                                  </w:rPr>
                                  <m:t>s</m:t>
                                </m:r>
                              </m:sub>
                            </m:sSub>
                          </m:sup>
                        </m:sSup>
                      </m:e>
                    </m:nary>
                  </m:e>
                </m:nary>
                <m:r>
                  <w:rPr>
                    <w:rFonts w:ascii="Cambria Math" w:eastAsia="Times New Roman" w:hAnsi="Cambria Math" w:cstheme="majorHAnsi"/>
                    <w:szCs w:val="24"/>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Iz</m:t>
                    </m:r>
                  </m:sup>
                  <m:e>
                    <m:r>
                      <w:rPr>
                        <w:rFonts w:ascii="Cambria Math" w:hAnsi="Cambria Math"/>
                      </w:rPr>
                      <m:t>P</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sup>
                        <m:sSub>
                          <m:sSubPr>
                            <m:ctrlPr>
                              <w:rPr>
                                <w:rFonts w:ascii="Cambria Math" w:hAnsi="Cambria Math"/>
                                <w:i/>
                              </w:rPr>
                            </m:ctrlPr>
                          </m:sSubPr>
                          <m:e>
                            <m:r>
                              <w:rPr>
                                <w:rFonts w:ascii="Cambria Math" w:hAnsi="Cambria Math"/>
                              </w:rPr>
                              <m:t>w</m:t>
                            </m:r>
                          </m:e>
                          <m:sub>
                            <m:r>
                              <w:rPr>
                                <w:rFonts w:ascii="Cambria Math" w:hAnsi="Cambria Math"/>
                              </w:rPr>
                              <m:t>i</m:t>
                            </m:r>
                          </m:sub>
                        </m:sSub>
                      </m:sup>
                    </m:sSup>
                  </m:e>
                </m:nary>
                <m:r>
                  <w:rPr>
                    <w:rFonts w:ascii="Cambria Math" w:eastAsia="Times New Roman" w:hAnsi="Cambria Math" w:cstheme="majorHAnsi"/>
                    <w:szCs w:val="24"/>
                  </w:rPr>
                  <m:t>f</m:t>
                </m:r>
                <m:d>
                  <m:dPr>
                    <m:ctrlPr>
                      <w:rPr>
                        <w:rFonts w:ascii="Cambria Math" w:eastAsia="Times New Roman" w:hAnsi="Cambria Math" w:cstheme="majorHAnsi"/>
                        <w:i/>
                        <w:sz w:val="24"/>
                        <w:szCs w:val="24"/>
                        <w:lang w:val="en-US"/>
                      </w:rPr>
                    </m:ctrlPr>
                  </m:dPr>
                  <m:e>
                    <m:r>
                      <m:rPr>
                        <m:sty m:val="p"/>
                      </m:rPr>
                      <w:rPr>
                        <w:rFonts w:ascii="Cambria Math" w:hAnsi="Cambria Math" w:cstheme="majorHAnsi"/>
                        <w:szCs w:val="24"/>
                      </w:rPr>
                      <m:t>Ψ</m:t>
                    </m:r>
                  </m:e>
                </m:d>
                <m:r>
                  <w:rPr>
                    <w:rFonts w:ascii="Cambria Math" w:eastAsia="Times New Roman" w:hAnsi="Cambria Math" w:cstheme="majorHAnsi"/>
                    <w:szCs w:val="24"/>
                  </w:rPr>
                  <m:t>d</m:t>
                </m:r>
                <m:r>
                  <m:rPr>
                    <m:sty m:val="p"/>
                  </m:rPr>
                  <w:rPr>
                    <w:rFonts w:ascii="Cambria Math" w:hAnsi="Cambria Math" w:cstheme="majorHAnsi"/>
                    <w:szCs w:val="24"/>
                  </w:rPr>
                  <m:t>Ψ</m:t>
                </m:r>
              </m:oMath>
            </m:oMathPara>
          </w:p>
        </w:tc>
        <w:tc>
          <w:tcPr>
            <w:tcW w:w="651" w:type="pct"/>
            <w:vAlign w:val="center"/>
          </w:tcPr>
          <w:p w14:paraId="0A0D79F3" w14:textId="77777777" w:rsidR="004E5047" w:rsidRPr="004048CB" w:rsidRDefault="004E5047" w:rsidP="00134029">
            <w:pPr>
              <w:pStyle w:val="ListParagraph"/>
              <w:numPr>
                <w:ilvl w:val="0"/>
                <w:numId w:val="2"/>
              </w:numPr>
              <w:spacing w:before="360" w:after="360"/>
              <w:jc w:val="right"/>
              <w:rPr>
                <w:rFonts w:asciiTheme="majorHAnsi" w:eastAsia="Calibri" w:hAnsiTheme="majorHAnsi" w:cstheme="majorHAnsi"/>
                <w:szCs w:val="24"/>
                <w:lang w:val="en-US"/>
              </w:rPr>
            </w:pPr>
          </w:p>
        </w:tc>
      </w:tr>
    </w:tbl>
    <w:p w14:paraId="6668DCF1" w14:textId="77777777" w:rsidR="004E5047" w:rsidRPr="004048CB" w:rsidRDefault="004E5047" w:rsidP="005D30B7">
      <w:r w:rsidRPr="004048CB">
        <w:t xml:space="preserve">where </w:t>
      </w:r>
      <m:oMath>
        <m:sSub>
          <m:sSubPr>
            <m:ctrlPr>
              <w:rPr>
                <w:rFonts w:ascii="Cambria Math" w:eastAsia="Calibri" w:hAnsi="Cambria Math"/>
                <w:i/>
              </w:rPr>
            </m:ctrlPr>
          </m:sSubPr>
          <m:e>
            <m:r>
              <w:rPr>
                <w:rFonts w:ascii="Cambria Math" w:eastAsia="Calibri" w:hAnsi="Cambria Math"/>
              </w:rPr>
              <m:t>w</m:t>
            </m:r>
          </m:e>
          <m:sub>
            <m:r>
              <w:rPr>
                <w:rFonts w:ascii="Cambria Math" w:eastAsia="Calibri" w:hAnsi="Cambria Math"/>
              </w:rPr>
              <m:t>s</m:t>
            </m:r>
          </m:sub>
        </m:sSub>
      </m:oMath>
      <w:r w:rsidRPr="004048CB">
        <w:t xml:space="preserve"> (</w:t>
      </w:r>
      <m:oMath>
        <m:sSub>
          <m:sSubPr>
            <m:ctrlPr>
              <w:rPr>
                <w:rFonts w:ascii="Cambria Math" w:eastAsia="Calibri" w:hAnsi="Cambria Math"/>
                <w:i/>
              </w:rPr>
            </m:ctrlPr>
          </m:sSubPr>
          <m:e>
            <m:r>
              <w:rPr>
                <w:rFonts w:ascii="Cambria Math" w:eastAsia="Calibri" w:hAnsi="Cambria Math"/>
              </w:rPr>
              <m:t>w</m:t>
            </m:r>
          </m:e>
          <m:sub>
            <m:r>
              <w:rPr>
                <w:rFonts w:ascii="Cambria Math" w:eastAsia="Calibri" w:hAnsi="Cambria Math"/>
              </w:rPr>
              <m:t>i</m:t>
            </m:r>
          </m:sub>
        </m:sSub>
      </m:oMath>
      <w:r w:rsidRPr="004048CB">
        <w:t xml:space="preserve">) is a dummy variable taking a value of 1 if the corresponding zone </w:t>
      </w:r>
      <m:oMath>
        <m:r>
          <w:rPr>
            <w:rFonts w:ascii="Cambria Math" w:eastAsia="Times New Roman" w:hAnsi="Cambria Math"/>
          </w:rPr>
          <m:t>z</m:t>
        </m:r>
      </m:oMath>
      <w:r w:rsidRPr="004048CB">
        <w:t xml:space="preserve"> has segments (intersections) in it or 0 otherwise. Finally, the log-</w:t>
      </w:r>
      <w:r w:rsidRPr="004048CB">
        <w:rPr>
          <w:rFonts w:eastAsia="Times New Roman"/>
        </w:rPr>
        <w:t>likelihood</w:t>
      </w:r>
      <w:r w:rsidRPr="004048CB">
        <w:t xml:space="preserve"> function is: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4048CB" w:rsidRPr="004048CB" w14:paraId="4457876A" w14:textId="77777777" w:rsidTr="00FE4351">
        <w:tc>
          <w:tcPr>
            <w:tcW w:w="4349" w:type="pct"/>
            <w:vAlign w:val="center"/>
          </w:tcPr>
          <w:p w14:paraId="5FF0F73F" w14:textId="5EBBD68C" w:rsidR="004E5047" w:rsidRPr="004048CB" w:rsidRDefault="004E5047" w:rsidP="00FE4351">
            <w:pPr>
              <w:spacing w:before="360" w:after="360"/>
              <w:rPr>
                <w:rFonts w:asciiTheme="majorHAnsi" w:eastAsia="Calibri" w:hAnsiTheme="majorHAnsi" w:cstheme="majorHAnsi"/>
                <w:lang w:val="en-US"/>
              </w:rPr>
            </w:pPr>
            <m:oMathPara>
              <m:oMathParaPr>
                <m:jc m:val="left"/>
              </m:oMathParaPr>
              <m:oMath>
                <m:r>
                  <w:rPr>
                    <w:rFonts w:ascii="Cambria Math" w:eastAsia="Times New Roman" w:hAnsi="Cambria Math" w:cstheme="majorHAnsi"/>
                    <w:szCs w:val="24"/>
                    <w:lang w:val="en-US"/>
                  </w:rPr>
                  <m:t>LL=</m:t>
                </m:r>
                <m:nary>
                  <m:naryPr>
                    <m:chr m:val="∑"/>
                    <m:limLoc m:val="undOvr"/>
                    <m:supHide m:val="1"/>
                    <m:ctrlPr>
                      <w:rPr>
                        <w:rFonts w:ascii="Cambria Math" w:eastAsia="Times New Roman" w:hAnsi="Cambria Math" w:cstheme="majorHAnsi"/>
                        <w:i/>
                        <w:szCs w:val="24"/>
                        <w:lang w:val="en-US"/>
                      </w:rPr>
                    </m:ctrlPr>
                  </m:naryPr>
                  <m:sub>
                    <m:r>
                      <w:rPr>
                        <w:rFonts w:ascii="Cambria Math" w:eastAsia="Times New Roman" w:hAnsi="Cambria Math" w:cs="Times New Roman"/>
                      </w:rPr>
                      <m:t>z</m:t>
                    </m:r>
                  </m:sub>
                  <m:sup/>
                  <m:e>
                    <m:sSub>
                      <m:sSubPr>
                        <m:ctrlPr>
                          <w:rPr>
                            <w:rFonts w:ascii="Cambria Math" w:eastAsia="Times New Roman" w:hAnsi="Cambria Math" w:cstheme="majorHAnsi"/>
                            <w:i/>
                            <w:szCs w:val="24"/>
                            <w:lang w:val="en-US"/>
                          </w:rPr>
                        </m:ctrlPr>
                      </m:sSubPr>
                      <m:e>
                        <m:r>
                          <w:rPr>
                            <w:rFonts w:ascii="Cambria Math" w:eastAsia="Times New Roman" w:hAnsi="Cambria Math" w:cstheme="majorHAnsi"/>
                            <w:szCs w:val="24"/>
                            <w:lang w:val="en-US"/>
                          </w:rPr>
                          <m:t>Ln(L</m:t>
                        </m:r>
                      </m:e>
                      <m:sub>
                        <m:r>
                          <w:rPr>
                            <w:rFonts w:ascii="Cambria Math" w:eastAsia="Times New Roman" w:hAnsi="Cambria Math" w:cs="Times New Roman"/>
                          </w:rPr>
                          <m:t>z</m:t>
                        </m:r>
                      </m:sub>
                    </m:sSub>
                    <m:r>
                      <w:rPr>
                        <w:rFonts w:ascii="Cambria Math" w:eastAsia="Times New Roman" w:hAnsi="Cambria Math" w:cstheme="majorHAnsi"/>
                        <w:szCs w:val="24"/>
                        <w:lang w:val="en-US"/>
                      </w:rPr>
                      <m:t>)</m:t>
                    </m:r>
                  </m:e>
                </m:nary>
              </m:oMath>
            </m:oMathPara>
          </w:p>
        </w:tc>
        <w:tc>
          <w:tcPr>
            <w:tcW w:w="651" w:type="pct"/>
            <w:vAlign w:val="center"/>
          </w:tcPr>
          <w:p w14:paraId="3A4A02BB" w14:textId="77777777" w:rsidR="004E5047" w:rsidRPr="004048CB" w:rsidRDefault="004E5047" w:rsidP="00134029">
            <w:pPr>
              <w:pStyle w:val="ListParagraph"/>
              <w:numPr>
                <w:ilvl w:val="0"/>
                <w:numId w:val="2"/>
              </w:numPr>
              <w:spacing w:before="360" w:after="360"/>
              <w:jc w:val="right"/>
              <w:rPr>
                <w:rFonts w:asciiTheme="majorHAnsi" w:eastAsia="Calibri" w:hAnsiTheme="majorHAnsi" w:cstheme="majorHAnsi"/>
                <w:lang w:val="en-US"/>
              </w:rPr>
            </w:pPr>
          </w:p>
        </w:tc>
      </w:tr>
    </w:tbl>
    <w:p w14:paraId="6CF2D249" w14:textId="1D37A2DA" w:rsidR="004E5047" w:rsidRPr="00561FA5" w:rsidRDefault="004E5047" w:rsidP="005D30B7">
      <w:pPr>
        <w:ind w:firstLine="720"/>
      </w:pPr>
      <w:r w:rsidRPr="004048CB">
        <w:t xml:space="preserve">All the </w:t>
      </w:r>
      <w:r w:rsidRPr="004048CB">
        <w:rPr>
          <w:rFonts w:eastAsia="Times New Roman"/>
        </w:rPr>
        <w:t>parameters</w:t>
      </w:r>
      <w:r w:rsidRPr="004048CB">
        <w:t xml:space="preserve"> in the model are estimated by maximizing the </w:t>
      </w:r>
      <w:r w:rsidR="00935E2F" w:rsidRPr="004048CB">
        <w:t xml:space="preserve">joint </w:t>
      </w:r>
      <w:r w:rsidRPr="004048CB">
        <w:t xml:space="preserve">logarithmic function </w:t>
      </w:r>
      <m:oMath>
        <m:r>
          <w:rPr>
            <w:rFonts w:ascii="Cambria Math" w:eastAsia="Times New Roman" w:hAnsi="Cambria Math"/>
          </w:rPr>
          <m:t>LL</m:t>
        </m:r>
      </m:oMath>
      <w:r w:rsidRPr="004048CB">
        <w:t xml:space="preserve"> presented in equation </w:t>
      </w:r>
      <w:r w:rsidR="005D30B7" w:rsidRPr="004048CB">
        <w:t>8</w:t>
      </w:r>
      <w:r w:rsidRPr="004048CB">
        <w:t xml:space="preserve">. We apply Quasi-Monte Carlo simulation techniques based on the scrambled Halton sequence to approximate this integral in the likelihood function </w:t>
      </w:r>
      <w:r w:rsidR="009D0729" w:rsidRPr="004048CB">
        <w:t xml:space="preserve">(with 150 draws) </w:t>
      </w:r>
      <w:r w:rsidRPr="004048CB">
        <w:t xml:space="preserve">and maximize the logarithm of the resulting simulated likelihood function (See </w:t>
      </w:r>
      <w:r w:rsidRPr="004048CB">
        <w:fldChar w:fldCharType="begin" w:fldLock="1"/>
      </w:r>
      <w:r w:rsidR="00BB5C26" w:rsidRPr="004048CB">
        <w:instrText>ADDIN CSL_CITATION {"citationItems":[{"id":"ITEM-1","itemData":{"DOI":"10.1016/S0191-2615(00)00014-X","ISBN":"1512471453","ISSN":"01912615","abstract":"This paper proposes the use of a quasi-random sequence for the estimation of the mixed multinomial logit model. The mixed multinomial structure is a flexible discrete choice formulation which accommodates general patterns of competitiveness as well as heterogeneity across individuals in sensitivity to exogenous variables. The estimation of this model has been achieved in the past using the pseudo-random maximum simulated likelihood method that evaluates the multi-dimensional integrals in the log-likelihood function by computing the integrand at a sequence of pseudo-random points and taking the average of the resulting integrand values. We suggest and implement an alternative quasi-random maximum simulated likelihood method which uses cleverly crafted non-random but more uniformly distributed sequences in place of the pseudo-random points in the estimation of the mixed logit model. Numerical experiments, in the context of intercity travel mode choice, indicate that the quasi-random method provides considerably better accuracy with much fewer draws and computational time than does the pseudo-random method. This result has the potential to dramatically influence the use of the mixed logit model in practice; specifically, given the flexibility of the mixed logit model, the use of the quasi-random estimation method should facilitate the application of behaviorally rich structures in discrete choice modeling. © 2001 Elsevier Science Ltd. All rights reserved.","author":[{"dropping-particle":"","family":"Bhat","given":"Chandra R.","non-dropping-particle":"","parse-names":false,"suffix":""}],"container-title":"Transportation Research Part B: Methodological","id":"ITEM-1","issue":"7","issued":{"date-parts":[["2001"]]},"page":"677-693","title":"Quasi-random maximum simulated likelihood estimation of the mixed multinomial logit model","type":"article-journal","volume":"35"},"uris":["http://www.mendeley.com/documents/?uuid=c142cb5d-0ac0-4bcf-8eb5-fa1dc3189693"]},{"id":"ITEM-2","itemData":{"DOI":"https://doi.org/10.1016/j.aap.2013.06.040","ISSN":"0001-4575","abstract":"This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author":[{"dropping-particle":"","family":"Yasmin","given":"Shamsunnahar","non-dropping-particle":"","parse-names":false,"suffix":""},{"dropping-particle":"","family":"Eluru","given":"Naveen","non-dropping-particle":"","parse-names":false,"suffix":""}],"container-title":"Accident Analysis &amp; Prevention","id":"ITEM-2","issued":{"date-parts":[["2013"]]},"page":"506-521","title":"Evaluating alternate discrete outcome frameworks for modeling crash injury severity","type":"article-journal","volume":"59"},"uris":["http://www.mendeley.com/documents/?uuid=f8b3d0b4-eb9e-476d-a506-3b262e239d70"]}],"mendeley":{"formattedCitation":"(Bhat, 2001; Yasmin and Eluru, 2013)","manualFormatting":"Bhat, 2001; Yasmin and Eluru, 2013","plainTextFormattedCitation":"(Bhat, 2001; Yasmin and Eluru, 2013)","previouslyFormattedCitation":"(Bhat, 2001; Yasmin and Eluru, 2013)"},"properties":{"noteIndex":0},"schema":"https://github.com/citation-style-language/schema/raw/master/csl-citation.json"}</w:instrText>
      </w:r>
      <w:r w:rsidRPr="004048CB">
        <w:fldChar w:fldCharType="separate"/>
      </w:r>
      <w:r w:rsidR="00B941CD" w:rsidRPr="004048CB">
        <w:rPr>
          <w:noProof/>
        </w:rPr>
        <w:t>Bhat, 2001; Yasmin and Eluru, 2013</w:t>
      </w:r>
      <w:r w:rsidRPr="004048CB">
        <w:fldChar w:fldCharType="end"/>
      </w:r>
      <w:r w:rsidRPr="004048CB">
        <w:t xml:space="preserve"> for more details). </w:t>
      </w:r>
      <w:r w:rsidR="009D0729" w:rsidRPr="004048CB">
        <w:t xml:space="preserve">We tested the model with higher number of scrambled draws (200 and 250) and found the model estimation was stable. </w:t>
      </w:r>
      <w:r w:rsidRPr="004048CB">
        <w:t xml:space="preserve">We use the GAUSS Matrix </w:t>
      </w:r>
      <w:r w:rsidRPr="00561FA5">
        <w:t>Programming software for estimating the models</w:t>
      </w:r>
      <w:r w:rsidR="00E91B5D" w:rsidRPr="00561FA5">
        <w:t xml:space="preserve"> </w:t>
      </w:r>
      <w:r w:rsidR="00E91B5D" w:rsidRPr="00561FA5">
        <w:fldChar w:fldCharType="begin" w:fldLock="1"/>
      </w:r>
      <w:r w:rsidR="00E91B5D" w:rsidRPr="00561FA5">
        <w:instrText>ADDIN CSL_CITATION {"citationItems":[{"id":"ITEM-1","itemData":{"author":[{"dropping-particle":"","family":"Aptech","given":"","non-dropping-particle":"","parse-names":false,"suffix":""}],"id":"ITEM-1","issued":{"date-parts":[["2015"]]},"title":"Aptech Systems Inc","type":"report"},"uris":["http://www.mendeley.com/documents/?uuid=31283378-fde4-424a-8c02-0b33806d4779"]}],"mendeley":{"formattedCitation":"(Aptech, 2015)","plainTextFormattedCitation":"(Aptech, 2015)","previouslyFormattedCitation":"(Aptech, 2015)"},"properties":{"noteIndex":0},"schema":"https://github.com/citation-style-language/schema/raw/master/csl-citation.json"}</w:instrText>
      </w:r>
      <w:r w:rsidR="00E91B5D" w:rsidRPr="00561FA5">
        <w:fldChar w:fldCharType="separate"/>
      </w:r>
      <w:r w:rsidR="00E91B5D" w:rsidRPr="00561FA5">
        <w:rPr>
          <w:noProof/>
        </w:rPr>
        <w:t>(Aptech, 2015)</w:t>
      </w:r>
      <w:r w:rsidR="00E91B5D" w:rsidRPr="00561FA5">
        <w:fldChar w:fldCharType="end"/>
      </w:r>
      <w:r w:rsidRPr="00561FA5">
        <w:t xml:space="preserve">. </w:t>
      </w:r>
    </w:p>
    <w:p w14:paraId="3A7A201F" w14:textId="77777777" w:rsidR="004E5047" w:rsidRPr="00561FA5" w:rsidRDefault="004E5047" w:rsidP="00146D56"/>
    <w:p w14:paraId="7A2F2AC9" w14:textId="77777777" w:rsidR="004E5047" w:rsidRPr="00561FA5" w:rsidRDefault="004E5047" w:rsidP="005E0487">
      <w:pPr>
        <w:pStyle w:val="Heading1"/>
        <w:rPr>
          <w:color w:val="auto"/>
        </w:rPr>
      </w:pPr>
      <w:r w:rsidRPr="00561FA5">
        <w:rPr>
          <w:color w:val="auto"/>
        </w:rPr>
        <w:t>DATA PREPARATION</w:t>
      </w:r>
    </w:p>
    <w:p w14:paraId="66B187A5" w14:textId="795ED29E" w:rsidR="004E5047" w:rsidRPr="00561FA5" w:rsidRDefault="004E5047" w:rsidP="00146D56">
      <w:r w:rsidRPr="00561FA5">
        <w:t>The current research considers Orlando city region of Florida as the area of analysis, which is composed of 300 TAZs, 1,818 segments, and 4,184 intersections (see Figure 1). The study focuses on total crashes for the years 2018 and 2019</w:t>
      </w:r>
      <w:r w:rsidR="005838AB" w:rsidRPr="00561FA5">
        <w:t xml:space="preserve">. </w:t>
      </w:r>
      <w:r w:rsidR="00DE1739" w:rsidRPr="00561FA5">
        <w:t xml:space="preserve">The crash frequency variables for the TAZs, segments and intersections were computed as a sum of crashes during 2018 and 2019. </w:t>
      </w:r>
      <w:r w:rsidRPr="00561FA5">
        <w:t xml:space="preserve">The data were compiled from the Signal Four Analytics databases. All the crash records were aggregated at TAZ level using the Geographic Information System (GIS). The crashes nearest to a TAZ were counted as the crashes of that TAZ. A 250 feet buffer around each intersection was created, and the spatial join tool was used to assign crashes into the intersections by intersecting crash map and intersection buffer map. The remaining crashes were assigned to road segments by using the proximity tool in GIS. In this process, a total of 42,086 TAZ crashes were classified into 30,886 intersection crashes and 11,200 segment crashes. </w:t>
      </w:r>
    </w:p>
    <w:p w14:paraId="20D1DE4B" w14:textId="77777777" w:rsidR="001C56A8" w:rsidRPr="00635C3D" w:rsidRDefault="001C56A8" w:rsidP="00146D56"/>
    <w:p w14:paraId="43ADB2B6" w14:textId="77777777" w:rsidR="004E5047" w:rsidRPr="00635C3D" w:rsidRDefault="004E5047" w:rsidP="001C56A8">
      <w:pPr>
        <w:pStyle w:val="Heading2"/>
        <w:rPr>
          <w:color w:val="auto"/>
        </w:rPr>
      </w:pPr>
      <w:r w:rsidRPr="00635C3D">
        <w:rPr>
          <w:color w:val="auto"/>
        </w:rPr>
        <w:t>Variables Considered</w:t>
      </w:r>
    </w:p>
    <w:p w14:paraId="79ADCDED" w14:textId="1242CEBE" w:rsidR="004E5047" w:rsidRPr="00635C3D" w:rsidRDefault="004E5047" w:rsidP="005D30B7">
      <w:r w:rsidRPr="00635C3D">
        <w:t xml:space="preserve">A comprehensive set of independent variables including roadway, traffic, land-use, </w:t>
      </w:r>
      <w:r w:rsidR="00EF2E08" w:rsidRPr="00635C3D">
        <w:t xml:space="preserve">built environment, </w:t>
      </w:r>
      <w:r w:rsidRPr="00635C3D">
        <w:t>and sociodemographic characteristics are considered in our study. Information about these variables were collected from different data sources including Transportation Statistics Division</w:t>
      </w:r>
      <w:r w:rsidR="000A6113" w:rsidRPr="00635C3D">
        <w:t xml:space="preserve"> of Florida Department of Transportation (FDOT)</w:t>
      </w:r>
      <w:r w:rsidRPr="00635C3D">
        <w:t xml:space="preserve">, US Census Bureau, American Community Survey, and Florida Geographic Data Library databases. These explanatory variables </w:t>
      </w:r>
      <w:r w:rsidRPr="00635C3D">
        <w:lastRenderedPageBreak/>
        <w:t xml:space="preserve">were aggregated at the zonal level using the GIS for macro level dataset. </w:t>
      </w:r>
      <w:r w:rsidR="002432FE" w:rsidRPr="00635C3D">
        <w:t xml:space="preserve">We have considered different spatial aggregations based on the independent variable specific data source. For example, sociodemographic data were extracted from US Census Bureau (American Community Survey) database at census tract level. In cases where the buffer area overlaps multiple census tracts, the data was aggregated by calculating the proportion of census tract area within that buffer area. </w:t>
      </w:r>
      <w:r w:rsidRPr="00635C3D">
        <w:t>Macro level analyses use roadway and traffic factors (such as proportion of roads by functional class, number of lanes, average speed limit, average shoulder width, average sidewalk width and median width, intersection density, traffic signal per intersection, AADT, and truck AADT), land-use attributes (such as proportion of residential, commercial, institutional, industrial and recreational area), built environment characteristics (such as number of restaurants, business centers, commercial centers, educational centers, and shopping centers), and sociodemographic characteristics (such as population density, proportion of male</w:t>
      </w:r>
      <w:r w:rsidR="00307016" w:rsidRPr="00635C3D">
        <w:t>s</w:t>
      </w:r>
      <w:r w:rsidRPr="00635C3D">
        <w:t xml:space="preserve"> and female</w:t>
      </w:r>
      <w:r w:rsidR="00307016" w:rsidRPr="00635C3D">
        <w:t>s</w:t>
      </w:r>
      <w:r w:rsidRPr="00635C3D">
        <w:t xml:space="preserve">, household density, median household income, proportion of car, drive alone, non-motorized means of transport, different population group by age level, household with vehicle availability, and population with different races). The micro level (segments and intersections) explanatory variables also include similar roadway and traffic factors, land-use, built environment, and sociodemographic variables. For segment level variables, roadway and traffic attributes were assigned to the segments by using the proximity tool in GIS. Aggregation of land-use, </w:t>
      </w:r>
      <w:r w:rsidR="00307016" w:rsidRPr="00635C3D">
        <w:t xml:space="preserve">built environment, </w:t>
      </w:r>
      <w:r w:rsidRPr="00635C3D">
        <w:t>and sociodemographic variables for segments and intersections, and roadway and traffic variables for intersections were performed by intersecting maps of the attributes and 0.5-mile buffer map of respective facility types (segments and intersections).</w:t>
      </w:r>
      <w:r w:rsidR="00164933" w:rsidRPr="00635C3D">
        <w:t xml:space="preserve"> </w:t>
      </w:r>
      <w:r w:rsidR="003D6160" w:rsidRPr="00635C3D">
        <w:t xml:space="preserve">For modeling intersection data, it is customary to consider AADT data for major and minor roads. </w:t>
      </w:r>
      <w:r w:rsidR="00E45509" w:rsidRPr="00635C3D">
        <w:t xml:space="preserve">However, in our case, the AADT data was not available labelled as major and minor AADT. Hence, in our analysis, </w:t>
      </w:r>
      <w:r w:rsidR="00164933" w:rsidRPr="00635C3D">
        <w:t xml:space="preserve">we considered 0.5-mile buffer area of an intersection as influence zone and </w:t>
      </w:r>
      <w:r w:rsidR="00E45509" w:rsidRPr="00635C3D">
        <w:t xml:space="preserve">generated </w:t>
      </w:r>
      <w:r w:rsidR="00164933" w:rsidRPr="00635C3D">
        <w:t xml:space="preserve">the sum of AADT of all </w:t>
      </w:r>
      <w:r w:rsidR="00E45509" w:rsidRPr="00635C3D">
        <w:t xml:space="preserve">approaches to compute </w:t>
      </w:r>
      <w:r w:rsidR="00164933" w:rsidRPr="00635C3D">
        <w:t xml:space="preserve">intersection AADT. </w:t>
      </w:r>
    </w:p>
    <w:p w14:paraId="223B40F7" w14:textId="04B3C1AD" w:rsidR="00E45509" w:rsidRPr="00635C3D" w:rsidRDefault="004E5047" w:rsidP="00175B31">
      <w:pPr>
        <w:ind w:firstLine="720"/>
      </w:pPr>
      <w:r w:rsidRPr="00635C3D">
        <w:t>Table 1 lists the independent variables with the appropriate definition considered for final model estimation along with the minimum, maximum, mean, and standard deviation (SD) values at both micro and macro level. For model estimation purposes, several functional forms of the variables were also considered. The variables that offered the best model fit were retained. The final specification includes the statistically significant variables at 90% confidence level.</w:t>
      </w:r>
      <w:r w:rsidR="00E45509" w:rsidRPr="00635C3D">
        <w:t xml:space="preserve"> The reader would also note that </w:t>
      </w:r>
      <w:r w:rsidR="002C4E91" w:rsidRPr="00635C3D">
        <w:t xml:space="preserve">the model estimation process carefully examined for potential collinearity/correlations across independent variables. The variable selection was finalized after ensuring the </w:t>
      </w:r>
      <w:r w:rsidR="00175B31" w:rsidRPr="00635C3D">
        <w:t xml:space="preserve">covariance across the independent variables is within an acceptable range post-model estimation. </w:t>
      </w:r>
    </w:p>
    <w:p w14:paraId="4164233E" w14:textId="77777777" w:rsidR="004E5047" w:rsidRPr="00E865F5" w:rsidRDefault="004E5047" w:rsidP="00146D56">
      <w:pPr>
        <w:rPr>
          <w:lang w:val="en-GB"/>
        </w:rPr>
      </w:pPr>
    </w:p>
    <w:p w14:paraId="39A8E3AE" w14:textId="77777777" w:rsidR="004E5047" w:rsidRPr="00E865F5" w:rsidRDefault="004E5047" w:rsidP="005E0487">
      <w:pPr>
        <w:pStyle w:val="Heading1"/>
        <w:rPr>
          <w:color w:val="auto"/>
          <w:lang w:val="en-GB"/>
        </w:rPr>
      </w:pPr>
      <w:r w:rsidRPr="00E865F5">
        <w:rPr>
          <w:color w:val="auto"/>
          <w:lang w:val="en-GB"/>
        </w:rPr>
        <w:t xml:space="preserve">EMPIRICAL </w:t>
      </w:r>
      <w:r w:rsidRPr="00E865F5">
        <w:rPr>
          <w:color w:val="auto"/>
        </w:rPr>
        <w:t>ANALYSIS</w:t>
      </w:r>
      <w:r w:rsidRPr="00E865F5">
        <w:rPr>
          <w:color w:val="auto"/>
          <w:lang w:val="en-GB"/>
        </w:rPr>
        <w:t xml:space="preserve"> </w:t>
      </w:r>
    </w:p>
    <w:p w14:paraId="1F33621B" w14:textId="77777777" w:rsidR="004E5047" w:rsidRPr="00E865F5" w:rsidRDefault="004E5047" w:rsidP="00146D56"/>
    <w:p w14:paraId="11475BC3" w14:textId="2E113DDB" w:rsidR="004E5047" w:rsidRPr="00E865F5" w:rsidRDefault="004E5047" w:rsidP="005E0487">
      <w:pPr>
        <w:pStyle w:val="Heading2"/>
        <w:rPr>
          <w:color w:val="auto"/>
        </w:rPr>
      </w:pPr>
      <w:r w:rsidRPr="00E865F5">
        <w:rPr>
          <w:color w:val="auto"/>
        </w:rPr>
        <w:t>Model Specification and Overall Measure of Fit</w:t>
      </w:r>
      <w:r w:rsidR="0065131C" w:rsidRPr="00E865F5">
        <w:rPr>
          <w:rStyle w:val="FootnoteReference"/>
          <w:color w:val="auto"/>
        </w:rPr>
        <w:footnoteReference w:id="1"/>
      </w:r>
    </w:p>
    <w:p w14:paraId="314E9BC7" w14:textId="3649C8C5" w:rsidR="00893650" w:rsidRPr="005E68D0" w:rsidRDefault="004E5047" w:rsidP="00893650">
      <w:bookmarkStart w:id="2" w:name="_Hlk78425594"/>
      <w:r w:rsidRPr="00E865F5">
        <w:t xml:space="preserve">The empirical analysis involves a series of model estimations. First, we estimate the simple non-integrated NB models at both micro (segment and intersection) and macro levels. Second, we </w:t>
      </w:r>
      <w:r w:rsidRPr="005E68D0">
        <w:lastRenderedPageBreak/>
        <w:t xml:space="preserve">estimate an existing integrated micro-macro model, as proposed by </w:t>
      </w:r>
      <w:r w:rsidRPr="005E68D0">
        <w:fldChar w:fldCharType="begin" w:fldLock="1"/>
      </w:r>
      <w:r w:rsidR="00BB5C26" w:rsidRPr="005E68D0">
        <w:instrText>ADDIN CSL_CITATION {"citationItems":[{"id":"ITEM-1","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Science","id":"ITEM-1","issue":"2","issued":{"date-parts":[["2019","11","29"]]},"note":"doi: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interaction","type":"article-journal","volume":"15"},"uris":["http://www.mendeley.com/documents/?uuid=b21ff7f8-fd41-4c63-a83e-a4f52d8aae4d"]}],"mendeley":{"formattedCitation":"(Cai et al., 2019)","manualFormatting":"Cai et al. (2019)","plainTextFormattedCitation":"(Cai et al., 2019)","previouslyFormattedCitation":"(Cai et al., 2019)"},"properties":{"noteIndex":0},"schema":"https://github.com/citation-style-language/schema/raw/master/csl-citation.json"}</w:instrText>
      </w:r>
      <w:r w:rsidRPr="005E68D0">
        <w:fldChar w:fldCharType="separate"/>
      </w:r>
      <w:r w:rsidR="00B941CD" w:rsidRPr="005E68D0">
        <w:rPr>
          <w:noProof/>
        </w:rPr>
        <w:t xml:space="preserve">Cai et al. </w:t>
      </w:r>
      <w:r w:rsidR="007F7B87" w:rsidRPr="005E68D0">
        <w:rPr>
          <w:noProof/>
        </w:rPr>
        <w:t>(</w:t>
      </w:r>
      <w:r w:rsidR="00B941CD" w:rsidRPr="005E68D0">
        <w:rPr>
          <w:noProof/>
        </w:rPr>
        <w:t>2019)</w:t>
      </w:r>
      <w:r w:rsidRPr="005E68D0">
        <w:fldChar w:fldCharType="end"/>
      </w:r>
      <w:r w:rsidRPr="005E68D0">
        <w:t>. Third, we developed our proposed integrated system following two approaches: a) integrated model 1: focusing on optimizing the macroscopic model data fit by only estimating the scalar parameter while fixing the micro level parameter</w:t>
      </w:r>
      <w:r w:rsidR="00E865F5" w:rsidRPr="005E68D0">
        <w:t>s</w:t>
      </w:r>
      <w:r w:rsidRPr="005E68D0">
        <w:t xml:space="preserve">; and b) integrated model 2: the microscopic parameters are estimated based on their contribution to microscopic model directly and the macroscopic model via the microscopic propensity component in the macroscopic model. Fourth, we identify the best model by comparing model performance based on Bayesian Information Criterion (BIC). </w:t>
      </w:r>
      <w:r w:rsidR="00893650" w:rsidRPr="005E68D0">
        <w:t>The BIC for a given empirical model is equal to: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5E68D0" w:rsidRPr="005E68D0" w14:paraId="31A40399" w14:textId="77777777" w:rsidTr="003E1335">
        <w:tc>
          <w:tcPr>
            <w:tcW w:w="4349" w:type="pct"/>
            <w:vAlign w:val="center"/>
          </w:tcPr>
          <w:p w14:paraId="7FBCDD0A" w14:textId="53189226" w:rsidR="00893650" w:rsidRPr="005E68D0" w:rsidRDefault="00893650" w:rsidP="003E1335">
            <w:pPr>
              <w:spacing w:before="360" w:after="360"/>
              <w:rPr>
                <w:rFonts w:asciiTheme="majorHAnsi" w:eastAsia="Calibri" w:hAnsiTheme="majorHAnsi" w:cstheme="majorHAnsi"/>
                <w:i/>
                <w:iCs/>
                <w:lang w:val="en-US"/>
              </w:rPr>
            </w:pPr>
            <m:oMathPara>
              <m:oMathParaPr>
                <m:jc m:val="left"/>
              </m:oMathParaPr>
              <m:oMath>
                <m:r>
                  <m:rPr>
                    <m:nor/>
                  </m:rPr>
                  <w:rPr>
                    <w:rFonts w:ascii="Cambria Math" w:hAnsi="Cambria Math"/>
                    <w:i/>
                    <w:iCs/>
                  </w:rPr>
                  <m:t>BIC= -2LL+K ln (Q)</m:t>
                </m:r>
              </m:oMath>
            </m:oMathPara>
          </w:p>
        </w:tc>
        <w:tc>
          <w:tcPr>
            <w:tcW w:w="651" w:type="pct"/>
            <w:vAlign w:val="center"/>
          </w:tcPr>
          <w:p w14:paraId="0B78BAD4" w14:textId="77777777" w:rsidR="00893650" w:rsidRPr="005E68D0" w:rsidRDefault="00893650" w:rsidP="00893650">
            <w:pPr>
              <w:pStyle w:val="Heading1"/>
              <w:numPr>
                <w:ilvl w:val="0"/>
                <w:numId w:val="2"/>
              </w:numPr>
              <w:outlineLvl w:val="0"/>
              <w:rPr>
                <w:rFonts w:eastAsia="Calibri"/>
                <w:color w:val="auto"/>
                <w:lang w:val="en-US"/>
              </w:rPr>
            </w:pPr>
          </w:p>
        </w:tc>
      </w:tr>
    </w:tbl>
    <w:p w14:paraId="3EDEBD71" w14:textId="6C0CE113" w:rsidR="00893650" w:rsidRPr="005E68D0" w:rsidRDefault="00893650" w:rsidP="00893650">
      <w:r w:rsidRPr="005E68D0">
        <w:t xml:space="preserve">where LL is the log-likelihood value at convergence, K is the number of parameters and Q is the number of observations. The model with the lower BIC is the preferred model. </w:t>
      </w:r>
    </w:p>
    <w:p w14:paraId="7997F2EC" w14:textId="75EC3EC2" w:rsidR="004E5047" w:rsidRPr="005E68D0" w:rsidRDefault="004E5047" w:rsidP="00893650">
      <w:pPr>
        <w:ind w:firstLine="720"/>
      </w:pPr>
      <w:r w:rsidRPr="005E68D0">
        <w:t xml:space="preserve">Finally, we incorporate unobserved heterogeneity in terms of spatial variations and random effects in the model selected in the fourth step and compare its performance with the models without unobserved heterogeneity. </w:t>
      </w:r>
    </w:p>
    <w:bookmarkEnd w:id="2"/>
    <w:p w14:paraId="554F3295" w14:textId="32607B17" w:rsidR="004E5047" w:rsidRPr="005E68D0" w:rsidRDefault="004E5047" w:rsidP="005D30B7">
      <w:pPr>
        <w:ind w:firstLine="720"/>
      </w:pPr>
      <w:r w:rsidRPr="005E68D0">
        <w:t xml:space="preserve">The corresponding BIC (LL) values are: (1) non-integrated models (with 29 parameters): 34,798.048 (-17,316.319), (2) existing integrated micro-macro model (with 20 parameters): 34,782.556 (-17,334.240), (3a) integrated model 1 (with 24 parameters): 34,765.831 (-17,314.470), (3b) integrated model 2 (with 23 parameters): 34,787.607 (-17,328.210), and (4) integrated model 1 with unobserved heterogeneity (with 28 parameters): 34,297.126 (-17,068.710). Based on these BIC values, three specific observations could be drawn. First, all the integrated systems (our proposed two approaches and the existing integrated approach) provide improved data fit as evidenced by the lower BIC values in comparison to the non-integrated model. Second, within the integrated systems, our proposed model 1 provides the lowest BIC indicating the best data fit in comparison to the other models. The performance of the other two integrated models (our proposed model 2 and existing integrated model) are quite close to each other as highlighted by the marginal differences in BIC across these models. Finally, we accommodate unobserved heterogeneity in our integrated model 1 (the best model in terms of data fit) and find that the model accommodating unobserved heterogeneity provides further improved BIC (lower) compared to its independent counterpart, thus </w:t>
      </w:r>
      <w:bookmarkStart w:id="3" w:name="_Hlk78554562"/>
      <w:r w:rsidRPr="005E68D0">
        <w:t xml:space="preserve">reinforcing the importance of incorporating the influence of common unobserved factors in crash frequency analysis. </w:t>
      </w:r>
      <w:bookmarkEnd w:id="3"/>
    </w:p>
    <w:p w14:paraId="5A5458DE" w14:textId="77777777" w:rsidR="004E5047" w:rsidRPr="005E68D0" w:rsidRDefault="004E5047" w:rsidP="00146D56"/>
    <w:p w14:paraId="70E21536" w14:textId="465B0569" w:rsidR="004E5047" w:rsidRPr="005E68D0" w:rsidRDefault="004E5047" w:rsidP="005E0487">
      <w:pPr>
        <w:pStyle w:val="Heading2"/>
        <w:rPr>
          <w:color w:val="auto"/>
        </w:rPr>
      </w:pPr>
      <w:r w:rsidRPr="005E68D0">
        <w:rPr>
          <w:color w:val="auto"/>
        </w:rPr>
        <w:t>Model Estimation Result</w:t>
      </w:r>
      <w:r w:rsidR="00250EBE" w:rsidRPr="005E68D0">
        <w:rPr>
          <w:color w:val="auto"/>
        </w:rPr>
        <w:t>s</w:t>
      </w:r>
    </w:p>
    <w:p w14:paraId="2C54AD48" w14:textId="08EFB73F" w:rsidR="004E5047" w:rsidRDefault="004E5047" w:rsidP="005D30B7">
      <w:r w:rsidRPr="005E68D0">
        <w:t>In this section, we will discuss the factors affecting crash counts across macro and micro levels. For the sake of brevity, we will only discuss the results of the best fit model identified above. Table 2 presents the model estimation results for the proposed integrated m</w:t>
      </w:r>
      <w:r w:rsidR="00B7060E" w:rsidRPr="005E68D0">
        <w:t>i</w:t>
      </w:r>
      <w:r w:rsidRPr="005E68D0">
        <w:t>cro-m</w:t>
      </w:r>
      <w:r w:rsidR="00B7060E" w:rsidRPr="005E68D0">
        <w:t>a</w:t>
      </w:r>
      <w:r w:rsidRPr="005E68D0">
        <w:t xml:space="preserve">cro model 1 with </w:t>
      </w:r>
      <w:r w:rsidRPr="005E68D0">
        <w:lastRenderedPageBreak/>
        <w:t>correlation and random effects</w:t>
      </w:r>
      <w:r w:rsidR="0008426E" w:rsidRPr="005E68D0">
        <w:t xml:space="preserve"> (please refer to the supplementa</w:t>
      </w:r>
      <w:r w:rsidR="00DD788D" w:rsidRPr="005E68D0">
        <w:t>ry</w:t>
      </w:r>
      <w:r w:rsidR="0008426E" w:rsidRPr="005E68D0">
        <w:t xml:space="preserve"> material for results of the simple non-integrated models, Table S2)</w:t>
      </w:r>
      <w:r w:rsidRPr="005E68D0">
        <w:t>. It is to be noted that a positive (negative) sign for a variable in the crash counts of Table 2 indicates that an increase in the variable is likely to result in more (less) crashes.</w:t>
      </w:r>
    </w:p>
    <w:p w14:paraId="5D44E155" w14:textId="77777777" w:rsidR="00CA4761" w:rsidRPr="005E68D0" w:rsidRDefault="00CA4761" w:rsidP="005D30B7"/>
    <w:p w14:paraId="419C6640" w14:textId="77777777" w:rsidR="004E5047" w:rsidRPr="005E68D0" w:rsidRDefault="004E5047" w:rsidP="005E0487">
      <w:pPr>
        <w:pStyle w:val="Heading2"/>
        <w:rPr>
          <w:color w:val="auto"/>
        </w:rPr>
      </w:pPr>
      <w:r w:rsidRPr="005E68D0">
        <w:rPr>
          <w:color w:val="auto"/>
        </w:rPr>
        <w:t>Crash Specific Constants</w:t>
      </w:r>
    </w:p>
    <w:p w14:paraId="280B8828" w14:textId="77777777" w:rsidR="004E5047" w:rsidRPr="005E68D0" w:rsidRDefault="004E5047" w:rsidP="00146D56">
      <w:r w:rsidRPr="005E68D0">
        <w:t>The model constants do not have any substantive interpretation.</w:t>
      </w:r>
    </w:p>
    <w:p w14:paraId="5D733761" w14:textId="77777777" w:rsidR="004E5047" w:rsidRPr="005E68D0" w:rsidRDefault="004E5047" w:rsidP="00146D56"/>
    <w:p w14:paraId="28205DB4" w14:textId="77777777" w:rsidR="004E5047" w:rsidRPr="005E68D0" w:rsidRDefault="004E5047" w:rsidP="005E0487">
      <w:pPr>
        <w:pStyle w:val="Heading2"/>
        <w:rPr>
          <w:color w:val="auto"/>
        </w:rPr>
      </w:pPr>
      <w:r w:rsidRPr="005E68D0">
        <w:rPr>
          <w:color w:val="auto"/>
        </w:rPr>
        <w:t xml:space="preserve">Segment Level Attributes </w:t>
      </w:r>
    </w:p>
    <w:p w14:paraId="7CB79795" w14:textId="19C74C8F" w:rsidR="004E5047" w:rsidRPr="00A45CDC" w:rsidRDefault="004E5047" w:rsidP="00146D56">
      <w:r w:rsidRPr="005E68D0">
        <w:t xml:space="preserve">The segment level model shows that the parameter associated with the segment length has a positive impact on crash frequency. The result is consistent with the expectation because the longer road segment is correlated with higher exposure between drivers, and other road users. The result is similar to some other studies </w:t>
      </w:r>
      <w:r w:rsidRPr="005E68D0">
        <w:fldChar w:fldCharType="begin" w:fldLock="1"/>
      </w:r>
      <w:r w:rsidR="00B941CD" w:rsidRPr="005E68D0">
        <w:instrText>ADDIN CSL_CITATION {"citationItems":[{"id":"ITEM-1","itemData":{"DOI":"https://doi.org/10.1016/j.aap.2021.106146","ISSN":"0001-4575","abstract":"Safety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Prevention","id":"ITEM-1","issued":{"date-parts":[["2021"]]},"page":"106146","title":"Understanding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models","type":"article-journal","volume":"157"},"uris":["http://www.mendeley.com/documents/?uuid=695579bd-dcab-4336-8b91-e4e835539d73"]},{"id":"ITEM-2","itemData":{"DOI":"https://doi.org/10.1016/j.aap.2020.105433","ISSN":"0001-4575","abstract":"Urban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author":[{"dropping-particle":"","family":"Alhomaidat","given":"Fadi","non-dropping-particle":"","parse-names":false,"suffix":""},{"dropping-particle":"","family":"Kwigizile","given":"Valerian","non-dropping-particle":"","parse-names":false,"suffix":""},{"dropping-particle":"","family":"Oh","given":"Jun-Seok","non-dropping-particle":"","parse-names":false,"suffix":""},{"dropping-particle":"Van","family":"Houten","given":"Ron","non-dropping-particle":"","parse-names":false,"suffix":""}],"container-title":"Accident Analysis &amp; Prevention","id":"ITEM-2","issued":{"date-parts":[["2020"]]},"page":"105433","title":"How does an increased freeway speed limit influence the frequency of crashes on adjacent roads?","type":"article-journal","volume":"136"},"uris":["http://www.mendeley.com/documents/?uuid=4ba7c30d-65b0-4a33-82ad-2d22a43901d0"]},{"id":"ITEM-3","itemData":{"DOI":"https://doi.org/10.1016/j.physa.2019.123754","ISSN":"0378-4371","abstract":"Underreporting and spatial correlations are two important issues in traffic safety analysis. To deal with them simultaneously, this study proposes a Bayesian underreporting conditional autoregressive (CAR) model for analyzing crash frequency. In the formulation of the proposed model, a latent reporting process is incorporated into the crash counting process, and residual terms with CAR priors are added into the two processes to account for their respective spatial correlations. The seasonal crash data collected from Kaiyang Freeway, China in 2014 are used to verify the performance of the proposed model. It is estimated and compared with a traditional CAR model via Bayesian methods. The superiority of the underreporting model is indicated by its better model fit, more reasonable estimation results, and statistical significance of the spatial terms in the counting and reporting processes. Estimation results show that more crashes are expected to occur on longer freeway segments with larger traffic volume, smaller proportion of large truck/bus, greater horizontal curvature, and higher vertical grade. It is also shown that light traffic, traffic with more medium truck/bus or less large truck/bus, smaller horizontal curvature, bridge, and segments without ramps tend to increase the likelihood of crash reporting. These results are generally consistent with the findings in existing literature and engineering experience, which further support the proposed model as a good alternative for crash frequency analyzing.","author":[{"dropping-particle":"","family":"Zeng","given":"Qiang","non-dropping-particle":"","parse-names":false,"suffix":""},{"dropping-particle":"","family":"Wen","given":"Huiying","non-dropping-particle":"","parse-names":false,"suffix":""},{"dropping-particle":"","family":"Huang","given":"Helai","non-dropping-particle":"","parse-names":false,"suffix":""},{"dropping-particle":"","family":"Wang","given":"Jie","non-dropping-particle":"","parse-names":false,"suffix":""},{"dropping-particle":"","family":"Lee","given":"Jinwoo","non-dropping-particle":"","parse-names":false,"suffix":""}],"container-title":"Physica A: Statistical Mechanics and its Applications","id":"ITEM-3","issued":{"date-parts":[["2020"]]},"page":"123754","title":"Analysis of crash frequency using a Bayesian underreporting count model with spatial correlation","type":"article-journal","volume":"545"},"uris":["http://www.mendeley.com/documents/?uuid=9d37f56f-975e-4f25-a61c-34f2158ca56c"]},{"id":"ITEM-4","itemData":{"DOI":"https://doi.org/10.1016/j.amar.2019.100092","ISSN":"2213-6657","abstract":"Crash frequency prediction models have been an important subject of safety research that unveils a relationship between crash occurrences and their influencing factors. Recently, the hourly-based refined-scale crash frequency analysis becomes attractive since it holds the benefits of introducing time-varying explanatory information (e.g. traffic volume and operating speed). However, crash frequency data with short time intervals possess the analytical issues of excessive zeros and unobserved heterogeneity. In this study, a marginalized random effects hurdle negative binomial (MREHNB) model was, for the first time, developed in which the hurdle modelling structure handles the excessive zeros issue and site-specific random effect terms capture the factors associated with unobserved heterogeneity. Moreover, the marginalized inference approach was introduced here to obtain the marginal mean inference for the overall population rather than subject-specific estimations. Empirical analyses were conducted based on data from the Shanghai urban expressway system, and the MREHNB model was compared with the HNB (hurdle negative binomial) and the REHNB (random effects hurdle negative binomial) model. In terms of model goodness-of-fits, REHNB and MREHNB model showed substantial improvement compared to the HNB model while there was no distinct difference between the REHNB and MREHNB models. However, as for the estimated parameters, the MREHNB model provided better inference precisions. Furthermore, the MREHNB model provided interesting findings for the crash contributing factors, for example, higher ratios of local vehicles within the traffic volume would enhance the probability of crash occurrence; and a non-linear relationship was concluded between traffic volume and crash frequency with the moderate level of volume held the highest crash occurrence probability. Finally, in-depth analyses about the modeling results and the model technique were discussed. The results will assist in designing more efficient control strategies for near real-time traffic management.","author":[{"dropping-particle":"","family":"Yu","given":"Rongjie","non-dropping-particle":"","parse-names":false,"suffix":""},{"dropping-particle":"","family":"Wang","given":"Yiyun","non-dropping-particle":"","parse-names":false,"suffix":""},{"dropping-particle":"","family":"Quddus","given":"Mohammed","non-dropping-particle":"","parse-names":false,"suffix":""},{"dropping-particle":"","family":"Li","given":"Jian","non-dropping-particle":"","parse-names":false,"suffix":""}],"container-title":"Analytic Methods in Accident Research","id":"ITEM-4","issued":{"date-parts":[["2019"]]},"page":"100092","title":"A marginalized random effects hurdle negative binomial model for analyzing refined-scale crash frequency data","type":"article-journal","volume":"22"},"uris":["http://www.mendeley.com/documents/?uuid=5559b9f1-0e6f-40b7-8a40-77b8c955ec55"]}],"mendeley":{"formattedCitation":"(Alhomaidat et al., 2020; Mohammadnazar et al., 2021; Yu et al., 2019; Zeng et al., 2020)","plainTextFormattedCitation":"(Alhomaidat et al., 2020; Mohammadnazar et al., 2021; Yu et al., 2019; Zeng et al., 2020)","previouslyFormattedCitation":"(Alhomaidat et al., 2020; Mohammadnazar et al., 2021; Yu et al., 2019; Zeng et al., 2020)"},"properties":{"noteIndex":0},"schema":"https://github.com/citation-style-language/schema/raw/master/csl-citation.json"}</w:instrText>
      </w:r>
      <w:r w:rsidRPr="005E68D0">
        <w:fldChar w:fldCharType="separate"/>
      </w:r>
      <w:r w:rsidR="00B941CD" w:rsidRPr="005E68D0">
        <w:rPr>
          <w:noProof/>
        </w:rPr>
        <w:t>(Alhomaidat et al., 2020; Mohammadnazar et al., 2021; Yu et al., 2019; Zeng et al., 2020)</w:t>
      </w:r>
      <w:r w:rsidRPr="005E68D0">
        <w:fldChar w:fldCharType="end"/>
      </w:r>
      <w:r w:rsidRPr="005E68D0">
        <w:t>. The parameter</w:t>
      </w:r>
      <w:r w:rsidR="002D2EDE">
        <w:t>s</w:t>
      </w:r>
      <w:r w:rsidRPr="005E68D0">
        <w:t xml:space="preserve"> for number of lanes and average inside shoulder width also show positive association with crash frequency. This is intuitive as the roads with higher number of lanes usually have higher traffic volume, higher lane change rates and conflict risk resulting in higher number of crashes. Inside shoulder may provide shelter for emergency stop and pull over. However, stopped vehicles may be hazardous and contribute to certain type of crashes (for example, rear end crashes), especially on freeways. Moreover, wider shoulders may encourage higher operating speeds which can also increase crash risk </w:t>
      </w:r>
      <w:r w:rsidRPr="005E68D0">
        <w:fldChar w:fldCharType="begin" w:fldLock="1"/>
      </w:r>
      <w:r w:rsidR="00B941CD" w:rsidRPr="005E68D0">
        <w:instrText>ADDIN CSL_CITATION {"citationItems":[{"id":"ITEM-1","itemData":{"ISBN":"0309117828","author":[{"dropping-particle":"","family":"Stamatiadis","given":"Nikiforos","non-dropping-particle":"","parse-names":false,"suffix":""},{"dropping-particle":"","family":"Pigman","given":"Jerry G","non-dropping-particle":"","parse-names":false,"suffix":""},{"dropping-particle":"","family":"Sacksteder","given":"John","non-dropping-particle":"","parse-names":false,"suffix":""},{"dropping-particle":"","family":"Ruff","given":"Wendel","non-dropping-particle":"","parse-names":false,"suffix":""},{"dropping-particle":"","family":"Lord","given":"Dominique","non-dropping-particle":"","parse-names":false,"suffix":""}],"id":"ITEM-1","issued":{"date-parts":[["2009"]]},"title":"Impact of Shoulder Width and Median Width on Safety","type":"report"},"uris":["http://www.mendeley.com/documents/?uuid=267f2460-6c2e-4e8f-9640-a236a450e687"]}],"mendeley":{"formattedCitation":"(Stamatiadis et al., 2009)","plainTextFormattedCitation":"(Stamatiadis et al., 2009)","previouslyFormattedCitation":"(Stamatiadis et al., 2009)"},"properties":{"noteIndex":0},"schema":"https://github.com/citation-style-language/schema/raw/master/csl-citation.json"}</w:instrText>
      </w:r>
      <w:r w:rsidRPr="005E68D0">
        <w:fldChar w:fldCharType="separate"/>
      </w:r>
      <w:r w:rsidR="00B941CD" w:rsidRPr="005E68D0">
        <w:rPr>
          <w:noProof/>
        </w:rPr>
        <w:t>(Stamatiadis et al., 2009)</w:t>
      </w:r>
      <w:r w:rsidRPr="005E68D0">
        <w:fldChar w:fldCharType="end"/>
      </w:r>
      <w:r w:rsidRPr="005E68D0">
        <w:t xml:space="preserve">. We also found that average inside shoulder width has significant variability as indicated by the standard deviation parameter in Table 2. This distributional parameter indicates that the overall impact of the variable on crash count at segment level is likely to be positive (95.35%). The parameter associated with average sidewalk width shows negative effect on segment level crash count. The presence of wider sidewalks provides additional safety for non-motorists from colliding with a motorized vehicle and thus contributes to a lower risk </w:t>
      </w:r>
      <w:r w:rsidRPr="005E68D0">
        <w:fldChar w:fldCharType="begin" w:fldLock="1"/>
      </w:r>
      <w:r w:rsidR="00B941CD" w:rsidRPr="005E68D0">
        <w:instrText>ADDIN CSL_CITATION {"citationItems":[{"id":"ITEM-1","itemData":{"DOI":"https://doi.org/10.1016/j.amar.2019.100107","ISSN":"2213-6657","abstract":"In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Research","id":"ITEM-1","issued":{"date-parts":[["2019"]]},"page":"100107","title":"Do we need multivariate modeling approaches to model crash frequency by crash types? A panel mixed approach to modeling crash frequency by crash types","type":"article-journal","volume":"24"},"uris":["http://www.mendeley.com/documents/?uuid=10d57005-a1df-46a3-bead-e9f55664fa74"]}],"mendeley":{"formattedCitation":"(Bhowmik et al., 2019)","plainTextFormattedCitation":"(Bhowmik et al., 2019)","previouslyFormattedCitation":"(Bhowmik et al., 2019)"},"properties":{"noteIndex":0},"schema":"https://github.com/citation-style-language/schema/raw/master/csl-citation.json"}</w:instrText>
      </w:r>
      <w:r w:rsidRPr="005E68D0">
        <w:fldChar w:fldCharType="separate"/>
      </w:r>
      <w:r w:rsidR="00B941CD" w:rsidRPr="005E68D0">
        <w:rPr>
          <w:noProof/>
        </w:rPr>
        <w:t>(Bhowmik et al., 2019)</w:t>
      </w:r>
      <w:r w:rsidRPr="005E68D0">
        <w:fldChar w:fldCharType="end"/>
      </w:r>
      <w:r w:rsidRPr="005E68D0">
        <w:t xml:space="preserve">. An increase in traffic signal per unit road length increases the likelihood of crashes. This is intuitive as a higher number of traffic signals may lead to an increase in certain types of crashes (such as rear-end crashes) in dilemma zones </w:t>
      </w:r>
      <w:r w:rsidRPr="005E68D0">
        <w:fldChar w:fldCharType="begin" w:fldLock="1"/>
      </w:r>
      <w:r w:rsidR="00B941CD" w:rsidRPr="005E68D0">
        <w:instrText>ADDIN CSL_CITATION {"citationItems":[{"id":"ITEM-1","itemData":{"DOI":"10.1177/0361198106195300112","ISSN":"0361-1981","abstract":"Intersections could be considered as isolated when the distance between them is long because, the influence between them is negligible. Signalized intersections, especially closer ones along a certain corridor, are spatially correlated and will influence each other in many respects. Use of the basic negative binomial regression for correlated crash frequency data leads to invalid statistical inference due to incorrect test statistics and standard errors that are based on the misspecified variance. Generalized estimating equations (GEE) provide an extension of generalized linear models to the analysis of correlated data and can account for the spatial correlation among signalized intersections. In this study, 476 signalized intersections from 41 corridors are selected in Orange, Brevard, and Miami?Dade Counties in Florida. Because the distance between some intersections along some corridors is very long, the intersections along the 41 corridors were divided into 116 clusters. The spatially correlated crash frequency data were fitted through use of GEE models with a negative binomial link function for three correlation structures. Subsequent relative effect analysis identified the relative significance for the variables in the models. Intersections with a large total number of lanes, heavy traffic, short signal spacing, high speed limits along corridors, and a large number of phases per cycle were correlated with high crash frequencies. Intersections having three legs, with exclusive right-turn lanes on both roadways, having a protected phase for left-turning traffic from a corridor, and located in open county or primarily residential areas had lower crash frequencies.","author":[{"dropping-particle":"","family":"Abdel-Aty","given":"Mohamed","non-dropping-particle":"","parse-names":false,"suffix":""},{"dropping-particle":"","family":"Wang","given":"Xuesong","non-dropping-particle":"","parse-names":false,"suffix":""}],"container-title":"Transportation Research Record","id":"ITEM-1","issue":"1","issued":{"date-parts":[["2006","1","1"]]},"note":"doi: 10.1177/0361198106195300112","page":"98-111","publisher":"SAGE Publications Inc","title":"Crash Estimation at Signalized Intersections along Corridors: Analyzing Spatial Effect and Identifying Significant Factors","type":"article-journal","volume":"1953"},"uris":["http://www.mendeley.com/documents/?uuid=84494d5d-8ae4-4cdb-b74d-ca5fab0895bb"]},{"id":"ITEM-2","itemData":{"DOI":"https://doi.org/10.1016/j.aap.2020.105589","ISSN":"0001-4575","abstract":"Numerous studies have developed intersection crash prediction models to identify crash hotspots and evaluate safety countermeasures. These studies largely considered only micro-level crash contributing factors such as traffic volume, traffic signals, etc. Some recent studies, however, have attempted to include macro-level crash contributing factors, such as population per zone, to predict the number of crashes at intersections. As many intersections are located between multiple zones and thus affected by factors from the multiple zones, the inclusion of macro-level factors requires boundary problems to be resolved. In this study, we introduce an advanced multilevel model, the multiple membership multilevel model (MMMM), for intersection crash analysis. Our objective was to reduce heterogeneity issues between zones in crash prediction model while avoiding misspecification of the model structure. We used five years of intersection crash data (2009–2013) for the City of Regina, Saskatchewan, Canada and identified micro- and macro-level factors that most affected intersection crashes. We compared the fitting performance of the MMMM with that of two existing models, a traditional single model (SM) and a conventional multilevel model (CMM). The MMMM outperformed the SM and CMM in terms of fitting capability. We found that the MMMM avoided both the underestimation of macro-level variance and the type I statistical error that tend to occur when the crash data are analyzed using a SM or CMM. Statistically significant micro-level and macro-level crash contributing factors in Regina included major roadway AADT, four legs, traffic signals, speed, young drivers, and different types of land use.","author":[{"dropping-particle":"","family":"Park","given":"Ho-Chul","non-dropping-particle":"","parse-names":false,"suffix":""},{"dropping-particle":"","family":"Yang","given":"Seungho","non-dropping-particle":"","parse-names":false,"suffix":""},{"dropping-particle":"","family":"Park","given":"Peter Y","non-dropping-particle":"","parse-names":false,"suffix":""},{"dropping-particle":"","family":"Kim","given":"Dong-Kyu","non-dropping-particle":"","parse-names":false,"suffix":""}],"container-title":"Accident Analysis &amp; Prevention","id":"ITEM-2","issued":{"date-parts":[["2020"]]},"page":"105589","title":"Multiple membership multilevel model to estimate intersection crashes","type":"article-journal","volume":"144"},"uris":["http://www.mendeley.com/documents/?uuid=b406f401-08d3-46c8-9209-626acfc0ceaf"]},{"id":"ITEM-3","itemData":{"DOI":"https://doi.org/10.1016/j.aap.2017.03.009","ISSN":"0001-4575","abstract":"There have been great efforts to develop traffic crash prediction models for various types of facilities. The crash models have played a key role to identify crash hotspots and evaluate safety countermeasures. In recent, many macro-level crash prediction models have been developed to incorporate highway safety considerations in the long-term transportation planning process. Although the numerous macro-level studies have found that a variety of demographic and socioeconomic zonal characteristics have substantial effects on traffic safety, few studies have attempted to coalesce micro-level with macro-level data from existing geographic units for estimating crash models. In this study, the authors have developed a series of intersection crash models for total, severe, pedestrian, and bicycle crashes with macro-level data for seven spatial units. The study revealed that the total, severe, and bicycle crash models with ZIP-code tabulation area data performs the best, and the pedestrian crash models with census tract-based data outperforms the competing models. Furthermore, it was uncovered that intersection crash models can be drastically improved by only including random-effects for macro-level entities. Besides, the intersection crash models are even further enhanced by including other macro-level variables. Lastly, the pedestrian and bicycle crash modeling results imply that several macro-level variables (e.g., population density, proportions of specific age group, commuters who walk, or commuters using bicycle, etc.) can be a good surrogate exposure for those crashes.","author":[{"dropping-particle":"","family":"Lee","given":"Jaeyoung","non-dropping-particle":"","parse-names":false,"suffix":""},{"dropping-particle":"","family":"Abdel-Aty","given":"Mohamed","non-dropping-particle":"","parse-names":false,"suffix":""},{"dropping-particle":"","family":"Cai","given":"Qing","non-dropping-particle":"","parse-names":false,"suffix":""}],"container-title":"Accident Analysis &amp; Prevention","id":"ITEM-3","issued":{"date-parts":[["2017"]]},"page":"213-226","title":"Intersection crash prediction modeling with macro-level data from various geographic units","type":"article-journal","volume":"102"},"uris":["http://www.mendeley.com/documents/?uuid=7497d884-2f4a-4c51-af1f-b1b03bd302b3"]}],"mendeley":{"formattedCitation":"(Abdel-Aty and Wang, 2006; Lee et al., 2017; Park et al., 2020)","plainTextFormattedCitation":"(Abdel-Aty and Wang, 2006; Lee et al., 2017; Park et al., 2020)","previouslyFormattedCitation":"(Abdel-Aty and Wang, 2006; Lee et al., 2017; Park et al., 2020)"},"properties":{"noteIndex":0},"schema":"https://github.com/citation-style-language/schema/raw/master/csl-citation.json"}</w:instrText>
      </w:r>
      <w:r w:rsidRPr="005E68D0">
        <w:fldChar w:fldCharType="separate"/>
      </w:r>
      <w:r w:rsidR="00B941CD" w:rsidRPr="005E68D0">
        <w:rPr>
          <w:noProof/>
        </w:rPr>
        <w:t>(Abdel-Aty and Wang, 2006; Lee et al., 2017; Park et al., 2020)</w:t>
      </w:r>
      <w:r w:rsidRPr="005E68D0">
        <w:fldChar w:fldCharType="end"/>
      </w:r>
      <w:r w:rsidRPr="005E68D0">
        <w:t xml:space="preserve">. In addition, AADT is found to be positively associated with crash frequency. The results indicate that the segments with higher AADT have higher likelihood of crashes. This result is consistent with previous studies </w:t>
      </w:r>
      <w:r w:rsidRPr="005E68D0">
        <w:fldChar w:fldCharType="begin" w:fldLock="1"/>
      </w:r>
      <w:r w:rsidR="00B941CD" w:rsidRPr="005E68D0">
        <w:instrText>ADDIN CSL_CITATION {"citationItems":[{"id":"ITEM-1","itemData":{"DOI":"DOI: 10.1155/2020/6621752","author":[{"dropping-particle":"","family":"Wang","given":"Chenzhu","non-dropping-particle":"","parse-names":false,"suffix":""},{"dropping-particle":"","family":"Chen","given":"Fei","non-dropping-particle":"","parse-names":false,"suffix":""},{"dropping-particle":"","family":"Cheng","given":"Jianchuan","non-dropping-particle":"","parse-names":false,"suffix":""},{"dropping-particle":"","family":"Bo","given":"Wu","non-dropping-particle":"","parse-names":false,"suffix":""},{"dropping-particle":"","family":"Zhang","given":"Ping","non-dropping-particle":"","parse-names":false,"suffix":""},{"dropping-particle":"","family":"Hou","given":"Mingyu","non-dropping-particle":"","parse-names":false,"suffix":""},{"dropping-particle":"","family":"Xiao","given":"Feng","non-dropping-particle":"","parse-names":false,"suffix":""}],"container-title":"Discrete Dynamics in Nature and Society, Hindawi","id":"ITEM-1","issued":{"date-parts":[["2020"]]},"page":"1-13","title":"Random-Parameter Multivariate Negative Binomial Regression for Modeling Impacts of Contributing Factors on the Crash Frequency by Crash Types","type":"article-journal"},"uris":["http://www.mendeley.com/documents/?uuid=cdbf3a30-fdf6-4917-b233-0595b70ecb59"]},{"id":"ITEM-2","itemData":{"DOI":"https://doi.org/10.1016/j.aap.2020.105433","ISSN":"0001-4575","abstract":"Urban arterial roads carry the most traffic on urban road networks and experience the highest percentage of crashes in urban areas. Safety on urban arterials that are adjacent to a higher speed freeway may be impacted by speed spillover or adaptation. The objective of this study was to determine the effects of raising freeway speed limits on the frequency of crashes on urban arterial roads adjacent to freeways (spillover effects). Crash data within Michigan were collected on 1393 urban arterial road segments before and after freeway speed limits were altered. Before-and-after data was collected simultaneously on 1470 comparison segments of urban arterial where speed limits did not change to control for the regression-to-the-mean bias. The mixed effects negative binomial (MENB) regression model was developed to analyze crash frequency on urban arterials. The results indicate that raising speed limits of freeways by as little as five miles per hour had a likelihood of increasing crash frequency on adjacent arterial roads by as much as 13.9 percent. To investigate if the safety impact of speed spillover changes with the distance from the freeway, influence areas (0–1 mile, 1–2 mile, and 2–3 mile) were used. The findings of this study provide insights into the effects of speed spillover on crash occurrences, and it demonstrates that increasing freeway speed limit has a negative influence on driver compliance with the speed limit on adjacent arterial roads. Correspondingly, the influence of freeway speed on drivers’ speeding behavior on adjacent urban arterials fades away with the distance from the freeway.","author":[{"dropping-particle":"","family":"Alhomaidat","given":"Fadi","non-dropping-particle":"","parse-names":false,"suffix":""},{"dropping-particle":"","family":"Kwigizile","given":"Valerian","non-dropping-particle":"","parse-names":false,"suffix":""},{"dropping-particle":"","family":"Oh","given":"Jun-Seok","non-dropping-particle":"","parse-names":false,"suffix":""},{"dropping-particle":"Van","family":"Houten","given":"Ron","non-dropping-particle":"","parse-names":false,"suffix":""}],"container-title":"Accident Analysis &amp; Prevention","id":"ITEM-2","issued":{"date-parts":[["2020"]]},"page":"105433","title":"How does an increased freeway speed limit influence the frequency of crashes on adjacent roads?","type":"article-journal","volume":"136"},"uris":["http://www.mendeley.com/documents/?uuid=4ba7c30d-65b0-4a33-82ad-2d22a43901d0"]},{"id":"ITEM-3","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Science","id":"ITEM-3","issue":"2","issued":{"date-parts":[["2019","11","29"]]},"note":"doi: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interaction","type":"article-journal","volume":"15"},"uris":["http://www.mendeley.com/documents/?uuid=b21ff7f8-fd41-4c63-a83e-a4f52d8aae4d"]},{"id":"ITEM-4","itemData":{"DOI":"https://doi.org/10.1016/j.aap.2021.106146","ISSN":"0001-4575","abstract":"Safety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Prevention","id":"ITEM-4","issued":{"date-parts":[["2021"]]},"page":"106146","title":"Understanding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models","type":"article-journal","volume":"157"},"uris":["http://www.mendeley.com/documents/?uuid=695579bd-dcab-4336-8b91-e4e835539d73"]},{"id":"ITEM-5","itemData":{"DOI":"10.1080/19439962.2019.1611681","abstract":"In the current literature, data is aggregated for the estimation of functions to explain or predict crash patterns using either clustering analysis, regression analysis, or stage-wise models. Typically, analysis sites are grouped into site subtypes based on predefined characteristics. The assumption is that sites within each subtype experience similar crash patterns as a function of prespecified explanatory characteristics. To develop functions to estimate crashes, all data points are clustered only as a function of associated site characteristics. As a consequence, estimated parameters may be based on different crash patterns that represents various trends that could be better captured by using multiple functions. To address this limitation, this study proposes a mathematical program utilizing clusterwise regression to assign sites to clusters and simultaneously seek sets of parameter values for the corresponding estimation functions, so as to maximize the probability of observing the available data. A simulated annealing, coupled with maximum likelihood estimation, was used to solve the mathematical program. Results were analyzed for two site subtypes with fatal and all injury crashes: (1) roadway segments for urban multilane divided segments, and; (2) urban four-leg signalized intersections. Clusterwise regression improved the predicted number of crashes with multiple estimation functions within the same site subtype.","author":[{"dropping-particle":"","family":"Veeramisti","given":"Naveen","non-dropping-particle":"","parse-names":false,"suffix":""},{"dropping-particle":"","family":"Paz","given":"Alexander","non-dropping-particle":"","parse-names":false,"suffix":""},{"dropping-particle":"","family":"Khadka","given":"Mukesh","non-dropping-particle":"","parse-names":false,"suffix":""},{"dropping-particle":"","family":"Arteaga","given":"Cristian","non-dropping-particle":"","parse-names":false,"suffix":""}],"container-title":"Journal of Transportation Safety and Security","id":"ITEM-5","issue":"3","issued":{"date-parts":[["2021"]]},"page":"247-277","publisher":"Taylor and Francis Ltd.","title":"A clusterwise regression approach for the estimation of crash frequencies","type":"article-journal","volume":"13"},"uris":["http://www.mendeley.com/documents/?uuid=dc6fb334-625b-47b1-9e71-a730403b4677"]},{"id":"ITEM-6","itemData":{"DOI":"10.1080/19439962.2020.1726542","ISSN":"1943-9962","author":[{"dropping-particle":"","family":"Satria","given":"Romi","non-dropping-particle":"","parse-names":false,"suffix":""},{"dropping-particle":"","family":"Aguero-Valverde","given":"Jonathan","non-dropping-particle":"","parse-names":false,"suffix":""},{"dropping-particle":"","family":"Castro","given":"Maria","non-dropping-particle":"","parse-names":false,"suffix":""}],"container-title":"Journal of Transportation Safety &amp; Security","id":"ITEM-6","issued":{"date-parts":[["2020","3","23"]]},"note":"doi: 10.1080/19439962.2020.1726542","page":"1-23","publisher":"Taylor &amp; Francis","title":"Spatial analysis of road crash frequency using Bayesian models with Integrated Nested Laplace Approximation (INLA)","type":"article-journal"},"uris":["http://www.mendeley.com/documents/?uuid=f9ec4e08-69ec-413d-8597-df3dabeb5aa4"]},{"id":"ITEM-7","itemData":{"DOI":"https://doi.org/10.1016/j.jtrangeo.2016.06.012","ISSN":"0966-6923","abstract":"Zonal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author":[{"dropping-particle":"","family":"Huang","given":"Helai","non-dropping-particle":"","parse-names":false,"suffix":""},{"dropping-particle":"","family":"Song","given":"Bo","non-dropping-particle":"","parse-names":false,"suffix":""},{"dropping-particle":"","family":"Xu","given":"Pengpeng","non-dropping-particle":"","parse-names":false,"suffix":""},{"dropping-particle":"","family":"Zeng","given":"Qiang","non-dropping-particle":"","parse-names":false,"suffix":""},{"dropping-particle":"","family":"Lee","given":"Jaeyoung","non-dropping-particle":"","parse-names":false,"suffix":""},{"dropping-particle":"","family":"Abdel-Aty","given":"Mohamed","non-dropping-particle":"","parse-names":false,"suffix":""}],"container-title":"Journal of Transport Geography","id":"ITEM-7","issued":{"date-parts":[["2016"]]},"page":"248-256","title":"Macro and micro models for zonal crash prediction with application in hot zones identification","type":"article-journal","volume":"54"},"uris":["http://www.mendeley.com/documents/?uuid=b68500ad-a0ff-4d33-bff5-ef368885e093"]},{"id":"ITEM-8","itemData":{"DOI":"https://doi.org/10.1016/j.amar.2017.08.002","ISSN":"2213-6657","abstract":"Previous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Research","id":"ITEM-8","issued":{"date-parts":[["2017"]]},"page":"48-59","title":"Crash modeling for intersections and segments along corridors: A Bayesian multilevel joint model with random parameters","type":"article-journal","volume":"16"},"uris":["http://www.mendeley.com/documents/?uuid=b73af14e-2b54-4998-bf58-1dba6a015cb5"]}],"mendeley":{"formattedCitation":"(Alarifi et al., 2017; Alhomaidat et al., 2020; Cai et al., 2019; Huang et al., 2016; Mohammadnazar et al., 2021; Satria et al., 2020; Veeramisti et al., 2021; Wang et al., 2020)","plainTextFormattedCitation":"(Alarifi et al., 2017; Alhomaidat et al., 2020; Cai et al., 2019; Huang et al., 2016; Mohammadnazar et al., 2021; Satria et al., 2020; Veeramisti et al., 2021; Wang et al., 2020)","previouslyFormattedCitation":"(Alarifi et al., 2017; Alhomaidat et al., 2020; Cai et al., 2019; Huang et al., 2016; Mohammadnazar et al., 2021; Satria et al., 2020; Veeramisti et al., 2021; Wang et al., 2020)"},"properties":{"noteIndex":0},"schema":"https://github.com/citation-style-language/schema/raw/master/csl-citation.json"}</w:instrText>
      </w:r>
      <w:r w:rsidRPr="005E68D0">
        <w:fldChar w:fldCharType="separate"/>
      </w:r>
      <w:r w:rsidR="00B941CD" w:rsidRPr="005E68D0">
        <w:rPr>
          <w:noProof/>
        </w:rPr>
        <w:t>(Alarifi et al., 2017; Alhomaidat et al., 2020; Cai et al., 2019; Huang et al., 2016; Mohammadnazar et al., 2021; Satria et al., 2020; Veeramisti et al., 2021; Wang et al., 2020)</w:t>
      </w:r>
      <w:r w:rsidRPr="005E68D0">
        <w:fldChar w:fldCharType="end"/>
      </w:r>
      <w:r w:rsidRPr="005E68D0">
        <w:t xml:space="preserve">. The land-use mix variable indicates crash count is negatively associated with land-use mix. The result indicates that segments in the vicinity of mixed land-use developments (residential, industrial, </w:t>
      </w:r>
      <w:r w:rsidRPr="00A45CDC">
        <w:t>institutional, commercial, and recreational areas) are likely to experience lower crash risk potentially because of reduced driving speeds.</w:t>
      </w:r>
    </w:p>
    <w:p w14:paraId="2A3F1D20" w14:textId="77777777" w:rsidR="004E5047" w:rsidRPr="00A45CDC" w:rsidRDefault="004E5047" w:rsidP="00146D56"/>
    <w:p w14:paraId="524D20FA" w14:textId="77777777" w:rsidR="004E5047" w:rsidRPr="00A45CDC" w:rsidRDefault="004E5047" w:rsidP="005E0487">
      <w:pPr>
        <w:pStyle w:val="Heading2"/>
        <w:rPr>
          <w:color w:val="auto"/>
        </w:rPr>
      </w:pPr>
      <w:r w:rsidRPr="00A45CDC">
        <w:rPr>
          <w:color w:val="auto"/>
        </w:rPr>
        <w:t xml:space="preserve">Intersection Level Attributes </w:t>
      </w:r>
    </w:p>
    <w:p w14:paraId="73F6F42E" w14:textId="77777777" w:rsidR="004E5047" w:rsidRPr="00A45CDC" w:rsidRDefault="004E5047" w:rsidP="00146D56">
      <w:r w:rsidRPr="00A45CDC">
        <w:t xml:space="preserve">In the intersection level model, the parameter associated with the proportion of interstate-expressway roads at the intersection has a negative impact on intersection crashes. It is possible that these roadways are well maintained in terms of pavement quality, lighting and enforcement improving overall safety. As the length of bike lane in the vicinity of the intersection increases, the number of crashes is likely to reduce. The result is quite interesting and might be important for encouraging bike infrastructure additions. It is possible that there might be self-selection at play as well. Specifically, it is possible that bike lanes are added on safer roadways. </w:t>
      </w:r>
    </w:p>
    <w:p w14:paraId="64026EFC" w14:textId="55EFBBFD" w:rsidR="004E5047" w:rsidRPr="00A45CDC" w:rsidRDefault="004E5047" w:rsidP="00146D56">
      <w:pPr>
        <w:ind w:firstLine="720"/>
      </w:pPr>
      <w:r w:rsidRPr="00A45CDC">
        <w:lastRenderedPageBreak/>
        <w:t xml:space="preserve">As expected, the parameter associated with AADT has a positive impact on intersection crash frequency. This finding is in line with previous studies </w:t>
      </w:r>
      <w:r w:rsidRPr="00A45CDC">
        <w:fldChar w:fldCharType="begin" w:fldLock="1"/>
      </w:r>
      <w:r w:rsidR="00B941CD" w:rsidRPr="00A45CDC">
        <w:instrText>ADDIN CSL_CITATION {"citationItems":[{"id":"ITEM-1","itemData":{"DOI":"https://doi.org/10.1016/j.aap.2020.105456","ISSN":"0001-4575","abstract":"This paper describes a study that applies the Poisson-Tweedie distribution in developing crash frequency models. The Poisson-Tweedie distribution offers a unified framework to model overdispersed, underdispersed, zero-inflated, spatial, and longitudinal count data, as well as multiple response variables of similar or mixed types. The form of its variance function is simple, and can be specified as the mean added to the product of dispersion and mean raised to the power P. The flexibility of the Poisson-Tweedie distribution lies in the domain of P, which includes positive real number values. Special cases of the Poisson-Tweedie distribution models include the linear form of the negative binomial (NB1) model with P equal to 1.0, the geometric Poisson (GeoP) model with P equal to 1.5, the quadratic form of the negative binomial (NB2) model with P equal to 2.0, and the Poisson Inverse Gaussian (PIG) model with P equal to 3.0. A series of models were developed in this study using the Poisson-Tweedie distribution without any restrictions on the value of the power parameter as well as with specific values of the power parameter representing NB1, GeoP, NB2, and PIG models. The effects of fixed and varying dispersion parameters (i.e., dispersion as a function of covariates) on the variance and expected crash frequency estimates were also examined. Three years (2012–2014) of crash data from urban three-leg stop-controlled intersections and urban four-leg signalized intersections in the state of Florida were used to develop the models. The Poisson-Tweedie models or the GeoP models were found to perform better when the dispersion parameter was constant or fixed. With the varying dispersion parameter, the NB2 and PIG models were found to perform better, with both performing equally well. Also, the fixed dispersion parameter values were found to be smaller in the models with a higher value of the power parameter. The variation across the models in their estimates of weight factor, expected crash frequency, and potential for safety improvement of hazardous sites based on the empirical Bayes method was also discussed.","author":[{"dropping-particle":"","family":"Saha","given":"Dibakar","non-dropping-particle":"","parse-names":false,"suffix":""},{"dropping-particle":"","family":"Alluri","given":"Priyanka","non-dropping-particle":"","parse-names":false,"suffix":""},{"dropping-particle":"","family":"Dumbaugh","given":"Eric","non-dropping-particle":"","parse-names":false,"suffix":""},{"dropping-particle":"","family":"Gan","given":"Albert","non-dropping-particle":"","parse-names":false,"suffix":""}],"container-title":"Accident Analysis &amp; Prevention","id":"ITEM-1","issued":{"date-parts":[["2020"]]},"page":"105456","title":"Application of the Poisson-Tweedie distribution in analyzing crash frequency data","type":"article-journal","volume":"137"},"uris":["http://www.mendeley.com/documents/?uuid=662a8589-ebaf-47c7-901a-bb9b651b7e31"]},{"id":"ITEM-2","itemData":{"DOI":"https://doi.org/10.1016/j.aap.2020.105589","ISSN":"0001-4575","abstract":"Numerous studies have developed intersection crash prediction models to identify crash hotspots and evaluate safety countermeasures. These studies largely considered only micro-level crash contributing factors such as traffic volume, traffic signals, etc. Some recent studies, however, have attempted to include macro-level crash contributing factors, such as population per zone, to predict the number of crashes at intersections. As many intersections are located between multiple zones and thus affected by factors from the multiple zones, the inclusion of macro-level factors requires boundary problems to be resolved. In this study, we introduce an advanced multilevel model, the multiple membership multilevel model (MMMM), for intersection crash analysis. Our objective was to reduce heterogeneity issues between zones in crash prediction model while avoiding misspecification of the model structure. We used five years of intersection crash data (2009–2013) for the City of Regina, Saskatchewan, Canada and identified micro- and macro-level factors that most affected intersection crashes. We compared the fitting performance of the MMMM with that of two existing models, a traditional single model (SM) and a conventional multilevel model (CMM). The MMMM outperformed the SM and CMM in terms of fitting capability. We found that the MMMM avoided both the underestimation of macro-level variance and the type I statistical error that tend to occur when the crash data are analyzed using a SM or CMM. Statistically significant micro-level and macro-level crash contributing factors in Regina included major roadway AADT, four legs, traffic signals, speed, young drivers, and different types of land use.","author":[{"dropping-particle":"","family":"Park","given":"Ho-Chul","non-dropping-particle":"","parse-names":false,"suffix":""},{"dropping-particle":"","family":"Yang","given":"Seungho","non-dropping-particle":"","parse-names":false,"suffix":""},{"dropping-particle":"","family":"Park","given":"Peter Y","non-dropping-particle":"","parse-names":false,"suffix":""},{"dropping-particle":"","family":"Kim","given":"Dong-Kyu","non-dropping-particle":"","parse-names":false,"suffix":""}],"container-title":"Accident Analysis &amp; Prevention","id":"ITEM-2","issued":{"date-parts":[["2020"]]},"page":"105589","title":"Multiple membership multilevel model to estimate intersection crashes","type":"article-journal","volume":"144"},"uris":["http://www.mendeley.com/documents/?uuid=b406f401-08d3-46c8-9209-626acfc0ceaf"]},{"id":"ITEM-3","itemData":{"DOI":"10.1080/19439962.2019.1611681","abstract":"In the current literature, data is aggregated for the estimation of functions to explain or predict crash patterns using either clustering analysis, regression analysis, or stage-wise models. Typically, analysis sites are grouped into site subtypes based on predefined characteristics. The assumption is that sites within each subtype experience similar crash patterns as a function of prespecified explanatory characteristics. To develop functions to estimate crashes, all data points are clustered only as a function of associated site characteristics. As a consequence, estimated parameters may be based on different crash patterns that represents various trends that could be better captured by using multiple functions. To address this limitation, this study proposes a mathematical program utilizing clusterwise regression to assign sites to clusters and simultaneously seek sets of parameter values for the corresponding estimation functions, so as to maximize the probability of observing the available data. A simulated annealing, coupled with maximum likelihood estimation, was used to solve the mathematical program. Results were analyzed for two site subtypes with fatal and all injury crashes: (1) roadway segments for urban multilane divided segments, and; (2) urban four-leg signalized intersections. Clusterwise regression improved the predicted number of crashes with multiple estimation functions within the same site subtype.","author":[{"dropping-particle":"","family":"Veeramisti","given":"Naveen","non-dropping-particle":"","parse-names":false,"suffix":""},{"dropping-particle":"","family":"Paz","given":"Alexander","non-dropping-particle":"","parse-names":false,"suffix":""},{"dropping-particle":"","family":"Khadka","given":"Mukesh","non-dropping-particle":"","parse-names":false,"suffix":""},{"dropping-particle":"","family":"Arteaga","given":"Cristian","non-dropping-particle":"","parse-names":false,"suffix":""}],"container-title":"Journal of Transportation Safety and Security","id":"ITEM-3","issue":"3","issued":{"date-parts":[["2021"]]},"page":"247-277","publisher":"Taylor and Francis Ltd.","title":"A clusterwise regression approach for the estimation of crash frequencies","type":"article-journal","volume":"13"},"uris":["http://www.mendeley.com/documents/?uuid=dc6fb334-625b-47b1-9e71-a730403b4677"]},{"id":"ITEM-4","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Science","id":"ITEM-4","issue":"2","issued":{"date-parts":[["2019","11","29"]]},"note":"doi: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interaction","type":"article-journal","volume":"15"},"uris":["http://www.mendeley.com/documents/?uuid=b21ff7f8-fd41-4c63-a83e-a4f52d8aae4d"]},{"id":"ITEM-5","itemData":{"DOI":"https://doi.org/10.1016/j.jtrangeo.2016.06.012","ISSN":"0966-6923","abstract":"Zonal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author":[{"dropping-particle":"","family":"Huang","given":"Helai","non-dropping-particle":"","parse-names":false,"suffix":""},{"dropping-particle":"","family":"Song","given":"Bo","non-dropping-particle":"","parse-names":false,"suffix":""},{"dropping-particle":"","family":"Xu","given":"Pengpeng","non-dropping-particle":"","parse-names":false,"suffix":""},{"dropping-particle":"","family":"Zeng","given":"Qiang","non-dropping-particle":"","parse-names":false,"suffix":""},{"dropping-particle":"","family":"Lee","given":"Jaeyoung","non-dropping-particle":"","parse-names":false,"suffix":""},{"dropping-particle":"","family":"Abdel-Aty","given":"Mohamed","non-dropping-particle":"","parse-names":false,"suffix":""}],"container-title":"Journal of Transport Geography","id":"ITEM-5","issued":{"date-parts":[["2016"]]},"page":"248-256","title":"Macro and micro models for zonal crash prediction with application in hot zones identification","type":"article-journal","volume":"54"},"uris":["http://www.mendeley.com/documents/?uuid=b68500ad-a0ff-4d33-bff5-ef368885e093"]},{"id":"ITEM-6","itemData":{"DOI":"https://doi.org/10.1016/j.amar.2017.08.002","ISSN":"2213-6657","abstract":"Previous highway safety studies have focused on either intersections or roadway segments while some researchers have analyzed safety at the corridor-level. The corridor-level analysis, which aggregates intersections and roadway segments, may allow us to understand the safety problems in the wider perspective. However, it would result in losing some of the specific characteristics of intersections or roadway segments. Therefore, we proposed a multilevel joint model that explores traffic safety at the segment/intersection level, with the consideration of corridor-level variables. In addition, the variations in the roadway characteristics and/or traffic volumes across corridors have been considered using random parameters model. Nevertheless, sometimes corridors are excessively long and, thus, it is uncommon to find corridor-level variables that have fixed values for the entire length of corridors. Therefore, current corridors were divided into sub-corridors, which have similar traffic volumes and roadway characteristics, and constructed another multilevel structure based on the sub-corridor. Asa result, four Bayesian models have been estimated, and these models are multilevel Poison-lognormal (MPLN) joint models with spatial corridor and sub-corridor random effects terms and MPLN joint models with random parameters, which vary across corridors and sub-corridors. Based on a 3-years crash data from 247 signalized intersections and 208 roadway segments along 20 corridors in two counties, results showed that four-roadway segment, five-intersection, and three-corridor/sub-corridor variables were significant, and they include exposure measures and some geometric design variables. With respect to model performance, it was found that the MPLN joint model with random sub-corridor parameters provides the best fit for the data. Lastly, it is suggested to consider the proposed multilevel structure for corridor safety studies.","author":[{"dropping-particle":"","family":"Alarifi","given":"Saif A","non-dropping-particle":"","parse-names":false,"suffix":""},{"dropping-particle":"","family":"Abdel-Aty","given":"Mohamed A","non-dropping-particle":"","parse-names":false,"suffix":""},{"dropping-particle":"","family":"Lee","given":"Jaeyoung","non-dropping-particle":"","parse-names":false,"suffix":""},{"dropping-particle":"","family":"Park","given":"Juneyoung","non-dropping-particle":"","parse-names":false,"suffix":""}],"container-title":"Analytic Methods in Accident Research","id":"ITEM-6","issued":{"date-parts":[["2017"]]},"page":"48-59","title":"Crash modeling for intersections and segments along corridors: A Bayesian multilevel joint model with random parameters","type":"article-journal","volume":"16"},"uris":["http://www.mendeley.com/documents/?uuid=b73af14e-2b54-4998-bf58-1dba6a015cb5"]},{"id":"ITEM-7","itemData":{"DOI":"https://doi.org/10.1016/j.aap.2018.07.026","ISSN":"0001-4575","abstract":"The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countermeasures.","author":[{"dropping-particle":"","family":"Alarifi","given":"Saif A","non-dropping-particle":"","parse-names":false,"suffix":""},{"dropping-particle":"","family":"Abdel-Aty","given":"Mohamed","non-dropping-particle":"","parse-names":false,"suffix":""},{"dropping-particle":"","family":"Lee","given":"Jaeyoung","non-dropping-particle":"","parse-names":false,"suffix":""}],"container-title":"Accident Analysis &amp; Prevention","id":"ITEM-7","issued":{"date-parts":[["2018"]]},"page":"263-273","title":"A Bayesian multivariate hierarchical spatial joint model for predicting crash counts by crash type at intersections and segments along corridors","type":"article-journal","volume":"119"},"uris":["http://www.mendeley.com/documents/?uuid=a236c13c-dcd9-47ca-9493-dc5ce004b810"]}],"mendeley":{"formattedCitation":"(Alarifi et al., 2018, 2017; Cai et al., 2019; Huang et al., 2016; Park et al., 2020; Saha et al., 2020; Veeramisti et al., 2021)","plainTextFormattedCitation":"(Alarifi et al., 2018, 2017; Cai et al., 2019; Huang et al., 2016; Park et al., 2020; Saha et al., 2020; Veeramisti et al., 2021)","previouslyFormattedCitation":"(Alarifi et al., 2018, 2017; Cai et al., 2019; Huang et al., 2016; Park et al., 2020; Saha et al., 2020; Veeramisti et al., 2021)"},"properties":{"noteIndex":0},"schema":"https://github.com/citation-style-language/schema/raw/master/csl-citation.json"}</w:instrText>
      </w:r>
      <w:r w:rsidRPr="00A45CDC">
        <w:fldChar w:fldCharType="separate"/>
      </w:r>
      <w:r w:rsidR="00B941CD" w:rsidRPr="00A45CDC">
        <w:rPr>
          <w:noProof/>
        </w:rPr>
        <w:t>(Alarifi et al., 2018, 2017; Cai et al., 2019; Huang et al., 2016; Park et al., 2020; Saha et al., 2020; Veeramisti et al., 2021)</w:t>
      </w:r>
      <w:r w:rsidRPr="00A45CDC">
        <w:fldChar w:fldCharType="end"/>
      </w:r>
      <w:r w:rsidRPr="00A45CDC">
        <w:t>. The AADT parameter also exhibits significant variation across intersections as evidenced by the significant random parameter. The overall impact of this variable on crash count at an intersection level is likely to be overwhelmingly positive (99.99%).</w:t>
      </w:r>
    </w:p>
    <w:p w14:paraId="4C68B780" w14:textId="77777777" w:rsidR="004E5047" w:rsidRPr="00D73749" w:rsidRDefault="004E5047" w:rsidP="00146D56"/>
    <w:p w14:paraId="6854904D" w14:textId="77777777" w:rsidR="004E5047" w:rsidRPr="00D73749" w:rsidRDefault="004E5047" w:rsidP="005E0487">
      <w:pPr>
        <w:pStyle w:val="Heading2"/>
        <w:rPr>
          <w:color w:val="auto"/>
        </w:rPr>
      </w:pPr>
      <w:r w:rsidRPr="00D73749">
        <w:rPr>
          <w:color w:val="auto"/>
        </w:rPr>
        <w:t xml:space="preserve">Macro Level Attributes </w:t>
      </w:r>
    </w:p>
    <w:p w14:paraId="0F30BBE8" w14:textId="77777777" w:rsidR="004E5047" w:rsidRPr="005802EC" w:rsidRDefault="004E5047" w:rsidP="00146D56">
      <w:r w:rsidRPr="005802EC">
        <w:t xml:space="preserve">Several variables influenced the macroscopic model including the micro level propensity component for segments and intersections. The coefficients for the scalar parameters for segments and intersections are positive as expected indicating that an increase in propensity of micro level crashes contributes to an increase in macro level crash frequency. </w:t>
      </w:r>
    </w:p>
    <w:p w14:paraId="5BA57644" w14:textId="71099897" w:rsidR="004E5047" w:rsidRPr="00C725CB" w:rsidRDefault="004E5047" w:rsidP="00146D56">
      <w:pPr>
        <w:ind w:firstLine="720"/>
      </w:pPr>
      <w:r w:rsidRPr="005802EC">
        <w:t xml:space="preserve">Among other zonal variables considered, average speed limit in the zone is associated with </w:t>
      </w:r>
      <w:r w:rsidRPr="00C725CB">
        <w:t xml:space="preserve">increased crash risk. The findings indicate that higher average speeds are associated with higher number of crashes. The result while counter intuitive should be carefully considered. Usually, on freeways or larger facilities, higher speed limits are likely to reduce crashes. However, in a zone with mixed facility type, higher average speed might highlight increased speed transitions and potential conflicts. In addition, the variable truck AADT is associated with increased crash risk. An increased presence of trucks in the zone can affect traffic flow and increase speed variance leading to higher number of crashes. Trucks are also likely to reduce visibility for other vehicles and might increase crash risk </w:t>
      </w:r>
      <w:r w:rsidRPr="00C725CB">
        <w:fldChar w:fldCharType="begin" w:fldLock="1"/>
      </w:r>
      <w:r w:rsidR="00B941CD" w:rsidRPr="00C725CB">
        <w:instrText>ADDIN CSL_CITATION {"citationItems":[{"id":"ITEM-1","itemData":{"DOI":"https://doi.org/10.1016/j.aap.2021.106018","ISSN":"0001-4575","abstract":"Although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author":[{"dropping-particle":"","family":"Cui","given":"Haipeng","non-dropping-particle":"","parse-names":false,"suffix":""},{"dropping-particle":"","family":"Xie","given":"Kun","non-dropping-particle":"","parse-names":false,"suffix":""}],"container-title":"Accident Analysis &amp; Prevention","id":"ITEM-1","issued":{"date-parts":[["2021"]]},"page":"106018","title":"An accelerated hierarchical Bayesian crash frequency model with accommodation of spatiotemporal interactions","type":"article-journal","volume":"153"},"uris":["http://www.mendeley.com/documents/?uuid=b4e0c26d-e01e-4722-b34d-d1d01f7a8eb7"]},{"id":"ITEM-2","itemData":{"DOI":"https://doi.org/10.1111/risa.12785","ISSN":"0272-4332","abstract":"This study aims to explore the potential of using big data in advancing the pedestrian risk analysis including the investigation of contributing factors and the hotspot identification. Massive amounts of data of Manhattan from a variety of sources were collected, integrated, and processed, including taxi trips, subway turnstile counts, traffic volumes, road network, land use, sociodemographic, and social media data. The whole study area was uniformly split into grid cells as the basic geographical units of analysis. The cell-structured framework makes it easy to incorporate rich and diversified data into risk analysis. The cost of each crash, weighted by injury severity, was assigned to the cells based on the relative distance to the crash site using a kernel density function. A tobit model was developed to relate grid-cell-specific contributing factors to crash costs that are left-censored at zero. The potential for safety improvement (PSI) that could be obtained by using the actual crash cost minus the cost of ?similar? sites estimated by the tobit model was used as a measure to identify and rank pedestrian crash hotspots. The proposed hotspot identification method takes into account two important factors that are generally ignored, i.e., injury severity and effects of exposure indicators. Big data, on the one hand, enable more precise estimation of the effects of risk factors by providing richer data for modeling, and on the other hand, enable large-scale hotspot identification with higher resolution than conventional methods based on census tracts or traffic analysis zones.","author":[{"dropping-particle":"","family":"Xie","given":"Kun","non-dropping-particle":"","parse-names":false,"suffix":""},{"dropping-particle":"","family":"Ozbay","given":"Kaan","non-dropping-particle":"","parse-names":false,"suffix":""},{"dropping-particle":"","family":"Kurkcu","given":"Abdullah","non-dropping-particle":"","parse-names":false,"suffix":""},{"dropping-particle":"","family":"Yang","given":"Hong","non-dropping-particle":"","parse-names":false,"suffix":""}],"container-title":"Risk Analysis","id":"ITEM-2","issue":"8","issued":{"date-parts":[["2017","8","1"]]},"note":"https://doi.org/10.1111/risa.12785","page":"1459-1476","publisher":"John Wiley &amp; Sons, Ltd","title":"Analysis of Traffic Crashes Involving Pedestrians Using Big Data: Investigation of Contributing Factors and Identification of Hotspots","type":"article-journal","volume":"37"},"uris":["http://www.mendeley.com/documents/?uuid=91361535-1607-4353-a704-5bbf2b9869f2"]}],"mendeley":{"formattedCitation":"(Cui and Xie, 2021; Xie et al., 2017)","plainTextFormattedCitation":"(Cui and Xie, 2021; Xie et al., 2017)","previouslyFormattedCitation":"(Cui and Xie, 2021; Xie et al., 2017)"},"properties":{"noteIndex":0},"schema":"https://github.com/citation-style-language/schema/raw/master/csl-citation.json"}</w:instrText>
      </w:r>
      <w:r w:rsidRPr="00C725CB">
        <w:fldChar w:fldCharType="separate"/>
      </w:r>
      <w:r w:rsidR="00B941CD" w:rsidRPr="00C725CB">
        <w:rPr>
          <w:noProof/>
        </w:rPr>
        <w:t>(Cui and Xie, 2021; Xie et al., 2017)</w:t>
      </w:r>
      <w:r w:rsidRPr="00C725CB">
        <w:fldChar w:fldCharType="end"/>
      </w:r>
      <w:r w:rsidRPr="00C725CB">
        <w:t>.</w:t>
      </w:r>
    </w:p>
    <w:p w14:paraId="75B6F760" w14:textId="5FAC185E" w:rsidR="004E5047" w:rsidRPr="00C725CB" w:rsidRDefault="004E5047" w:rsidP="00146D56">
      <w:pPr>
        <w:ind w:firstLine="720"/>
      </w:pPr>
      <w:r w:rsidRPr="00C725CB">
        <w:t xml:space="preserve">An increase in zonal commercial area is associated with higher crash risk. The result might indicate that commerce related activities such as loading/unloading, movement of heavy vehicles and increased traffic conflicts might contribute to higher crash risk </w:t>
      </w:r>
      <w:r w:rsidRPr="00C725CB">
        <w:fldChar w:fldCharType="begin" w:fldLock="1"/>
      </w:r>
      <w:r w:rsidR="00B941CD" w:rsidRPr="00C725CB">
        <w:instrText>ADDIN CSL_CITATION {"citationItems":[{"id":"ITEM-1","itemData":{"DOI":"https://doi.org/10.1016/j.aap.2018.10.009","ISSN":"0001-4575","abstract":"Conventional safety models rely on the assumption of independence of crash data, which is frequently violated. This study develops a novel multivariate conditional autoregressive (MVCAR) model to account for the spatial autocorrelation of neighboring sites and the inherent correlation across different crash types. Manhattan, which is the most densely populated urban area of New York City, is used as the study area. Census tracts are used as the basic geographic units to capture crash, transportation, land use, and demo-economic data. The specification of the proposed multivariate model allows for jointly modeling counts of various crash types that are classified according to injury severity. Results of Moran’s I tests show the ability of the MVCAR model to capture the multivariate spatial autocorrelation among different crash types. The MVCAR model is found to outperform the others by presenting the lowest deviance information criterion (DIC) value. It is also found that the unobserved heterogeneity was mostly attributed to spatial factors instead of non-spatial ones and there is a strong shared geographical pattern of risk among different crash types.","author":[{"dropping-particle":"","family":"Xie","given":"Kun","non-dropping-particle":"","parse-names":false,"suffix":""},{"dropping-particle":"","family":"Ozbay","given":"Kaan","non-dropping-particle":"","parse-names":false,"suffix":""},{"dropping-particle":"","family":"Yang","given":"Hong","non-dropping-particle":"","parse-names":false,"suffix":""}],"container-title":"Accident Analysis &amp; Prevention","id":"ITEM-1","issued":{"date-parts":[["2019"]]},"page":"189-198","title":"A multivariate spatial approach to model crash counts by injury severity","type":"article-journal","volume":"122"},"uris":["http://www.mendeley.com/documents/?uuid=313f3d4d-e004-47d8-99db-335112c8cb04"]},{"id":"ITEM-2","itemData":{"DOI":"https://doi.org/10.1016/j.aap.2021.106146","ISSN":"0001-4575","abstract":"Safety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author":[{"dropping-particle":"","family":"Mohammadnazar","given":"Amin","non-dropping-particle":"","parse-names":false,"suffix":""},{"dropping-particle":"","family":"Mahdinia","given":"Iman","non-dropping-particle":"","parse-names":false,"suffix":""},{"dropping-particle":"","family":"Ahmad","given":"Numan","non-dropping-particle":"","parse-names":false,"suffix":""},{"dropping-particle":"","family":"Khattak","given":"Asad J","non-dropping-particle":"","parse-names":false,"suffix":""},{"dropping-particle":"","family":"Liu","given":"Jun","non-dropping-particle":"","parse-names":false,"suffix":""}],"container-title":"Accident Analysis &amp; Prevention","id":"ITEM-2","issued":{"date-parts":[["2021"]]},"page":"106146","title":"Understanding how relationships between crash frequency and correlates vary for multilane rural highways: Estimating geographically and temporally weighted regression models","type":"article-journal","volume":"157"},"uris":["http://www.mendeley.com/documents/?uuid=695579bd-dcab-4336-8b91-e4e835539d73"]},{"id":"ITEM-3","itemData":{"DOI":"10.1080/23249935.2018.1564801","ISSN":"2324-9935","author":[{"dropping-particle":"","family":"Soroori","given":"Emad","non-dropping-particle":"","parse-names":false,"suffix":""},{"dropping-particle":"","family":"Mohammadzadeh Moghaddam","given":"Abolfazl","non-dropping-particle":"","parse-names":false,"suffix":""},{"dropping-particle":"","family":"Salehi","given":"Mahdi","non-dropping-particle":"","parse-names":false,"suffix":""}],"container-title":"Transportmetrica A: Transport Science","id":"ITEM-3","issue":"2","issued":{"date-parts":[["2019","11","29"]]},"note":"doi: 10.1080/23249935.2018.1564801","page":"1102-1123","publisher":"Taylor &amp; Francis","title":"Application of local conditional autoregressive models for development of zonal crash prediction models and identification of crash risk boundaries","type":"article-journal","volume":"15"},"uris":["http://www.mendeley.com/documents/?uuid=628fbe05-0c9f-482b-b5ce-95649c103579"]},{"id":"ITEM-4","itemData":{"DOI":"https://doi.org/10.1016/j.aap.2021.106018","ISSN":"0001-4575","abstract":"Although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author":[{"dropping-particle":"","family":"Cui","given":"Haipeng","non-dropping-particle":"","parse-names":false,"suffix":""},{"dropping-particle":"","family":"Xie","given":"Kun","non-dropping-particle":"","parse-names":false,"suffix":""}],"container-title":"Accident Analysis &amp; Prevention","id":"ITEM-4","issued":{"date-parts":[["2021"]]},"page":"106018","title":"An accelerated hierarchical Bayesian crash frequency model with accommodation of spatiotemporal interactions","type":"article-journal","volume":"153"},"uris":["http://www.mendeley.com/documents/?uuid=b4e0c26d-e01e-4722-b34d-d1d01f7a8eb7"]}],"mendeley":{"formattedCitation":"(Cui and Xie, 2021; Mohammadnazar et al., 2021; Soroori et al., 2019; Xie et al., 2019)","plainTextFormattedCitation":"(Cui and Xie, 2021; Mohammadnazar et al., 2021; Soroori et al., 2019; Xie et al., 2019)","previouslyFormattedCitation":"(Cui and Xie, 2021; Mohammadnazar et al., 2021; Soroori et al., 2019; Xie et al., 2019)"},"properties":{"noteIndex":0},"schema":"https://github.com/citation-style-language/schema/raw/master/csl-citation.json"}</w:instrText>
      </w:r>
      <w:r w:rsidRPr="00C725CB">
        <w:fldChar w:fldCharType="separate"/>
      </w:r>
      <w:r w:rsidR="00B941CD" w:rsidRPr="00C725CB">
        <w:rPr>
          <w:noProof/>
        </w:rPr>
        <w:t>(Cui and Xie, 2021; Mohammadnazar et al., 2021; Soroori et al., 2019; Xie et al., 2019)</w:t>
      </w:r>
      <w:r w:rsidRPr="00C725CB">
        <w:fldChar w:fldCharType="end"/>
      </w:r>
      <w:r w:rsidRPr="00C725CB">
        <w:t xml:space="preserve">. In terms of household density, the model results indicate that increased density is associated with higher crash risk. The result is quite intuitive and indicates as density increases, traffic is likely to increase and contribute to additional crash risk. Interestingly, a random parameter associated with household density indicates significant variability in the risk associated with household density. To be sure, while the impact of the variable varies across zones, the net impact is predominantly positive (99.99%). Finally, the zones with higher portion of African-American minorities are associated with higher crash risk. The result is a potential manifestation of inadequate facilities in low-income and minority neighborhoods in the region. </w:t>
      </w:r>
    </w:p>
    <w:p w14:paraId="36C56B27" w14:textId="77777777" w:rsidR="005F7649" w:rsidRPr="00C725CB" w:rsidRDefault="005F7649" w:rsidP="00146D56"/>
    <w:p w14:paraId="4D4AA75D" w14:textId="77777777" w:rsidR="004E5047" w:rsidRPr="00C725CB" w:rsidRDefault="004E5047" w:rsidP="005E0487">
      <w:pPr>
        <w:pStyle w:val="Heading2"/>
        <w:rPr>
          <w:color w:val="auto"/>
        </w:rPr>
      </w:pPr>
      <w:r w:rsidRPr="00C725CB">
        <w:rPr>
          <w:color w:val="auto"/>
        </w:rPr>
        <w:t>Unobserved Heterogeneity</w:t>
      </w:r>
    </w:p>
    <w:p w14:paraId="44036676" w14:textId="77777777" w:rsidR="004E5047" w:rsidRPr="00495FD9" w:rsidRDefault="004E5047" w:rsidP="00146D56">
      <w:bookmarkStart w:id="4" w:name="_Hlk78554793"/>
      <w:r w:rsidRPr="00C725CB">
        <w:t xml:space="preserve">As discussed earlier, the proposed model system accommodates spatial variations for facilities in the zone through hierarchical correlations such as a correlation between all segments or intersections in a zone. The last two variables in Table 2 correspond to these correlations. The </w:t>
      </w:r>
      <w:r w:rsidRPr="00495FD9">
        <w:t xml:space="preserve">significant effect of these parameters clearly highlights the presence of common unobserved factors across facilities present in the same zone. The result further reinforces our hypothesis that incorporating such correlations in crash frequency analysis is important. </w:t>
      </w:r>
    </w:p>
    <w:p w14:paraId="7A0863B1" w14:textId="77777777" w:rsidR="003415BB" w:rsidRPr="00495FD9" w:rsidRDefault="003415BB" w:rsidP="003415BB">
      <w:bookmarkStart w:id="5" w:name="_Hlk77801773"/>
      <w:bookmarkEnd w:id="4"/>
    </w:p>
    <w:p w14:paraId="0309112B" w14:textId="3CF3011A" w:rsidR="004E5047" w:rsidRPr="00495FD9" w:rsidRDefault="002F7FB3" w:rsidP="002F7FB3">
      <w:pPr>
        <w:pStyle w:val="Heading2"/>
        <w:rPr>
          <w:color w:val="auto"/>
        </w:rPr>
      </w:pPr>
      <w:r w:rsidRPr="00495FD9">
        <w:rPr>
          <w:color w:val="auto"/>
        </w:rPr>
        <w:t xml:space="preserve">Predictive Performance of the </w:t>
      </w:r>
      <w:bookmarkEnd w:id="5"/>
      <w:r w:rsidRPr="00495FD9">
        <w:rPr>
          <w:color w:val="auto"/>
        </w:rPr>
        <w:t xml:space="preserve">Model </w:t>
      </w:r>
    </w:p>
    <w:p w14:paraId="1DA3D520" w14:textId="4A0B2C9C" w:rsidR="008814CF" w:rsidRPr="006C3E02" w:rsidRDefault="004E5047" w:rsidP="007B370A">
      <w:pPr>
        <w:autoSpaceDE w:val="0"/>
        <w:autoSpaceDN w:val="0"/>
        <w:adjustRightInd w:val="0"/>
        <w:rPr>
          <w:rFonts w:cs="Times New Roman"/>
          <w:szCs w:val="24"/>
        </w:rPr>
      </w:pPr>
      <w:r w:rsidRPr="00495FD9">
        <w:t>Along with the log-likelihood and BIC measures, we assess the predictive performance of the proposed integrated m</w:t>
      </w:r>
      <w:r w:rsidR="00B7060E" w:rsidRPr="00495FD9">
        <w:t>i</w:t>
      </w:r>
      <w:r w:rsidRPr="00495FD9">
        <w:t>cro-m</w:t>
      </w:r>
      <w:r w:rsidR="00B7060E" w:rsidRPr="00495FD9">
        <w:t>a</w:t>
      </w:r>
      <w:r w:rsidRPr="00495FD9">
        <w:t xml:space="preserve">cro model by comparing RMSE (Root mean square error) values with non-integrated macro model (the lower value represents better prediction result). The RMSE </w:t>
      </w:r>
      <w:r w:rsidRPr="00495FD9">
        <w:lastRenderedPageBreak/>
        <w:t>values of the proposed integrated model and non-integrated macro model are 83.761 and 110.958, respectively. The aggregate measures clearly highlight the improved predictive performance offered by our proposed integrated approach. To further evaluate the predictive performance of the estimated models, we carried out a comparison exercise between the proposed integrated m</w:t>
      </w:r>
      <w:r w:rsidR="006346A6" w:rsidRPr="00495FD9">
        <w:t>i</w:t>
      </w:r>
      <w:r w:rsidRPr="00495FD9">
        <w:t>cro-m</w:t>
      </w:r>
      <w:r w:rsidR="006346A6" w:rsidRPr="00495FD9">
        <w:t>a</w:t>
      </w:r>
      <w:r w:rsidRPr="00495FD9">
        <w:t xml:space="preserve">cro model 1 with correlation and random effects and the non-integrated macro model by comparing RMSE values across different crash groups (see Figure 2). The exercise shows that our proposed model exhibits either lower or similar RMSE values compared to the non-integrated model across majority of the groups (13 out of 15). To be specific, the proposed integrated method provides significantly better performance across </w:t>
      </w:r>
      <w:r w:rsidR="00EB4688" w:rsidRPr="00495FD9">
        <w:t>9</w:t>
      </w:r>
      <w:r w:rsidRPr="00495FD9">
        <w:t xml:space="preserve"> crash groups while for other </w:t>
      </w:r>
      <w:r w:rsidR="00EB4688" w:rsidRPr="00495FD9">
        <w:t>4</w:t>
      </w:r>
      <w:r w:rsidRPr="00495FD9">
        <w:t xml:space="preserve">, the RMSE value for both models are quite close to each other. However, for the remaining two crash groups, the non-integrated model performs slightly better, as evidenced by the marginal differences in RMSE </w:t>
      </w:r>
      <w:r w:rsidRPr="006C3E02">
        <w:t>across the two system</w:t>
      </w:r>
      <w:r w:rsidR="005B21AB" w:rsidRPr="006C3E02">
        <w:t>s</w:t>
      </w:r>
      <w:r w:rsidRPr="006C3E02">
        <w:t>.</w:t>
      </w:r>
    </w:p>
    <w:p w14:paraId="4314707F" w14:textId="77777777" w:rsidR="004E5047" w:rsidRPr="006C3E02" w:rsidRDefault="004E5047" w:rsidP="004E5047">
      <w:pPr>
        <w:jc w:val="left"/>
        <w:rPr>
          <w:rFonts w:eastAsia="Times New Roman" w:cs="Times New Roman"/>
          <w:b/>
          <w:bCs/>
        </w:rPr>
      </w:pPr>
    </w:p>
    <w:p w14:paraId="022CA383" w14:textId="77777777" w:rsidR="004E5047" w:rsidRPr="006C3E02" w:rsidRDefault="004E5047" w:rsidP="005E0487">
      <w:pPr>
        <w:pStyle w:val="Heading1"/>
        <w:rPr>
          <w:color w:val="auto"/>
          <w:lang w:val="en-GB"/>
        </w:rPr>
      </w:pPr>
      <w:r w:rsidRPr="006C3E02">
        <w:rPr>
          <w:color w:val="auto"/>
        </w:rPr>
        <w:t>CONCLUSIONS</w:t>
      </w:r>
    </w:p>
    <w:p w14:paraId="0589973C" w14:textId="77777777" w:rsidR="004E5047" w:rsidRPr="006C3E02" w:rsidRDefault="004E5047" w:rsidP="00146D56">
      <w:pPr>
        <w:rPr>
          <w:szCs w:val="24"/>
        </w:rPr>
      </w:pPr>
      <w:r w:rsidRPr="006C3E02">
        <w:t>Crashes at macroscopic level are usually generated by aggregating the crashes at microscopic level, still majority of the earlier research developed individual model systems for each of these levels while ignoring the interconnectedness between them. T</w:t>
      </w:r>
      <w:r w:rsidRPr="006C3E02">
        <w:rPr>
          <w:szCs w:val="24"/>
        </w:rPr>
        <w:t xml:space="preserve">he current research contributes to the safety literature by integrating the two traditionally divergent streams of crash frequency research (micro and macro) into a unified framework while allowing the influence of independent variables at the microscopic level to be incorporated within the macroscopic propensity estimation. The single integrated model will allow us to employ a single model code for estimation of macroscopic and microscopic models. The model system proposed recognizes that crashes at the micro level facilities contribute to total macroscopic level crash counts. This influence is incorporated by adding the sum of crash propensity specific to each micro-facility (such as segments and intersections) in the form of an additional variable in the propensity of the macroscopic model system. Based on the introduction of the micro level component, two frameworks are proposed in the current research effort. In the first approach, we fix the microscopic models and accommodate for the cumulative propensity influence as any other independent variable. On the other hand, the second approach is developed while allowing the feedback between macroscopic and microscopic models through a joint log-likelihood function. For both approaches, a scale parameter is estimated for accommodating the </w:t>
      </w:r>
      <w:r w:rsidRPr="006C3E02">
        <w:rPr>
          <w:rFonts w:eastAsia="Times New Roman"/>
          <w:szCs w:val="24"/>
        </w:rPr>
        <w:t xml:space="preserve">share of each micro level propensities to be linked with the macro level propensities. </w:t>
      </w:r>
      <w:r w:rsidRPr="006C3E02">
        <w:rPr>
          <w:szCs w:val="24"/>
        </w:rPr>
        <w:t>The proposed model system also incorporates hierarchical correlations (like correlation between all segments or intersections in a zone) for considering the spatial variations for facilities in the zone. The overall model development process is achieved using a negative binomial regression framework at the micro and macro level.</w:t>
      </w:r>
    </w:p>
    <w:p w14:paraId="73443228" w14:textId="3A921D1E" w:rsidR="00135C3E" w:rsidRPr="006C3E02" w:rsidRDefault="004E5047" w:rsidP="00135C3E">
      <w:pPr>
        <w:ind w:firstLine="720"/>
      </w:pPr>
      <w:r w:rsidRPr="006C3E02">
        <w:t>The empirical analysis is conducted using zonal, segment and intersection level crash count data for the year</w:t>
      </w:r>
      <w:r w:rsidR="00AF28B3" w:rsidRPr="006C3E02">
        <w:t>s</w:t>
      </w:r>
      <w:r w:rsidRPr="006C3E02">
        <w:t xml:space="preserve"> 2018 and 2019 from Orlando city of Florida while considering a </w:t>
      </w:r>
      <w:r w:rsidRPr="006C3E02">
        <w:rPr>
          <w:rFonts w:eastAsia="Calibri"/>
        </w:rPr>
        <w:t xml:space="preserve">comprehensive set of exogenous variables from both micro and macro levels including </w:t>
      </w:r>
      <w:r w:rsidRPr="006C3E02">
        <w:t>roadway and traffic factors, land-use, built environment, and sociodemographic characteristic</w:t>
      </w:r>
      <w:r w:rsidR="00167DA3" w:rsidRPr="006C3E02">
        <w:t>s</w:t>
      </w:r>
      <w:r w:rsidRPr="006C3E02">
        <w:t xml:space="preserve">. </w:t>
      </w:r>
      <w:r w:rsidRPr="006C3E02">
        <w:rPr>
          <w:szCs w:val="24"/>
        </w:rPr>
        <w:t>The empirical analysis involves a series of model estimations including: 1)</w:t>
      </w:r>
      <w:r w:rsidRPr="006C3E02">
        <w:t xml:space="preserve"> non-integrated models; 2) existing integrated micro-macro model (proposed by</w:t>
      </w:r>
      <w:r w:rsidRPr="006C3E02">
        <w:rPr>
          <w:szCs w:val="24"/>
        </w:rPr>
        <w:t xml:space="preserve"> </w:t>
      </w:r>
      <w:r w:rsidRPr="006C3E02">
        <w:rPr>
          <w:szCs w:val="24"/>
        </w:rPr>
        <w:fldChar w:fldCharType="begin" w:fldLock="1"/>
      </w:r>
      <w:r w:rsidR="00BB5C26" w:rsidRPr="006C3E02">
        <w:rPr>
          <w:szCs w:val="24"/>
        </w:rPr>
        <w:instrText>ADDIN CSL_CITATION {"citationItems":[{"id":"ITEM-1","itemData":{"DOI":"10.1080/23249935.2018.1471752","ISSN":"2324-9935","author":[{"dropping-particle":"","family":"Cai","given":"Qing","non-dropping-particle":"","parse-names":false,"suffix":""},{"dropping-particle":"","family":"Abdel-Aty","given":"Mohamed","non-dropping-particle":"","parse-names":false,"suffix":""},{"dropping-particle":"","family":"Lee","given":"Jaeyoung","non-dropping-particle":"","parse-names":false,"suffix":""},{"dropping-particle":"","family":"Huang","given":"Helai","non-dropping-particle":"","parse-names":false,"suffix":""}],"container-title":"Transportmetrica A: Transport Science","id":"ITEM-1","issue":"2","issued":{"date-parts":[["2019","11","29"]]},"note":"doi: 10.1080/23249935.2018.1471752","page":"285-306","publisher":"Taylor &amp; Francis","title":"Integrating macro- and micro-level safety analyses: a Bayesian approach incorporating spatial interaction","type":"article-journal","volume":"15"},"uris":["http://www.mendeley.com/documents/?uuid=b21ff7f8-fd41-4c63-a83e-a4f52d8aae4d"]}],"mendeley":{"formattedCitation":"(Cai et al., 2019)","manualFormatting":"Cai et al., 2019)","plainTextFormattedCitation":"(Cai et al., 2019)","previouslyFormattedCitation":"(Cai et al., 2019)"},"properties":{"noteIndex":0},"schema":"https://github.com/citation-style-language/schema/raw/master/csl-citation.json"}</w:instrText>
      </w:r>
      <w:r w:rsidRPr="006C3E02">
        <w:rPr>
          <w:szCs w:val="24"/>
        </w:rPr>
        <w:fldChar w:fldCharType="separate"/>
      </w:r>
      <w:r w:rsidR="00B941CD" w:rsidRPr="006C3E02">
        <w:rPr>
          <w:noProof/>
          <w:szCs w:val="24"/>
        </w:rPr>
        <w:t>Cai et al.</w:t>
      </w:r>
      <w:r w:rsidR="00B42395" w:rsidRPr="006C3E02">
        <w:rPr>
          <w:noProof/>
          <w:szCs w:val="24"/>
        </w:rPr>
        <w:t>,</w:t>
      </w:r>
      <w:r w:rsidR="00B941CD" w:rsidRPr="006C3E02">
        <w:rPr>
          <w:noProof/>
          <w:szCs w:val="24"/>
        </w:rPr>
        <w:t xml:space="preserve"> 2019)</w:t>
      </w:r>
      <w:r w:rsidRPr="006C3E02">
        <w:rPr>
          <w:szCs w:val="24"/>
        </w:rPr>
        <w:fldChar w:fldCharType="end"/>
      </w:r>
      <w:r w:rsidRPr="006C3E02">
        <w:t xml:space="preserve">; 3) our proposed integrated approach 1 and 4) our proposed integrated approach 2. </w:t>
      </w:r>
      <w:r w:rsidRPr="006C3E02">
        <w:rPr>
          <w:szCs w:val="24"/>
        </w:rPr>
        <w:t xml:space="preserve">The comparison exercise, based on the Bayesian Information Criterion (BIC) value clearly highlighted the improved performance of our proposed </w:t>
      </w:r>
      <w:r w:rsidRPr="006C3E02">
        <w:t xml:space="preserve">integrated </w:t>
      </w:r>
      <w:r w:rsidRPr="006C3E02">
        <w:rPr>
          <w:szCs w:val="24"/>
        </w:rPr>
        <w:t xml:space="preserve">approach 1 relative to the other models. Further, within the proposed approach 1, the model accommodating unobserved heterogeneity outperforms its independent counterparts, thus highlighting the importance of incorporating the influence of common unobserved factors in crash </w:t>
      </w:r>
      <w:r w:rsidRPr="006C3E02">
        <w:rPr>
          <w:szCs w:val="24"/>
        </w:rPr>
        <w:lastRenderedPageBreak/>
        <w:t xml:space="preserve">frequency analysis. </w:t>
      </w:r>
      <w:r w:rsidRPr="006C3E02">
        <w:t xml:space="preserve">The model estimation results are further augmented by the evaluation of the predictive performance of the proposed model. The findings further reinforce the superiority of our proposed model over the non-integrated system. </w:t>
      </w:r>
    </w:p>
    <w:p w14:paraId="2FACE6A3" w14:textId="50F1FC2B" w:rsidR="00C374A4" w:rsidRPr="006C3E02" w:rsidRDefault="004E5047" w:rsidP="00135C3E">
      <w:pPr>
        <w:ind w:firstLine="720"/>
      </w:pPr>
      <w:r w:rsidRPr="006C3E02">
        <w:t>The study is not without limitations. The proposed integrated approach requires compiling data collectively across all micro</w:t>
      </w:r>
      <w:r w:rsidR="00357748" w:rsidRPr="006C3E02">
        <w:t xml:space="preserve"> </w:t>
      </w:r>
      <w:r w:rsidRPr="006C3E02">
        <w:t xml:space="preserve">level facilities in the region. The compilation can be cumbersome for major urban regions as several small intersections and segments might lead to large datasets and substantial data processing resources. </w:t>
      </w:r>
      <w:r w:rsidR="00135C3E" w:rsidRPr="006C3E02">
        <w:t xml:space="preserve">The crash frequency variable considered in our analysis combines all motorized crashes of various types and non-motorized crashes in a single variable. It would be interesting to examine crash frequency by crash type </w:t>
      </w:r>
      <w:r w:rsidR="0093189C" w:rsidRPr="006C3E02">
        <w:t xml:space="preserve">(and severity) </w:t>
      </w:r>
      <w:r w:rsidR="00135C3E" w:rsidRPr="006C3E02">
        <w:t xml:space="preserve">as separate dependent variables to offer more reasonable interpretations of different variables on crash frequency. </w:t>
      </w:r>
      <w:r w:rsidR="00BD67C2" w:rsidRPr="006C3E02">
        <w:t>Further</w:t>
      </w:r>
      <w:r w:rsidR="00135C3E" w:rsidRPr="006C3E02">
        <w:t>, a</w:t>
      </w:r>
      <w:proofErr w:type="spellStart"/>
      <w:r w:rsidR="00135C3E" w:rsidRPr="006C3E02">
        <w:rPr>
          <w:lang w:val="en-GB"/>
        </w:rPr>
        <w:t>s</w:t>
      </w:r>
      <w:proofErr w:type="spellEnd"/>
      <w:r w:rsidR="00135C3E" w:rsidRPr="006C3E02">
        <w:rPr>
          <w:lang w:val="en-GB"/>
        </w:rPr>
        <w:t xml:space="preserve"> the methodology proposed is focused on crash frequency at a spatial aggregation (TAZ) or facility aggregation (segment or intersection), it is not possible to accommodate for driver </w:t>
      </w:r>
      <w:proofErr w:type="spellStart"/>
      <w:r w:rsidR="00135C3E" w:rsidRPr="006C3E02">
        <w:rPr>
          <w:lang w:val="en-GB"/>
        </w:rPr>
        <w:t>behavior</w:t>
      </w:r>
      <w:proofErr w:type="spellEnd"/>
      <w:r w:rsidR="00135C3E" w:rsidRPr="006C3E02">
        <w:rPr>
          <w:lang w:val="en-GB"/>
        </w:rPr>
        <w:t xml:space="preserve"> in our model system. It would be worthwhile to develop frameworks that can accommodate for such crash level variables in crash frequency models in future research efforts. </w:t>
      </w:r>
    </w:p>
    <w:p w14:paraId="142A0A76" w14:textId="77777777" w:rsidR="004E5047" w:rsidRPr="006C3E02" w:rsidRDefault="004E5047" w:rsidP="00146D56"/>
    <w:p w14:paraId="2BE008C4" w14:textId="77777777" w:rsidR="004E5047" w:rsidRPr="006C3E02" w:rsidRDefault="004E5047" w:rsidP="005E0487">
      <w:pPr>
        <w:pStyle w:val="Heading1"/>
        <w:numPr>
          <w:ilvl w:val="0"/>
          <w:numId w:val="0"/>
        </w:numPr>
        <w:ind w:left="432" w:hanging="432"/>
        <w:rPr>
          <w:color w:val="auto"/>
          <w:lang w:val="en-GB"/>
        </w:rPr>
      </w:pPr>
      <w:r w:rsidRPr="006C3E02">
        <w:rPr>
          <w:color w:val="auto"/>
        </w:rPr>
        <w:t>ACKNOWLEDGMENT</w:t>
      </w:r>
    </w:p>
    <w:p w14:paraId="4CBD0E03" w14:textId="17A7F1DF" w:rsidR="004E5047" w:rsidRPr="006C3E02" w:rsidRDefault="004E5047" w:rsidP="00146D56">
      <w:r w:rsidRPr="006C3E02">
        <w:t>The authors would like to gratefully acknowledge Signal Four Analytics (S4A) and Florida Department of Transportation (FDOT) for providing access to Florida crash and geospatial data.</w:t>
      </w:r>
    </w:p>
    <w:p w14:paraId="20F6AFFC" w14:textId="77777777" w:rsidR="006C3E02" w:rsidRDefault="006C3E02" w:rsidP="00146D56"/>
    <w:p w14:paraId="3386980B" w14:textId="7173C09C" w:rsidR="00735265" w:rsidRPr="00735265" w:rsidRDefault="005E0487" w:rsidP="00F87F7A">
      <w:pPr>
        <w:pStyle w:val="Heading1"/>
        <w:numPr>
          <w:ilvl w:val="0"/>
          <w:numId w:val="0"/>
        </w:numPr>
        <w:ind w:left="432" w:hanging="432"/>
      </w:pPr>
      <w:r w:rsidRPr="005E0487">
        <w:t>REFERENCES</w:t>
      </w:r>
    </w:p>
    <w:bookmarkStart w:id="6" w:name="_Hlk89630614"/>
    <w:p w14:paraId="62762A47" w14:textId="72A06139" w:rsidR="00735639" w:rsidRPr="00735639" w:rsidRDefault="00623AEF" w:rsidP="00566189">
      <w:pPr>
        <w:widowControl w:val="0"/>
        <w:autoSpaceDE w:val="0"/>
        <w:autoSpaceDN w:val="0"/>
        <w:adjustRightInd w:val="0"/>
        <w:ind w:left="480" w:hanging="475"/>
        <w:rPr>
          <w:rFonts w:cs="Times New Roman"/>
          <w:noProof/>
          <w:szCs w:val="24"/>
        </w:rPr>
      </w:pPr>
      <w:r>
        <w:rPr>
          <w:rFonts w:cs="Times New Roman"/>
          <w:szCs w:val="24"/>
          <w:lang w:val="en-GB" w:eastAsia="en-GB"/>
        </w:rPr>
        <w:fldChar w:fldCharType="begin" w:fldLock="1"/>
      </w:r>
      <w:r>
        <w:rPr>
          <w:rFonts w:cs="Times New Roman"/>
          <w:szCs w:val="24"/>
          <w:lang w:val="en-GB" w:eastAsia="en-GB"/>
        </w:rPr>
        <w:instrText xml:space="preserve">ADDIN Mendeley Bibliography CSL_BIBLIOGRAPHY </w:instrText>
      </w:r>
      <w:r>
        <w:rPr>
          <w:rFonts w:cs="Times New Roman"/>
          <w:szCs w:val="24"/>
          <w:lang w:val="en-GB" w:eastAsia="en-GB"/>
        </w:rPr>
        <w:fldChar w:fldCharType="separate"/>
      </w:r>
      <w:r w:rsidR="00735639" w:rsidRPr="00735639">
        <w:rPr>
          <w:rFonts w:cs="Times New Roman"/>
          <w:noProof/>
          <w:szCs w:val="24"/>
        </w:rPr>
        <w:t xml:space="preserve">Abdel-Aty, M., Lee, J., Siddiqui, C., Choi, K., 2013. Geographical unit based analysis in the context of transportation safety planning. </w:t>
      </w:r>
      <w:r w:rsidR="00270ECE">
        <w:rPr>
          <w:rFonts w:cs="Times New Roman"/>
          <w:noProof/>
          <w:szCs w:val="24"/>
        </w:rPr>
        <w:t>Transportation Research Part A 49, 62-75.</w:t>
      </w:r>
      <w:r w:rsidR="00735639" w:rsidRPr="00735639">
        <w:rPr>
          <w:rFonts w:cs="Times New Roman"/>
          <w:noProof/>
          <w:szCs w:val="24"/>
        </w:rPr>
        <w:t xml:space="preserve"> </w:t>
      </w:r>
    </w:p>
    <w:p w14:paraId="6A40DBCE" w14:textId="0815495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Abdel-Aty, M., Siddiqui, C., Huang, H., Wang, X., 2011. Integrating </w:t>
      </w:r>
      <w:r w:rsidR="00360045" w:rsidRPr="00735639">
        <w:rPr>
          <w:rFonts w:cs="Times New Roman"/>
          <w:noProof/>
          <w:szCs w:val="24"/>
        </w:rPr>
        <w:t>trip and roadway characteristics to manage safety in traffic analysis zo</w:t>
      </w:r>
      <w:r w:rsidRPr="00735639">
        <w:rPr>
          <w:rFonts w:cs="Times New Roman"/>
          <w:noProof/>
          <w:szCs w:val="24"/>
        </w:rPr>
        <w:t xml:space="preserve">nes. </w:t>
      </w:r>
      <w:r w:rsidR="006B45EE">
        <w:rPr>
          <w:rFonts w:cs="Times New Roman"/>
          <w:noProof/>
          <w:szCs w:val="24"/>
        </w:rPr>
        <w:t xml:space="preserve">Transportation Research Record </w:t>
      </w:r>
      <w:r w:rsidRPr="00735639">
        <w:rPr>
          <w:rFonts w:cs="Times New Roman"/>
          <w:noProof/>
          <w:szCs w:val="24"/>
        </w:rPr>
        <w:t xml:space="preserve">2213, 20–28. </w:t>
      </w:r>
    </w:p>
    <w:p w14:paraId="553D4AE5" w14:textId="45102157"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Abdel-Aty, M., Wang, X., 2006. Crash </w:t>
      </w:r>
      <w:r w:rsidR="00360045" w:rsidRPr="00735639">
        <w:rPr>
          <w:rFonts w:cs="Times New Roman"/>
          <w:noProof/>
          <w:szCs w:val="24"/>
        </w:rPr>
        <w:t>estimation at signalized intersections along c</w:t>
      </w:r>
      <w:r w:rsidRPr="00735639">
        <w:rPr>
          <w:rFonts w:cs="Times New Roman"/>
          <w:noProof/>
          <w:szCs w:val="24"/>
        </w:rPr>
        <w:t xml:space="preserve">orridors: Analyzing </w:t>
      </w:r>
      <w:r w:rsidR="00360045" w:rsidRPr="00735639">
        <w:rPr>
          <w:rFonts w:cs="Times New Roman"/>
          <w:noProof/>
          <w:szCs w:val="24"/>
        </w:rPr>
        <w:t>spatial effect and identifying significant f</w:t>
      </w:r>
      <w:r w:rsidRPr="00735639">
        <w:rPr>
          <w:rFonts w:cs="Times New Roman"/>
          <w:noProof/>
          <w:szCs w:val="24"/>
        </w:rPr>
        <w:t xml:space="preserve">actors. </w:t>
      </w:r>
      <w:r w:rsidR="006B45EE">
        <w:rPr>
          <w:rFonts w:cs="Times New Roman"/>
          <w:noProof/>
          <w:szCs w:val="24"/>
        </w:rPr>
        <w:t xml:space="preserve">Transportation Research Record </w:t>
      </w:r>
      <w:r w:rsidRPr="00735639">
        <w:rPr>
          <w:rFonts w:cs="Times New Roman"/>
          <w:noProof/>
          <w:szCs w:val="24"/>
        </w:rPr>
        <w:t xml:space="preserve">1953, 98–111. </w:t>
      </w:r>
    </w:p>
    <w:p w14:paraId="2B6F23F6" w14:textId="090A7B5E"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Abdulhafedh, A., 2016. Crash </w:t>
      </w:r>
      <w:r w:rsidR="00270ECE" w:rsidRPr="00735639">
        <w:rPr>
          <w:rFonts w:cs="Times New Roman"/>
          <w:noProof/>
          <w:szCs w:val="24"/>
        </w:rPr>
        <w:t>frequency analysis.</w:t>
      </w:r>
      <w:r w:rsidRPr="00735639">
        <w:rPr>
          <w:rFonts w:cs="Times New Roman"/>
          <w:noProof/>
          <w:szCs w:val="24"/>
        </w:rPr>
        <w:t xml:space="preserve"> </w:t>
      </w:r>
      <w:r w:rsidR="00270ECE">
        <w:rPr>
          <w:rFonts w:cs="Times New Roman"/>
          <w:noProof/>
          <w:szCs w:val="24"/>
        </w:rPr>
        <w:t>Journal of Transportation Technologies 6, 169.</w:t>
      </w:r>
    </w:p>
    <w:p w14:paraId="61C35601" w14:textId="0EF5E7CB"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Aguero-Valverde, J., Jovanis, P.P., 2008. Analysis of</w:t>
      </w:r>
      <w:r w:rsidR="00360045" w:rsidRPr="00735639">
        <w:rPr>
          <w:rFonts w:cs="Times New Roman"/>
          <w:noProof/>
          <w:szCs w:val="24"/>
        </w:rPr>
        <w:t xml:space="preserve"> road crash frequency with spatial m</w:t>
      </w:r>
      <w:r w:rsidRPr="00735639">
        <w:rPr>
          <w:rFonts w:cs="Times New Roman"/>
          <w:noProof/>
          <w:szCs w:val="24"/>
        </w:rPr>
        <w:t xml:space="preserve">odels. </w:t>
      </w:r>
      <w:r w:rsidR="006B45EE">
        <w:rPr>
          <w:rFonts w:cs="Times New Roman"/>
          <w:noProof/>
          <w:szCs w:val="24"/>
        </w:rPr>
        <w:t>Transportation Research Record</w:t>
      </w:r>
      <w:r w:rsidRPr="00735639">
        <w:rPr>
          <w:rFonts w:cs="Times New Roman"/>
          <w:noProof/>
          <w:szCs w:val="24"/>
        </w:rPr>
        <w:t xml:space="preserve"> 2061, 55–63. </w:t>
      </w:r>
    </w:p>
    <w:p w14:paraId="1DC742B3" w14:textId="4BFC2961"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Aguero-Valverde, J., Jovanis, P.P., 2006. Spatial analysis of fatal and injury crashes in Pennsylvania. </w:t>
      </w:r>
      <w:r w:rsidR="00CA10AD">
        <w:rPr>
          <w:rFonts w:cs="Times New Roman"/>
          <w:noProof/>
          <w:szCs w:val="24"/>
        </w:rPr>
        <w:t>Accident Analysis and Prevention</w:t>
      </w:r>
      <w:r w:rsidRPr="00735639">
        <w:rPr>
          <w:rFonts w:cs="Times New Roman"/>
          <w:noProof/>
          <w:szCs w:val="24"/>
        </w:rPr>
        <w:t xml:space="preserve"> 38, 618–625. </w:t>
      </w:r>
    </w:p>
    <w:p w14:paraId="00569ACF" w14:textId="6FA61772"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Alarifi, S.A., Abdel-Aty, M., Lee, J., 2018. A Bayesian multivariate hierarchical spatial joint model for predicting crash counts by crash type at intersections and segments along corridors. </w:t>
      </w:r>
      <w:r w:rsidR="00CA10AD">
        <w:rPr>
          <w:rFonts w:cs="Times New Roman"/>
          <w:noProof/>
          <w:szCs w:val="24"/>
        </w:rPr>
        <w:t>Accident Analysis and Prevention</w:t>
      </w:r>
      <w:r w:rsidRPr="00735639">
        <w:rPr>
          <w:rFonts w:cs="Times New Roman"/>
          <w:noProof/>
          <w:szCs w:val="24"/>
        </w:rPr>
        <w:t xml:space="preserve"> 119, 263–273. </w:t>
      </w:r>
    </w:p>
    <w:p w14:paraId="157D9925" w14:textId="23764DEC"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Alarifi, S.A., Abdel-Aty, M.A., Lee, J., Park, J., 2017. Crash modeling for intersections and segments along corridors: A Bayesian multilevel joint model with random parameters. </w:t>
      </w:r>
      <w:r w:rsidR="00CA10AD">
        <w:rPr>
          <w:rFonts w:cs="Times New Roman"/>
          <w:noProof/>
          <w:szCs w:val="24"/>
        </w:rPr>
        <w:t>Analytic Methods in Accident Research</w:t>
      </w:r>
      <w:r w:rsidRPr="00735639">
        <w:rPr>
          <w:rFonts w:cs="Times New Roman"/>
          <w:noProof/>
          <w:szCs w:val="24"/>
        </w:rPr>
        <w:t xml:space="preserve"> 16, 48–59. </w:t>
      </w:r>
    </w:p>
    <w:p w14:paraId="0E68DEC9" w14:textId="68EC1965"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Alhomaidat, F., Kwigizile, V., Oh, J.S., Houten, R. Van, 2020. How does an increased freeway speed limit influence the frequency of crashes on adjacent roads? </w:t>
      </w:r>
      <w:r w:rsidR="00CA10AD">
        <w:rPr>
          <w:rFonts w:cs="Times New Roman"/>
          <w:noProof/>
          <w:szCs w:val="24"/>
        </w:rPr>
        <w:t>Accident Analysis and Prevention</w:t>
      </w:r>
      <w:r w:rsidRPr="00735639">
        <w:rPr>
          <w:rFonts w:cs="Times New Roman"/>
          <w:noProof/>
          <w:szCs w:val="24"/>
        </w:rPr>
        <w:t xml:space="preserve"> 136, 105433. </w:t>
      </w:r>
    </w:p>
    <w:p w14:paraId="68378BA8" w14:textId="77777777"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Aptech, 2015. Aptech Systems Inc.</w:t>
      </w:r>
    </w:p>
    <w:p w14:paraId="35F598BC" w14:textId="627D2B3A"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Azimian, A., Dimitra Pyrialakou, V., Lavrenz, S., Wen, S., 2021. Exploring the effects of area-level factors on traffic crash frequency by severity using multivariate space-time models. </w:t>
      </w:r>
      <w:r w:rsidR="00CA10AD">
        <w:rPr>
          <w:rFonts w:cs="Times New Roman"/>
          <w:noProof/>
          <w:szCs w:val="24"/>
        </w:rPr>
        <w:t>Analytic Methods in Accident Research</w:t>
      </w:r>
      <w:r w:rsidRPr="00735639">
        <w:rPr>
          <w:rFonts w:cs="Times New Roman"/>
          <w:noProof/>
          <w:szCs w:val="24"/>
        </w:rPr>
        <w:t xml:space="preserve"> 31, 100163. </w:t>
      </w:r>
    </w:p>
    <w:p w14:paraId="29F13525" w14:textId="7878CAD0"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lastRenderedPageBreak/>
        <w:t xml:space="preserve">Behnood, A., Mannering, F., 2019. Time-of-day variations and temporal instability of factors affecting injury severities in large-truck crashes. </w:t>
      </w:r>
      <w:r w:rsidR="00CA10AD">
        <w:rPr>
          <w:rFonts w:cs="Times New Roman"/>
          <w:noProof/>
          <w:szCs w:val="24"/>
        </w:rPr>
        <w:t>Analytic Methods in Accident Research</w:t>
      </w:r>
      <w:r w:rsidRPr="00735639">
        <w:rPr>
          <w:rFonts w:cs="Times New Roman"/>
          <w:noProof/>
          <w:szCs w:val="24"/>
        </w:rPr>
        <w:t xml:space="preserve"> 23, 100102. </w:t>
      </w:r>
    </w:p>
    <w:p w14:paraId="2590A5E8" w14:textId="0DBEC511"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Bhat, C.R., 2001. Quasi-random maximum simulated likelihood estimation of the mixed multinomial logit model. </w:t>
      </w:r>
      <w:r w:rsidR="00247341">
        <w:rPr>
          <w:rFonts w:cs="Times New Roman"/>
          <w:noProof/>
          <w:szCs w:val="24"/>
        </w:rPr>
        <w:t xml:space="preserve">Transportation Research Part B 35, 677–693. </w:t>
      </w:r>
      <w:r w:rsidRPr="00735639">
        <w:rPr>
          <w:rFonts w:cs="Times New Roman"/>
          <w:noProof/>
          <w:szCs w:val="24"/>
        </w:rPr>
        <w:t xml:space="preserve"> </w:t>
      </w:r>
    </w:p>
    <w:p w14:paraId="0B45CA5B" w14:textId="498EF364" w:rsidR="00DA4343" w:rsidRDefault="00DA4343" w:rsidP="00566189">
      <w:pPr>
        <w:widowControl w:val="0"/>
        <w:autoSpaceDE w:val="0"/>
        <w:autoSpaceDN w:val="0"/>
        <w:adjustRightInd w:val="0"/>
        <w:ind w:left="480" w:hanging="475"/>
        <w:rPr>
          <w:rFonts w:cs="Times New Roman"/>
          <w:noProof/>
          <w:szCs w:val="24"/>
        </w:rPr>
      </w:pPr>
      <w:r w:rsidRPr="00DA4343">
        <w:rPr>
          <w:rFonts w:cs="Times New Roman"/>
          <w:noProof/>
          <w:szCs w:val="24"/>
        </w:rPr>
        <w:t>Bhowmik, T., Yasmin, S. and Eluru, N., 2022. Accommodating for systematic and unobserved heterogeneity in panel data: Application to macro-level crash modeling. Analytic Methods in Accident Research, 33, 100202.</w:t>
      </w:r>
      <w:r w:rsidRPr="00DA4343">
        <w:rPr>
          <w:rFonts w:cs="Times New Roman"/>
          <w:noProof/>
          <w:szCs w:val="24"/>
        </w:rPr>
        <w:t xml:space="preserve"> </w:t>
      </w:r>
    </w:p>
    <w:p w14:paraId="39398A7A" w14:textId="569A60E1"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Bhowmik, T., Rahman, M., Yasmin, S., Eluru, N., 2021</w:t>
      </w:r>
      <w:r w:rsidR="00186120">
        <w:rPr>
          <w:rFonts w:cs="Times New Roman"/>
          <w:noProof/>
          <w:szCs w:val="24"/>
        </w:rPr>
        <w:t>a</w:t>
      </w:r>
      <w:r w:rsidRPr="00735639">
        <w:rPr>
          <w:rFonts w:cs="Times New Roman"/>
          <w:noProof/>
          <w:szCs w:val="24"/>
        </w:rPr>
        <w:t xml:space="preserve">. Exploring analytical, simulation-based, and hybrid model structures for multivariate crash frequency modeling. </w:t>
      </w:r>
      <w:r w:rsidR="00CA10AD">
        <w:rPr>
          <w:rFonts w:cs="Times New Roman"/>
          <w:noProof/>
          <w:szCs w:val="24"/>
        </w:rPr>
        <w:t>Analytic Methods in Accident Research</w:t>
      </w:r>
      <w:r w:rsidRPr="00735639">
        <w:rPr>
          <w:rFonts w:cs="Times New Roman"/>
          <w:noProof/>
          <w:szCs w:val="24"/>
        </w:rPr>
        <w:t xml:space="preserve"> 31, 100167. </w:t>
      </w:r>
    </w:p>
    <w:p w14:paraId="7B6FFD14" w14:textId="30D59D87" w:rsidR="007A1FCC" w:rsidRDefault="007A1FCC" w:rsidP="00566189">
      <w:pPr>
        <w:widowControl w:val="0"/>
        <w:autoSpaceDE w:val="0"/>
        <w:autoSpaceDN w:val="0"/>
        <w:adjustRightInd w:val="0"/>
        <w:ind w:left="480" w:hanging="475"/>
        <w:rPr>
          <w:rFonts w:cs="Times New Roman"/>
          <w:noProof/>
          <w:szCs w:val="24"/>
        </w:rPr>
      </w:pPr>
      <w:r w:rsidRPr="007A1FCC">
        <w:rPr>
          <w:rFonts w:cs="Times New Roman"/>
          <w:noProof/>
          <w:szCs w:val="24"/>
        </w:rPr>
        <w:t>Bhowmik, T., Yasmin, S. and Eluru, N., 2021</w:t>
      </w:r>
      <w:r>
        <w:rPr>
          <w:rFonts w:cs="Times New Roman"/>
          <w:noProof/>
          <w:szCs w:val="24"/>
        </w:rPr>
        <w:t>b</w:t>
      </w:r>
      <w:r w:rsidRPr="007A1FCC">
        <w:rPr>
          <w:rFonts w:cs="Times New Roman"/>
          <w:noProof/>
          <w:szCs w:val="24"/>
        </w:rPr>
        <w:t>. A new econometric approach for modeling several count variables: a case study of crash frequency analysis by crash type and severity. Transportation research part B, 153,172-203.</w:t>
      </w:r>
      <w:r w:rsidRPr="007A1FCC">
        <w:rPr>
          <w:rFonts w:cs="Times New Roman"/>
          <w:noProof/>
          <w:szCs w:val="24"/>
        </w:rPr>
        <w:t xml:space="preserve"> </w:t>
      </w:r>
    </w:p>
    <w:p w14:paraId="6F8231F3" w14:textId="7757B96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Bhowmik, T., Yasmin, S., Eluru, N., 2019. Do we need multivariate modeling approaches to model crash frequency by crash types? A panel mixed approach to modeling crash frequency by crash types. </w:t>
      </w:r>
      <w:r w:rsidR="00CA10AD">
        <w:rPr>
          <w:rFonts w:cs="Times New Roman"/>
          <w:noProof/>
          <w:szCs w:val="24"/>
        </w:rPr>
        <w:t>Analytic Methods in Accident Research</w:t>
      </w:r>
      <w:r w:rsidRPr="00735639">
        <w:rPr>
          <w:rFonts w:cs="Times New Roman"/>
          <w:noProof/>
          <w:szCs w:val="24"/>
        </w:rPr>
        <w:t xml:space="preserve"> 24, 100107. </w:t>
      </w:r>
    </w:p>
    <w:p w14:paraId="576B723F" w14:textId="4597B920" w:rsidR="006E32E5" w:rsidRDefault="006E32E5" w:rsidP="00566189">
      <w:pPr>
        <w:widowControl w:val="0"/>
        <w:autoSpaceDE w:val="0"/>
        <w:autoSpaceDN w:val="0"/>
        <w:adjustRightInd w:val="0"/>
        <w:ind w:left="480" w:hanging="475"/>
        <w:rPr>
          <w:rFonts w:cs="Times New Roman"/>
          <w:noProof/>
          <w:szCs w:val="24"/>
        </w:rPr>
      </w:pPr>
      <w:r w:rsidRPr="006E32E5">
        <w:rPr>
          <w:rFonts w:cs="Times New Roman"/>
          <w:noProof/>
          <w:szCs w:val="24"/>
        </w:rPr>
        <w:t>Bhowmik, T., Yasmin, S. and Eluru, N., 2018. A joint econometric approach for modeling crash counts by collision type. A</w:t>
      </w:r>
      <w:r w:rsidR="008452A1">
        <w:rPr>
          <w:rFonts w:cs="Times New Roman"/>
          <w:noProof/>
          <w:szCs w:val="24"/>
        </w:rPr>
        <w:t>nalytic Methods in Accident Research</w:t>
      </w:r>
      <w:r w:rsidRPr="006E32E5">
        <w:rPr>
          <w:rFonts w:cs="Times New Roman"/>
          <w:noProof/>
          <w:szCs w:val="24"/>
        </w:rPr>
        <w:t>, 19,16-32.</w:t>
      </w:r>
      <w:r w:rsidRPr="006E32E5">
        <w:rPr>
          <w:rFonts w:cs="Times New Roman"/>
          <w:noProof/>
          <w:szCs w:val="24"/>
        </w:rPr>
        <w:t xml:space="preserve"> </w:t>
      </w:r>
    </w:p>
    <w:p w14:paraId="70C329FD" w14:textId="645CCE8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Cai, Q., Abdel-Aty, M., Lee, J., Huang, H., 2019. Integrating macro- and micro-level safety analyses: a Bayesian approach incorporating spatial interaction. </w:t>
      </w:r>
      <w:r w:rsidR="00D01039">
        <w:rPr>
          <w:rFonts w:cs="Times New Roman"/>
          <w:noProof/>
          <w:szCs w:val="24"/>
        </w:rPr>
        <w:t>Transportmetrica A 15, 285–306.</w:t>
      </w:r>
      <w:r w:rsidRPr="00735639">
        <w:rPr>
          <w:rFonts w:cs="Times New Roman"/>
          <w:noProof/>
          <w:szCs w:val="24"/>
        </w:rPr>
        <w:t xml:space="preserve"> </w:t>
      </w:r>
    </w:p>
    <w:p w14:paraId="0A2ED2B6" w14:textId="08A2B192"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Cheng, W., Gill, G.S., Zhou, J., Ensch, J.L., Kwong, J., Jia, X., 2020. Alternative multivariate multimodal crash frequency models.</w:t>
      </w:r>
      <w:r w:rsidR="00BA2F62">
        <w:rPr>
          <w:rFonts w:cs="Times New Roman"/>
          <w:noProof/>
          <w:szCs w:val="24"/>
        </w:rPr>
        <w:t xml:space="preserve"> Journal of Transportation Safety and Security 12, 628–652. </w:t>
      </w:r>
      <w:r w:rsidRPr="00735639">
        <w:rPr>
          <w:rFonts w:cs="Times New Roman"/>
          <w:noProof/>
          <w:szCs w:val="24"/>
        </w:rPr>
        <w:t xml:space="preserve"> </w:t>
      </w:r>
    </w:p>
    <w:p w14:paraId="41565713" w14:textId="2E18010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Cui, H., Xie, K., 2021. An accelerated hierarchical Bayesian crash frequency model with accommodation of spatiotemporal interactions. </w:t>
      </w:r>
      <w:r w:rsidR="00CA10AD">
        <w:rPr>
          <w:rFonts w:cs="Times New Roman"/>
          <w:noProof/>
          <w:szCs w:val="24"/>
        </w:rPr>
        <w:t>Accident Analysis and Prevention</w:t>
      </w:r>
      <w:r w:rsidRPr="00735639">
        <w:rPr>
          <w:rFonts w:cs="Times New Roman"/>
          <w:noProof/>
          <w:szCs w:val="24"/>
        </w:rPr>
        <w:t xml:space="preserve"> 153, 106018. </w:t>
      </w:r>
    </w:p>
    <w:p w14:paraId="28574E45" w14:textId="0FBACE75"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Dong, C., Clarke, D.B., Yan, X., Khattak, A., Huang, B., 2014. Multivariate random-parameters zero-inflated negative binomial regression model: An application to estimate crash frequencies at intersections. </w:t>
      </w:r>
      <w:r w:rsidR="00CA10AD">
        <w:rPr>
          <w:rFonts w:cs="Times New Roman"/>
          <w:noProof/>
          <w:szCs w:val="24"/>
        </w:rPr>
        <w:t>Accident Analysis and Prevention</w:t>
      </w:r>
      <w:r w:rsidRPr="00735639">
        <w:rPr>
          <w:rFonts w:cs="Times New Roman"/>
          <w:noProof/>
          <w:szCs w:val="24"/>
        </w:rPr>
        <w:t xml:space="preserve"> 70, 320–329. </w:t>
      </w:r>
    </w:p>
    <w:p w14:paraId="386262CA" w14:textId="11AEE122"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Gong, H., Wang, F., Zhou, B. (Brenda), Dent, S., 2020. Application of random effects negative binomial model with clustered dataset for vehicle crash frequency analysis. </w:t>
      </w:r>
      <w:r w:rsidR="00A70038">
        <w:rPr>
          <w:rFonts w:cs="Times New Roman"/>
          <w:noProof/>
          <w:szCs w:val="24"/>
        </w:rPr>
        <w:t>Journal of Transportation Science and Technology 9, 183–194.</w:t>
      </w:r>
    </w:p>
    <w:p w14:paraId="3174C24A" w14:textId="67FF385D"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Huang, H., Abdel-Aty, M., 2010. Multilevel data and Bayesian analysis in traffic safety. </w:t>
      </w:r>
      <w:r w:rsidR="00CA10AD">
        <w:rPr>
          <w:rFonts w:cs="Times New Roman"/>
          <w:noProof/>
          <w:szCs w:val="24"/>
        </w:rPr>
        <w:t>Accident Analysis and Prevention</w:t>
      </w:r>
      <w:r w:rsidRPr="00735639">
        <w:rPr>
          <w:rFonts w:cs="Times New Roman"/>
          <w:noProof/>
          <w:szCs w:val="24"/>
        </w:rPr>
        <w:t xml:space="preserve"> 42, 1556–1565. </w:t>
      </w:r>
    </w:p>
    <w:p w14:paraId="674E61BA" w14:textId="2C3BCFFA"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Huang, H., Abdel-Aty, M.A., Darwiche, A.L., 2010. County-</w:t>
      </w:r>
      <w:r w:rsidR="007F040E" w:rsidRPr="00735639">
        <w:rPr>
          <w:rFonts w:cs="Times New Roman"/>
          <w:noProof/>
          <w:szCs w:val="24"/>
        </w:rPr>
        <w:t xml:space="preserve">level crash risk analysis </w:t>
      </w:r>
      <w:r w:rsidRPr="00735639">
        <w:rPr>
          <w:rFonts w:cs="Times New Roman"/>
          <w:noProof/>
          <w:szCs w:val="24"/>
        </w:rPr>
        <w:t xml:space="preserve">in Florida: Bayesian </w:t>
      </w:r>
      <w:r w:rsidR="007F040E" w:rsidRPr="00735639">
        <w:rPr>
          <w:rFonts w:cs="Times New Roman"/>
          <w:noProof/>
          <w:szCs w:val="24"/>
        </w:rPr>
        <w:t>spatial mo</w:t>
      </w:r>
      <w:r w:rsidRPr="00735639">
        <w:rPr>
          <w:rFonts w:cs="Times New Roman"/>
          <w:noProof/>
          <w:szCs w:val="24"/>
        </w:rPr>
        <w:t xml:space="preserve">deling. </w:t>
      </w:r>
      <w:r w:rsidR="006B45EE">
        <w:rPr>
          <w:rFonts w:cs="Times New Roman"/>
          <w:noProof/>
          <w:szCs w:val="24"/>
        </w:rPr>
        <w:t xml:space="preserve">Transportation Research Record </w:t>
      </w:r>
      <w:r w:rsidRPr="00735639">
        <w:rPr>
          <w:rFonts w:cs="Times New Roman"/>
          <w:noProof/>
          <w:szCs w:val="24"/>
        </w:rPr>
        <w:t xml:space="preserve">2148, 27–37. </w:t>
      </w:r>
    </w:p>
    <w:p w14:paraId="45081C66" w14:textId="65E7B84A"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Huang, H., Chang, F., Zhou, H., Lee, J., 2019. Modeling unobserved heterogeneity for zonal crash frequencies: A Bayesian multivariate random-parameters model with mixture components for spatially correlated data. </w:t>
      </w:r>
      <w:r w:rsidR="00CA10AD">
        <w:rPr>
          <w:rFonts w:cs="Times New Roman"/>
          <w:noProof/>
          <w:szCs w:val="24"/>
        </w:rPr>
        <w:t>Analytic Methods in Accident Research</w:t>
      </w:r>
      <w:r w:rsidRPr="00735639">
        <w:rPr>
          <w:rFonts w:cs="Times New Roman"/>
          <w:noProof/>
          <w:szCs w:val="24"/>
        </w:rPr>
        <w:t xml:space="preserve"> 24, 100105. </w:t>
      </w:r>
    </w:p>
    <w:p w14:paraId="63364A3F" w14:textId="6335EE29"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Huang, H., Song, B., Xu, P., Zeng, Q., Lee, J., Abdel-Aty, M., 2016. Macro and micro models for zonal crash prediction with application in hot zones identification. </w:t>
      </w:r>
      <w:r w:rsidR="00343EE7">
        <w:rPr>
          <w:rFonts w:cs="Times New Roman"/>
          <w:noProof/>
          <w:szCs w:val="24"/>
        </w:rPr>
        <w:t>Journal of Transport Geography 54, 248–256.</w:t>
      </w:r>
      <w:r w:rsidRPr="00735639">
        <w:rPr>
          <w:rFonts w:cs="Times New Roman"/>
          <w:noProof/>
          <w:szCs w:val="24"/>
        </w:rPr>
        <w:t xml:space="preserve"> </w:t>
      </w:r>
    </w:p>
    <w:p w14:paraId="34CB40E2" w14:textId="5EC38D0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Islam, M., Mannering, F., 2020. A temporal analysis of driver-injury severities in crashes involving aggressive and non-aggressive driving. </w:t>
      </w:r>
      <w:r w:rsidR="00CA10AD">
        <w:rPr>
          <w:rFonts w:cs="Times New Roman"/>
          <w:noProof/>
          <w:szCs w:val="24"/>
        </w:rPr>
        <w:t>Analytic Methods in Accident Research</w:t>
      </w:r>
      <w:r w:rsidRPr="00735639">
        <w:rPr>
          <w:rFonts w:cs="Times New Roman"/>
          <w:noProof/>
          <w:szCs w:val="24"/>
        </w:rPr>
        <w:t xml:space="preserve"> 27, </w:t>
      </w:r>
      <w:r w:rsidRPr="00735639">
        <w:rPr>
          <w:rFonts w:cs="Times New Roman"/>
          <w:noProof/>
          <w:szCs w:val="24"/>
        </w:rPr>
        <w:lastRenderedPageBreak/>
        <w:t xml:space="preserve">100128. </w:t>
      </w:r>
    </w:p>
    <w:p w14:paraId="7484EA73" w14:textId="460D7379"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Kaaf, K. Al, Abdel-Aty, M., 2015. Transferability and </w:t>
      </w:r>
      <w:r w:rsidR="007F040E" w:rsidRPr="00735639">
        <w:rPr>
          <w:rFonts w:cs="Times New Roman"/>
          <w:noProof/>
          <w:szCs w:val="24"/>
        </w:rPr>
        <w:t>calibration of highway safety manual performance functions and development of new models for urban four-lane divided roads i</w:t>
      </w:r>
      <w:r w:rsidRPr="00735639">
        <w:rPr>
          <w:rFonts w:cs="Times New Roman"/>
          <w:noProof/>
          <w:szCs w:val="24"/>
        </w:rPr>
        <w:t xml:space="preserve">n Riyadh, Saudi Arabia. </w:t>
      </w:r>
      <w:r w:rsidR="006B45EE">
        <w:rPr>
          <w:rFonts w:cs="Times New Roman"/>
          <w:noProof/>
          <w:szCs w:val="24"/>
        </w:rPr>
        <w:t>Transportation Research Record</w:t>
      </w:r>
      <w:r w:rsidRPr="00735639">
        <w:rPr>
          <w:rFonts w:cs="Times New Roman"/>
          <w:noProof/>
          <w:szCs w:val="24"/>
        </w:rPr>
        <w:t xml:space="preserve"> 2515, 70–77. </w:t>
      </w:r>
    </w:p>
    <w:p w14:paraId="2A234181" w14:textId="27CFC857"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Kabli, A., Bhowmik, T., Eluru, N., 2020. A multivariate approach for modeling driver injury severity by body region. </w:t>
      </w:r>
      <w:r w:rsidR="00CA10AD">
        <w:rPr>
          <w:rFonts w:cs="Times New Roman"/>
          <w:noProof/>
          <w:szCs w:val="24"/>
        </w:rPr>
        <w:t>Analytic Methods in Accident Research</w:t>
      </w:r>
      <w:r w:rsidRPr="00735639">
        <w:rPr>
          <w:rFonts w:cs="Times New Roman"/>
          <w:noProof/>
          <w:szCs w:val="24"/>
        </w:rPr>
        <w:t xml:space="preserve"> 28, 100129. </w:t>
      </w:r>
    </w:p>
    <w:p w14:paraId="2594B1EE" w14:textId="59F00B3D"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Kim, D.G., Lee, Y., Washington, S., Choi, K., 2007. Modeling crash outcome probabilities at rural intersections: </w:t>
      </w:r>
      <w:r w:rsidR="00A01059">
        <w:rPr>
          <w:rFonts w:cs="Times New Roman"/>
          <w:noProof/>
          <w:szCs w:val="24"/>
        </w:rPr>
        <w:t>A</w:t>
      </w:r>
      <w:r w:rsidRPr="00735639">
        <w:rPr>
          <w:rFonts w:cs="Times New Roman"/>
          <w:noProof/>
          <w:szCs w:val="24"/>
        </w:rPr>
        <w:t xml:space="preserve">pplication of  hierarchical binomial logistic models. </w:t>
      </w:r>
      <w:r w:rsidR="00CA10AD">
        <w:rPr>
          <w:rFonts w:cs="Times New Roman"/>
          <w:noProof/>
          <w:szCs w:val="24"/>
        </w:rPr>
        <w:t>Accident Analysis and Prevention</w:t>
      </w:r>
      <w:r w:rsidRPr="00735639">
        <w:rPr>
          <w:rFonts w:cs="Times New Roman"/>
          <w:noProof/>
          <w:szCs w:val="24"/>
        </w:rPr>
        <w:t xml:space="preserve"> 39, 125–134. </w:t>
      </w:r>
    </w:p>
    <w:p w14:paraId="547AB68D" w14:textId="172FF40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Kim, D.G., Washington, S., 2006. The significance of endogeneity problems in crash models: An examination of left-turn lanes in intersection crash models. </w:t>
      </w:r>
      <w:r w:rsidR="00CA10AD">
        <w:rPr>
          <w:rFonts w:cs="Times New Roman"/>
          <w:noProof/>
          <w:szCs w:val="24"/>
        </w:rPr>
        <w:t>Accident Analysis and Prevention</w:t>
      </w:r>
      <w:r w:rsidRPr="00735639">
        <w:rPr>
          <w:rFonts w:cs="Times New Roman"/>
          <w:noProof/>
          <w:szCs w:val="24"/>
        </w:rPr>
        <w:t xml:space="preserve"> 38, 1094–1100. </w:t>
      </w:r>
    </w:p>
    <w:p w14:paraId="02BA16D1" w14:textId="236058EC"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Lee, J., Abdel-Aty, M., Cai, Q., 2017. Intersection crash prediction modeling with macro-level data from various geographic units. </w:t>
      </w:r>
      <w:r w:rsidR="00CA10AD">
        <w:rPr>
          <w:rFonts w:cs="Times New Roman"/>
          <w:noProof/>
          <w:szCs w:val="24"/>
        </w:rPr>
        <w:t>Accident Analysis and Prevention</w:t>
      </w:r>
      <w:r w:rsidRPr="00735639">
        <w:rPr>
          <w:rFonts w:cs="Times New Roman"/>
          <w:noProof/>
          <w:szCs w:val="24"/>
        </w:rPr>
        <w:t xml:space="preserve"> 102, 213–226. </w:t>
      </w:r>
    </w:p>
    <w:p w14:paraId="380A105D" w14:textId="29266711"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Li, Z., Chen, X., Ci, Y., Chen, C., Zhang, G., 2019. A hierarchical Bayesian spatiotemporal random parameters approach for alcohol/drug impaired-driving crash frequency analysis. </w:t>
      </w:r>
      <w:r w:rsidR="00CA10AD">
        <w:rPr>
          <w:rFonts w:cs="Times New Roman"/>
          <w:noProof/>
          <w:szCs w:val="24"/>
        </w:rPr>
        <w:t>Analytic Methods in Accident Research</w:t>
      </w:r>
      <w:r w:rsidRPr="00735639">
        <w:rPr>
          <w:rFonts w:cs="Times New Roman"/>
          <w:noProof/>
          <w:szCs w:val="24"/>
        </w:rPr>
        <w:t xml:space="preserve"> 21, 44–61. </w:t>
      </w:r>
    </w:p>
    <w:p w14:paraId="7522A1B7" w14:textId="69E43DAD"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Li, Z., Wang, W., Liu, P., Bigham, J.M., Ragland, D.R., 2013. Using </w:t>
      </w:r>
      <w:r w:rsidR="00343EE7" w:rsidRPr="00735639">
        <w:rPr>
          <w:rFonts w:cs="Times New Roman"/>
          <w:noProof/>
          <w:szCs w:val="24"/>
        </w:rPr>
        <w:t xml:space="preserve">geographically weighted poisson regression </w:t>
      </w:r>
      <w:r w:rsidRPr="00735639">
        <w:rPr>
          <w:rFonts w:cs="Times New Roman"/>
          <w:noProof/>
          <w:szCs w:val="24"/>
        </w:rPr>
        <w:t>for county-level crash modeling in California. Saf</w:t>
      </w:r>
      <w:r w:rsidR="00343EE7">
        <w:rPr>
          <w:rFonts w:cs="Times New Roman"/>
          <w:noProof/>
          <w:szCs w:val="24"/>
        </w:rPr>
        <w:t>ety</w:t>
      </w:r>
      <w:r w:rsidRPr="00735639">
        <w:rPr>
          <w:rFonts w:cs="Times New Roman"/>
          <w:noProof/>
          <w:szCs w:val="24"/>
        </w:rPr>
        <w:t xml:space="preserve"> Sci</w:t>
      </w:r>
      <w:r w:rsidR="00343EE7">
        <w:rPr>
          <w:rFonts w:cs="Times New Roman"/>
          <w:noProof/>
          <w:szCs w:val="24"/>
        </w:rPr>
        <w:t>ence</w:t>
      </w:r>
      <w:r w:rsidRPr="00735639">
        <w:rPr>
          <w:rFonts w:cs="Times New Roman"/>
          <w:noProof/>
          <w:szCs w:val="24"/>
        </w:rPr>
        <w:t xml:space="preserve"> 58, 89–97. </w:t>
      </w:r>
    </w:p>
    <w:p w14:paraId="4CA2E9D5" w14:textId="376C211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Liu, C., Sharma, A., 2018. Using the multivariate spatio-temporal Bayesian model to analyze traffic crashes by severity. </w:t>
      </w:r>
      <w:r w:rsidR="00CA10AD">
        <w:rPr>
          <w:rFonts w:cs="Times New Roman"/>
          <w:noProof/>
          <w:szCs w:val="24"/>
        </w:rPr>
        <w:t>Analytic Methods in Accident Research</w:t>
      </w:r>
      <w:r w:rsidRPr="00735639">
        <w:rPr>
          <w:rFonts w:cs="Times New Roman"/>
          <w:noProof/>
          <w:szCs w:val="24"/>
        </w:rPr>
        <w:t xml:space="preserve"> 17, 14–31. </w:t>
      </w:r>
    </w:p>
    <w:p w14:paraId="20F17011" w14:textId="2FE194F1"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Liu, J., Khattak, A.J., Wali, B., 2017. Do safety performance functions used for predicting crash frequency vary across space? Applying geographically weighted regressions to account for spatial heterogeneity. </w:t>
      </w:r>
      <w:r w:rsidR="00CA10AD">
        <w:rPr>
          <w:rFonts w:cs="Times New Roman"/>
          <w:noProof/>
          <w:szCs w:val="24"/>
        </w:rPr>
        <w:t>Accident Analysis and Prevention</w:t>
      </w:r>
      <w:r w:rsidRPr="00735639">
        <w:rPr>
          <w:rFonts w:cs="Times New Roman"/>
          <w:noProof/>
          <w:szCs w:val="24"/>
        </w:rPr>
        <w:t xml:space="preserve"> 109, 132–142. </w:t>
      </w:r>
    </w:p>
    <w:p w14:paraId="6964EDED" w14:textId="4912AD56"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Lord, D., Mannering, F., 2010. The statistical analysis of crash-frequency data: A review and assessment of methodological alternatives. </w:t>
      </w:r>
      <w:r w:rsidR="00343EE7">
        <w:rPr>
          <w:rFonts w:cs="Times New Roman"/>
          <w:noProof/>
          <w:szCs w:val="24"/>
        </w:rPr>
        <w:t>Transportation Research Part A 44, 291–305.</w:t>
      </w:r>
      <w:r w:rsidRPr="00735639">
        <w:rPr>
          <w:rFonts w:cs="Times New Roman"/>
          <w:noProof/>
          <w:szCs w:val="24"/>
        </w:rPr>
        <w:t xml:space="preserve"> </w:t>
      </w:r>
    </w:p>
    <w:p w14:paraId="60088E50" w14:textId="00C52068"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Mannering, F., 2018. Temporal instability and the analysis of highway accident data. </w:t>
      </w:r>
      <w:r w:rsidR="00CA10AD">
        <w:rPr>
          <w:rFonts w:cs="Times New Roman"/>
          <w:noProof/>
          <w:szCs w:val="24"/>
        </w:rPr>
        <w:t>Analytic Methods in Accident Research</w:t>
      </w:r>
      <w:r w:rsidRPr="00735639">
        <w:rPr>
          <w:rFonts w:cs="Times New Roman"/>
          <w:noProof/>
          <w:szCs w:val="24"/>
        </w:rPr>
        <w:t xml:space="preserve"> 17, 1–13. </w:t>
      </w:r>
    </w:p>
    <w:p w14:paraId="43487E83" w14:textId="290F8C5E"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Mannering, F.L., Bhat, C.R., 2014. Analytic methods in accident research: Methodological frontier and future directions. </w:t>
      </w:r>
      <w:r w:rsidR="00CA10AD">
        <w:rPr>
          <w:rFonts w:cs="Times New Roman"/>
          <w:noProof/>
          <w:szCs w:val="24"/>
        </w:rPr>
        <w:t>Analytic Methods in Accident Research</w:t>
      </w:r>
      <w:r w:rsidRPr="00735639">
        <w:rPr>
          <w:rFonts w:cs="Times New Roman"/>
          <w:noProof/>
          <w:szCs w:val="24"/>
        </w:rPr>
        <w:t xml:space="preserve"> 1, 1–22. </w:t>
      </w:r>
    </w:p>
    <w:p w14:paraId="4F2A2D33" w14:textId="1F0DAA4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Marcoux, R., Yasmin, S., Eluru, N., Rahman, M., 2018. Evaluating temporal variability of exogenous variable impacts over 25 years: An application of scaled generalized ordered logit model for driver injury severity. </w:t>
      </w:r>
      <w:r w:rsidR="00CA10AD">
        <w:rPr>
          <w:rFonts w:cs="Times New Roman"/>
          <w:noProof/>
          <w:szCs w:val="24"/>
        </w:rPr>
        <w:t>Analytic Methods in Accident Research</w:t>
      </w:r>
      <w:r w:rsidRPr="00735639">
        <w:rPr>
          <w:rFonts w:cs="Times New Roman"/>
          <w:noProof/>
          <w:szCs w:val="24"/>
        </w:rPr>
        <w:t xml:space="preserve"> 20, 15–29. </w:t>
      </w:r>
    </w:p>
    <w:p w14:paraId="2014CD8E" w14:textId="4E8F0165"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Mohammadnazar, A., Mahdinia, I., Ahmad, N., Khattak, A.J., Liu, J., 2021. Understanding how relationships between crash frequency and correlates vary for multilane rural highways: Estimating geographically and temporally weighted regression models. </w:t>
      </w:r>
      <w:r w:rsidR="00CA10AD">
        <w:rPr>
          <w:rFonts w:cs="Times New Roman"/>
          <w:noProof/>
          <w:szCs w:val="24"/>
        </w:rPr>
        <w:t>Accident Analysis and Prevention</w:t>
      </w:r>
      <w:r w:rsidRPr="00735639">
        <w:rPr>
          <w:rFonts w:cs="Times New Roman"/>
          <w:noProof/>
          <w:szCs w:val="24"/>
        </w:rPr>
        <w:t xml:space="preserve"> 157, 106146. </w:t>
      </w:r>
    </w:p>
    <w:p w14:paraId="591E73C3" w14:textId="20675DA9"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Mousavi, S.M., Osman, O.A., Lord, D., Dixon, K.K., Dadashova, B., 2021. Investigating the safety and operational benefits of mixed traffic environments with different automated vehicle market penetration rates in the proximity of a driveway on an urban arterial. </w:t>
      </w:r>
      <w:r w:rsidR="00CA10AD">
        <w:rPr>
          <w:rFonts w:cs="Times New Roman"/>
          <w:noProof/>
          <w:szCs w:val="24"/>
        </w:rPr>
        <w:t>Accident Analysis and Prevention</w:t>
      </w:r>
      <w:r w:rsidRPr="00735639">
        <w:rPr>
          <w:rFonts w:cs="Times New Roman"/>
          <w:noProof/>
          <w:szCs w:val="24"/>
        </w:rPr>
        <w:t xml:space="preserve"> 152, 105982. </w:t>
      </w:r>
    </w:p>
    <w:p w14:paraId="004BDC01" w14:textId="6C1D56D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Noland, R.B., Oh, L., 2004. The effect of infrastructure and demographic change on traffic-related fatalities and crashes: </w:t>
      </w:r>
      <w:r w:rsidR="00311BD7">
        <w:rPr>
          <w:rFonts w:cs="Times New Roman"/>
          <w:noProof/>
          <w:szCs w:val="24"/>
        </w:rPr>
        <w:t>A</w:t>
      </w:r>
      <w:r w:rsidRPr="00735639">
        <w:rPr>
          <w:rFonts w:cs="Times New Roman"/>
          <w:noProof/>
          <w:szCs w:val="24"/>
        </w:rPr>
        <w:t xml:space="preserve"> case study of Illinois county-level data. </w:t>
      </w:r>
      <w:r w:rsidR="00CA10AD">
        <w:rPr>
          <w:rFonts w:cs="Times New Roman"/>
          <w:noProof/>
          <w:szCs w:val="24"/>
        </w:rPr>
        <w:t>Accident Analysis and Prevention</w:t>
      </w:r>
      <w:r w:rsidRPr="00735639">
        <w:rPr>
          <w:rFonts w:cs="Times New Roman"/>
          <w:noProof/>
          <w:szCs w:val="24"/>
        </w:rPr>
        <w:t xml:space="preserve"> 36, 525–532. </w:t>
      </w:r>
    </w:p>
    <w:p w14:paraId="7943D5DF" w14:textId="4CA0213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Oh, J., Washington, S., Choi, K., 2004. Development </w:t>
      </w:r>
      <w:r w:rsidR="007F040E" w:rsidRPr="00735639">
        <w:rPr>
          <w:rFonts w:cs="Times New Roman"/>
          <w:noProof/>
          <w:szCs w:val="24"/>
        </w:rPr>
        <w:t>of accident prediction models for rural highway intersecti</w:t>
      </w:r>
      <w:r w:rsidRPr="00735639">
        <w:rPr>
          <w:rFonts w:cs="Times New Roman"/>
          <w:noProof/>
          <w:szCs w:val="24"/>
        </w:rPr>
        <w:t xml:space="preserve">ons. </w:t>
      </w:r>
      <w:r w:rsidR="006B45EE">
        <w:rPr>
          <w:rFonts w:cs="Times New Roman"/>
          <w:noProof/>
          <w:szCs w:val="24"/>
        </w:rPr>
        <w:t>Transportation Research Record</w:t>
      </w:r>
      <w:r w:rsidRPr="00735639">
        <w:rPr>
          <w:rFonts w:cs="Times New Roman"/>
          <w:noProof/>
          <w:szCs w:val="24"/>
        </w:rPr>
        <w:t xml:space="preserve"> 1897, 18–27. </w:t>
      </w:r>
    </w:p>
    <w:p w14:paraId="3A70BF1B" w14:textId="0E228A1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lastRenderedPageBreak/>
        <w:t xml:space="preserve">Park, H.C., Yang, S., Park, P.Y., Kim, D.K., 2020. Multiple membership multilevel model to estimate intersection crashes. </w:t>
      </w:r>
      <w:r w:rsidR="00CA10AD">
        <w:rPr>
          <w:rFonts w:cs="Times New Roman"/>
          <w:noProof/>
          <w:szCs w:val="24"/>
        </w:rPr>
        <w:t>Accident Analysis and Prevention</w:t>
      </w:r>
      <w:r w:rsidRPr="00735639">
        <w:rPr>
          <w:rFonts w:cs="Times New Roman"/>
          <w:noProof/>
          <w:szCs w:val="24"/>
        </w:rPr>
        <w:t xml:space="preserve"> 144, 105589. </w:t>
      </w:r>
    </w:p>
    <w:p w14:paraId="126030AC" w14:textId="58070C57"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Pljakić, M., Jovanović, D., Matović, B., Mićić, S., 2019. Macro-level accident modeling in Novi Sad: A spatial regression approach. </w:t>
      </w:r>
      <w:r w:rsidR="00CA10AD">
        <w:rPr>
          <w:rFonts w:cs="Times New Roman"/>
          <w:noProof/>
          <w:szCs w:val="24"/>
        </w:rPr>
        <w:t>Accident Analysis and Prevention</w:t>
      </w:r>
      <w:r w:rsidRPr="00735639">
        <w:rPr>
          <w:rFonts w:cs="Times New Roman"/>
          <w:noProof/>
          <w:szCs w:val="24"/>
        </w:rPr>
        <w:t xml:space="preserve"> 132, 105259. </w:t>
      </w:r>
    </w:p>
    <w:p w14:paraId="0F38035D" w14:textId="10C9C805"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Saha, D., Alluri, P., Dumbaugh, E., Gan, A., 2020. Application of the Poisson-Tweedie distribution in analyzing crash frequency data. </w:t>
      </w:r>
      <w:r w:rsidR="00CA10AD">
        <w:rPr>
          <w:rFonts w:cs="Times New Roman"/>
          <w:noProof/>
          <w:szCs w:val="24"/>
        </w:rPr>
        <w:t>Accident Analysis and Prevention</w:t>
      </w:r>
      <w:r w:rsidRPr="00735639">
        <w:rPr>
          <w:rFonts w:cs="Times New Roman"/>
          <w:noProof/>
          <w:szCs w:val="24"/>
        </w:rPr>
        <w:t xml:space="preserve"> 137, 105456. </w:t>
      </w:r>
    </w:p>
    <w:p w14:paraId="72E5C832" w14:textId="2AB1E981"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Satria, R., Aguero-Valverde, J., Castro, M., 2020. Spatial analysis of road crash frequency using Bayesian models with Integrated Nested Laplace Approximation (INLA). </w:t>
      </w:r>
      <w:r w:rsidR="00343EE7">
        <w:rPr>
          <w:rFonts w:cs="Times New Roman"/>
          <w:noProof/>
          <w:szCs w:val="24"/>
        </w:rPr>
        <w:t>Journal of Transportation Safety and Security, 1–23.</w:t>
      </w:r>
    </w:p>
    <w:p w14:paraId="743E15F4" w14:textId="32A02B54"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Shirani-bidabadi, N., Mallipaddi, N., Haleem, K., Anderson, M., 2020. Developing </w:t>
      </w:r>
      <w:r w:rsidR="00DE3EE1" w:rsidRPr="00735639">
        <w:rPr>
          <w:rFonts w:cs="Times New Roman"/>
          <w:noProof/>
          <w:szCs w:val="24"/>
        </w:rPr>
        <w:t>bicycle-vehicle crash-specific safety performance functions in</w:t>
      </w:r>
      <w:r w:rsidRPr="00735639">
        <w:rPr>
          <w:rFonts w:cs="Times New Roman"/>
          <w:noProof/>
          <w:szCs w:val="24"/>
        </w:rPr>
        <w:t xml:space="preserve"> Alabama </w:t>
      </w:r>
      <w:r w:rsidR="00DE3EE1" w:rsidRPr="00735639">
        <w:rPr>
          <w:rFonts w:cs="Times New Roman"/>
          <w:noProof/>
          <w:szCs w:val="24"/>
        </w:rPr>
        <w:t>using different tec</w:t>
      </w:r>
      <w:r w:rsidRPr="00735639">
        <w:rPr>
          <w:rFonts w:cs="Times New Roman"/>
          <w:noProof/>
          <w:szCs w:val="24"/>
        </w:rPr>
        <w:t xml:space="preserve">hniques. </w:t>
      </w:r>
      <w:r w:rsidR="00CA10AD">
        <w:rPr>
          <w:rFonts w:cs="Times New Roman"/>
          <w:noProof/>
          <w:szCs w:val="24"/>
        </w:rPr>
        <w:t>Accident Analysis and Prevention</w:t>
      </w:r>
      <w:r w:rsidRPr="00735639">
        <w:rPr>
          <w:rFonts w:cs="Times New Roman"/>
          <w:noProof/>
          <w:szCs w:val="24"/>
        </w:rPr>
        <w:t xml:space="preserve"> 146, 105735. </w:t>
      </w:r>
    </w:p>
    <w:p w14:paraId="0CDD3225" w14:textId="6C909B19"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Soroori, E., Mohammadzadeh Moghaddam, A., Salehi, M., 2019. Application of local conditional autoregressive models for development of zonal crash prediction models and identification of crash risk boundaries. </w:t>
      </w:r>
      <w:r w:rsidR="006B45EE">
        <w:rPr>
          <w:rFonts w:cs="Times New Roman"/>
          <w:noProof/>
          <w:szCs w:val="24"/>
        </w:rPr>
        <w:t>Transportmetrica A 15, 1102–1123.</w:t>
      </w:r>
      <w:r w:rsidRPr="00735639">
        <w:rPr>
          <w:rFonts w:cs="Times New Roman"/>
          <w:noProof/>
          <w:szCs w:val="24"/>
        </w:rPr>
        <w:t xml:space="preserve"> </w:t>
      </w:r>
    </w:p>
    <w:p w14:paraId="1CD97CB3" w14:textId="1DF3038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Stamatiadis, N., Pigman, J.G., Sacksteder, J., Ruff, W., Lord, D., 2009. </w:t>
      </w:r>
      <w:r w:rsidR="006B45EE">
        <w:rPr>
          <w:rFonts w:cs="Times New Roman"/>
          <w:noProof/>
          <w:szCs w:val="24"/>
        </w:rPr>
        <w:t>Impact of shoulder width and median width on safety. NCHRP Report 633, Transportation Research Board, Washington, D.C.</w:t>
      </w:r>
    </w:p>
    <w:p w14:paraId="5E91AEE6" w14:textId="21FE17FC"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Tirtha, S.D., Yasmin, S., Eluru, N., 2020. Modeling of incident type and incident duration using data from multiple years. </w:t>
      </w:r>
      <w:r w:rsidR="00CA10AD">
        <w:rPr>
          <w:rFonts w:cs="Times New Roman"/>
          <w:noProof/>
          <w:szCs w:val="24"/>
        </w:rPr>
        <w:t>Analytic Methods in Accident Research</w:t>
      </w:r>
      <w:r w:rsidRPr="00735639">
        <w:rPr>
          <w:rFonts w:cs="Times New Roman"/>
          <w:noProof/>
          <w:szCs w:val="24"/>
        </w:rPr>
        <w:t xml:space="preserve"> 28, 100132. </w:t>
      </w:r>
    </w:p>
    <w:p w14:paraId="15EF9F86" w14:textId="2E24FFB6"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Veeramisti, N., Paz, A., Khadka, M., Arteaga, C., 2021. A clusterwise regression approach for the estimation of crash frequencies. </w:t>
      </w:r>
      <w:r w:rsidR="006B45EE">
        <w:rPr>
          <w:rFonts w:cs="Times New Roman"/>
          <w:noProof/>
          <w:szCs w:val="24"/>
        </w:rPr>
        <w:t xml:space="preserve">Journal of Transportation Safety and Security 13, 247–277. </w:t>
      </w:r>
      <w:r w:rsidRPr="00735639">
        <w:rPr>
          <w:rFonts w:cs="Times New Roman"/>
          <w:noProof/>
          <w:szCs w:val="24"/>
        </w:rPr>
        <w:t xml:space="preserve"> </w:t>
      </w:r>
    </w:p>
    <w:p w14:paraId="24C795B9" w14:textId="61562AFD"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Wali, B., Khattak, A.J., Waters, J., Chimba, D., Li, X., 2018. Development of</w:t>
      </w:r>
      <w:r w:rsidR="008C5C8E" w:rsidRPr="00735639">
        <w:rPr>
          <w:rFonts w:cs="Times New Roman"/>
          <w:noProof/>
          <w:szCs w:val="24"/>
        </w:rPr>
        <w:t xml:space="preserve"> safety performance functions:</w:t>
      </w:r>
      <w:r w:rsidRPr="00735639">
        <w:rPr>
          <w:rFonts w:cs="Times New Roman"/>
          <w:noProof/>
          <w:szCs w:val="24"/>
        </w:rPr>
        <w:t xml:space="preserve"> Incorporating </w:t>
      </w:r>
      <w:r w:rsidR="008C5C8E" w:rsidRPr="00735639">
        <w:rPr>
          <w:rFonts w:cs="Times New Roman"/>
          <w:noProof/>
          <w:szCs w:val="24"/>
        </w:rPr>
        <w:t>unobserved heterogeneity and functional form ana</w:t>
      </w:r>
      <w:r w:rsidRPr="00735639">
        <w:rPr>
          <w:rFonts w:cs="Times New Roman"/>
          <w:noProof/>
          <w:szCs w:val="24"/>
        </w:rPr>
        <w:t xml:space="preserve">lysis. </w:t>
      </w:r>
      <w:r w:rsidR="006B45EE">
        <w:rPr>
          <w:rFonts w:cs="Times New Roman"/>
          <w:noProof/>
          <w:szCs w:val="24"/>
        </w:rPr>
        <w:t>Transportation Research Record</w:t>
      </w:r>
      <w:r w:rsidRPr="00735639">
        <w:rPr>
          <w:rFonts w:cs="Times New Roman"/>
          <w:noProof/>
          <w:szCs w:val="24"/>
        </w:rPr>
        <w:t xml:space="preserve"> 2672, 9–20. </w:t>
      </w:r>
    </w:p>
    <w:p w14:paraId="17C79CF9" w14:textId="029B0CA4"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Wang, C., Chen, F., Cheng, J., Bo, W., Zhang, P., Hou, M., Xiao, F., 2020. Random-</w:t>
      </w:r>
      <w:r w:rsidR="008C5C8E" w:rsidRPr="00735639">
        <w:rPr>
          <w:rFonts w:cs="Times New Roman"/>
          <w:noProof/>
          <w:szCs w:val="24"/>
        </w:rPr>
        <w:t>parameter multivariate negative binomial regression for modeling impacts of contributing factors on the crash frequency by crash typ</w:t>
      </w:r>
      <w:r w:rsidRPr="00735639">
        <w:rPr>
          <w:rFonts w:cs="Times New Roman"/>
          <w:noProof/>
          <w:szCs w:val="24"/>
        </w:rPr>
        <w:t xml:space="preserve">es. </w:t>
      </w:r>
      <w:r w:rsidR="006B45EE">
        <w:rPr>
          <w:rFonts w:cs="Times New Roman"/>
          <w:noProof/>
          <w:szCs w:val="24"/>
        </w:rPr>
        <w:t>Discrete Dynamics in Nature and Society, 1–13.</w:t>
      </w:r>
      <w:r w:rsidRPr="00735639">
        <w:rPr>
          <w:rFonts w:cs="Times New Roman"/>
          <w:noProof/>
          <w:szCs w:val="24"/>
        </w:rPr>
        <w:t xml:space="preserve"> </w:t>
      </w:r>
    </w:p>
    <w:p w14:paraId="5FDDA9DD" w14:textId="15AB980D"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Wang, J., Huang, H., 2016. Road network safety evaluation using Bayesian hierarchical joint model. </w:t>
      </w:r>
      <w:r w:rsidR="00CA10AD">
        <w:rPr>
          <w:rFonts w:cs="Times New Roman"/>
          <w:noProof/>
          <w:szCs w:val="24"/>
        </w:rPr>
        <w:t>Accident Analysis and Prevention</w:t>
      </w:r>
      <w:r w:rsidRPr="00735639">
        <w:rPr>
          <w:rFonts w:cs="Times New Roman"/>
          <w:noProof/>
          <w:szCs w:val="24"/>
        </w:rPr>
        <w:t xml:space="preserve"> 90, 152–158. </w:t>
      </w:r>
    </w:p>
    <w:p w14:paraId="55CA5FF8" w14:textId="36C95E87"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Wang, J., Huang, H., Zeng, Q., 2017. The effect of zonal factors in estimating crash risks by transportation modes: Motor vehicle, bicycle and pedestrian. </w:t>
      </w:r>
      <w:r w:rsidR="00CA10AD">
        <w:rPr>
          <w:rFonts w:cs="Times New Roman"/>
          <w:noProof/>
          <w:szCs w:val="24"/>
        </w:rPr>
        <w:t>Accident Analysis and Prevention</w:t>
      </w:r>
      <w:r w:rsidRPr="00735639">
        <w:rPr>
          <w:rFonts w:cs="Times New Roman"/>
          <w:noProof/>
          <w:szCs w:val="24"/>
        </w:rPr>
        <w:t xml:space="preserve"> 98, 223–231. </w:t>
      </w:r>
    </w:p>
    <w:p w14:paraId="4FD0A162" w14:textId="7131C70F"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Wang, K., Bhowmik, T., Zhao, S., Eluru, N., Jackson, E., 2021. Highway safety assessment and improvement through crash prediction by injury severity and vehicle damage using </w:t>
      </w:r>
      <w:r w:rsidR="00311BD7" w:rsidRPr="00735639">
        <w:rPr>
          <w:rFonts w:cs="Times New Roman"/>
          <w:noProof/>
          <w:szCs w:val="24"/>
        </w:rPr>
        <w:t>multivariat</w:t>
      </w:r>
      <w:r w:rsidRPr="00735639">
        <w:rPr>
          <w:rFonts w:cs="Times New Roman"/>
          <w:noProof/>
          <w:szCs w:val="24"/>
        </w:rPr>
        <w:t>e Poisson-</w:t>
      </w:r>
      <w:r w:rsidR="00311BD7">
        <w:rPr>
          <w:rFonts w:cs="Times New Roman"/>
          <w:noProof/>
          <w:szCs w:val="24"/>
        </w:rPr>
        <w:t>l</w:t>
      </w:r>
      <w:r w:rsidRPr="00735639">
        <w:rPr>
          <w:rFonts w:cs="Times New Roman"/>
          <w:noProof/>
          <w:szCs w:val="24"/>
        </w:rPr>
        <w:t xml:space="preserve">ognormal model and </w:t>
      </w:r>
      <w:r w:rsidR="00311BD7" w:rsidRPr="00735639">
        <w:rPr>
          <w:rFonts w:cs="Times New Roman"/>
          <w:noProof/>
          <w:szCs w:val="24"/>
        </w:rPr>
        <w:t>joint negative binomial-generalized ordered probit fractional split mo</w:t>
      </w:r>
      <w:r w:rsidRPr="00735639">
        <w:rPr>
          <w:rFonts w:cs="Times New Roman"/>
          <w:noProof/>
          <w:szCs w:val="24"/>
        </w:rPr>
        <w:t xml:space="preserve">del. </w:t>
      </w:r>
      <w:r w:rsidR="006B45EE">
        <w:rPr>
          <w:rFonts w:cs="Times New Roman"/>
          <w:noProof/>
          <w:szCs w:val="24"/>
        </w:rPr>
        <w:t>Journal of Safety Research</w:t>
      </w:r>
      <w:r w:rsidRPr="00735639">
        <w:rPr>
          <w:rFonts w:cs="Times New Roman"/>
          <w:noProof/>
          <w:szCs w:val="24"/>
        </w:rPr>
        <w:t xml:space="preserve"> 76, 44–55. </w:t>
      </w:r>
    </w:p>
    <w:p w14:paraId="11CC02D9" w14:textId="40841F4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Wang, S., Chen, Y., Huang, J., Chen, N., Lu, Y., 2019. Macrolevel </w:t>
      </w:r>
      <w:r w:rsidR="008C5C8E" w:rsidRPr="00735639">
        <w:rPr>
          <w:rFonts w:cs="Times New Roman"/>
          <w:noProof/>
          <w:szCs w:val="24"/>
        </w:rPr>
        <w:t>traffic crash analy</w:t>
      </w:r>
      <w:r w:rsidRPr="00735639">
        <w:rPr>
          <w:rFonts w:cs="Times New Roman"/>
          <w:noProof/>
          <w:szCs w:val="24"/>
        </w:rPr>
        <w:t xml:space="preserve">sis: A </w:t>
      </w:r>
      <w:r w:rsidR="008C5C8E" w:rsidRPr="00735639">
        <w:rPr>
          <w:rFonts w:cs="Times New Roman"/>
          <w:noProof/>
          <w:szCs w:val="24"/>
        </w:rPr>
        <w:t>spatial econometric model approac</w:t>
      </w:r>
      <w:r w:rsidRPr="00735639">
        <w:rPr>
          <w:rFonts w:cs="Times New Roman"/>
          <w:noProof/>
          <w:szCs w:val="24"/>
        </w:rPr>
        <w:t xml:space="preserve">h. </w:t>
      </w:r>
      <w:r w:rsidR="006B45EE">
        <w:rPr>
          <w:rFonts w:cs="Times New Roman"/>
          <w:noProof/>
          <w:szCs w:val="24"/>
        </w:rPr>
        <w:t>Mathematical Problems in Engineering</w:t>
      </w:r>
      <w:r w:rsidRPr="00735639">
        <w:rPr>
          <w:rFonts w:cs="Times New Roman"/>
          <w:noProof/>
          <w:szCs w:val="24"/>
        </w:rPr>
        <w:t xml:space="preserve"> 2019, 1–10.</w:t>
      </w:r>
    </w:p>
    <w:p w14:paraId="5A95F4EE" w14:textId="2F38C6F3"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Wen, H., Zhang, X., Zeng, Q., Sze, N.N., 2019. Bayesian spatial-temporal model for the main and interaction effects of roadway and  weather characteristics on freeway crash incidence. </w:t>
      </w:r>
      <w:r w:rsidR="00CA10AD">
        <w:rPr>
          <w:rFonts w:cs="Times New Roman"/>
          <w:noProof/>
          <w:szCs w:val="24"/>
        </w:rPr>
        <w:t>Accident Analysis and Prevention</w:t>
      </w:r>
      <w:r w:rsidRPr="00735639">
        <w:rPr>
          <w:rFonts w:cs="Times New Roman"/>
          <w:noProof/>
          <w:szCs w:val="24"/>
        </w:rPr>
        <w:t xml:space="preserve"> 132, 105249. </w:t>
      </w:r>
    </w:p>
    <w:p w14:paraId="45E22DD8" w14:textId="104CDEE2"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Xie, K., Ozbay, K., Kurkcu, A., Yang, H., 2017. Analysis </w:t>
      </w:r>
      <w:r w:rsidR="006B45EE" w:rsidRPr="00735639">
        <w:rPr>
          <w:rFonts w:cs="Times New Roman"/>
          <w:noProof/>
          <w:szCs w:val="24"/>
        </w:rPr>
        <w:t>of traffic crashes involving pedestrians using big data</w:t>
      </w:r>
      <w:r w:rsidRPr="00735639">
        <w:rPr>
          <w:rFonts w:cs="Times New Roman"/>
          <w:noProof/>
          <w:szCs w:val="24"/>
        </w:rPr>
        <w:t xml:space="preserve">: Investigation </w:t>
      </w:r>
      <w:r w:rsidR="006B45EE" w:rsidRPr="00735639">
        <w:rPr>
          <w:rFonts w:cs="Times New Roman"/>
          <w:noProof/>
          <w:szCs w:val="24"/>
        </w:rPr>
        <w:t>of contributing factors and identification of ho</w:t>
      </w:r>
      <w:r w:rsidRPr="00735639">
        <w:rPr>
          <w:rFonts w:cs="Times New Roman"/>
          <w:noProof/>
          <w:szCs w:val="24"/>
        </w:rPr>
        <w:t xml:space="preserve">tspots. Risk </w:t>
      </w:r>
      <w:r w:rsidR="006B45EE">
        <w:rPr>
          <w:rFonts w:cs="Times New Roman"/>
          <w:noProof/>
          <w:szCs w:val="24"/>
        </w:rPr>
        <w:t>Analysis</w:t>
      </w:r>
      <w:r w:rsidRPr="00735639">
        <w:rPr>
          <w:rFonts w:cs="Times New Roman"/>
          <w:noProof/>
          <w:szCs w:val="24"/>
        </w:rPr>
        <w:t xml:space="preserve"> 37, 1459–1476. </w:t>
      </w:r>
    </w:p>
    <w:p w14:paraId="11059A14" w14:textId="7FB469E6"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lastRenderedPageBreak/>
        <w:t xml:space="preserve">Xie, K., Ozbay, K., Yang, H., 2019. A multivariate spatial approach to model crash counts by injury severity. </w:t>
      </w:r>
      <w:r w:rsidR="00CA10AD">
        <w:rPr>
          <w:rFonts w:cs="Times New Roman"/>
          <w:noProof/>
          <w:szCs w:val="24"/>
        </w:rPr>
        <w:t>Accident Analysis and Prevention</w:t>
      </w:r>
      <w:r w:rsidRPr="00735639">
        <w:rPr>
          <w:rFonts w:cs="Times New Roman"/>
          <w:noProof/>
          <w:szCs w:val="24"/>
        </w:rPr>
        <w:t xml:space="preserve"> 122, 189–198. </w:t>
      </w:r>
    </w:p>
    <w:p w14:paraId="1EF4A63E" w14:textId="11409B1D"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Yasmin, S., Eluru, N., 2018. A joint econometric framework for modeling crash counts by severity. </w:t>
      </w:r>
      <w:r w:rsidR="006B45EE">
        <w:rPr>
          <w:rFonts w:cs="Times New Roman"/>
          <w:noProof/>
          <w:szCs w:val="24"/>
        </w:rPr>
        <w:t>Transportmetrica A 14, 230–255.</w:t>
      </w:r>
      <w:r w:rsidRPr="00735639">
        <w:rPr>
          <w:rFonts w:cs="Times New Roman"/>
          <w:noProof/>
          <w:szCs w:val="24"/>
        </w:rPr>
        <w:t xml:space="preserve"> </w:t>
      </w:r>
    </w:p>
    <w:p w14:paraId="2A9A5C1C" w14:textId="55FDFC0C"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Yasmin, S., Eluru, N., 2016. Latent segmentation based count models: Analysis of bicycle safety in Montreal and Toronto. </w:t>
      </w:r>
      <w:r w:rsidR="00CA10AD">
        <w:rPr>
          <w:rFonts w:cs="Times New Roman"/>
          <w:noProof/>
          <w:szCs w:val="24"/>
        </w:rPr>
        <w:t>Accident Analysis and Prevention</w:t>
      </w:r>
      <w:r w:rsidRPr="00735639">
        <w:rPr>
          <w:rFonts w:cs="Times New Roman"/>
          <w:noProof/>
          <w:szCs w:val="24"/>
        </w:rPr>
        <w:t xml:space="preserve"> 95, 157–171. </w:t>
      </w:r>
    </w:p>
    <w:p w14:paraId="7ECC71DD" w14:textId="29E024EA"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Yasmin, S., Eluru, N., 2013. Evaluating alternate discrete outcome frameworks for modeling crash injury severity. </w:t>
      </w:r>
      <w:r w:rsidR="00CA10AD">
        <w:rPr>
          <w:rFonts w:cs="Times New Roman"/>
          <w:noProof/>
          <w:szCs w:val="24"/>
        </w:rPr>
        <w:t>Accident Analysis and Prevention</w:t>
      </w:r>
      <w:r w:rsidRPr="00735639">
        <w:rPr>
          <w:rFonts w:cs="Times New Roman"/>
          <w:noProof/>
          <w:szCs w:val="24"/>
        </w:rPr>
        <w:t xml:space="preserve"> 59, 506–521. </w:t>
      </w:r>
    </w:p>
    <w:p w14:paraId="0439275F" w14:textId="2B40A85E"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Yasmin, S., Momtaz, S.U., Nashad, T., Eluru, N., 2018. A Multivariate </w:t>
      </w:r>
      <w:r w:rsidR="008C5C8E" w:rsidRPr="00735639">
        <w:rPr>
          <w:rFonts w:cs="Times New Roman"/>
          <w:noProof/>
          <w:szCs w:val="24"/>
        </w:rPr>
        <w:t>copula-based macro-level crash count model</w:t>
      </w:r>
      <w:r w:rsidRPr="00735639">
        <w:rPr>
          <w:rFonts w:cs="Times New Roman"/>
          <w:noProof/>
          <w:szCs w:val="24"/>
        </w:rPr>
        <w:t xml:space="preserve">. </w:t>
      </w:r>
      <w:r w:rsidR="006B45EE">
        <w:rPr>
          <w:rFonts w:cs="Times New Roman"/>
          <w:noProof/>
          <w:szCs w:val="24"/>
        </w:rPr>
        <w:t>Transportation Research Record</w:t>
      </w:r>
      <w:r w:rsidRPr="00735639">
        <w:rPr>
          <w:rFonts w:cs="Times New Roman"/>
          <w:noProof/>
          <w:szCs w:val="24"/>
        </w:rPr>
        <w:t xml:space="preserve"> 2672, 64–75. </w:t>
      </w:r>
    </w:p>
    <w:p w14:paraId="1FA81332" w14:textId="7D789F56"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Ye, X., Pendyala, R.M., Washington, S.P., Konduri, K., Oh, J., 2009. A simultaneous equations model of crash frequency by collision type for rural intersections. </w:t>
      </w:r>
      <w:r w:rsidR="006B45EE">
        <w:rPr>
          <w:rFonts w:cs="Times New Roman"/>
          <w:noProof/>
          <w:szCs w:val="24"/>
        </w:rPr>
        <w:t>Safety Science</w:t>
      </w:r>
      <w:r w:rsidRPr="00735639">
        <w:rPr>
          <w:rFonts w:cs="Times New Roman"/>
          <w:noProof/>
          <w:szCs w:val="24"/>
        </w:rPr>
        <w:t xml:space="preserve"> 47, 443–452. </w:t>
      </w:r>
    </w:p>
    <w:p w14:paraId="0DF53B09" w14:textId="6F6A6998"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Yu, R., Wang, Y., Quddus, M., Li, J., 2019. A marginalized random effects hurdle negative binomial model for analyzing refined-scale crash frequency data. </w:t>
      </w:r>
      <w:r w:rsidR="00CA10AD">
        <w:rPr>
          <w:rFonts w:cs="Times New Roman"/>
          <w:noProof/>
          <w:szCs w:val="24"/>
        </w:rPr>
        <w:t>Analytic Methods in Accident Research</w:t>
      </w:r>
      <w:r w:rsidRPr="00735639">
        <w:rPr>
          <w:rFonts w:cs="Times New Roman"/>
          <w:noProof/>
          <w:szCs w:val="24"/>
        </w:rPr>
        <w:t xml:space="preserve"> 22, 100092. </w:t>
      </w:r>
    </w:p>
    <w:p w14:paraId="13E681E4" w14:textId="53AF8E6E"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Zeng, Q., Guo, Q., Wong, S.C., Wen, H., Huang, H., Pei, X., 2019. Jointly modeling area-level crash rates by severity: </w:t>
      </w:r>
      <w:r w:rsidR="00311BD7">
        <w:rPr>
          <w:rFonts w:cs="Times New Roman"/>
          <w:noProof/>
          <w:szCs w:val="24"/>
        </w:rPr>
        <w:t>A</w:t>
      </w:r>
      <w:r w:rsidRPr="00735639">
        <w:rPr>
          <w:rFonts w:cs="Times New Roman"/>
          <w:noProof/>
          <w:szCs w:val="24"/>
        </w:rPr>
        <w:t xml:space="preserve"> Bayesian multivariate random-parameters spatio-temporal Tobit regression. </w:t>
      </w:r>
      <w:r w:rsidR="00CA10AD">
        <w:rPr>
          <w:rFonts w:cs="Times New Roman"/>
          <w:noProof/>
          <w:szCs w:val="24"/>
        </w:rPr>
        <w:t>Transportmetrica A 15, 1867–1884.</w:t>
      </w:r>
    </w:p>
    <w:p w14:paraId="0D11D575" w14:textId="36216014" w:rsidR="00735639" w:rsidRPr="00735639" w:rsidRDefault="00735639" w:rsidP="00566189">
      <w:pPr>
        <w:widowControl w:val="0"/>
        <w:autoSpaceDE w:val="0"/>
        <w:autoSpaceDN w:val="0"/>
        <w:adjustRightInd w:val="0"/>
        <w:ind w:left="480" w:hanging="475"/>
        <w:rPr>
          <w:rFonts w:cs="Times New Roman"/>
          <w:noProof/>
          <w:szCs w:val="24"/>
        </w:rPr>
      </w:pPr>
      <w:r w:rsidRPr="00735639">
        <w:rPr>
          <w:rFonts w:cs="Times New Roman"/>
          <w:noProof/>
          <w:szCs w:val="24"/>
        </w:rPr>
        <w:t xml:space="preserve">Zeng, Q., Wen, H., Huang, H., Wang, J., Lee, J., 2020. Analysis of crash frequency using a Bayesian underreporting count model with spatial correlation. </w:t>
      </w:r>
      <w:r w:rsidR="00CA10AD">
        <w:rPr>
          <w:rFonts w:cs="Times New Roman"/>
          <w:noProof/>
          <w:szCs w:val="24"/>
        </w:rPr>
        <w:t>Physica A 545, 123754.</w:t>
      </w:r>
      <w:r w:rsidRPr="00735639">
        <w:rPr>
          <w:rFonts w:cs="Times New Roman"/>
          <w:noProof/>
          <w:szCs w:val="24"/>
        </w:rPr>
        <w:t xml:space="preserve"> </w:t>
      </w:r>
    </w:p>
    <w:p w14:paraId="0036A3E1" w14:textId="5E402775" w:rsidR="00735639" w:rsidRPr="00735639" w:rsidRDefault="00735639" w:rsidP="00566189">
      <w:pPr>
        <w:widowControl w:val="0"/>
        <w:autoSpaceDE w:val="0"/>
        <w:autoSpaceDN w:val="0"/>
        <w:adjustRightInd w:val="0"/>
        <w:ind w:left="480" w:hanging="475"/>
        <w:rPr>
          <w:rFonts w:cs="Times New Roman"/>
          <w:noProof/>
        </w:rPr>
      </w:pPr>
      <w:r w:rsidRPr="00735639">
        <w:rPr>
          <w:rFonts w:cs="Times New Roman"/>
          <w:noProof/>
          <w:szCs w:val="24"/>
        </w:rPr>
        <w:t xml:space="preserve">Zhai, X., Huang, H., Xu, P., Sze, N.N., 2019. The influence of zonal configurations on macro-level crash modeling. </w:t>
      </w:r>
      <w:r w:rsidR="00031AA2">
        <w:rPr>
          <w:rFonts w:cs="Times New Roman"/>
          <w:noProof/>
          <w:szCs w:val="24"/>
        </w:rPr>
        <w:t>Transportmetrica A 15, 417–434.</w:t>
      </w:r>
    </w:p>
    <w:p w14:paraId="2D19F465" w14:textId="142444F0" w:rsidR="007808D3" w:rsidRDefault="00623AEF" w:rsidP="00566189">
      <w:pPr>
        <w:ind w:hanging="475"/>
        <w:rPr>
          <w:rFonts w:cs="Times New Roman"/>
          <w:szCs w:val="24"/>
          <w:lang w:val="en-GB" w:eastAsia="en-GB"/>
        </w:rPr>
      </w:pPr>
      <w:r>
        <w:rPr>
          <w:rFonts w:cs="Times New Roman"/>
          <w:szCs w:val="24"/>
          <w:lang w:val="en-GB" w:eastAsia="en-GB"/>
        </w:rPr>
        <w:fldChar w:fldCharType="end"/>
      </w:r>
      <w:bookmarkEnd w:id="6"/>
    </w:p>
    <w:p w14:paraId="4E7565C8" w14:textId="08CE8526" w:rsidR="00603BBF" w:rsidRDefault="00603BBF" w:rsidP="006B45EE">
      <w:pPr>
        <w:spacing w:after="240"/>
        <w:rPr>
          <w:rFonts w:cs="Times New Roman"/>
          <w:szCs w:val="24"/>
          <w:lang w:val="en-GB" w:eastAsia="en-GB"/>
        </w:rPr>
      </w:pPr>
    </w:p>
    <w:p w14:paraId="7F884C3C" w14:textId="70C4E634" w:rsidR="00821889" w:rsidRDefault="00821889" w:rsidP="00F519B0">
      <w:pPr>
        <w:jc w:val="left"/>
        <w:rPr>
          <w:b/>
          <w:u w:val="single"/>
        </w:rPr>
      </w:pPr>
    </w:p>
    <w:p w14:paraId="4CC04DA1" w14:textId="086EF355" w:rsidR="005D3939" w:rsidRDefault="005D3939" w:rsidP="00F519B0">
      <w:pPr>
        <w:jc w:val="left"/>
        <w:rPr>
          <w:b/>
          <w:u w:val="single"/>
        </w:rPr>
      </w:pPr>
    </w:p>
    <w:p w14:paraId="2379AF31" w14:textId="0E429DD5" w:rsidR="005D3939" w:rsidRDefault="005D3939" w:rsidP="00F519B0">
      <w:pPr>
        <w:jc w:val="left"/>
        <w:rPr>
          <w:b/>
          <w:u w:val="single"/>
        </w:rPr>
      </w:pPr>
    </w:p>
    <w:p w14:paraId="2CAD9C3E" w14:textId="1B4FC247" w:rsidR="005D3939" w:rsidRDefault="005D3939" w:rsidP="00F519B0">
      <w:pPr>
        <w:jc w:val="left"/>
        <w:rPr>
          <w:b/>
          <w:u w:val="single"/>
        </w:rPr>
      </w:pPr>
    </w:p>
    <w:p w14:paraId="5DDCE9C5" w14:textId="7F010B72" w:rsidR="005D3939" w:rsidRDefault="005D3939" w:rsidP="00F519B0">
      <w:pPr>
        <w:jc w:val="left"/>
        <w:rPr>
          <w:b/>
          <w:u w:val="single"/>
        </w:rPr>
      </w:pPr>
    </w:p>
    <w:p w14:paraId="66210F4B" w14:textId="1D54AC41" w:rsidR="005D3939" w:rsidRDefault="005D3939" w:rsidP="00F519B0">
      <w:pPr>
        <w:jc w:val="left"/>
        <w:rPr>
          <w:b/>
          <w:u w:val="single"/>
        </w:rPr>
      </w:pPr>
    </w:p>
    <w:p w14:paraId="546104B1" w14:textId="28FDD44B" w:rsidR="005D3939" w:rsidRDefault="005D3939" w:rsidP="00F519B0">
      <w:pPr>
        <w:jc w:val="left"/>
        <w:rPr>
          <w:b/>
          <w:u w:val="single"/>
        </w:rPr>
      </w:pPr>
    </w:p>
    <w:p w14:paraId="2CC5FA7E" w14:textId="422784EC" w:rsidR="005D3939" w:rsidRDefault="005D3939" w:rsidP="00F519B0">
      <w:pPr>
        <w:jc w:val="left"/>
        <w:rPr>
          <w:b/>
          <w:u w:val="single"/>
        </w:rPr>
      </w:pPr>
    </w:p>
    <w:p w14:paraId="012320B7" w14:textId="3BAAAAD4" w:rsidR="005D3939" w:rsidRDefault="005D3939" w:rsidP="00F519B0">
      <w:pPr>
        <w:jc w:val="left"/>
        <w:rPr>
          <w:b/>
          <w:u w:val="single"/>
        </w:rPr>
      </w:pPr>
    </w:p>
    <w:p w14:paraId="1D685026" w14:textId="45D78B89" w:rsidR="005D3939" w:rsidRDefault="005D3939" w:rsidP="00F519B0">
      <w:pPr>
        <w:jc w:val="left"/>
        <w:rPr>
          <w:b/>
          <w:u w:val="single"/>
        </w:rPr>
      </w:pPr>
    </w:p>
    <w:p w14:paraId="7910D66A" w14:textId="15FEA3EF" w:rsidR="005D3939" w:rsidRDefault="005D3939" w:rsidP="00F519B0">
      <w:pPr>
        <w:jc w:val="left"/>
        <w:rPr>
          <w:b/>
          <w:u w:val="single"/>
        </w:rPr>
      </w:pPr>
    </w:p>
    <w:p w14:paraId="64E3D260" w14:textId="130AA2D1" w:rsidR="005D3939" w:rsidRDefault="005D3939" w:rsidP="00F519B0">
      <w:pPr>
        <w:jc w:val="left"/>
        <w:rPr>
          <w:b/>
          <w:u w:val="single"/>
        </w:rPr>
      </w:pPr>
    </w:p>
    <w:p w14:paraId="1A14DBA8" w14:textId="2D3B8A8F" w:rsidR="005D3939" w:rsidRDefault="005D3939" w:rsidP="00F519B0">
      <w:pPr>
        <w:jc w:val="left"/>
        <w:rPr>
          <w:b/>
          <w:u w:val="single"/>
        </w:rPr>
      </w:pPr>
    </w:p>
    <w:p w14:paraId="603F5136" w14:textId="781B6678" w:rsidR="005D3939" w:rsidRDefault="005D3939" w:rsidP="00F519B0">
      <w:pPr>
        <w:jc w:val="left"/>
        <w:rPr>
          <w:b/>
          <w:u w:val="single"/>
        </w:rPr>
      </w:pPr>
    </w:p>
    <w:p w14:paraId="4E371256" w14:textId="31C75A1D" w:rsidR="005D3939" w:rsidRDefault="005D3939" w:rsidP="00F519B0">
      <w:pPr>
        <w:jc w:val="left"/>
        <w:rPr>
          <w:b/>
          <w:u w:val="single"/>
        </w:rPr>
      </w:pPr>
    </w:p>
    <w:p w14:paraId="47D8E174" w14:textId="664DED97" w:rsidR="005D3939" w:rsidRDefault="005D3939" w:rsidP="00F519B0">
      <w:pPr>
        <w:jc w:val="left"/>
        <w:rPr>
          <w:b/>
          <w:u w:val="single"/>
        </w:rPr>
      </w:pPr>
    </w:p>
    <w:p w14:paraId="56A09A83" w14:textId="6A547991" w:rsidR="005D3939" w:rsidRDefault="005D3939" w:rsidP="00F519B0">
      <w:pPr>
        <w:jc w:val="left"/>
        <w:rPr>
          <w:b/>
          <w:u w:val="single"/>
        </w:rPr>
      </w:pPr>
    </w:p>
    <w:p w14:paraId="45C891AF" w14:textId="3A89B087" w:rsidR="005D3939" w:rsidRDefault="005D3939" w:rsidP="00F519B0">
      <w:pPr>
        <w:jc w:val="left"/>
        <w:rPr>
          <w:b/>
          <w:u w:val="single"/>
        </w:rPr>
      </w:pPr>
    </w:p>
    <w:p w14:paraId="4F460F99" w14:textId="4DD13147" w:rsidR="005D3939" w:rsidRDefault="005D3939" w:rsidP="00F519B0">
      <w:pPr>
        <w:jc w:val="left"/>
        <w:rPr>
          <w:b/>
          <w:u w:val="single"/>
        </w:rPr>
      </w:pPr>
    </w:p>
    <w:p w14:paraId="6D5C62AE" w14:textId="0C42B103" w:rsidR="005D3939" w:rsidRDefault="005D3939" w:rsidP="00F519B0">
      <w:pPr>
        <w:jc w:val="left"/>
        <w:rPr>
          <w:b/>
          <w:u w:val="single"/>
        </w:rPr>
      </w:pPr>
    </w:p>
    <w:p w14:paraId="758D870B" w14:textId="5182B1B9" w:rsidR="005D3939" w:rsidRDefault="005D3939" w:rsidP="00F519B0">
      <w:pPr>
        <w:jc w:val="left"/>
        <w:rPr>
          <w:b/>
          <w:u w:val="single"/>
        </w:rPr>
      </w:pPr>
    </w:p>
    <w:p w14:paraId="1DE8E272" w14:textId="0A43F9E5" w:rsidR="005D3939" w:rsidRDefault="005D3939" w:rsidP="00F519B0">
      <w:pPr>
        <w:jc w:val="left"/>
        <w:rPr>
          <w:b/>
          <w:u w:val="single"/>
        </w:rPr>
      </w:pPr>
    </w:p>
    <w:p w14:paraId="6CD68ECB" w14:textId="7E310252" w:rsidR="005D3939" w:rsidRDefault="005D3939" w:rsidP="00F519B0">
      <w:pPr>
        <w:jc w:val="left"/>
        <w:rPr>
          <w:b/>
          <w:u w:val="single"/>
        </w:rPr>
      </w:pPr>
    </w:p>
    <w:p w14:paraId="3932F84E" w14:textId="736C8D31" w:rsidR="005D3939" w:rsidRDefault="005D3939" w:rsidP="00F519B0">
      <w:pPr>
        <w:jc w:val="left"/>
        <w:rPr>
          <w:b/>
          <w:u w:val="single"/>
        </w:rPr>
      </w:pPr>
    </w:p>
    <w:p w14:paraId="26718E3C" w14:textId="6D6A49F8" w:rsidR="005D3939" w:rsidRDefault="005D3939" w:rsidP="00F519B0">
      <w:pPr>
        <w:jc w:val="left"/>
        <w:rPr>
          <w:b/>
          <w:u w:val="single"/>
        </w:rPr>
      </w:pPr>
    </w:p>
    <w:p w14:paraId="21A49573" w14:textId="4206150C" w:rsidR="005D3939" w:rsidRDefault="005D3939" w:rsidP="00F519B0">
      <w:pPr>
        <w:jc w:val="left"/>
        <w:rPr>
          <w:b/>
          <w:u w:val="single"/>
        </w:rPr>
      </w:pPr>
    </w:p>
    <w:p w14:paraId="7E625701" w14:textId="1DB0C5EA" w:rsidR="005D3939" w:rsidRDefault="005D3939" w:rsidP="00F519B0">
      <w:pPr>
        <w:jc w:val="left"/>
        <w:rPr>
          <w:b/>
          <w:u w:val="single"/>
        </w:rPr>
      </w:pPr>
    </w:p>
    <w:p w14:paraId="21A561EC" w14:textId="60AA7240" w:rsidR="005D3939" w:rsidRDefault="005D3939" w:rsidP="00F519B0">
      <w:pPr>
        <w:jc w:val="left"/>
        <w:rPr>
          <w:b/>
          <w:u w:val="single"/>
        </w:rPr>
      </w:pPr>
    </w:p>
    <w:p w14:paraId="4CE56629" w14:textId="77777777" w:rsidR="00DB199B" w:rsidRDefault="00DB199B" w:rsidP="00F519B0">
      <w:pPr>
        <w:jc w:val="left"/>
        <w:rPr>
          <w:b/>
          <w:u w:val="single"/>
        </w:rPr>
      </w:pPr>
    </w:p>
    <w:p w14:paraId="609C377C" w14:textId="454963DA" w:rsidR="00F519B0" w:rsidRPr="00040BF9" w:rsidRDefault="00F519B0" w:rsidP="00F519B0">
      <w:pPr>
        <w:jc w:val="left"/>
        <w:rPr>
          <w:b/>
          <w:u w:val="single"/>
        </w:rPr>
      </w:pPr>
      <w:r w:rsidRPr="00040BF9">
        <w:rPr>
          <w:b/>
          <w:u w:val="single"/>
        </w:rPr>
        <w:t xml:space="preserve">LIST OF </w:t>
      </w:r>
      <w:r>
        <w:rPr>
          <w:b/>
          <w:u w:val="single"/>
        </w:rPr>
        <w:t>FIGURES</w:t>
      </w:r>
    </w:p>
    <w:p w14:paraId="6409719A" w14:textId="77777777" w:rsidR="00F519B0" w:rsidRDefault="00F519B0" w:rsidP="00F519B0">
      <w:pPr>
        <w:jc w:val="left"/>
      </w:pPr>
    </w:p>
    <w:p w14:paraId="2216E1D8" w14:textId="2D681727" w:rsidR="00F519B0" w:rsidRDefault="00F519B0" w:rsidP="00F519B0">
      <w:pPr>
        <w:rPr>
          <w:szCs w:val="24"/>
        </w:rPr>
      </w:pPr>
      <w:r w:rsidRPr="006E2F5D">
        <w:t xml:space="preserve">FIGURE </w:t>
      </w:r>
      <w:r>
        <w:t>1</w:t>
      </w:r>
      <w:r w:rsidR="00E207C9">
        <w:t>:</w:t>
      </w:r>
      <w:r>
        <w:t xml:space="preserve"> </w:t>
      </w:r>
      <w:r w:rsidRPr="00F519B0">
        <w:rPr>
          <w:szCs w:val="24"/>
        </w:rPr>
        <w:t>Illustration of a) Traffic Analysis Zones (left), and b) Segments and Intersections (right)</w:t>
      </w:r>
    </w:p>
    <w:p w14:paraId="301CA39B" w14:textId="77777777" w:rsidR="00F519B0" w:rsidRDefault="00F519B0" w:rsidP="00F519B0"/>
    <w:p w14:paraId="62E2E9EB" w14:textId="0D4D0B10" w:rsidR="00F519B0" w:rsidRDefault="00F519B0" w:rsidP="00F519B0">
      <w:r w:rsidRPr="006E2F5D">
        <w:t xml:space="preserve">FIGURE </w:t>
      </w:r>
      <w:r>
        <w:t>2</w:t>
      </w:r>
      <w:r w:rsidR="00E207C9">
        <w:t>:</w:t>
      </w:r>
      <w:r>
        <w:t xml:space="preserve"> RMSE Values of Proposed Integrated M</w:t>
      </w:r>
      <w:r w:rsidR="006346A6">
        <w:t>i</w:t>
      </w:r>
      <w:r>
        <w:t>cro-M</w:t>
      </w:r>
      <w:r w:rsidR="006346A6">
        <w:t>a</w:t>
      </w:r>
      <w:r>
        <w:t>cro Model and Non-Integrated Macro Model across Different Crash Groups</w:t>
      </w:r>
    </w:p>
    <w:p w14:paraId="3634BD08" w14:textId="77777777" w:rsidR="00F519B0" w:rsidRDefault="00F519B0" w:rsidP="00F519B0">
      <w:pPr>
        <w:jc w:val="left"/>
      </w:pPr>
    </w:p>
    <w:p w14:paraId="2D8229F5" w14:textId="77777777" w:rsidR="00F519B0" w:rsidRDefault="00F519B0" w:rsidP="00F519B0">
      <w:pPr>
        <w:jc w:val="left"/>
      </w:pPr>
    </w:p>
    <w:p w14:paraId="4050B99F" w14:textId="77777777" w:rsidR="00F519B0" w:rsidRPr="006E2F5D" w:rsidRDefault="00F519B0" w:rsidP="00F519B0">
      <w:pPr>
        <w:jc w:val="left"/>
      </w:pPr>
    </w:p>
    <w:p w14:paraId="73EDDB41" w14:textId="77777777" w:rsidR="00F519B0" w:rsidRPr="00040BF9" w:rsidRDefault="00F519B0" w:rsidP="00F519B0">
      <w:pPr>
        <w:jc w:val="left"/>
        <w:rPr>
          <w:b/>
          <w:u w:val="single"/>
        </w:rPr>
      </w:pPr>
      <w:r w:rsidRPr="00040BF9">
        <w:rPr>
          <w:b/>
          <w:u w:val="single"/>
        </w:rPr>
        <w:t>LIST OF TABLES</w:t>
      </w:r>
    </w:p>
    <w:p w14:paraId="07014C4B" w14:textId="77777777" w:rsidR="00F519B0" w:rsidRDefault="00F519B0" w:rsidP="00F519B0">
      <w:pPr>
        <w:jc w:val="left"/>
      </w:pPr>
    </w:p>
    <w:p w14:paraId="2C9244BD" w14:textId="568B3E39" w:rsidR="00F519B0" w:rsidRDefault="00F519B0" w:rsidP="00F519B0">
      <w:pPr>
        <w:jc w:val="left"/>
      </w:pPr>
      <w:r>
        <w:t xml:space="preserve">TABLE 1: </w:t>
      </w:r>
      <w:r w:rsidRPr="00A164DF">
        <w:t>Summary Statistics of the Exogenous Variables at Micro and Macro Level</w:t>
      </w:r>
    </w:p>
    <w:p w14:paraId="36DEF8C9" w14:textId="77777777" w:rsidR="00F519B0" w:rsidRDefault="00F519B0" w:rsidP="00F519B0">
      <w:pPr>
        <w:jc w:val="left"/>
      </w:pPr>
    </w:p>
    <w:p w14:paraId="65F0716C" w14:textId="71A20EA7" w:rsidR="00F519B0" w:rsidRPr="00F519B0" w:rsidRDefault="00F519B0" w:rsidP="00F519B0">
      <w:pPr>
        <w:jc w:val="left"/>
      </w:pPr>
      <w:r>
        <w:t>TABLE</w:t>
      </w:r>
      <w:r w:rsidRPr="00344C46">
        <w:t xml:space="preserve"> 2: </w:t>
      </w:r>
      <w:r w:rsidRPr="00F519B0">
        <w:t>Results of Proposed Integrated M</w:t>
      </w:r>
      <w:r w:rsidR="006346A6">
        <w:t>i</w:t>
      </w:r>
      <w:r w:rsidRPr="00F519B0">
        <w:t>cro-M</w:t>
      </w:r>
      <w:r w:rsidR="006346A6">
        <w:t>a</w:t>
      </w:r>
      <w:r w:rsidRPr="00F519B0">
        <w:t>cro Model</w:t>
      </w:r>
    </w:p>
    <w:p w14:paraId="3433AD8A" w14:textId="77777777" w:rsidR="00F519B0" w:rsidRDefault="00F519B0" w:rsidP="00F519B0">
      <w:pPr>
        <w:jc w:val="left"/>
      </w:pPr>
    </w:p>
    <w:p w14:paraId="0616E3F1" w14:textId="7CED7F01" w:rsidR="00F519B0" w:rsidRPr="00404424" w:rsidRDefault="00F519B0" w:rsidP="00F519B0">
      <w:pPr>
        <w:jc w:val="left"/>
      </w:pPr>
    </w:p>
    <w:p w14:paraId="3D956757" w14:textId="37335930" w:rsidR="00F519B0" w:rsidRPr="00DE7BCA" w:rsidRDefault="00F519B0" w:rsidP="00F519B0">
      <w:pPr>
        <w:rPr>
          <w:b/>
        </w:rPr>
      </w:pPr>
    </w:p>
    <w:p w14:paraId="0ABC2548" w14:textId="6EEEE377" w:rsidR="005E0487" w:rsidRDefault="005E0487" w:rsidP="005E0487">
      <w:pPr>
        <w:rPr>
          <w:rFonts w:asciiTheme="majorHAnsi" w:hAnsiTheme="majorHAnsi" w:cstheme="majorHAnsi"/>
          <w:szCs w:val="24"/>
          <w:lang w:val="en-GB" w:eastAsia="en-GB"/>
        </w:rPr>
      </w:pPr>
    </w:p>
    <w:p w14:paraId="5D9941CB" w14:textId="5B7DE26F" w:rsidR="005E0487" w:rsidRDefault="005E0487" w:rsidP="005E0487">
      <w:pPr>
        <w:rPr>
          <w:rFonts w:asciiTheme="majorHAnsi" w:hAnsiTheme="majorHAnsi" w:cstheme="majorHAnsi"/>
          <w:szCs w:val="24"/>
          <w:lang w:val="en-GB" w:eastAsia="en-GB"/>
        </w:rPr>
      </w:pPr>
    </w:p>
    <w:p w14:paraId="0764A66D" w14:textId="4EA0980F" w:rsidR="005E0487" w:rsidRDefault="005E0487" w:rsidP="005E0487">
      <w:pPr>
        <w:rPr>
          <w:rFonts w:asciiTheme="majorHAnsi" w:hAnsiTheme="majorHAnsi" w:cstheme="majorHAnsi"/>
          <w:szCs w:val="24"/>
          <w:lang w:val="en-GB" w:eastAsia="en-GB"/>
        </w:rPr>
      </w:pPr>
    </w:p>
    <w:p w14:paraId="01F6490D" w14:textId="345FB4E1" w:rsidR="005E0487" w:rsidRDefault="005E0487" w:rsidP="005E0487">
      <w:pPr>
        <w:rPr>
          <w:rFonts w:asciiTheme="majorHAnsi" w:hAnsiTheme="majorHAnsi" w:cstheme="majorHAnsi"/>
          <w:szCs w:val="24"/>
          <w:lang w:val="en-GB" w:eastAsia="en-GB"/>
        </w:rPr>
      </w:pPr>
    </w:p>
    <w:p w14:paraId="56AAEF22" w14:textId="0FF4CB76" w:rsidR="005E0487" w:rsidRDefault="005E0487" w:rsidP="005E0487">
      <w:pPr>
        <w:rPr>
          <w:rFonts w:asciiTheme="majorHAnsi" w:hAnsiTheme="majorHAnsi" w:cstheme="majorHAnsi"/>
          <w:szCs w:val="24"/>
          <w:lang w:val="en-GB" w:eastAsia="en-GB"/>
        </w:rPr>
      </w:pPr>
    </w:p>
    <w:p w14:paraId="3D2E30A1" w14:textId="300C6442" w:rsidR="00AC31B4" w:rsidRDefault="00AC31B4" w:rsidP="005E0487">
      <w:pPr>
        <w:rPr>
          <w:rFonts w:asciiTheme="majorHAnsi" w:hAnsiTheme="majorHAnsi" w:cstheme="majorHAnsi"/>
          <w:szCs w:val="24"/>
          <w:lang w:val="en-GB" w:eastAsia="en-GB"/>
        </w:rPr>
      </w:pPr>
    </w:p>
    <w:p w14:paraId="666F14A9" w14:textId="4E788BAF" w:rsidR="00AC31B4" w:rsidRDefault="00AC31B4" w:rsidP="005E0487">
      <w:pPr>
        <w:rPr>
          <w:rFonts w:asciiTheme="majorHAnsi" w:hAnsiTheme="majorHAnsi" w:cstheme="majorHAnsi"/>
          <w:szCs w:val="24"/>
          <w:lang w:val="en-GB" w:eastAsia="en-GB"/>
        </w:rPr>
      </w:pPr>
    </w:p>
    <w:p w14:paraId="01938ED2" w14:textId="14DAC464" w:rsidR="00AC31B4" w:rsidRDefault="00AC31B4" w:rsidP="005E0487">
      <w:pPr>
        <w:rPr>
          <w:rFonts w:asciiTheme="majorHAnsi" w:hAnsiTheme="majorHAnsi" w:cstheme="majorHAnsi"/>
          <w:szCs w:val="24"/>
          <w:lang w:val="en-GB" w:eastAsia="en-GB"/>
        </w:rPr>
      </w:pPr>
    </w:p>
    <w:p w14:paraId="27ACE95A" w14:textId="2F80E971" w:rsidR="00AC31B4" w:rsidRDefault="00AC31B4" w:rsidP="005E0487">
      <w:pPr>
        <w:rPr>
          <w:rFonts w:asciiTheme="majorHAnsi" w:hAnsiTheme="majorHAnsi" w:cstheme="majorHAnsi"/>
          <w:szCs w:val="24"/>
          <w:lang w:val="en-GB" w:eastAsia="en-GB"/>
        </w:rPr>
      </w:pPr>
    </w:p>
    <w:p w14:paraId="7F8857AC" w14:textId="2C984BD9" w:rsidR="00AC31B4" w:rsidRDefault="00AC31B4" w:rsidP="005E0487">
      <w:pPr>
        <w:rPr>
          <w:rFonts w:asciiTheme="majorHAnsi" w:hAnsiTheme="majorHAnsi" w:cstheme="majorHAnsi"/>
          <w:szCs w:val="24"/>
          <w:lang w:val="en-GB" w:eastAsia="en-GB"/>
        </w:rPr>
      </w:pPr>
    </w:p>
    <w:p w14:paraId="69A28458" w14:textId="1ABC0CDF" w:rsidR="00AC31B4" w:rsidRDefault="00AC31B4" w:rsidP="005E0487">
      <w:pPr>
        <w:rPr>
          <w:rFonts w:asciiTheme="majorHAnsi" w:hAnsiTheme="majorHAnsi" w:cstheme="majorHAnsi"/>
          <w:szCs w:val="24"/>
          <w:lang w:val="en-GB" w:eastAsia="en-GB"/>
        </w:rPr>
      </w:pPr>
    </w:p>
    <w:p w14:paraId="3B4685E1" w14:textId="1B8ACB6D" w:rsidR="00AC31B4" w:rsidRDefault="00AC31B4" w:rsidP="005E0487">
      <w:pPr>
        <w:rPr>
          <w:rFonts w:asciiTheme="majorHAnsi" w:hAnsiTheme="majorHAnsi" w:cstheme="majorHAnsi"/>
          <w:szCs w:val="24"/>
          <w:lang w:val="en-GB" w:eastAsia="en-GB"/>
        </w:rPr>
      </w:pPr>
    </w:p>
    <w:p w14:paraId="36AAE166" w14:textId="5495E6DC" w:rsidR="00AC31B4" w:rsidRDefault="00AC31B4" w:rsidP="005E0487">
      <w:pPr>
        <w:rPr>
          <w:rFonts w:asciiTheme="majorHAnsi" w:hAnsiTheme="majorHAnsi" w:cstheme="majorHAnsi"/>
          <w:szCs w:val="24"/>
          <w:lang w:val="en-GB" w:eastAsia="en-GB"/>
        </w:rPr>
      </w:pPr>
    </w:p>
    <w:p w14:paraId="15C679D7" w14:textId="7A3CE081" w:rsidR="00AC31B4" w:rsidRDefault="00AC31B4" w:rsidP="005E0487">
      <w:pPr>
        <w:rPr>
          <w:rFonts w:asciiTheme="majorHAnsi" w:hAnsiTheme="majorHAnsi" w:cstheme="majorHAnsi"/>
          <w:szCs w:val="24"/>
          <w:lang w:val="en-GB" w:eastAsia="en-GB"/>
        </w:rPr>
      </w:pPr>
    </w:p>
    <w:p w14:paraId="0C7DA5EF" w14:textId="77777777" w:rsidR="00AC31B4" w:rsidRDefault="00AC31B4" w:rsidP="005E0487">
      <w:pPr>
        <w:rPr>
          <w:rFonts w:asciiTheme="majorHAnsi" w:hAnsiTheme="majorHAnsi" w:cstheme="majorHAnsi"/>
          <w:szCs w:val="24"/>
          <w:lang w:val="en-GB" w:eastAsia="en-GB"/>
        </w:rPr>
      </w:pPr>
    </w:p>
    <w:p w14:paraId="51B8EDC8" w14:textId="798BCC0A" w:rsidR="005E0487" w:rsidRDefault="005E0487" w:rsidP="005E0487">
      <w:pPr>
        <w:rPr>
          <w:rFonts w:asciiTheme="majorHAnsi" w:hAnsiTheme="majorHAnsi" w:cstheme="majorHAnsi"/>
          <w:szCs w:val="24"/>
          <w:lang w:val="en-GB" w:eastAsia="en-GB"/>
        </w:rPr>
      </w:pPr>
    </w:p>
    <w:p w14:paraId="031F9698" w14:textId="673A75B4" w:rsidR="005E0487" w:rsidRDefault="005E0487" w:rsidP="005E0487">
      <w:pPr>
        <w:rPr>
          <w:rFonts w:asciiTheme="majorHAnsi" w:hAnsiTheme="majorHAnsi" w:cstheme="majorHAnsi"/>
          <w:szCs w:val="24"/>
          <w:lang w:val="en-GB" w:eastAsia="en-GB"/>
        </w:rPr>
      </w:pPr>
    </w:p>
    <w:p w14:paraId="365596AD" w14:textId="77777777" w:rsidR="000D65BA" w:rsidRDefault="000D65BA" w:rsidP="000D65BA">
      <w:pPr>
        <w:jc w:val="left"/>
        <w:rPr>
          <w:sz w:val="32"/>
          <w:szCs w:val="32"/>
        </w:rPr>
      </w:pPr>
      <w:bookmarkStart w:id="7" w:name="_Hlk77866270"/>
      <w:r>
        <w:rPr>
          <w:noProof/>
          <w:sz w:val="32"/>
          <w:szCs w:val="32"/>
        </w:rPr>
        <w:lastRenderedPageBreak/>
        <w:drawing>
          <wp:inline distT="0" distB="0" distL="0" distR="0" wp14:anchorId="79224D2E" wp14:editId="33F7D885">
            <wp:extent cx="5943600" cy="2484259"/>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84259"/>
                    </a:xfrm>
                    <a:prstGeom prst="rect">
                      <a:avLst/>
                    </a:prstGeom>
                    <a:noFill/>
                  </pic:spPr>
                </pic:pic>
              </a:graphicData>
            </a:graphic>
          </wp:inline>
        </w:drawing>
      </w:r>
    </w:p>
    <w:p w14:paraId="0C822DC3" w14:textId="166DA6FA" w:rsidR="000D65BA" w:rsidRPr="00F519B0" w:rsidRDefault="000D65BA" w:rsidP="00F519B0">
      <w:pPr>
        <w:jc w:val="center"/>
        <w:rPr>
          <w:rFonts w:cs="Times New Roman"/>
          <w:b/>
          <w:bCs/>
          <w:szCs w:val="24"/>
        </w:rPr>
      </w:pPr>
      <w:bookmarkStart w:id="8" w:name="_Hlk78240797"/>
      <w:r w:rsidRPr="00F519B0">
        <w:rPr>
          <w:rFonts w:cs="Times New Roman"/>
          <w:b/>
          <w:bCs/>
          <w:szCs w:val="24"/>
        </w:rPr>
        <w:t>F</w:t>
      </w:r>
      <w:r w:rsidR="00242782" w:rsidRPr="00F519B0">
        <w:rPr>
          <w:rFonts w:cs="Times New Roman"/>
          <w:b/>
          <w:bCs/>
          <w:szCs w:val="24"/>
        </w:rPr>
        <w:t>IGURE</w:t>
      </w:r>
      <w:r w:rsidRPr="00F519B0">
        <w:rPr>
          <w:rFonts w:cs="Times New Roman"/>
          <w:b/>
          <w:bCs/>
          <w:szCs w:val="24"/>
        </w:rPr>
        <w:t xml:space="preserve"> 1: </w:t>
      </w:r>
      <w:r w:rsidRPr="00F519B0">
        <w:rPr>
          <w:szCs w:val="24"/>
        </w:rPr>
        <w:t>Illustration of a) Traffic Analysis Zones (left), and b) Segments and Intersections (right)</w:t>
      </w:r>
    </w:p>
    <w:bookmarkEnd w:id="7"/>
    <w:bookmarkEnd w:id="8"/>
    <w:p w14:paraId="4D125C12" w14:textId="33AD8766" w:rsidR="005E0487" w:rsidRDefault="005E0487" w:rsidP="005E0487">
      <w:pPr>
        <w:rPr>
          <w:rFonts w:asciiTheme="majorHAnsi" w:hAnsiTheme="majorHAnsi" w:cstheme="majorHAnsi"/>
          <w:szCs w:val="24"/>
          <w:lang w:val="en-GB" w:eastAsia="en-GB"/>
        </w:rPr>
      </w:pPr>
    </w:p>
    <w:p w14:paraId="305E8E2D" w14:textId="1C7A6961" w:rsidR="000D65BA" w:rsidRDefault="000D65BA" w:rsidP="000D65BA">
      <w:pPr>
        <w:jc w:val="left"/>
        <w:rPr>
          <w:rFonts w:eastAsia="Times New Roman" w:cs="Times New Roman"/>
          <w:b/>
          <w:bCs/>
        </w:rPr>
      </w:pPr>
    </w:p>
    <w:p w14:paraId="6D323933" w14:textId="7C4139C6" w:rsidR="006436DF" w:rsidRDefault="006436DF" w:rsidP="000D65BA">
      <w:pPr>
        <w:jc w:val="left"/>
        <w:rPr>
          <w:rFonts w:eastAsia="Times New Roman" w:cs="Times New Roman"/>
          <w:b/>
          <w:bCs/>
        </w:rPr>
      </w:pPr>
      <w:r>
        <w:rPr>
          <w:noProof/>
        </w:rPr>
        <w:drawing>
          <wp:inline distT="0" distB="0" distL="0" distR="0" wp14:anchorId="38463BF8" wp14:editId="26072C75">
            <wp:extent cx="5943600" cy="3038355"/>
            <wp:effectExtent l="0" t="0" r="0" b="10160"/>
            <wp:docPr id="1" name="Chart 1">
              <a:extLst xmlns:a="http://schemas.openxmlformats.org/drawingml/2006/main">
                <a:ext uri="{FF2B5EF4-FFF2-40B4-BE49-F238E27FC236}">
                  <a16:creationId xmlns:a16="http://schemas.microsoft.com/office/drawing/2014/main" id="{CF65F088-1234-459A-A374-ADC3E69B4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813262" w14:textId="5C2C5F80" w:rsidR="000D65BA" w:rsidRDefault="00242782" w:rsidP="00F519B0">
      <w:pPr>
        <w:jc w:val="center"/>
      </w:pPr>
      <w:r w:rsidRPr="00F519B0">
        <w:rPr>
          <w:b/>
          <w:bCs/>
        </w:rPr>
        <w:t>FIGURE 2</w:t>
      </w:r>
      <w:r w:rsidR="000D65BA" w:rsidRPr="00F519B0">
        <w:rPr>
          <w:b/>
          <w:bCs/>
        </w:rPr>
        <w:t>:</w:t>
      </w:r>
      <w:r w:rsidR="000D65BA" w:rsidRPr="007453EE">
        <w:t xml:space="preserve"> </w:t>
      </w:r>
      <w:r w:rsidR="000D65BA">
        <w:t>RMSE Values of Proposed Integrated M</w:t>
      </w:r>
      <w:r w:rsidR="006346A6">
        <w:t>i</w:t>
      </w:r>
      <w:r w:rsidR="000D65BA">
        <w:t>cro-M</w:t>
      </w:r>
      <w:r w:rsidR="006346A6">
        <w:t>a</w:t>
      </w:r>
      <w:r w:rsidR="000D65BA">
        <w:t>cro Model and Non-Integrated Macro Model across Different Crash Groups</w:t>
      </w:r>
    </w:p>
    <w:p w14:paraId="79EE7CC2" w14:textId="0F9E71E3" w:rsidR="005E0487" w:rsidRDefault="005E0487" w:rsidP="005E0487">
      <w:pPr>
        <w:rPr>
          <w:rFonts w:asciiTheme="majorHAnsi" w:hAnsiTheme="majorHAnsi" w:cstheme="majorHAnsi"/>
          <w:szCs w:val="24"/>
          <w:lang w:val="en-GB" w:eastAsia="en-GB"/>
        </w:rPr>
      </w:pPr>
    </w:p>
    <w:p w14:paraId="4C83D5A6" w14:textId="59B6340C" w:rsidR="005E0487" w:rsidRDefault="005E0487" w:rsidP="005E0487">
      <w:pPr>
        <w:rPr>
          <w:rFonts w:asciiTheme="majorHAnsi" w:hAnsiTheme="majorHAnsi" w:cstheme="majorHAnsi"/>
          <w:szCs w:val="24"/>
          <w:lang w:val="en-GB" w:eastAsia="en-GB"/>
        </w:rPr>
      </w:pPr>
    </w:p>
    <w:p w14:paraId="3DF78C86" w14:textId="3214FD38" w:rsidR="000D65BA" w:rsidRDefault="000D65BA" w:rsidP="005E0487">
      <w:pPr>
        <w:rPr>
          <w:rFonts w:asciiTheme="majorHAnsi" w:hAnsiTheme="majorHAnsi" w:cstheme="majorHAnsi"/>
          <w:szCs w:val="24"/>
          <w:lang w:val="en-GB" w:eastAsia="en-GB"/>
        </w:rPr>
      </w:pPr>
    </w:p>
    <w:p w14:paraId="6A432502" w14:textId="2CEFAB7F" w:rsidR="00F519B0" w:rsidRDefault="00F519B0" w:rsidP="005E0487">
      <w:pPr>
        <w:rPr>
          <w:rFonts w:asciiTheme="majorHAnsi" w:hAnsiTheme="majorHAnsi" w:cstheme="majorHAnsi"/>
          <w:szCs w:val="24"/>
          <w:lang w:val="en-GB" w:eastAsia="en-GB"/>
        </w:rPr>
      </w:pPr>
    </w:p>
    <w:p w14:paraId="019304F3" w14:textId="77777777" w:rsidR="00F519B0" w:rsidRDefault="00F519B0" w:rsidP="005E0487">
      <w:pPr>
        <w:rPr>
          <w:rFonts w:asciiTheme="majorHAnsi" w:hAnsiTheme="majorHAnsi" w:cstheme="majorHAnsi"/>
          <w:szCs w:val="24"/>
          <w:lang w:val="en-GB" w:eastAsia="en-GB"/>
        </w:rPr>
      </w:pPr>
    </w:p>
    <w:p w14:paraId="33CB8887" w14:textId="0D837D92" w:rsidR="000D65BA" w:rsidRDefault="000D65BA" w:rsidP="005E0487">
      <w:pPr>
        <w:rPr>
          <w:rFonts w:asciiTheme="majorHAnsi" w:hAnsiTheme="majorHAnsi" w:cstheme="majorHAnsi"/>
          <w:szCs w:val="24"/>
          <w:lang w:val="en-GB" w:eastAsia="en-GB"/>
        </w:rPr>
      </w:pPr>
    </w:p>
    <w:p w14:paraId="0874F07B" w14:textId="1E65882A" w:rsidR="00F519B0" w:rsidRDefault="00F519B0" w:rsidP="005E0487">
      <w:pPr>
        <w:rPr>
          <w:rFonts w:asciiTheme="majorHAnsi" w:hAnsiTheme="majorHAnsi" w:cstheme="majorHAnsi"/>
          <w:szCs w:val="24"/>
          <w:lang w:val="en-GB" w:eastAsia="en-GB"/>
        </w:rPr>
      </w:pPr>
    </w:p>
    <w:p w14:paraId="382577F8" w14:textId="77777777" w:rsidR="00242782" w:rsidRDefault="00242782" w:rsidP="005E0487">
      <w:pPr>
        <w:rPr>
          <w:rFonts w:asciiTheme="majorHAnsi" w:hAnsiTheme="majorHAnsi" w:cstheme="majorHAnsi"/>
          <w:szCs w:val="24"/>
          <w:lang w:val="en-GB" w:eastAsia="en-GB"/>
        </w:rPr>
      </w:pPr>
    </w:p>
    <w:p w14:paraId="2B107452" w14:textId="77777777" w:rsidR="000D65BA" w:rsidRPr="0069441C" w:rsidRDefault="000D65BA" w:rsidP="000D65BA"/>
    <w:p w14:paraId="314B3C04" w14:textId="6B050142" w:rsidR="000D65BA" w:rsidRPr="00CC5E9F" w:rsidRDefault="00F519B0" w:rsidP="00F519B0">
      <w:pPr>
        <w:jc w:val="center"/>
        <w:rPr>
          <w:rFonts w:cs="Times New Roman"/>
        </w:rPr>
      </w:pPr>
      <w:r w:rsidRPr="00CC5E9F">
        <w:rPr>
          <w:rFonts w:cs="Times New Roman"/>
          <w:b/>
          <w:bCs/>
        </w:rPr>
        <w:lastRenderedPageBreak/>
        <w:t>TABLE 1</w:t>
      </w:r>
      <w:r w:rsidRPr="00CC5E9F">
        <w:rPr>
          <w:rFonts w:cs="Times New Roman"/>
        </w:rPr>
        <w:t xml:space="preserve"> </w:t>
      </w:r>
      <w:r w:rsidR="000D65BA" w:rsidRPr="00CC5E9F">
        <w:rPr>
          <w:rFonts w:cs="Times New Roman"/>
        </w:rPr>
        <w:t>Summary Statistics of the Exogenous Variables at Micro and Macro Level</w:t>
      </w:r>
    </w:p>
    <w:tbl>
      <w:tblPr>
        <w:tblW w:w="9566"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60"/>
        <w:gridCol w:w="3901"/>
        <w:gridCol w:w="862"/>
        <w:gridCol w:w="872"/>
        <w:gridCol w:w="897"/>
        <w:gridCol w:w="874"/>
      </w:tblGrid>
      <w:tr w:rsidR="00613836" w:rsidRPr="00CC5E9F" w14:paraId="4A8670BC" w14:textId="77777777" w:rsidTr="00242782">
        <w:trPr>
          <w:trHeight w:val="18"/>
          <w:tblHeader/>
        </w:trPr>
        <w:tc>
          <w:tcPr>
            <w:tcW w:w="2160" w:type="dxa"/>
            <w:tcBorders>
              <w:bottom w:val="double" w:sz="4" w:space="0" w:color="auto"/>
            </w:tcBorders>
            <w:shd w:val="clear" w:color="auto" w:fill="auto"/>
            <w:vAlign w:val="center"/>
            <w:hideMark/>
          </w:tcPr>
          <w:p w14:paraId="2E4A3135" w14:textId="77777777" w:rsidR="000D65BA" w:rsidRPr="00CC5E9F" w:rsidRDefault="000D65BA" w:rsidP="00AC31B4">
            <w:pPr>
              <w:jc w:val="center"/>
              <w:rPr>
                <w:rFonts w:cs="Times New Roman"/>
                <w:b/>
                <w:bCs/>
                <w:sz w:val="20"/>
                <w:szCs w:val="20"/>
              </w:rPr>
            </w:pPr>
            <w:r w:rsidRPr="00CC5E9F">
              <w:rPr>
                <w:rFonts w:cs="Times New Roman"/>
                <w:b/>
                <w:bCs/>
                <w:sz w:val="20"/>
                <w:szCs w:val="20"/>
              </w:rPr>
              <w:t>Variables</w:t>
            </w:r>
          </w:p>
        </w:tc>
        <w:tc>
          <w:tcPr>
            <w:tcW w:w="3901" w:type="dxa"/>
            <w:tcBorders>
              <w:bottom w:val="double" w:sz="4" w:space="0" w:color="auto"/>
            </w:tcBorders>
            <w:vAlign w:val="center"/>
          </w:tcPr>
          <w:p w14:paraId="6F4E8A3B" w14:textId="77777777" w:rsidR="000D65BA" w:rsidRPr="00CC5E9F" w:rsidRDefault="000D65BA" w:rsidP="00AC31B4">
            <w:pPr>
              <w:jc w:val="center"/>
              <w:rPr>
                <w:rFonts w:cs="Times New Roman"/>
                <w:b/>
                <w:bCs/>
                <w:sz w:val="20"/>
                <w:szCs w:val="20"/>
              </w:rPr>
            </w:pPr>
            <w:r w:rsidRPr="00CC5E9F">
              <w:rPr>
                <w:rFonts w:cs="Times New Roman"/>
                <w:b/>
                <w:bCs/>
                <w:sz w:val="20"/>
                <w:szCs w:val="20"/>
              </w:rPr>
              <w:t>Definition</w:t>
            </w:r>
          </w:p>
        </w:tc>
        <w:tc>
          <w:tcPr>
            <w:tcW w:w="862" w:type="dxa"/>
            <w:tcBorders>
              <w:bottom w:val="double" w:sz="4" w:space="0" w:color="auto"/>
            </w:tcBorders>
            <w:shd w:val="clear" w:color="auto" w:fill="auto"/>
            <w:vAlign w:val="center"/>
            <w:hideMark/>
          </w:tcPr>
          <w:p w14:paraId="3319DA51" w14:textId="77777777" w:rsidR="000D65BA" w:rsidRPr="00CC5E9F" w:rsidRDefault="000D65BA" w:rsidP="00AC31B4">
            <w:pPr>
              <w:jc w:val="center"/>
              <w:rPr>
                <w:rFonts w:cs="Times New Roman"/>
                <w:b/>
                <w:bCs/>
                <w:sz w:val="20"/>
                <w:szCs w:val="20"/>
              </w:rPr>
            </w:pPr>
            <w:r w:rsidRPr="00CC5E9F">
              <w:rPr>
                <w:rFonts w:cs="Times New Roman"/>
                <w:b/>
                <w:bCs/>
                <w:sz w:val="20"/>
                <w:szCs w:val="20"/>
              </w:rPr>
              <w:t>Min</w:t>
            </w:r>
          </w:p>
        </w:tc>
        <w:tc>
          <w:tcPr>
            <w:tcW w:w="872" w:type="dxa"/>
            <w:tcBorders>
              <w:bottom w:val="double" w:sz="4" w:space="0" w:color="auto"/>
            </w:tcBorders>
            <w:shd w:val="clear" w:color="auto" w:fill="auto"/>
            <w:vAlign w:val="center"/>
            <w:hideMark/>
          </w:tcPr>
          <w:p w14:paraId="01D92A06" w14:textId="77777777" w:rsidR="000D65BA" w:rsidRPr="00CC5E9F" w:rsidRDefault="000D65BA" w:rsidP="00AC31B4">
            <w:pPr>
              <w:jc w:val="center"/>
              <w:rPr>
                <w:rFonts w:cs="Times New Roman"/>
                <w:b/>
                <w:bCs/>
                <w:sz w:val="20"/>
                <w:szCs w:val="20"/>
              </w:rPr>
            </w:pPr>
            <w:r w:rsidRPr="00CC5E9F">
              <w:rPr>
                <w:rFonts w:cs="Times New Roman"/>
                <w:b/>
                <w:bCs/>
                <w:sz w:val="20"/>
                <w:szCs w:val="20"/>
              </w:rPr>
              <w:t>Max</w:t>
            </w:r>
          </w:p>
        </w:tc>
        <w:tc>
          <w:tcPr>
            <w:tcW w:w="897" w:type="dxa"/>
            <w:tcBorders>
              <w:bottom w:val="double" w:sz="4" w:space="0" w:color="auto"/>
            </w:tcBorders>
            <w:shd w:val="clear" w:color="auto" w:fill="auto"/>
            <w:vAlign w:val="center"/>
            <w:hideMark/>
          </w:tcPr>
          <w:p w14:paraId="032DDE6F" w14:textId="77777777" w:rsidR="000D65BA" w:rsidRPr="00CC5E9F" w:rsidRDefault="000D65BA" w:rsidP="00AC31B4">
            <w:pPr>
              <w:jc w:val="center"/>
              <w:rPr>
                <w:rFonts w:cs="Times New Roman"/>
                <w:b/>
                <w:bCs/>
                <w:sz w:val="20"/>
                <w:szCs w:val="20"/>
              </w:rPr>
            </w:pPr>
            <w:r w:rsidRPr="00CC5E9F">
              <w:rPr>
                <w:rFonts w:cs="Times New Roman"/>
                <w:b/>
                <w:bCs/>
                <w:sz w:val="20"/>
                <w:szCs w:val="20"/>
              </w:rPr>
              <w:t>Mean</w:t>
            </w:r>
          </w:p>
        </w:tc>
        <w:tc>
          <w:tcPr>
            <w:tcW w:w="872" w:type="dxa"/>
            <w:tcBorders>
              <w:bottom w:val="double" w:sz="4" w:space="0" w:color="auto"/>
            </w:tcBorders>
            <w:shd w:val="clear" w:color="auto" w:fill="auto"/>
            <w:vAlign w:val="center"/>
            <w:hideMark/>
          </w:tcPr>
          <w:p w14:paraId="11BAE8EC" w14:textId="77777777" w:rsidR="000D65BA" w:rsidRPr="00CC5E9F" w:rsidRDefault="000D65BA" w:rsidP="00AC31B4">
            <w:pPr>
              <w:jc w:val="center"/>
              <w:rPr>
                <w:rFonts w:cs="Times New Roman"/>
                <w:b/>
                <w:bCs/>
                <w:sz w:val="20"/>
                <w:szCs w:val="20"/>
              </w:rPr>
            </w:pPr>
            <w:r w:rsidRPr="00CC5E9F">
              <w:rPr>
                <w:rFonts w:cs="Times New Roman"/>
                <w:b/>
                <w:bCs/>
                <w:sz w:val="20"/>
                <w:szCs w:val="20"/>
              </w:rPr>
              <w:t>SD</w:t>
            </w:r>
          </w:p>
        </w:tc>
      </w:tr>
      <w:tr w:rsidR="000D65BA" w:rsidRPr="00CC5E9F" w14:paraId="61F11F4B" w14:textId="77777777" w:rsidTr="00242782">
        <w:trPr>
          <w:trHeight w:val="18"/>
        </w:trPr>
        <w:tc>
          <w:tcPr>
            <w:tcW w:w="9566" w:type="dxa"/>
            <w:gridSpan w:val="6"/>
            <w:tcBorders>
              <w:top w:val="double" w:sz="4" w:space="0" w:color="auto"/>
              <w:bottom w:val="single" w:sz="4" w:space="0" w:color="auto"/>
            </w:tcBorders>
            <w:shd w:val="clear" w:color="auto" w:fill="auto"/>
            <w:vAlign w:val="center"/>
          </w:tcPr>
          <w:p w14:paraId="229FA7B2" w14:textId="77777777" w:rsidR="000D65BA" w:rsidRPr="00CC5E9F" w:rsidRDefault="000D65BA" w:rsidP="00F519B0">
            <w:pPr>
              <w:rPr>
                <w:rFonts w:cs="Times New Roman"/>
                <w:b/>
                <w:bCs/>
                <w:i/>
                <w:iCs/>
                <w:sz w:val="20"/>
                <w:szCs w:val="20"/>
              </w:rPr>
            </w:pPr>
            <w:r w:rsidRPr="00CC5E9F">
              <w:rPr>
                <w:rFonts w:cs="Times New Roman"/>
                <w:b/>
                <w:bCs/>
                <w:i/>
                <w:iCs/>
                <w:sz w:val="20"/>
                <w:szCs w:val="20"/>
              </w:rPr>
              <w:t>Segment level (micro)</w:t>
            </w:r>
          </w:p>
        </w:tc>
      </w:tr>
      <w:tr w:rsidR="00613836" w:rsidRPr="00CC5E9F" w14:paraId="07E0966A" w14:textId="77777777" w:rsidTr="00242782">
        <w:trPr>
          <w:trHeight w:val="18"/>
        </w:trPr>
        <w:tc>
          <w:tcPr>
            <w:tcW w:w="2160" w:type="dxa"/>
            <w:tcBorders>
              <w:top w:val="single" w:sz="4" w:space="0" w:color="auto"/>
              <w:bottom w:val="single" w:sz="4" w:space="0" w:color="auto"/>
            </w:tcBorders>
            <w:shd w:val="clear" w:color="auto" w:fill="auto"/>
            <w:vAlign w:val="center"/>
            <w:hideMark/>
          </w:tcPr>
          <w:p w14:paraId="7A4A72F5" w14:textId="77777777" w:rsidR="000D65BA" w:rsidRPr="00CC5E9F" w:rsidRDefault="000D65BA" w:rsidP="00AC31B4">
            <w:pPr>
              <w:jc w:val="left"/>
              <w:rPr>
                <w:rFonts w:cs="Times New Roman"/>
                <w:sz w:val="20"/>
                <w:szCs w:val="20"/>
              </w:rPr>
            </w:pPr>
            <w:r w:rsidRPr="00CC5E9F">
              <w:rPr>
                <w:rFonts w:cs="Times New Roman"/>
                <w:sz w:val="20"/>
                <w:szCs w:val="20"/>
              </w:rPr>
              <w:t>Crash</w:t>
            </w:r>
          </w:p>
        </w:tc>
        <w:tc>
          <w:tcPr>
            <w:tcW w:w="3901" w:type="dxa"/>
            <w:tcBorders>
              <w:top w:val="single" w:sz="4" w:space="0" w:color="auto"/>
              <w:bottom w:val="single" w:sz="4" w:space="0" w:color="auto"/>
            </w:tcBorders>
            <w:vAlign w:val="center"/>
          </w:tcPr>
          <w:p w14:paraId="152924BB" w14:textId="77777777" w:rsidR="000D65BA" w:rsidRPr="00CC5E9F" w:rsidRDefault="000D65BA" w:rsidP="00AC31B4">
            <w:pPr>
              <w:jc w:val="left"/>
              <w:rPr>
                <w:rFonts w:cs="Times New Roman"/>
                <w:sz w:val="20"/>
                <w:szCs w:val="20"/>
              </w:rPr>
            </w:pPr>
            <w:r w:rsidRPr="00CC5E9F">
              <w:rPr>
                <w:rFonts w:cs="Times New Roman"/>
                <w:sz w:val="20"/>
                <w:szCs w:val="20"/>
              </w:rPr>
              <w:t>Segment crash</w:t>
            </w:r>
          </w:p>
        </w:tc>
        <w:tc>
          <w:tcPr>
            <w:tcW w:w="862" w:type="dxa"/>
            <w:tcBorders>
              <w:top w:val="single" w:sz="4" w:space="0" w:color="auto"/>
              <w:bottom w:val="single" w:sz="4" w:space="0" w:color="auto"/>
            </w:tcBorders>
            <w:shd w:val="clear" w:color="auto" w:fill="auto"/>
            <w:noWrap/>
            <w:vAlign w:val="center"/>
            <w:hideMark/>
          </w:tcPr>
          <w:p w14:paraId="6672D9FF"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hideMark/>
          </w:tcPr>
          <w:p w14:paraId="5F21F117" w14:textId="77777777" w:rsidR="000D65BA" w:rsidRPr="00CC5E9F" w:rsidRDefault="000D65BA" w:rsidP="00AC31B4">
            <w:pPr>
              <w:jc w:val="center"/>
              <w:rPr>
                <w:rFonts w:cs="Times New Roman"/>
                <w:sz w:val="20"/>
                <w:szCs w:val="20"/>
              </w:rPr>
            </w:pPr>
            <w:r w:rsidRPr="00CC5E9F">
              <w:rPr>
                <w:rFonts w:cs="Times New Roman"/>
                <w:sz w:val="20"/>
                <w:szCs w:val="20"/>
              </w:rPr>
              <w:t>481.000</w:t>
            </w:r>
          </w:p>
        </w:tc>
        <w:tc>
          <w:tcPr>
            <w:tcW w:w="897" w:type="dxa"/>
            <w:tcBorders>
              <w:top w:val="single" w:sz="4" w:space="0" w:color="auto"/>
              <w:bottom w:val="single" w:sz="4" w:space="0" w:color="auto"/>
            </w:tcBorders>
            <w:shd w:val="clear" w:color="auto" w:fill="auto"/>
            <w:noWrap/>
            <w:vAlign w:val="center"/>
            <w:hideMark/>
          </w:tcPr>
          <w:p w14:paraId="342AD6F3" w14:textId="77777777" w:rsidR="000D65BA" w:rsidRPr="00CC5E9F" w:rsidRDefault="000D65BA" w:rsidP="00AC31B4">
            <w:pPr>
              <w:jc w:val="center"/>
              <w:rPr>
                <w:rFonts w:cs="Times New Roman"/>
                <w:sz w:val="20"/>
                <w:szCs w:val="20"/>
              </w:rPr>
            </w:pPr>
            <w:r w:rsidRPr="00CC5E9F">
              <w:rPr>
                <w:rFonts w:cs="Times New Roman"/>
                <w:sz w:val="20"/>
                <w:szCs w:val="20"/>
              </w:rPr>
              <w:t>6.161</w:t>
            </w:r>
          </w:p>
        </w:tc>
        <w:tc>
          <w:tcPr>
            <w:tcW w:w="872" w:type="dxa"/>
            <w:tcBorders>
              <w:top w:val="single" w:sz="4" w:space="0" w:color="auto"/>
              <w:bottom w:val="single" w:sz="4" w:space="0" w:color="auto"/>
            </w:tcBorders>
            <w:shd w:val="clear" w:color="auto" w:fill="auto"/>
            <w:noWrap/>
            <w:vAlign w:val="center"/>
            <w:hideMark/>
          </w:tcPr>
          <w:p w14:paraId="6A84E8B7" w14:textId="77777777" w:rsidR="000D65BA" w:rsidRPr="00CC5E9F" w:rsidRDefault="000D65BA" w:rsidP="00AC31B4">
            <w:pPr>
              <w:jc w:val="center"/>
              <w:rPr>
                <w:rFonts w:cs="Times New Roman"/>
                <w:sz w:val="20"/>
                <w:szCs w:val="20"/>
              </w:rPr>
            </w:pPr>
            <w:r w:rsidRPr="00CC5E9F">
              <w:rPr>
                <w:rFonts w:cs="Times New Roman"/>
                <w:sz w:val="20"/>
                <w:szCs w:val="20"/>
              </w:rPr>
              <w:t>19.241</w:t>
            </w:r>
          </w:p>
        </w:tc>
      </w:tr>
      <w:tr w:rsidR="00613836" w:rsidRPr="00CC5E9F" w14:paraId="2F2A85B8" w14:textId="77777777" w:rsidTr="00242782">
        <w:trPr>
          <w:trHeight w:val="18"/>
        </w:trPr>
        <w:tc>
          <w:tcPr>
            <w:tcW w:w="2160" w:type="dxa"/>
            <w:tcBorders>
              <w:top w:val="single" w:sz="4" w:space="0" w:color="auto"/>
              <w:bottom w:val="single" w:sz="4" w:space="0" w:color="auto"/>
            </w:tcBorders>
            <w:shd w:val="clear" w:color="auto" w:fill="auto"/>
            <w:vAlign w:val="center"/>
            <w:hideMark/>
          </w:tcPr>
          <w:p w14:paraId="4DF7237E" w14:textId="77777777" w:rsidR="000D65BA" w:rsidRPr="00CC5E9F" w:rsidRDefault="000D65BA" w:rsidP="00AC31B4">
            <w:pPr>
              <w:jc w:val="left"/>
              <w:rPr>
                <w:rFonts w:cs="Times New Roman"/>
                <w:sz w:val="20"/>
                <w:szCs w:val="20"/>
              </w:rPr>
            </w:pPr>
            <w:r w:rsidRPr="00CC5E9F">
              <w:rPr>
                <w:rFonts w:cs="Times New Roman"/>
                <w:sz w:val="20"/>
                <w:szCs w:val="20"/>
              </w:rPr>
              <w:t>Segment length</w:t>
            </w:r>
          </w:p>
        </w:tc>
        <w:tc>
          <w:tcPr>
            <w:tcW w:w="3901" w:type="dxa"/>
            <w:tcBorders>
              <w:top w:val="single" w:sz="4" w:space="0" w:color="auto"/>
              <w:bottom w:val="single" w:sz="4" w:space="0" w:color="auto"/>
            </w:tcBorders>
            <w:vAlign w:val="center"/>
          </w:tcPr>
          <w:p w14:paraId="1D198173" w14:textId="77777777" w:rsidR="000D65BA" w:rsidRPr="00CC5E9F" w:rsidRDefault="000D65BA" w:rsidP="00AC31B4">
            <w:pPr>
              <w:jc w:val="left"/>
              <w:rPr>
                <w:rFonts w:cs="Times New Roman"/>
                <w:sz w:val="20"/>
                <w:szCs w:val="20"/>
              </w:rPr>
            </w:pPr>
            <w:r w:rsidRPr="00CC5E9F">
              <w:rPr>
                <w:rFonts w:cs="Times New Roman"/>
                <w:sz w:val="20"/>
                <w:szCs w:val="20"/>
              </w:rPr>
              <w:t>Ln (Segment length in mile)</w:t>
            </w:r>
          </w:p>
        </w:tc>
        <w:tc>
          <w:tcPr>
            <w:tcW w:w="862" w:type="dxa"/>
            <w:tcBorders>
              <w:top w:val="single" w:sz="4" w:space="0" w:color="auto"/>
              <w:bottom w:val="single" w:sz="4" w:space="0" w:color="auto"/>
            </w:tcBorders>
            <w:shd w:val="clear" w:color="auto" w:fill="auto"/>
            <w:noWrap/>
            <w:vAlign w:val="center"/>
            <w:hideMark/>
          </w:tcPr>
          <w:p w14:paraId="7687E919" w14:textId="77777777" w:rsidR="000D65BA" w:rsidRPr="00CC5E9F" w:rsidRDefault="000D65BA" w:rsidP="00AC31B4">
            <w:pPr>
              <w:jc w:val="center"/>
              <w:rPr>
                <w:rFonts w:cs="Times New Roman"/>
                <w:sz w:val="20"/>
                <w:szCs w:val="20"/>
              </w:rPr>
            </w:pPr>
            <w:r w:rsidRPr="00CC5E9F">
              <w:rPr>
                <w:rFonts w:cs="Times New Roman"/>
                <w:sz w:val="20"/>
                <w:szCs w:val="20"/>
              </w:rPr>
              <w:t>-12.852</w:t>
            </w:r>
          </w:p>
        </w:tc>
        <w:tc>
          <w:tcPr>
            <w:tcW w:w="872" w:type="dxa"/>
            <w:tcBorders>
              <w:top w:val="single" w:sz="4" w:space="0" w:color="auto"/>
              <w:bottom w:val="single" w:sz="4" w:space="0" w:color="auto"/>
            </w:tcBorders>
            <w:shd w:val="clear" w:color="auto" w:fill="auto"/>
            <w:noWrap/>
            <w:vAlign w:val="center"/>
            <w:hideMark/>
          </w:tcPr>
          <w:p w14:paraId="5706597E" w14:textId="77777777" w:rsidR="000D65BA" w:rsidRPr="00CC5E9F" w:rsidRDefault="000D65BA" w:rsidP="00AC31B4">
            <w:pPr>
              <w:jc w:val="center"/>
              <w:rPr>
                <w:rFonts w:cs="Times New Roman"/>
                <w:sz w:val="20"/>
                <w:szCs w:val="20"/>
              </w:rPr>
            </w:pPr>
            <w:r w:rsidRPr="00CC5E9F">
              <w:rPr>
                <w:rFonts w:cs="Times New Roman"/>
                <w:sz w:val="20"/>
                <w:szCs w:val="20"/>
              </w:rPr>
              <w:t>1.144</w:t>
            </w:r>
          </w:p>
        </w:tc>
        <w:tc>
          <w:tcPr>
            <w:tcW w:w="897" w:type="dxa"/>
            <w:tcBorders>
              <w:top w:val="single" w:sz="4" w:space="0" w:color="auto"/>
              <w:bottom w:val="single" w:sz="4" w:space="0" w:color="auto"/>
            </w:tcBorders>
            <w:shd w:val="clear" w:color="auto" w:fill="auto"/>
            <w:noWrap/>
            <w:vAlign w:val="center"/>
            <w:hideMark/>
          </w:tcPr>
          <w:p w14:paraId="29A428E4" w14:textId="77777777" w:rsidR="000D65BA" w:rsidRPr="00CC5E9F" w:rsidRDefault="000D65BA" w:rsidP="00AC31B4">
            <w:pPr>
              <w:jc w:val="center"/>
              <w:rPr>
                <w:rFonts w:cs="Times New Roman"/>
                <w:sz w:val="20"/>
                <w:szCs w:val="20"/>
              </w:rPr>
            </w:pPr>
            <w:r w:rsidRPr="00CC5E9F">
              <w:rPr>
                <w:rFonts w:cs="Times New Roman"/>
                <w:sz w:val="20"/>
                <w:szCs w:val="20"/>
              </w:rPr>
              <w:t>-2.758</w:t>
            </w:r>
          </w:p>
        </w:tc>
        <w:tc>
          <w:tcPr>
            <w:tcW w:w="872" w:type="dxa"/>
            <w:tcBorders>
              <w:top w:val="single" w:sz="4" w:space="0" w:color="auto"/>
              <w:bottom w:val="single" w:sz="4" w:space="0" w:color="auto"/>
            </w:tcBorders>
            <w:shd w:val="clear" w:color="auto" w:fill="auto"/>
            <w:noWrap/>
            <w:vAlign w:val="center"/>
            <w:hideMark/>
          </w:tcPr>
          <w:p w14:paraId="19C17ECF" w14:textId="77777777" w:rsidR="000D65BA" w:rsidRPr="00CC5E9F" w:rsidRDefault="000D65BA" w:rsidP="00AC31B4">
            <w:pPr>
              <w:jc w:val="center"/>
              <w:rPr>
                <w:rFonts w:cs="Times New Roman"/>
                <w:sz w:val="20"/>
                <w:szCs w:val="20"/>
              </w:rPr>
            </w:pPr>
            <w:r w:rsidRPr="00CC5E9F">
              <w:rPr>
                <w:rFonts w:cs="Times New Roman"/>
                <w:sz w:val="20"/>
                <w:szCs w:val="20"/>
              </w:rPr>
              <w:t>1.770</w:t>
            </w:r>
          </w:p>
        </w:tc>
      </w:tr>
      <w:tr w:rsidR="00613836" w:rsidRPr="00CC5E9F" w14:paraId="70C5735E" w14:textId="77777777" w:rsidTr="00242782">
        <w:trPr>
          <w:trHeight w:val="18"/>
        </w:trPr>
        <w:tc>
          <w:tcPr>
            <w:tcW w:w="2160" w:type="dxa"/>
            <w:tcBorders>
              <w:top w:val="single" w:sz="4" w:space="0" w:color="auto"/>
              <w:bottom w:val="single" w:sz="4" w:space="0" w:color="auto"/>
            </w:tcBorders>
            <w:shd w:val="clear" w:color="auto" w:fill="auto"/>
            <w:vAlign w:val="center"/>
            <w:hideMark/>
          </w:tcPr>
          <w:p w14:paraId="0D58B85E" w14:textId="77777777" w:rsidR="000D65BA" w:rsidRPr="00CC5E9F" w:rsidRDefault="000D65BA" w:rsidP="00AC31B4">
            <w:pPr>
              <w:jc w:val="left"/>
              <w:rPr>
                <w:rFonts w:cs="Times New Roman"/>
                <w:sz w:val="20"/>
                <w:szCs w:val="20"/>
              </w:rPr>
            </w:pPr>
            <w:r w:rsidRPr="00CC5E9F">
              <w:rPr>
                <w:rFonts w:cs="Times New Roman"/>
                <w:sz w:val="20"/>
                <w:szCs w:val="20"/>
              </w:rPr>
              <w:t>No of lanes</w:t>
            </w:r>
          </w:p>
        </w:tc>
        <w:tc>
          <w:tcPr>
            <w:tcW w:w="3901" w:type="dxa"/>
            <w:tcBorders>
              <w:top w:val="single" w:sz="4" w:space="0" w:color="auto"/>
              <w:bottom w:val="single" w:sz="4" w:space="0" w:color="auto"/>
            </w:tcBorders>
            <w:vAlign w:val="center"/>
          </w:tcPr>
          <w:p w14:paraId="1FA59D6E" w14:textId="77777777" w:rsidR="000D65BA" w:rsidRPr="00CC5E9F" w:rsidRDefault="000D65BA" w:rsidP="00AC31B4">
            <w:pPr>
              <w:jc w:val="left"/>
              <w:rPr>
                <w:rFonts w:cs="Times New Roman"/>
                <w:sz w:val="20"/>
                <w:szCs w:val="20"/>
              </w:rPr>
            </w:pPr>
            <w:r w:rsidRPr="00CC5E9F">
              <w:rPr>
                <w:rFonts w:cs="Times New Roman"/>
                <w:sz w:val="20"/>
                <w:szCs w:val="20"/>
              </w:rPr>
              <w:t>No of lanes of the segment</w:t>
            </w:r>
          </w:p>
        </w:tc>
        <w:tc>
          <w:tcPr>
            <w:tcW w:w="862" w:type="dxa"/>
            <w:tcBorders>
              <w:top w:val="single" w:sz="4" w:space="0" w:color="auto"/>
              <w:bottom w:val="single" w:sz="4" w:space="0" w:color="auto"/>
            </w:tcBorders>
            <w:shd w:val="clear" w:color="auto" w:fill="auto"/>
            <w:noWrap/>
            <w:vAlign w:val="center"/>
            <w:hideMark/>
          </w:tcPr>
          <w:p w14:paraId="2F95500A" w14:textId="77777777" w:rsidR="000D65BA" w:rsidRPr="00CC5E9F" w:rsidRDefault="000D65BA" w:rsidP="00AC31B4">
            <w:pPr>
              <w:jc w:val="center"/>
              <w:rPr>
                <w:rFonts w:cs="Times New Roman"/>
                <w:sz w:val="20"/>
                <w:szCs w:val="20"/>
              </w:rPr>
            </w:pPr>
            <w:r w:rsidRPr="00CC5E9F">
              <w:rPr>
                <w:rFonts w:cs="Times New Roman"/>
                <w:sz w:val="20"/>
                <w:szCs w:val="20"/>
              </w:rPr>
              <w:t>1.000</w:t>
            </w:r>
          </w:p>
        </w:tc>
        <w:tc>
          <w:tcPr>
            <w:tcW w:w="872" w:type="dxa"/>
            <w:tcBorders>
              <w:top w:val="single" w:sz="4" w:space="0" w:color="auto"/>
              <w:bottom w:val="single" w:sz="4" w:space="0" w:color="auto"/>
            </w:tcBorders>
            <w:shd w:val="clear" w:color="auto" w:fill="auto"/>
            <w:noWrap/>
            <w:vAlign w:val="center"/>
            <w:hideMark/>
          </w:tcPr>
          <w:p w14:paraId="0E2C69A0" w14:textId="77777777" w:rsidR="000D65BA" w:rsidRPr="00CC5E9F" w:rsidRDefault="000D65BA" w:rsidP="00AC31B4">
            <w:pPr>
              <w:jc w:val="center"/>
              <w:rPr>
                <w:rFonts w:cs="Times New Roman"/>
                <w:sz w:val="20"/>
                <w:szCs w:val="20"/>
              </w:rPr>
            </w:pPr>
            <w:r w:rsidRPr="00CC5E9F">
              <w:rPr>
                <w:rFonts w:cs="Times New Roman"/>
                <w:sz w:val="20"/>
                <w:szCs w:val="20"/>
              </w:rPr>
              <w:t>5.000</w:t>
            </w:r>
          </w:p>
        </w:tc>
        <w:tc>
          <w:tcPr>
            <w:tcW w:w="897" w:type="dxa"/>
            <w:tcBorders>
              <w:top w:val="single" w:sz="4" w:space="0" w:color="auto"/>
              <w:bottom w:val="single" w:sz="4" w:space="0" w:color="auto"/>
            </w:tcBorders>
            <w:shd w:val="clear" w:color="auto" w:fill="auto"/>
            <w:noWrap/>
            <w:vAlign w:val="center"/>
            <w:hideMark/>
          </w:tcPr>
          <w:p w14:paraId="58DCD85E" w14:textId="77777777" w:rsidR="000D65BA" w:rsidRPr="00CC5E9F" w:rsidRDefault="000D65BA" w:rsidP="00AC31B4">
            <w:pPr>
              <w:jc w:val="center"/>
              <w:rPr>
                <w:rFonts w:cs="Times New Roman"/>
                <w:sz w:val="20"/>
                <w:szCs w:val="20"/>
              </w:rPr>
            </w:pPr>
            <w:r w:rsidRPr="00CC5E9F">
              <w:rPr>
                <w:rFonts w:cs="Times New Roman"/>
                <w:sz w:val="20"/>
                <w:szCs w:val="20"/>
              </w:rPr>
              <w:t>2.128</w:t>
            </w:r>
          </w:p>
        </w:tc>
        <w:tc>
          <w:tcPr>
            <w:tcW w:w="872" w:type="dxa"/>
            <w:tcBorders>
              <w:top w:val="single" w:sz="4" w:space="0" w:color="auto"/>
              <w:bottom w:val="single" w:sz="4" w:space="0" w:color="auto"/>
            </w:tcBorders>
            <w:shd w:val="clear" w:color="auto" w:fill="auto"/>
            <w:noWrap/>
            <w:vAlign w:val="center"/>
            <w:hideMark/>
          </w:tcPr>
          <w:p w14:paraId="2B6585A9" w14:textId="77777777" w:rsidR="000D65BA" w:rsidRPr="00CC5E9F" w:rsidRDefault="000D65BA" w:rsidP="00AC31B4">
            <w:pPr>
              <w:jc w:val="center"/>
              <w:rPr>
                <w:rFonts w:cs="Times New Roman"/>
                <w:sz w:val="20"/>
                <w:szCs w:val="20"/>
              </w:rPr>
            </w:pPr>
            <w:r w:rsidRPr="00CC5E9F">
              <w:rPr>
                <w:rFonts w:cs="Times New Roman"/>
                <w:sz w:val="20"/>
                <w:szCs w:val="20"/>
              </w:rPr>
              <w:t>0.720</w:t>
            </w:r>
          </w:p>
        </w:tc>
      </w:tr>
      <w:tr w:rsidR="00613836" w:rsidRPr="00CC5E9F" w14:paraId="0A9D5D63" w14:textId="77777777" w:rsidTr="00242782">
        <w:trPr>
          <w:trHeight w:val="18"/>
        </w:trPr>
        <w:tc>
          <w:tcPr>
            <w:tcW w:w="2160" w:type="dxa"/>
            <w:tcBorders>
              <w:top w:val="single" w:sz="4" w:space="0" w:color="auto"/>
              <w:bottom w:val="single" w:sz="4" w:space="0" w:color="auto"/>
            </w:tcBorders>
            <w:shd w:val="clear" w:color="auto" w:fill="auto"/>
            <w:vAlign w:val="center"/>
          </w:tcPr>
          <w:p w14:paraId="61E7C838" w14:textId="77777777" w:rsidR="000D65BA" w:rsidRPr="00CC5E9F" w:rsidRDefault="000D65BA" w:rsidP="00AC31B4">
            <w:pPr>
              <w:jc w:val="left"/>
              <w:rPr>
                <w:rFonts w:cs="Times New Roman"/>
                <w:sz w:val="20"/>
                <w:szCs w:val="20"/>
              </w:rPr>
            </w:pPr>
            <w:r w:rsidRPr="00CC5E9F">
              <w:rPr>
                <w:rFonts w:cs="Times New Roman"/>
                <w:sz w:val="20"/>
                <w:szCs w:val="20"/>
              </w:rPr>
              <w:t>Average inside shoulder width</w:t>
            </w:r>
          </w:p>
        </w:tc>
        <w:tc>
          <w:tcPr>
            <w:tcW w:w="3901" w:type="dxa"/>
            <w:tcBorders>
              <w:top w:val="single" w:sz="4" w:space="0" w:color="auto"/>
              <w:bottom w:val="single" w:sz="4" w:space="0" w:color="auto"/>
            </w:tcBorders>
            <w:vAlign w:val="center"/>
          </w:tcPr>
          <w:p w14:paraId="13F8FBEA" w14:textId="77777777" w:rsidR="000D65BA" w:rsidRPr="00CC5E9F" w:rsidRDefault="000D65BA" w:rsidP="00AC31B4">
            <w:pPr>
              <w:jc w:val="left"/>
              <w:rPr>
                <w:rFonts w:cs="Times New Roman"/>
                <w:sz w:val="20"/>
                <w:szCs w:val="20"/>
              </w:rPr>
            </w:pPr>
            <w:r w:rsidRPr="00CC5E9F">
              <w:rPr>
                <w:rFonts w:cs="Times New Roman"/>
                <w:sz w:val="20"/>
                <w:szCs w:val="20"/>
              </w:rPr>
              <w:t>Average inside shoulder width in feet</w:t>
            </w:r>
          </w:p>
        </w:tc>
        <w:tc>
          <w:tcPr>
            <w:tcW w:w="862" w:type="dxa"/>
            <w:tcBorders>
              <w:top w:val="single" w:sz="4" w:space="0" w:color="auto"/>
              <w:bottom w:val="single" w:sz="4" w:space="0" w:color="auto"/>
            </w:tcBorders>
            <w:shd w:val="clear" w:color="auto" w:fill="auto"/>
            <w:noWrap/>
            <w:vAlign w:val="center"/>
          </w:tcPr>
          <w:p w14:paraId="51E5053E"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5A06EF11" w14:textId="77777777" w:rsidR="000D65BA" w:rsidRPr="00CC5E9F" w:rsidRDefault="000D65BA" w:rsidP="00AC31B4">
            <w:pPr>
              <w:jc w:val="center"/>
              <w:rPr>
                <w:rFonts w:cs="Times New Roman"/>
                <w:sz w:val="20"/>
                <w:szCs w:val="20"/>
              </w:rPr>
            </w:pPr>
            <w:r w:rsidRPr="00CC5E9F">
              <w:rPr>
                <w:rFonts w:cs="Times New Roman"/>
                <w:sz w:val="20"/>
                <w:szCs w:val="20"/>
              </w:rPr>
              <w:t>36.000</w:t>
            </w:r>
          </w:p>
        </w:tc>
        <w:tc>
          <w:tcPr>
            <w:tcW w:w="897" w:type="dxa"/>
            <w:tcBorders>
              <w:top w:val="single" w:sz="4" w:space="0" w:color="auto"/>
              <w:bottom w:val="single" w:sz="4" w:space="0" w:color="auto"/>
            </w:tcBorders>
            <w:shd w:val="clear" w:color="auto" w:fill="auto"/>
            <w:noWrap/>
            <w:vAlign w:val="center"/>
          </w:tcPr>
          <w:p w14:paraId="570E4D52" w14:textId="77777777" w:rsidR="000D65BA" w:rsidRPr="00CC5E9F" w:rsidRDefault="000D65BA" w:rsidP="00AC31B4">
            <w:pPr>
              <w:jc w:val="center"/>
              <w:rPr>
                <w:rFonts w:cs="Times New Roman"/>
                <w:sz w:val="20"/>
                <w:szCs w:val="20"/>
              </w:rPr>
            </w:pPr>
            <w:r w:rsidRPr="00CC5E9F">
              <w:rPr>
                <w:rFonts w:cs="Times New Roman"/>
                <w:sz w:val="20"/>
                <w:szCs w:val="20"/>
              </w:rPr>
              <w:t>3.028</w:t>
            </w:r>
          </w:p>
        </w:tc>
        <w:tc>
          <w:tcPr>
            <w:tcW w:w="872" w:type="dxa"/>
            <w:tcBorders>
              <w:top w:val="single" w:sz="4" w:space="0" w:color="auto"/>
              <w:bottom w:val="single" w:sz="4" w:space="0" w:color="auto"/>
            </w:tcBorders>
            <w:shd w:val="clear" w:color="auto" w:fill="auto"/>
            <w:noWrap/>
            <w:vAlign w:val="center"/>
          </w:tcPr>
          <w:p w14:paraId="5AB91D14" w14:textId="77777777" w:rsidR="000D65BA" w:rsidRPr="00CC5E9F" w:rsidRDefault="000D65BA" w:rsidP="00AC31B4">
            <w:pPr>
              <w:jc w:val="center"/>
              <w:rPr>
                <w:rFonts w:cs="Times New Roman"/>
                <w:sz w:val="20"/>
                <w:szCs w:val="20"/>
              </w:rPr>
            </w:pPr>
            <w:r w:rsidRPr="00CC5E9F">
              <w:rPr>
                <w:rFonts w:cs="Times New Roman"/>
                <w:sz w:val="20"/>
                <w:szCs w:val="20"/>
              </w:rPr>
              <w:t>4.596</w:t>
            </w:r>
          </w:p>
        </w:tc>
      </w:tr>
      <w:tr w:rsidR="00613836" w:rsidRPr="00CC5E9F" w14:paraId="351050BE" w14:textId="77777777" w:rsidTr="00242782">
        <w:trPr>
          <w:trHeight w:val="18"/>
        </w:trPr>
        <w:tc>
          <w:tcPr>
            <w:tcW w:w="2160" w:type="dxa"/>
            <w:tcBorders>
              <w:top w:val="single" w:sz="4" w:space="0" w:color="auto"/>
              <w:bottom w:val="single" w:sz="4" w:space="0" w:color="auto"/>
            </w:tcBorders>
            <w:shd w:val="clear" w:color="auto" w:fill="auto"/>
            <w:vAlign w:val="center"/>
          </w:tcPr>
          <w:p w14:paraId="52145FA1" w14:textId="77777777" w:rsidR="000D65BA" w:rsidRPr="00CC5E9F" w:rsidRDefault="000D65BA" w:rsidP="00AC31B4">
            <w:pPr>
              <w:jc w:val="left"/>
              <w:rPr>
                <w:rFonts w:cs="Times New Roman"/>
                <w:sz w:val="20"/>
                <w:szCs w:val="20"/>
              </w:rPr>
            </w:pPr>
            <w:r w:rsidRPr="00CC5E9F">
              <w:rPr>
                <w:rFonts w:cs="Times New Roman"/>
                <w:sz w:val="20"/>
                <w:szCs w:val="20"/>
              </w:rPr>
              <w:t>Average sidewalk width</w:t>
            </w:r>
          </w:p>
        </w:tc>
        <w:tc>
          <w:tcPr>
            <w:tcW w:w="3901" w:type="dxa"/>
            <w:tcBorders>
              <w:top w:val="single" w:sz="4" w:space="0" w:color="auto"/>
              <w:bottom w:val="single" w:sz="4" w:space="0" w:color="auto"/>
            </w:tcBorders>
            <w:vAlign w:val="center"/>
          </w:tcPr>
          <w:p w14:paraId="72A573F5" w14:textId="77777777" w:rsidR="000D65BA" w:rsidRPr="00CC5E9F" w:rsidRDefault="000D65BA" w:rsidP="00AC31B4">
            <w:pPr>
              <w:jc w:val="left"/>
              <w:rPr>
                <w:rFonts w:cs="Times New Roman"/>
                <w:sz w:val="20"/>
                <w:szCs w:val="20"/>
              </w:rPr>
            </w:pPr>
            <w:r w:rsidRPr="00CC5E9F">
              <w:rPr>
                <w:rFonts w:cs="Times New Roman"/>
                <w:sz w:val="20"/>
                <w:szCs w:val="20"/>
              </w:rPr>
              <w:t>Ln (Average sidewalk width in feet + 1)</w:t>
            </w:r>
          </w:p>
        </w:tc>
        <w:tc>
          <w:tcPr>
            <w:tcW w:w="862" w:type="dxa"/>
            <w:tcBorders>
              <w:top w:val="single" w:sz="4" w:space="0" w:color="auto"/>
              <w:bottom w:val="single" w:sz="4" w:space="0" w:color="auto"/>
            </w:tcBorders>
            <w:shd w:val="clear" w:color="auto" w:fill="auto"/>
            <w:noWrap/>
            <w:vAlign w:val="center"/>
          </w:tcPr>
          <w:p w14:paraId="505E815A"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54954391" w14:textId="77777777" w:rsidR="000D65BA" w:rsidRPr="00CC5E9F" w:rsidRDefault="000D65BA" w:rsidP="00AC31B4">
            <w:pPr>
              <w:jc w:val="center"/>
              <w:rPr>
                <w:rFonts w:cs="Times New Roman"/>
                <w:sz w:val="20"/>
                <w:szCs w:val="20"/>
              </w:rPr>
            </w:pPr>
            <w:r w:rsidRPr="00CC5E9F">
              <w:rPr>
                <w:rFonts w:cs="Times New Roman"/>
                <w:sz w:val="20"/>
                <w:szCs w:val="20"/>
              </w:rPr>
              <w:t>2.708</w:t>
            </w:r>
          </w:p>
        </w:tc>
        <w:tc>
          <w:tcPr>
            <w:tcW w:w="897" w:type="dxa"/>
            <w:tcBorders>
              <w:top w:val="single" w:sz="4" w:space="0" w:color="auto"/>
              <w:bottom w:val="single" w:sz="4" w:space="0" w:color="auto"/>
            </w:tcBorders>
            <w:shd w:val="clear" w:color="auto" w:fill="auto"/>
            <w:noWrap/>
            <w:vAlign w:val="center"/>
          </w:tcPr>
          <w:p w14:paraId="7D4E04C3" w14:textId="77777777" w:rsidR="000D65BA" w:rsidRPr="00CC5E9F" w:rsidRDefault="000D65BA" w:rsidP="00AC31B4">
            <w:pPr>
              <w:jc w:val="center"/>
              <w:rPr>
                <w:rFonts w:cs="Times New Roman"/>
                <w:sz w:val="20"/>
                <w:szCs w:val="20"/>
              </w:rPr>
            </w:pPr>
            <w:r w:rsidRPr="00CC5E9F">
              <w:rPr>
                <w:rFonts w:cs="Times New Roman"/>
                <w:sz w:val="20"/>
                <w:szCs w:val="20"/>
              </w:rPr>
              <w:t>1.789</w:t>
            </w:r>
          </w:p>
        </w:tc>
        <w:tc>
          <w:tcPr>
            <w:tcW w:w="872" w:type="dxa"/>
            <w:tcBorders>
              <w:top w:val="single" w:sz="4" w:space="0" w:color="auto"/>
              <w:bottom w:val="single" w:sz="4" w:space="0" w:color="auto"/>
            </w:tcBorders>
            <w:shd w:val="clear" w:color="auto" w:fill="auto"/>
            <w:noWrap/>
            <w:vAlign w:val="center"/>
          </w:tcPr>
          <w:p w14:paraId="3519AD0B" w14:textId="77777777" w:rsidR="000D65BA" w:rsidRPr="00CC5E9F" w:rsidRDefault="000D65BA" w:rsidP="00AC31B4">
            <w:pPr>
              <w:jc w:val="center"/>
              <w:rPr>
                <w:rFonts w:cs="Times New Roman"/>
                <w:sz w:val="20"/>
                <w:szCs w:val="20"/>
              </w:rPr>
            </w:pPr>
            <w:r w:rsidRPr="00CC5E9F">
              <w:rPr>
                <w:rFonts w:cs="Times New Roman"/>
                <w:sz w:val="20"/>
                <w:szCs w:val="20"/>
              </w:rPr>
              <w:t>0.491</w:t>
            </w:r>
          </w:p>
        </w:tc>
      </w:tr>
      <w:tr w:rsidR="00613836" w:rsidRPr="00CC5E9F" w14:paraId="61DC031E" w14:textId="77777777" w:rsidTr="00242782">
        <w:trPr>
          <w:trHeight w:val="18"/>
        </w:trPr>
        <w:tc>
          <w:tcPr>
            <w:tcW w:w="2160" w:type="dxa"/>
            <w:tcBorders>
              <w:top w:val="single" w:sz="4" w:space="0" w:color="auto"/>
              <w:bottom w:val="single" w:sz="4" w:space="0" w:color="auto"/>
            </w:tcBorders>
            <w:shd w:val="clear" w:color="auto" w:fill="auto"/>
            <w:vAlign w:val="center"/>
          </w:tcPr>
          <w:p w14:paraId="4DF66961" w14:textId="57A1FFA3" w:rsidR="000D65BA" w:rsidRPr="00CC5E9F" w:rsidRDefault="000D65BA" w:rsidP="00AC31B4">
            <w:pPr>
              <w:jc w:val="left"/>
              <w:rPr>
                <w:rFonts w:cs="Times New Roman"/>
                <w:sz w:val="20"/>
                <w:szCs w:val="20"/>
              </w:rPr>
            </w:pPr>
            <w:r w:rsidRPr="00CC5E9F">
              <w:rPr>
                <w:rFonts w:cs="Times New Roman"/>
                <w:sz w:val="20"/>
                <w:szCs w:val="20"/>
              </w:rPr>
              <w:t>No of traffic signal</w:t>
            </w:r>
            <w:r w:rsidR="00590935" w:rsidRPr="00CC5E9F">
              <w:rPr>
                <w:rFonts w:cs="Times New Roman"/>
                <w:sz w:val="20"/>
                <w:szCs w:val="20"/>
              </w:rPr>
              <w:t>s</w:t>
            </w:r>
            <w:r w:rsidRPr="00CC5E9F">
              <w:rPr>
                <w:rFonts w:cs="Times New Roman"/>
                <w:sz w:val="20"/>
                <w:szCs w:val="20"/>
              </w:rPr>
              <w:t xml:space="preserve"> per unit segment length</w:t>
            </w:r>
          </w:p>
        </w:tc>
        <w:tc>
          <w:tcPr>
            <w:tcW w:w="3901" w:type="dxa"/>
            <w:tcBorders>
              <w:top w:val="single" w:sz="4" w:space="0" w:color="auto"/>
              <w:bottom w:val="single" w:sz="4" w:space="0" w:color="auto"/>
            </w:tcBorders>
            <w:vAlign w:val="center"/>
          </w:tcPr>
          <w:p w14:paraId="01359EB6" w14:textId="7CD8EDF2" w:rsidR="000D65BA" w:rsidRPr="00CC5E9F" w:rsidRDefault="000D65BA" w:rsidP="00AC31B4">
            <w:pPr>
              <w:jc w:val="left"/>
              <w:rPr>
                <w:rFonts w:cs="Times New Roman"/>
                <w:sz w:val="20"/>
                <w:szCs w:val="20"/>
              </w:rPr>
            </w:pPr>
            <w:r w:rsidRPr="00CC5E9F">
              <w:rPr>
                <w:rFonts w:cs="Times New Roman"/>
                <w:sz w:val="20"/>
                <w:szCs w:val="20"/>
              </w:rPr>
              <w:t>No of traffic signal</w:t>
            </w:r>
            <w:r w:rsidR="00590935" w:rsidRPr="00CC5E9F">
              <w:rPr>
                <w:rFonts w:cs="Times New Roman"/>
                <w:sz w:val="20"/>
                <w:szCs w:val="20"/>
              </w:rPr>
              <w:t>s</w:t>
            </w:r>
            <w:r w:rsidRPr="00CC5E9F">
              <w:rPr>
                <w:rFonts w:cs="Times New Roman"/>
                <w:sz w:val="20"/>
                <w:szCs w:val="20"/>
              </w:rPr>
              <w:t>/ segment length in meter</w:t>
            </w:r>
          </w:p>
        </w:tc>
        <w:tc>
          <w:tcPr>
            <w:tcW w:w="862" w:type="dxa"/>
            <w:tcBorders>
              <w:top w:val="single" w:sz="4" w:space="0" w:color="auto"/>
              <w:bottom w:val="single" w:sz="4" w:space="0" w:color="auto"/>
            </w:tcBorders>
            <w:shd w:val="clear" w:color="auto" w:fill="auto"/>
            <w:noWrap/>
            <w:vAlign w:val="center"/>
          </w:tcPr>
          <w:p w14:paraId="011651E3"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5050138F" w14:textId="77777777" w:rsidR="000D65BA" w:rsidRPr="00CC5E9F" w:rsidRDefault="000D65BA" w:rsidP="00AC31B4">
            <w:pPr>
              <w:jc w:val="center"/>
              <w:rPr>
                <w:rFonts w:cs="Times New Roman"/>
                <w:sz w:val="20"/>
                <w:szCs w:val="20"/>
              </w:rPr>
            </w:pPr>
            <w:r w:rsidRPr="00CC5E9F">
              <w:rPr>
                <w:rFonts w:cs="Times New Roman"/>
                <w:sz w:val="20"/>
                <w:szCs w:val="20"/>
              </w:rPr>
              <w:t>474.048</w:t>
            </w:r>
          </w:p>
        </w:tc>
        <w:tc>
          <w:tcPr>
            <w:tcW w:w="897" w:type="dxa"/>
            <w:tcBorders>
              <w:top w:val="single" w:sz="4" w:space="0" w:color="auto"/>
              <w:bottom w:val="single" w:sz="4" w:space="0" w:color="auto"/>
            </w:tcBorders>
            <w:shd w:val="clear" w:color="auto" w:fill="auto"/>
            <w:noWrap/>
            <w:vAlign w:val="center"/>
          </w:tcPr>
          <w:p w14:paraId="2B0B2CBA" w14:textId="77777777" w:rsidR="000D65BA" w:rsidRPr="00CC5E9F" w:rsidRDefault="000D65BA" w:rsidP="00AC31B4">
            <w:pPr>
              <w:jc w:val="center"/>
              <w:rPr>
                <w:rFonts w:cs="Times New Roman"/>
                <w:sz w:val="20"/>
                <w:szCs w:val="20"/>
              </w:rPr>
            </w:pPr>
            <w:r w:rsidRPr="00CC5E9F">
              <w:rPr>
                <w:rFonts w:cs="Times New Roman"/>
                <w:sz w:val="20"/>
                <w:szCs w:val="20"/>
              </w:rPr>
              <w:t>0.862</w:t>
            </w:r>
          </w:p>
        </w:tc>
        <w:tc>
          <w:tcPr>
            <w:tcW w:w="872" w:type="dxa"/>
            <w:tcBorders>
              <w:top w:val="single" w:sz="4" w:space="0" w:color="auto"/>
              <w:bottom w:val="single" w:sz="4" w:space="0" w:color="auto"/>
            </w:tcBorders>
            <w:shd w:val="clear" w:color="auto" w:fill="auto"/>
            <w:noWrap/>
            <w:vAlign w:val="center"/>
          </w:tcPr>
          <w:p w14:paraId="66BFA9A5" w14:textId="77777777" w:rsidR="000D65BA" w:rsidRPr="00CC5E9F" w:rsidRDefault="000D65BA" w:rsidP="00AC31B4">
            <w:pPr>
              <w:jc w:val="center"/>
              <w:rPr>
                <w:rFonts w:cs="Times New Roman"/>
                <w:sz w:val="20"/>
                <w:szCs w:val="20"/>
              </w:rPr>
            </w:pPr>
            <w:r w:rsidRPr="00CC5E9F">
              <w:rPr>
                <w:rFonts w:cs="Times New Roman"/>
                <w:sz w:val="20"/>
                <w:szCs w:val="20"/>
              </w:rPr>
              <w:t>13.620</w:t>
            </w:r>
          </w:p>
        </w:tc>
      </w:tr>
      <w:tr w:rsidR="00613836" w:rsidRPr="00CC5E9F" w14:paraId="25348534" w14:textId="77777777" w:rsidTr="00242782">
        <w:trPr>
          <w:trHeight w:val="18"/>
        </w:trPr>
        <w:tc>
          <w:tcPr>
            <w:tcW w:w="2160" w:type="dxa"/>
            <w:tcBorders>
              <w:top w:val="single" w:sz="4" w:space="0" w:color="auto"/>
              <w:bottom w:val="single" w:sz="4" w:space="0" w:color="auto"/>
            </w:tcBorders>
            <w:shd w:val="clear" w:color="auto" w:fill="auto"/>
            <w:vAlign w:val="center"/>
          </w:tcPr>
          <w:p w14:paraId="5070907B" w14:textId="77777777" w:rsidR="000D65BA" w:rsidRPr="00CC5E9F" w:rsidRDefault="000D65BA" w:rsidP="00AC31B4">
            <w:pPr>
              <w:jc w:val="left"/>
              <w:rPr>
                <w:rFonts w:cs="Times New Roman"/>
                <w:sz w:val="20"/>
                <w:szCs w:val="20"/>
              </w:rPr>
            </w:pPr>
            <w:r w:rsidRPr="00CC5E9F">
              <w:rPr>
                <w:rFonts w:cs="Times New Roman"/>
                <w:sz w:val="20"/>
                <w:szCs w:val="20"/>
              </w:rPr>
              <w:t>AADT</w:t>
            </w:r>
          </w:p>
        </w:tc>
        <w:tc>
          <w:tcPr>
            <w:tcW w:w="3901" w:type="dxa"/>
            <w:tcBorders>
              <w:top w:val="single" w:sz="4" w:space="0" w:color="auto"/>
              <w:bottom w:val="single" w:sz="4" w:space="0" w:color="auto"/>
            </w:tcBorders>
            <w:vAlign w:val="center"/>
          </w:tcPr>
          <w:p w14:paraId="09639ED2" w14:textId="77777777" w:rsidR="000D65BA" w:rsidRPr="00CC5E9F" w:rsidRDefault="000D65BA" w:rsidP="00AC31B4">
            <w:pPr>
              <w:jc w:val="left"/>
              <w:rPr>
                <w:rFonts w:cs="Times New Roman"/>
                <w:sz w:val="20"/>
                <w:szCs w:val="20"/>
              </w:rPr>
            </w:pPr>
            <w:r w:rsidRPr="00CC5E9F">
              <w:rPr>
                <w:rFonts w:cs="Times New Roman"/>
                <w:sz w:val="20"/>
                <w:szCs w:val="20"/>
              </w:rPr>
              <w:t>Ln (AADT of the segment + 1)</w:t>
            </w:r>
          </w:p>
        </w:tc>
        <w:tc>
          <w:tcPr>
            <w:tcW w:w="862" w:type="dxa"/>
            <w:tcBorders>
              <w:top w:val="single" w:sz="4" w:space="0" w:color="auto"/>
              <w:bottom w:val="single" w:sz="4" w:space="0" w:color="auto"/>
            </w:tcBorders>
            <w:shd w:val="clear" w:color="auto" w:fill="auto"/>
            <w:noWrap/>
            <w:vAlign w:val="center"/>
          </w:tcPr>
          <w:p w14:paraId="4DD0937D" w14:textId="77777777" w:rsidR="000D65BA" w:rsidRPr="00CC5E9F" w:rsidRDefault="000D65BA" w:rsidP="00AC31B4">
            <w:pPr>
              <w:jc w:val="center"/>
              <w:rPr>
                <w:rFonts w:cs="Times New Roman"/>
                <w:sz w:val="20"/>
                <w:szCs w:val="20"/>
              </w:rPr>
            </w:pPr>
            <w:r w:rsidRPr="00CC5E9F">
              <w:rPr>
                <w:rFonts w:cs="Times New Roman"/>
                <w:sz w:val="20"/>
                <w:szCs w:val="20"/>
              </w:rPr>
              <w:t>6.686</w:t>
            </w:r>
          </w:p>
        </w:tc>
        <w:tc>
          <w:tcPr>
            <w:tcW w:w="872" w:type="dxa"/>
            <w:tcBorders>
              <w:top w:val="single" w:sz="4" w:space="0" w:color="auto"/>
              <w:bottom w:val="single" w:sz="4" w:space="0" w:color="auto"/>
            </w:tcBorders>
            <w:shd w:val="clear" w:color="auto" w:fill="auto"/>
            <w:noWrap/>
            <w:vAlign w:val="center"/>
          </w:tcPr>
          <w:p w14:paraId="55B6FAE6" w14:textId="77777777" w:rsidR="000D65BA" w:rsidRPr="00CC5E9F" w:rsidRDefault="000D65BA" w:rsidP="00AC31B4">
            <w:pPr>
              <w:jc w:val="center"/>
              <w:rPr>
                <w:rFonts w:cs="Times New Roman"/>
                <w:sz w:val="20"/>
                <w:szCs w:val="20"/>
              </w:rPr>
            </w:pPr>
            <w:r w:rsidRPr="00CC5E9F">
              <w:rPr>
                <w:rFonts w:cs="Times New Roman"/>
                <w:sz w:val="20"/>
                <w:szCs w:val="20"/>
              </w:rPr>
              <w:t>12.095</w:t>
            </w:r>
          </w:p>
        </w:tc>
        <w:tc>
          <w:tcPr>
            <w:tcW w:w="897" w:type="dxa"/>
            <w:tcBorders>
              <w:top w:val="single" w:sz="4" w:space="0" w:color="auto"/>
              <w:bottom w:val="single" w:sz="4" w:space="0" w:color="auto"/>
            </w:tcBorders>
            <w:shd w:val="clear" w:color="auto" w:fill="auto"/>
            <w:noWrap/>
            <w:vAlign w:val="center"/>
          </w:tcPr>
          <w:p w14:paraId="67C4373F" w14:textId="77777777" w:rsidR="000D65BA" w:rsidRPr="00CC5E9F" w:rsidRDefault="000D65BA" w:rsidP="00AC31B4">
            <w:pPr>
              <w:jc w:val="center"/>
              <w:rPr>
                <w:rFonts w:cs="Times New Roman"/>
                <w:sz w:val="20"/>
                <w:szCs w:val="20"/>
              </w:rPr>
            </w:pPr>
            <w:r w:rsidRPr="00CC5E9F">
              <w:rPr>
                <w:rFonts w:cs="Times New Roman"/>
                <w:sz w:val="20"/>
                <w:szCs w:val="20"/>
              </w:rPr>
              <w:t>9.987</w:t>
            </w:r>
          </w:p>
        </w:tc>
        <w:tc>
          <w:tcPr>
            <w:tcW w:w="872" w:type="dxa"/>
            <w:tcBorders>
              <w:top w:val="single" w:sz="4" w:space="0" w:color="auto"/>
              <w:bottom w:val="single" w:sz="4" w:space="0" w:color="auto"/>
            </w:tcBorders>
            <w:shd w:val="clear" w:color="auto" w:fill="auto"/>
            <w:noWrap/>
            <w:vAlign w:val="center"/>
          </w:tcPr>
          <w:p w14:paraId="6D886917" w14:textId="77777777" w:rsidR="000D65BA" w:rsidRPr="00CC5E9F" w:rsidRDefault="000D65BA" w:rsidP="00AC31B4">
            <w:pPr>
              <w:jc w:val="center"/>
              <w:rPr>
                <w:rFonts w:cs="Times New Roman"/>
                <w:sz w:val="20"/>
                <w:szCs w:val="20"/>
              </w:rPr>
            </w:pPr>
            <w:r w:rsidRPr="00CC5E9F">
              <w:rPr>
                <w:rFonts w:cs="Times New Roman"/>
                <w:sz w:val="20"/>
                <w:szCs w:val="20"/>
              </w:rPr>
              <w:t>0.891</w:t>
            </w:r>
          </w:p>
        </w:tc>
      </w:tr>
      <w:tr w:rsidR="00613836" w:rsidRPr="00CC5E9F" w14:paraId="5A8021AC" w14:textId="77777777" w:rsidTr="00242782">
        <w:trPr>
          <w:trHeight w:val="18"/>
        </w:trPr>
        <w:tc>
          <w:tcPr>
            <w:tcW w:w="2160" w:type="dxa"/>
            <w:tcBorders>
              <w:top w:val="single" w:sz="4" w:space="0" w:color="auto"/>
              <w:bottom w:val="double" w:sz="4" w:space="0" w:color="auto"/>
            </w:tcBorders>
            <w:shd w:val="clear" w:color="auto" w:fill="auto"/>
            <w:vAlign w:val="center"/>
          </w:tcPr>
          <w:p w14:paraId="6AE6DA74" w14:textId="77777777" w:rsidR="000D65BA" w:rsidRPr="00CC5E9F" w:rsidRDefault="000D65BA" w:rsidP="00AC31B4">
            <w:pPr>
              <w:jc w:val="left"/>
              <w:rPr>
                <w:rFonts w:cs="Times New Roman"/>
                <w:sz w:val="20"/>
                <w:szCs w:val="20"/>
              </w:rPr>
            </w:pPr>
            <w:r w:rsidRPr="00CC5E9F">
              <w:rPr>
                <w:rFonts w:cs="Times New Roman"/>
                <w:sz w:val="20"/>
                <w:szCs w:val="20"/>
              </w:rPr>
              <w:t>Land-use mix</w:t>
            </w:r>
          </w:p>
        </w:tc>
        <w:tc>
          <w:tcPr>
            <w:tcW w:w="3901" w:type="dxa"/>
            <w:tcBorders>
              <w:top w:val="single" w:sz="4" w:space="0" w:color="auto"/>
              <w:bottom w:val="double" w:sz="4" w:space="0" w:color="auto"/>
            </w:tcBorders>
            <w:vAlign w:val="center"/>
          </w:tcPr>
          <w:p w14:paraId="355787AE" w14:textId="77777777" w:rsidR="000D65BA" w:rsidRPr="00CC5E9F" w:rsidRDefault="000D65BA" w:rsidP="00AC31B4">
            <w:pPr>
              <w:jc w:val="left"/>
              <w:rPr>
                <w:rFonts w:cs="Times New Roman"/>
                <w:sz w:val="20"/>
                <w:szCs w:val="20"/>
              </w:rPr>
            </w:pPr>
            <w:r w:rsidRPr="00CC5E9F">
              <w:rPr>
                <w:rFonts w:cs="Times New Roman"/>
                <w:sz w:val="20"/>
                <w:szCs w:val="20"/>
              </w:rPr>
              <w:t>Land-use mix = [</w:t>
            </w:r>
            <m:oMath>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subHide m:val="1"/>
                      <m:supHide m:val="1"/>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k</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ln</m:t>
                          </m:r>
                        </m:fName>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k</m:t>
                              </m:r>
                            </m:sub>
                          </m:sSub>
                          <m:r>
                            <w:rPr>
                              <w:rFonts w:ascii="Cambria Math" w:hAnsi="Cambria Math" w:cs="Times New Roman"/>
                              <w:sz w:val="20"/>
                              <w:szCs w:val="20"/>
                            </w:rPr>
                            <m:t>))</m:t>
                          </m:r>
                        </m:e>
                      </m:func>
                    </m:e>
                  </m:nary>
                </m:num>
                <m:den>
                  <m:func>
                    <m:funcPr>
                      <m:ctrlPr>
                        <w:rPr>
                          <w:rFonts w:ascii="Cambria Math" w:hAnsi="Cambria Math" w:cs="Times New Roman"/>
                          <w:i/>
                          <w:sz w:val="20"/>
                          <w:szCs w:val="20"/>
                        </w:rPr>
                      </m:ctrlPr>
                    </m:funcPr>
                    <m:fName>
                      <m:r>
                        <m:rPr>
                          <m:sty m:val="p"/>
                        </m:rPr>
                        <w:rPr>
                          <w:rFonts w:ascii="Cambria Math" w:hAnsi="Cambria Math" w:cs="Times New Roman"/>
                          <w:sz w:val="20"/>
                          <w:szCs w:val="20"/>
                        </w:rPr>
                        <m:t>ln</m:t>
                      </m:r>
                    </m:fName>
                    <m:e>
                      <m:r>
                        <w:rPr>
                          <w:rFonts w:ascii="Cambria Math" w:hAnsi="Cambria Math" w:cs="Times New Roman"/>
                          <w:sz w:val="20"/>
                          <w:szCs w:val="20"/>
                        </w:rPr>
                        <m:t>N</m:t>
                      </m:r>
                    </m:e>
                  </m:func>
                </m:den>
              </m:f>
            </m:oMath>
            <w:r w:rsidRPr="00CC5E9F">
              <w:rPr>
                <w:rFonts w:cs="Times New Roman"/>
                <w:sz w:val="20"/>
                <w:szCs w:val="20"/>
              </w:rPr>
              <w:t>], where k is the category of land-use, p is the proportion of the developed land area for specific land-use, N is the number of land-use categories; here N=5</w:t>
            </w:r>
          </w:p>
        </w:tc>
        <w:tc>
          <w:tcPr>
            <w:tcW w:w="862" w:type="dxa"/>
            <w:tcBorders>
              <w:top w:val="single" w:sz="4" w:space="0" w:color="auto"/>
              <w:bottom w:val="double" w:sz="4" w:space="0" w:color="auto"/>
            </w:tcBorders>
            <w:shd w:val="clear" w:color="auto" w:fill="auto"/>
            <w:noWrap/>
            <w:vAlign w:val="center"/>
          </w:tcPr>
          <w:p w14:paraId="79FCFBA5"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double" w:sz="4" w:space="0" w:color="auto"/>
            </w:tcBorders>
            <w:shd w:val="clear" w:color="auto" w:fill="auto"/>
            <w:noWrap/>
            <w:vAlign w:val="center"/>
          </w:tcPr>
          <w:p w14:paraId="794ED62F" w14:textId="77777777" w:rsidR="000D65BA" w:rsidRPr="00CC5E9F" w:rsidRDefault="000D65BA" w:rsidP="00AC31B4">
            <w:pPr>
              <w:jc w:val="center"/>
              <w:rPr>
                <w:rFonts w:cs="Times New Roman"/>
                <w:sz w:val="20"/>
                <w:szCs w:val="20"/>
              </w:rPr>
            </w:pPr>
            <w:r w:rsidRPr="00CC5E9F">
              <w:rPr>
                <w:rFonts w:cs="Times New Roman"/>
                <w:sz w:val="20"/>
                <w:szCs w:val="20"/>
              </w:rPr>
              <w:t>0.997</w:t>
            </w:r>
          </w:p>
        </w:tc>
        <w:tc>
          <w:tcPr>
            <w:tcW w:w="897" w:type="dxa"/>
            <w:tcBorders>
              <w:top w:val="single" w:sz="4" w:space="0" w:color="auto"/>
              <w:bottom w:val="double" w:sz="4" w:space="0" w:color="auto"/>
            </w:tcBorders>
            <w:shd w:val="clear" w:color="auto" w:fill="auto"/>
            <w:noWrap/>
            <w:vAlign w:val="center"/>
          </w:tcPr>
          <w:p w14:paraId="607BC2FB" w14:textId="77777777" w:rsidR="000D65BA" w:rsidRPr="00CC5E9F" w:rsidRDefault="000D65BA" w:rsidP="00AC31B4">
            <w:pPr>
              <w:jc w:val="center"/>
              <w:rPr>
                <w:rFonts w:cs="Times New Roman"/>
                <w:sz w:val="20"/>
                <w:szCs w:val="20"/>
              </w:rPr>
            </w:pPr>
            <w:r w:rsidRPr="00CC5E9F">
              <w:rPr>
                <w:rFonts w:cs="Times New Roman"/>
                <w:sz w:val="20"/>
                <w:szCs w:val="20"/>
              </w:rPr>
              <w:t>0.545</w:t>
            </w:r>
          </w:p>
        </w:tc>
        <w:tc>
          <w:tcPr>
            <w:tcW w:w="872" w:type="dxa"/>
            <w:tcBorders>
              <w:top w:val="single" w:sz="4" w:space="0" w:color="auto"/>
              <w:bottom w:val="double" w:sz="4" w:space="0" w:color="auto"/>
            </w:tcBorders>
            <w:shd w:val="clear" w:color="auto" w:fill="auto"/>
            <w:noWrap/>
            <w:vAlign w:val="center"/>
          </w:tcPr>
          <w:p w14:paraId="06F40568" w14:textId="77777777" w:rsidR="000D65BA" w:rsidRPr="00CC5E9F" w:rsidRDefault="000D65BA" w:rsidP="00AC31B4">
            <w:pPr>
              <w:jc w:val="center"/>
              <w:rPr>
                <w:rFonts w:cs="Times New Roman"/>
                <w:sz w:val="20"/>
                <w:szCs w:val="20"/>
              </w:rPr>
            </w:pPr>
            <w:r w:rsidRPr="00CC5E9F">
              <w:rPr>
                <w:rFonts w:cs="Times New Roman"/>
                <w:sz w:val="20"/>
                <w:szCs w:val="20"/>
              </w:rPr>
              <w:t>0.226</w:t>
            </w:r>
          </w:p>
        </w:tc>
      </w:tr>
      <w:tr w:rsidR="000D65BA" w:rsidRPr="00CC5E9F" w14:paraId="7E44D7DE" w14:textId="77777777" w:rsidTr="00242782">
        <w:trPr>
          <w:trHeight w:val="18"/>
        </w:trPr>
        <w:tc>
          <w:tcPr>
            <w:tcW w:w="9566" w:type="dxa"/>
            <w:gridSpan w:val="6"/>
            <w:tcBorders>
              <w:top w:val="double" w:sz="4" w:space="0" w:color="auto"/>
              <w:bottom w:val="single" w:sz="4" w:space="0" w:color="auto"/>
            </w:tcBorders>
            <w:shd w:val="clear" w:color="auto" w:fill="auto"/>
            <w:vAlign w:val="center"/>
          </w:tcPr>
          <w:p w14:paraId="0098BAD9" w14:textId="77777777" w:rsidR="000D65BA" w:rsidRPr="00CC5E9F" w:rsidRDefault="000D65BA" w:rsidP="00AC31B4">
            <w:pPr>
              <w:jc w:val="left"/>
              <w:rPr>
                <w:rFonts w:cs="Times New Roman"/>
                <w:b/>
                <w:bCs/>
                <w:i/>
                <w:iCs/>
                <w:sz w:val="20"/>
                <w:szCs w:val="20"/>
              </w:rPr>
            </w:pPr>
            <w:r w:rsidRPr="00CC5E9F">
              <w:rPr>
                <w:rFonts w:cs="Times New Roman"/>
                <w:b/>
                <w:bCs/>
                <w:i/>
                <w:iCs/>
                <w:sz w:val="20"/>
                <w:szCs w:val="20"/>
              </w:rPr>
              <w:t>Intersection level (micro)</w:t>
            </w:r>
          </w:p>
        </w:tc>
      </w:tr>
      <w:tr w:rsidR="00613836" w:rsidRPr="00CC5E9F" w14:paraId="2682EC78" w14:textId="77777777" w:rsidTr="00242782">
        <w:trPr>
          <w:trHeight w:val="18"/>
        </w:trPr>
        <w:tc>
          <w:tcPr>
            <w:tcW w:w="2160" w:type="dxa"/>
            <w:tcBorders>
              <w:top w:val="single" w:sz="4" w:space="0" w:color="auto"/>
              <w:bottom w:val="single" w:sz="4" w:space="0" w:color="auto"/>
            </w:tcBorders>
            <w:shd w:val="clear" w:color="auto" w:fill="auto"/>
            <w:vAlign w:val="center"/>
          </w:tcPr>
          <w:p w14:paraId="321A52F7" w14:textId="77777777" w:rsidR="000D65BA" w:rsidRPr="00CC5E9F" w:rsidRDefault="000D65BA" w:rsidP="00AC31B4">
            <w:pPr>
              <w:jc w:val="left"/>
              <w:rPr>
                <w:rFonts w:cs="Times New Roman"/>
                <w:sz w:val="20"/>
                <w:szCs w:val="20"/>
              </w:rPr>
            </w:pPr>
            <w:r w:rsidRPr="00CC5E9F">
              <w:rPr>
                <w:rFonts w:cs="Times New Roman"/>
                <w:sz w:val="20"/>
                <w:szCs w:val="20"/>
              </w:rPr>
              <w:t>Crash</w:t>
            </w:r>
          </w:p>
        </w:tc>
        <w:tc>
          <w:tcPr>
            <w:tcW w:w="3901" w:type="dxa"/>
            <w:tcBorders>
              <w:top w:val="single" w:sz="4" w:space="0" w:color="auto"/>
              <w:bottom w:val="single" w:sz="4" w:space="0" w:color="auto"/>
            </w:tcBorders>
            <w:vAlign w:val="center"/>
          </w:tcPr>
          <w:p w14:paraId="36EDA1BA" w14:textId="77777777" w:rsidR="000D65BA" w:rsidRPr="00CC5E9F" w:rsidRDefault="000D65BA" w:rsidP="00AC31B4">
            <w:pPr>
              <w:jc w:val="left"/>
              <w:rPr>
                <w:rFonts w:cs="Times New Roman"/>
                <w:sz w:val="20"/>
                <w:szCs w:val="20"/>
              </w:rPr>
            </w:pPr>
            <w:r w:rsidRPr="00CC5E9F">
              <w:rPr>
                <w:rFonts w:cs="Times New Roman"/>
                <w:sz w:val="20"/>
                <w:szCs w:val="20"/>
              </w:rPr>
              <w:t>Crash within 250 feet buffer intersection area</w:t>
            </w:r>
          </w:p>
        </w:tc>
        <w:tc>
          <w:tcPr>
            <w:tcW w:w="862" w:type="dxa"/>
            <w:tcBorders>
              <w:top w:val="single" w:sz="4" w:space="0" w:color="auto"/>
              <w:bottom w:val="single" w:sz="4" w:space="0" w:color="auto"/>
            </w:tcBorders>
            <w:shd w:val="clear" w:color="auto" w:fill="auto"/>
            <w:noWrap/>
            <w:vAlign w:val="center"/>
          </w:tcPr>
          <w:p w14:paraId="556227CC"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319DA509" w14:textId="77777777" w:rsidR="000D65BA" w:rsidRPr="00CC5E9F" w:rsidRDefault="000D65BA" w:rsidP="00AC31B4">
            <w:pPr>
              <w:jc w:val="center"/>
              <w:rPr>
                <w:rFonts w:cs="Times New Roman"/>
                <w:sz w:val="20"/>
                <w:szCs w:val="20"/>
              </w:rPr>
            </w:pPr>
            <w:r w:rsidRPr="00CC5E9F">
              <w:rPr>
                <w:rFonts w:cs="Times New Roman"/>
                <w:sz w:val="20"/>
                <w:szCs w:val="20"/>
              </w:rPr>
              <w:t>202.000</w:t>
            </w:r>
          </w:p>
        </w:tc>
        <w:tc>
          <w:tcPr>
            <w:tcW w:w="897" w:type="dxa"/>
            <w:tcBorders>
              <w:top w:val="single" w:sz="4" w:space="0" w:color="auto"/>
              <w:bottom w:val="single" w:sz="4" w:space="0" w:color="auto"/>
            </w:tcBorders>
            <w:shd w:val="clear" w:color="auto" w:fill="auto"/>
            <w:noWrap/>
            <w:vAlign w:val="center"/>
          </w:tcPr>
          <w:p w14:paraId="07D121A4" w14:textId="77777777" w:rsidR="000D65BA" w:rsidRPr="00CC5E9F" w:rsidRDefault="000D65BA" w:rsidP="00AC31B4">
            <w:pPr>
              <w:jc w:val="center"/>
              <w:rPr>
                <w:rFonts w:cs="Times New Roman"/>
                <w:sz w:val="20"/>
                <w:szCs w:val="20"/>
              </w:rPr>
            </w:pPr>
            <w:r w:rsidRPr="00CC5E9F">
              <w:rPr>
                <w:rFonts w:cs="Times New Roman"/>
                <w:sz w:val="20"/>
                <w:szCs w:val="20"/>
              </w:rPr>
              <w:t>7.382</w:t>
            </w:r>
          </w:p>
        </w:tc>
        <w:tc>
          <w:tcPr>
            <w:tcW w:w="872" w:type="dxa"/>
            <w:tcBorders>
              <w:top w:val="single" w:sz="4" w:space="0" w:color="auto"/>
              <w:bottom w:val="single" w:sz="4" w:space="0" w:color="auto"/>
            </w:tcBorders>
            <w:shd w:val="clear" w:color="auto" w:fill="auto"/>
            <w:noWrap/>
            <w:vAlign w:val="center"/>
          </w:tcPr>
          <w:p w14:paraId="7D043C1C" w14:textId="77777777" w:rsidR="000D65BA" w:rsidRPr="00CC5E9F" w:rsidRDefault="000D65BA" w:rsidP="00AC31B4">
            <w:pPr>
              <w:jc w:val="center"/>
              <w:rPr>
                <w:rFonts w:cs="Times New Roman"/>
                <w:sz w:val="20"/>
                <w:szCs w:val="20"/>
              </w:rPr>
            </w:pPr>
            <w:r w:rsidRPr="00CC5E9F">
              <w:rPr>
                <w:rFonts w:cs="Times New Roman"/>
                <w:sz w:val="20"/>
                <w:szCs w:val="20"/>
              </w:rPr>
              <w:t>15.152</w:t>
            </w:r>
          </w:p>
        </w:tc>
      </w:tr>
      <w:tr w:rsidR="00613836" w:rsidRPr="00CC5E9F" w14:paraId="724B0328" w14:textId="77777777" w:rsidTr="00242782">
        <w:trPr>
          <w:trHeight w:val="18"/>
        </w:trPr>
        <w:tc>
          <w:tcPr>
            <w:tcW w:w="2160" w:type="dxa"/>
            <w:tcBorders>
              <w:top w:val="single" w:sz="4" w:space="0" w:color="auto"/>
              <w:bottom w:val="single" w:sz="4" w:space="0" w:color="auto"/>
            </w:tcBorders>
            <w:shd w:val="clear" w:color="auto" w:fill="auto"/>
            <w:vAlign w:val="center"/>
          </w:tcPr>
          <w:p w14:paraId="07B67976" w14:textId="77777777" w:rsidR="000D65BA" w:rsidRPr="00CC5E9F" w:rsidRDefault="000D65BA" w:rsidP="00AC31B4">
            <w:pPr>
              <w:jc w:val="left"/>
              <w:rPr>
                <w:rFonts w:cs="Times New Roman"/>
                <w:sz w:val="20"/>
                <w:szCs w:val="20"/>
              </w:rPr>
            </w:pPr>
            <w:r w:rsidRPr="00CC5E9F">
              <w:rPr>
                <w:rFonts w:cs="Times New Roman"/>
                <w:sz w:val="20"/>
                <w:szCs w:val="20"/>
              </w:rPr>
              <w:t>Proportion of interstate and expressways</w:t>
            </w:r>
          </w:p>
        </w:tc>
        <w:tc>
          <w:tcPr>
            <w:tcW w:w="3901" w:type="dxa"/>
            <w:tcBorders>
              <w:top w:val="single" w:sz="4" w:space="0" w:color="auto"/>
              <w:bottom w:val="single" w:sz="4" w:space="0" w:color="auto"/>
            </w:tcBorders>
            <w:vAlign w:val="center"/>
          </w:tcPr>
          <w:p w14:paraId="7E5E4A60" w14:textId="77777777" w:rsidR="000D65BA" w:rsidRPr="00CC5E9F" w:rsidRDefault="000D65BA" w:rsidP="00AC31B4">
            <w:pPr>
              <w:jc w:val="left"/>
              <w:rPr>
                <w:rFonts w:cs="Times New Roman"/>
                <w:sz w:val="20"/>
                <w:szCs w:val="20"/>
              </w:rPr>
            </w:pPr>
            <w:r w:rsidRPr="00CC5E9F">
              <w:rPr>
                <w:rFonts w:cs="Times New Roman"/>
                <w:sz w:val="20"/>
                <w:szCs w:val="20"/>
              </w:rPr>
              <w:t>Interstate and expressways length/total road length</w:t>
            </w:r>
          </w:p>
        </w:tc>
        <w:tc>
          <w:tcPr>
            <w:tcW w:w="862" w:type="dxa"/>
            <w:tcBorders>
              <w:top w:val="single" w:sz="4" w:space="0" w:color="auto"/>
              <w:bottom w:val="single" w:sz="4" w:space="0" w:color="auto"/>
            </w:tcBorders>
            <w:shd w:val="clear" w:color="auto" w:fill="auto"/>
            <w:noWrap/>
            <w:vAlign w:val="center"/>
          </w:tcPr>
          <w:p w14:paraId="02585305"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117589F6" w14:textId="77777777" w:rsidR="000D65BA" w:rsidRPr="00CC5E9F" w:rsidRDefault="000D65BA" w:rsidP="00AC31B4">
            <w:pPr>
              <w:jc w:val="center"/>
              <w:rPr>
                <w:rFonts w:cs="Times New Roman"/>
                <w:sz w:val="20"/>
                <w:szCs w:val="20"/>
              </w:rPr>
            </w:pPr>
            <w:r w:rsidRPr="00CC5E9F">
              <w:rPr>
                <w:rFonts w:cs="Times New Roman"/>
                <w:sz w:val="20"/>
                <w:szCs w:val="20"/>
              </w:rPr>
              <w:t>1.000</w:t>
            </w:r>
          </w:p>
        </w:tc>
        <w:tc>
          <w:tcPr>
            <w:tcW w:w="897" w:type="dxa"/>
            <w:tcBorders>
              <w:top w:val="single" w:sz="4" w:space="0" w:color="auto"/>
              <w:bottom w:val="single" w:sz="4" w:space="0" w:color="auto"/>
            </w:tcBorders>
            <w:shd w:val="clear" w:color="auto" w:fill="auto"/>
            <w:noWrap/>
            <w:vAlign w:val="center"/>
          </w:tcPr>
          <w:p w14:paraId="653A5D1D" w14:textId="77777777" w:rsidR="000D65BA" w:rsidRPr="00CC5E9F" w:rsidRDefault="000D65BA" w:rsidP="00AC31B4">
            <w:pPr>
              <w:jc w:val="center"/>
              <w:rPr>
                <w:rFonts w:cs="Times New Roman"/>
                <w:sz w:val="20"/>
                <w:szCs w:val="20"/>
              </w:rPr>
            </w:pPr>
            <w:r w:rsidRPr="00CC5E9F">
              <w:rPr>
                <w:rFonts w:cs="Times New Roman"/>
                <w:sz w:val="20"/>
                <w:szCs w:val="20"/>
              </w:rPr>
              <w:t>0.092</w:t>
            </w:r>
          </w:p>
        </w:tc>
        <w:tc>
          <w:tcPr>
            <w:tcW w:w="872" w:type="dxa"/>
            <w:tcBorders>
              <w:top w:val="single" w:sz="4" w:space="0" w:color="auto"/>
              <w:bottom w:val="single" w:sz="4" w:space="0" w:color="auto"/>
            </w:tcBorders>
            <w:shd w:val="clear" w:color="auto" w:fill="auto"/>
            <w:noWrap/>
            <w:vAlign w:val="center"/>
          </w:tcPr>
          <w:p w14:paraId="0B12FB9A" w14:textId="77777777" w:rsidR="000D65BA" w:rsidRPr="00CC5E9F" w:rsidRDefault="000D65BA" w:rsidP="00AC31B4">
            <w:pPr>
              <w:jc w:val="center"/>
              <w:rPr>
                <w:rFonts w:cs="Times New Roman"/>
                <w:sz w:val="20"/>
                <w:szCs w:val="20"/>
              </w:rPr>
            </w:pPr>
            <w:r w:rsidRPr="00CC5E9F">
              <w:rPr>
                <w:rFonts w:cs="Times New Roman"/>
                <w:sz w:val="20"/>
                <w:szCs w:val="20"/>
              </w:rPr>
              <w:t>0.139</w:t>
            </w:r>
          </w:p>
        </w:tc>
      </w:tr>
      <w:tr w:rsidR="00613836" w:rsidRPr="00CC5E9F" w14:paraId="24D0F716" w14:textId="77777777" w:rsidTr="00242782">
        <w:trPr>
          <w:trHeight w:val="18"/>
        </w:trPr>
        <w:tc>
          <w:tcPr>
            <w:tcW w:w="2160" w:type="dxa"/>
            <w:tcBorders>
              <w:top w:val="single" w:sz="4" w:space="0" w:color="auto"/>
              <w:bottom w:val="single" w:sz="4" w:space="0" w:color="auto"/>
            </w:tcBorders>
            <w:shd w:val="clear" w:color="auto" w:fill="auto"/>
            <w:vAlign w:val="center"/>
          </w:tcPr>
          <w:p w14:paraId="42C508EC" w14:textId="77777777" w:rsidR="000D65BA" w:rsidRPr="00CC5E9F" w:rsidRDefault="000D65BA" w:rsidP="00AC31B4">
            <w:pPr>
              <w:jc w:val="left"/>
              <w:rPr>
                <w:rFonts w:cs="Times New Roman"/>
                <w:sz w:val="20"/>
                <w:szCs w:val="20"/>
              </w:rPr>
            </w:pPr>
            <w:r w:rsidRPr="00CC5E9F">
              <w:rPr>
                <w:rFonts w:cs="Times New Roman"/>
                <w:sz w:val="20"/>
                <w:szCs w:val="20"/>
              </w:rPr>
              <w:t>Average bike lane length</w:t>
            </w:r>
          </w:p>
        </w:tc>
        <w:tc>
          <w:tcPr>
            <w:tcW w:w="3901" w:type="dxa"/>
            <w:tcBorders>
              <w:top w:val="single" w:sz="4" w:space="0" w:color="auto"/>
              <w:bottom w:val="single" w:sz="4" w:space="0" w:color="auto"/>
            </w:tcBorders>
            <w:vAlign w:val="center"/>
          </w:tcPr>
          <w:p w14:paraId="1BF41516" w14:textId="77777777" w:rsidR="000D65BA" w:rsidRPr="00CC5E9F" w:rsidRDefault="000D65BA" w:rsidP="00AC31B4">
            <w:pPr>
              <w:jc w:val="left"/>
              <w:rPr>
                <w:rFonts w:cs="Times New Roman"/>
                <w:sz w:val="20"/>
                <w:szCs w:val="20"/>
              </w:rPr>
            </w:pPr>
            <w:r w:rsidRPr="00CC5E9F">
              <w:rPr>
                <w:rFonts w:cs="Times New Roman"/>
                <w:sz w:val="20"/>
                <w:szCs w:val="20"/>
              </w:rPr>
              <w:t>Average bike lane length in mile</w:t>
            </w:r>
          </w:p>
        </w:tc>
        <w:tc>
          <w:tcPr>
            <w:tcW w:w="862" w:type="dxa"/>
            <w:tcBorders>
              <w:top w:val="single" w:sz="4" w:space="0" w:color="auto"/>
              <w:bottom w:val="single" w:sz="4" w:space="0" w:color="auto"/>
            </w:tcBorders>
            <w:shd w:val="clear" w:color="auto" w:fill="auto"/>
            <w:noWrap/>
            <w:vAlign w:val="center"/>
          </w:tcPr>
          <w:p w14:paraId="7DD9AE2D"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22FBF59A" w14:textId="77777777" w:rsidR="000D65BA" w:rsidRPr="00CC5E9F" w:rsidRDefault="000D65BA" w:rsidP="00AC31B4">
            <w:pPr>
              <w:jc w:val="center"/>
              <w:rPr>
                <w:rFonts w:cs="Times New Roman"/>
                <w:sz w:val="20"/>
                <w:szCs w:val="20"/>
              </w:rPr>
            </w:pPr>
            <w:r w:rsidRPr="00CC5E9F">
              <w:rPr>
                <w:rFonts w:cs="Times New Roman"/>
                <w:sz w:val="20"/>
                <w:szCs w:val="20"/>
              </w:rPr>
              <w:t>0.472</w:t>
            </w:r>
          </w:p>
        </w:tc>
        <w:tc>
          <w:tcPr>
            <w:tcW w:w="897" w:type="dxa"/>
            <w:tcBorders>
              <w:top w:val="single" w:sz="4" w:space="0" w:color="auto"/>
              <w:bottom w:val="single" w:sz="4" w:space="0" w:color="auto"/>
            </w:tcBorders>
            <w:shd w:val="clear" w:color="auto" w:fill="auto"/>
            <w:noWrap/>
            <w:vAlign w:val="center"/>
          </w:tcPr>
          <w:p w14:paraId="3709D529" w14:textId="77777777" w:rsidR="000D65BA" w:rsidRPr="00CC5E9F" w:rsidRDefault="000D65BA" w:rsidP="00AC31B4">
            <w:pPr>
              <w:jc w:val="center"/>
              <w:rPr>
                <w:rFonts w:cs="Times New Roman"/>
                <w:sz w:val="20"/>
                <w:szCs w:val="20"/>
              </w:rPr>
            </w:pPr>
            <w:r w:rsidRPr="00CC5E9F">
              <w:rPr>
                <w:rFonts w:cs="Times New Roman"/>
                <w:sz w:val="20"/>
                <w:szCs w:val="20"/>
              </w:rPr>
              <w:t>0.014</w:t>
            </w:r>
          </w:p>
        </w:tc>
        <w:tc>
          <w:tcPr>
            <w:tcW w:w="872" w:type="dxa"/>
            <w:tcBorders>
              <w:top w:val="single" w:sz="4" w:space="0" w:color="auto"/>
              <w:bottom w:val="single" w:sz="4" w:space="0" w:color="auto"/>
            </w:tcBorders>
            <w:shd w:val="clear" w:color="auto" w:fill="auto"/>
            <w:noWrap/>
            <w:vAlign w:val="center"/>
          </w:tcPr>
          <w:p w14:paraId="0F4352ED" w14:textId="77777777" w:rsidR="000D65BA" w:rsidRPr="00CC5E9F" w:rsidRDefault="000D65BA" w:rsidP="00AC31B4">
            <w:pPr>
              <w:jc w:val="center"/>
              <w:rPr>
                <w:rFonts w:cs="Times New Roman"/>
                <w:sz w:val="20"/>
                <w:szCs w:val="20"/>
              </w:rPr>
            </w:pPr>
            <w:r w:rsidRPr="00CC5E9F">
              <w:rPr>
                <w:rFonts w:cs="Times New Roman"/>
                <w:sz w:val="20"/>
                <w:szCs w:val="20"/>
              </w:rPr>
              <w:t>0.024</w:t>
            </w:r>
          </w:p>
        </w:tc>
      </w:tr>
      <w:tr w:rsidR="00613836" w:rsidRPr="00CC5E9F" w14:paraId="2D1FF19A" w14:textId="77777777" w:rsidTr="00242782">
        <w:trPr>
          <w:trHeight w:val="18"/>
        </w:trPr>
        <w:tc>
          <w:tcPr>
            <w:tcW w:w="2160" w:type="dxa"/>
            <w:tcBorders>
              <w:top w:val="single" w:sz="4" w:space="0" w:color="auto"/>
              <w:bottom w:val="double" w:sz="4" w:space="0" w:color="auto"/>
            </w:tcBorders>
            <w:shd w:val="clear" w:color="auto" w:fill="auto"/>
            <w:vAlign w:val="center"/>
          </w:tcPr>
          <w:p w14:paraId="7FA3C82D" w14:textId="77777777" w:rsidR="000D65BA" w:rsidRPr="00CC5E9F" w:rsidRDefault="000D65BA" w:rsidP="00AC31B4">
            <w:pPr>
              <w:jc w:val="left"/>
              <w:rPr>
                <w:rFonts w:cs="Times New Roman"/>
                <w:sz w:val="20"/>
                <w:szCs w:val="20"/>
              </w:rPr>
            </w:pPr>
            <w:r w:rsidRPr="00CC5E9F">
              <w:rPr>
                <w:rFonts w:cs="Times New Roman"/>
                <w:sz w:val="20"/>
                <w:szCs w:val="20"/>
              </w:rPr>
              <w:t>AADT</w:t>
            </w:r>
          </w:p>
        </w:tc>
        <w:tc>
          <w:tcPr>
            <w:tcW w:w="3901" w:type="dxa"/>
            <w:tcBorders>
              <w:top w:val="single" w:sz="4" w:space="0" w:color="auto"/>
              <w:bottom w:val="double" w:sz="4" w:space="0" w:color="auto"/>
            </w:tcBorders>
            <w:vAlign w:val="center"/>
          </w:tcPr>
          <w:p w14:paraId="49436799" w14:textId="360ACE88" w:rsidR="000D65BA" w:rsidRPr="00CC5E9F" w:rsidRDefault="000D65BA" w:rsidP="00AC31B4">
            <w:pPr>
              <w:jc w:val="left"/>
              <w:rPr>
                <w:rFonts w:cs="Times New Roman"/>
                <w:sz w:val="20"/>
                <w:szCs w:val="20"/>
              </w:rPr>
            </w:pPr>
            <w:r w:rsidRPr="00CC5E9F">
              <w:rPr>
                <w:rFonts w:cs="Times New Roman"/>
                <w:sz w:val="20"/>
                <w:szCs w:val="20"/>
              </w:rPr>
              <w:t>Ln (AADT</w:t>
            </w:r>
            <w:r w:rsidR="001431F4" w:rsidRPr="00CC5E9F">
              <w:rPr>
                <w:rFonts w:cs="Times New Roman"/>
                <w:sz w:val="20"/>
                <w:szCs w:val="20"/>
              </w:rPr>
              <w:t xml:space="preserve"> of the intersection </w:t>
            </w:r>
            <w:r w:rsidRPr="00CC5E9F">
              <w:rPr>
                <w:rFonts w:cs="Times New Roman"/>
                <w:sz w:val="20"/>
                <w:szCs w:val="20"/>
              </w:rPr>
              <w:t>+ 1)</w:t>
            </w:r>
          </w:p>
        </w:tc>
        <w:tc>
          <w:tcPr>
            <w:tcW w:w="862" w:type="dxa"/>
            <w:tcBorders>
              <w:top w:val="single" w:sz="4" w:space="0" w:color="auto"/>
              <w:bottom w:val="double" w:sz="4" w:space="0" w:color="auto"/>
            </w:tcBorders>
            <w:shd w:val="clear" w:color="auto" w:fill="auto"/>
            <w:noWrap/>
            <w:vAlign w:val="center"/>
          </w:tcPr>
          <w:p w14:paraId="39EA3F29"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double" w:sz="4" w:space="0" w:color="auto"/>
            </w:tcBorders>
            <w:shd w:val="clear" w:color="auto" w:fill="auto"/>
            <w:noWrap/>
            <w:vAlign w:val="center"/>
          </w:tcPr>
          <w:p w14:paraId="6A85D4EB" w14:textId="77777777" w:rsidR="000D65BA" w:rsidRPr="00CC5E9F" w:rsidRDefault="000D65BA" w:rsidP="00AC31B4">
            <w:pPr>
              <w:jc w:val="center"/>
              <w:rPr>
                <w:rFonts w:cs="Times New Roman"/>
                <w:sz w:val="20"/>
                <w:szCs w:val="20"/>
              </w:rPr>
            </w:pPr>
            <w:r w:rsidRPr="00CC5E9F">
              <w:rPr>
                <w:rFonts w:cs="Times New Roman"/>
                <w:sz w:val="20"/>
                <w:szCs w:val="20"/>
              </w:rPr>
              <w:t>20.554</w:t>
            </w:r>
          </w:p>
        </w:tc>
        <w:tc>
          <w:tcPr>
            <w:tcW w:w="897" w:type="dxa"/>
            <w:tcBorders>
              <w:top w:val="single" w:sz="4" w:space="0" w:color="auto"/>
              <w:bottom w:val="double" w:sz="4" w:space="0" w:color="auto"/>
            </w:tcBorders>
            <w:shd w:val="clear" w:color="auto" w:fill="auto"/>
            <w:noWrap/>
            <w:vAlign w:val="center"/>
          </w:tcPr>
          <w:p w14:paraId="2B463116" w14:textId="77777777" w:rsidR="000D65BA" w:rsidRPr="00CC5E9F" w:rsidRDefault="000D65BA" w:rsidP="00AC31B4">
            <w:pPr>
              <w:jc w:val="center"/>
              <w:rPr>
                <w:rFonts w:cs="Times New Roman"/>
                <w:sz w:val="20"/>
                <w:szCs w:val="20"/>
              </w:rPr>
            </w:pPr>
            <w:r w:rsidRPr="00CC5E9F">
              <w:rPr>
                <w:rFonts w:cs="Times New Roman"/>
                <w:sz w:val="20"/>
                <w:szCs w:val="20"/>
              </w:rPr>
              <w:t>15.217</w:t>
            </w:r>
          </w:p>
        </w:tc>
        <w:tc>
          <w:tcPr>
            <w:tcW w:w="872" w:type="dxa"/>
            <w:tcBorders>
              <w:top w:val="single" w:sz="4" w:space="0" w:color="auto"/>
              <w:bottom w:val="double" w:sz="4" w:space="0" w:color="auto"/>
            </w:tcBorders>
            <w:shd w:val="clear" w:color="auto" w:fill="auto"/>
            <w:noWrap/>
            <w:vAlign w:val="center"/>
          </w:tcPr>
          <w:p w14:paraId="3ED5DA2E" w14:textId="77777777" w:rsidR="000D65BA" w:rsidRPr="00CC5E9F" w:rsidRDefault="000D65BA" w:rsidP="00AC31B4">
            <w:pPr>
              <w:jc w:val="center"/>
              <w:rPr>
                <w:rFonts w:cs="Times New Roman"/>
                <w:sz w:val="20"/>
                <w:szCs w:val="20"/>
              </w:rPr>
            </w:pPr>
            <w:r w:rsidRPr="00CC5E9F">
              <w:rPr>
                <w:rFonts w:cs="Times New Roman"/>
                <w:sz w:val="20"/>
                <w:szCs w:val="20"/>
              </w:rPr>
              <w:t>2.147</w:t>
            </w:r>
          </w:p>
        </w:tc>
      </w:tr>
      <w:tr w:rsidR="000D65BA" w:rsidRPr="00CC5E9F" w14:paraId="1A8D4F0E" w14:textId="77777777" w:rsidTr="00242782">
        <w:trPr>
          <w:trHeight w:val="18"/>
        </w:trPr>
        <w:tc>
          <w:tcPr>
            <w:tcW w:w="9566" w:type="dxa"/>
            <w:gridSpan w:val="6"/>
            <w:tcBorders>
              <w:top w:val="double" w:sz="4" w:space="0" w:color="auto"/>
              <w:left w:val="double" w:sz="4" w:space="0" w:color="auto"/>
              <w:bottom w:val="single" w:sz="4" w:space="0" w:color="auto"/>
              <w:right w:val="double" w:sz="4" w:space="0" w:color="auto"/>
            </w:tcBorders>
            <w:shd w:val="clear" w:color="auto" w:fill="auto"/>
            <w:vAlign w:val="center"/>
          </w:tcPr>
          <w:p w14:paraId="3D846116" w14:textId="77777777" w:rsidR="000D65BA" w:rsidRPr="00CC5E9F" w:rsidRDefault="000D65BA" w:rsidP="00AC31B4">
            <w:pPr>
              <w:jc w:val="left"/>
              <w:rPr>
                <w:rFonts w:cs="Times New Roman"/>
                <w:b/>
                <w:bCs/>
                <w:i/>
                <w:iCs/>
                <w:sz w:val="20"/>
                <w:szCs w:val="20"/>
              </w:rPr>
            </w:pPr>
            <w:r w:rsidRPr="00CC5E9F">
              <w:rPr>
                <w:rFonts w:cs="Times New Roman"/>
                <w:b/>
                <w:bCs/>
                <w:i/>
                <w:iCs/>
                <w:sz w:val="20"/>
                <w:szCs w:val="20"/>
              </w:rPr>
              <w:t>TAZ level (macro)</w:t>
            </w:r>
          </w:p>
        </w:tc>
      </w:tr>
      <w:tr w:rsidR="00613836" w:rsidRPr="00CC5E9F" w14:paraId="485EB02E"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3A1E7932" w14:textId="77777777" w:rsidR="000D65BA" w:rsidRPr="00CC5E9F" w:rsidRDefault="000D65BA" w:rsidP="00AC31B4">
            <w:pPr>
              <w:jc w:val="left"/>
              <w:rPr>
                <w:rFonts w:cs="Times New Roman"/>
                <w:sz w:val="20"/>
                <w:szCs w:val="20"/>
              </w:rPr>
            </w:pPr>
            <w:r w:rsidRPr="00CC5E9F">
              <w:rPr>
                <w:rFonts w:cs="Times New Roman"/>
                <w:sz w:val="20"/>
                <w:szCs w:val="20"/>
              </w:rPr>
              <w:t>Crash</w:t>
            </w:r>
          </w:p>
        </w:tc>
        <w:tc>
          <w:tcPr>
            <w:tcW w:w="3901" w:type="dxa"/>
            <w:tcBorders>
              <w:top w:val="single" w:sz="4" w:space="0" w:color="auto"/>
              <w:bottom w:val="single" w:sz="4" w:space="0" w:color="auto"/>
            </w:tcBorders>
            <w:vAlign w:val="center"/>
          </w:tcPr>
          <w:p w14:paraId="3E1C33FA" w14:textId="77777777" w:rsidR="000D65BA" w:rsidRPr="00CC5E9F" w:rsidRDefault="000D65BA" w:rsidP="00AC31B4">
            <w:pPr>
              <w:jc w:val="left"/>
              <w:rPr>
                <w:rFonts w:cs="Times New Roman"/>
                <w:sz w:val="20"/>
                <w:szCs w:val="20"/>
              </w:rPr>
            </w:pPr>
            <w:r w:rsidRPr="00CC5E9F">
              <w:rPr>
                <w:rFonts w:cs="Times New Roman"/>
                <w:sz w:val="20"/>
                <w:szCs w:val="20"/>
              </w:rPr>
              <w:t>TAZ crash</w:t>
            </w:r>
          </w:p>
        </w:tc>
        <w:tc>
          <w:tcPr>
            <w:tcW w:w="862" w:type="dxa"/>
            <w:tcBorders>
              <w:top w:val="single" w:sz="4" w:space="0" w:color="auto"/>
              <w:bottom w:val="single" w:sz="4" w:space="0" w:color="auto"/>
            </w:tcBorders>
            <w:shd w:val="clear" w:color="auto" w:fill="auto"/>
            <w:noWrap/>
            <w:vAlign w:val="center"/>
          </w:tcPr>
          <w:p w14:paraId="5B02DC3B"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17C7982E" w14:textId="77777777" w:rsidR="000D65BA" w:rsidRPr="00CC5E9F" w:rsidRDefault="000D65BA" w:rsidP="00AC31B4">
            <w:pPr>
              <w:jc w:val="center"/>
              <w:rPr>
                <w:rFonts w:cs="Times New Roman"/>
                <w:sz w:val="20"/>
                <w:szCs w:val="20"/>
              </w:rPr>
            </w:pPr>
            <w:r w:rsidRPr="00CC5E9F">
              <w:rPr>
                <w:rFonts w:cs="Times New Roman"/>
                <w:sz w:val="20"/>
                <w:szCs w:val="20"/>
              </w:rPr>
              <w:t>765.000</w:t>
            </w:r>
          </w:p>
        </w:tc>
        <w:tc>
          <w:tcPr>
            <w:tcW w:w="897" w:type="dxa"/>
            <w:tcBorders>
              <w:top w:val="single" w:sz="4" w:space="0" w:color="auto"/>
              <w:bottom w:val="single" w:sz="4" w:space="0" w:color="auto"/>
            </w:tcBorders>
            <w:shd w:val="clear" w:color="auto" w:fill="auto"/>
            <w:noWrap/>
            <w:vAlign w:val="center"/>
          </w:tcPr>
          <w:p w14:paraId="5F25E0E5" w14:textId="77777777" w:rsidR="000D65BA" w:rsidRPr="00CC5E9F" w:rsidRDefault="000D65BA" w:rsidP="00AC31B4">
            <w:pPr>
              <w:jc w:val="center"/>
              <w:rPr>
                <w:rFonts w:cs="Times New Roman"/>
                <w:sz w:val="20"/>
                <w:szCs w:val="20"/>
              </w:rPr>
            </w:pPr>
            <w:r w:rsidRPr="00CC5E9F">
              <w:rPr>
                <w:rFonts w:cs="Times New Roman"/>
                <w:sz w:val="20"/>
                <w:szCs w:val="20"/>
              </w:rPr>
              <w:t>140.287</w:t>
            </w:r>
          </w:p>
        </w:tc>
        <w:tc>
          <w:tcPr>
            <w:tcW w:w="872" w:type="dxa"/>
            <w:tcBorders>
              <w:top w:val="single" w:sz="4" w:space="0" w:color="auto"/>
              <w:bottom w:val="single" w:sz="4" w:space="0" w:color="auto"/>
              <w:right w:val="double" w:sz="4" w:space="0" w:color="auto"/>
            </w:tcBorders>
            <w:shd w:val="clear" w:color="auto" w:fill="auto"/>
            <w:noWrap/>
            <w:vAlign w:val="center"/>
          </w:tcPr>
          <w:p w14:paraId="4B319645" w14:textId="77777777" w:rsidR="000D65BA" w:rsidRPr="00CC5E9F" w:rsidRDefault="000D65BA" w:rsidP="00AC31B4">
            <w:pPr>
              <w:jc w:val="center"/>
              <w:rPr>
                <w:rFonts w:cs="Times New Roman"/>
                <w:sz w:val="20"/>
                <w:szCs w:val="20"/>
              </w:rPr>
            </w:pPr>
            <w:r w:rsidRPr="00CC5E9F">
              <w:rPr>
                <w:rFonts w:cs="Times New Roman"/>
                <w:sz w:val="20"/>
                <w:szCs w:val="20"/>
              </w:rPr>
              <w:t>130.587</w:t>
            </w:r>
          </w:p>
        </w:tc>
      </w:tr>
      <w:tr w:rsidR="00613836" w:rsidRPr="00CC5E9F" w14:paraId="03871CA7"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7399A9C0" w14:textId="77777777" w:rsidR="000D65BA" w:rsidRPr="00CC5E9F" w:rsidRDefault="000D65BA" w:rsidP="00AC31B4">
            <w:pPr>
              <w:jc w:val="left"/>
              <w:rPr>
                <w:rFonts w:cs="Times New Roman"/>
                <w:sz w:val="20"/>
                <w:szCs w:val="20"/>
              </w:rPr>
            </w:pPr>
            <w:r w:rsidRPr="00CC5E9F">
              <w:rPr>
                <w:rFonts w:cs="Times New Roman"/>
                <w:sz w:val="20"/>
                <w:szCs w:val="20"/>
              </w:rPr>
              <w:t>Proportion of interstate and expressways</w:t>
            </w:r>
          </w:p>
        </w:tc>
        <w:tc>
          <w:tcPr>
            <w:tcW w:w="3901" w:type="dxa"/>
            <w:tcBorders>
              <w:top w:val="single" w:sz="4" w:space="0" w:color="auto"/>
              <w:bottom w:val="single" w:sz="4" w:space="0" w:color="auto"/>
            </w:tcBorders>
            <w:vAlign w:val="center"/>
          </w:tcPr>
          <w:p w14:paraId="6912312B" w14:textId="77777777" w:rsidR="000D65BA" w:rsidRPr="00CC5E9F" w:rsidRDefault="000D65BA" w:rsidP="00AC31B4">
            <w:pPr>
              <w:jc w:val="left"/>
              <w:rPr>
                <w:rFonts w:cs="Times New Roman"/>
                <w:sz w:val="20"/>
                <w:szCs w:val="20"/>
              </w:rPr>
            </w:pPr>
            <w:r w:rsidRPr="00CC5E9F">
              <w:rPr>
                <w:rFonts w:cs="Times New Roman"/>
                <w:sz w:val="20"/>
                <w:szCs w:val="20"/>
              </w:rPr>
              <w:t>Interstate and expressways length/total road length in TAZ area</w:t>
            </w:r>
          </w:p>
        </w:tc>
        <w:tc>
          <w:tcPr>
            <w:tcW w:w="862" w:type="dxa"/>
            <w:tcBorders>
              <w:top w:val="single" w:sz="4" w:space="0" w:color="auto"/>
              <w:bottom w:val="single" w:sz="4" w:space="0" w:color="auto"/>
            </w:tcBorders>
            <w:shd w:val="clear" w:color="auto" w:fill="auto"/>
            <w:noWrap/>
            <w:vAlign w:val="center"/>
          </w:tcPr>
          <w:p w14:paraId="79F539BA"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4FB47F1E" w14:textId="77777777" w:rsidR="000D65BA" w:rsidRPr="00CC5E9F" w:rsidRDefault="000D65BA" w:rsidP="00AC31B4">
            <w:pPr>
              <w:jc w:val="center"/>
              <w:rPr>
                <w:rFonts w:cs="Times New Roman"/>
                <w:sz w:val="20"/>
                <w:szCs w:val="20"/>
              </w:rPr>
            </w:pPr>
            <w:r w:rsidRPr="00CC5E9F">
              <w:rPr>
                <w:rFonts w:cs="Times New Roman"/>
                <w:sz w:val="20"/>
                <w:szCs w:val="20"/>
              </w:rPr>
              <w:t>1.000</w:t>
            </w:r>
          </w:p>
        </w:tc>
        <w:tc>
          <w:tcPr>
            <w:tcW w:w="897" w:type="dxa"/>
            <w:tcBorders>
              <w:top w:val="single" w:sz="4" w:space="0" w:color="auto"/>
              <w:bottom w:val="single" w:sz="4" w:space="0" w:color="auto"/>
            </w:tcBorders>
            <w:shd w:val="clear" w:color="auto" w:fill="auto"/>
            <w:noWrap/>
            <w:vAlign w:val="center"/>
          </w:tcPr>
          <w:p w14:paraId="5A7D8720" w14:textId="77777777" w:rsidR="000D65BA" w:rsidRPr="00CC5E9F" w:rsidRDefault="000D65BA" w:rsidP="00AC31B4">
            <w:pPr>
              <w:jc w:val="center"/>
              <w:rPr>
                <w:rFonts w:cs="Times New Roman"/>
                <w:sz w:val="20"/>
                <w:szCs w:val="20"/>
              </w:rPr>
            </w:pPr>
            <w:r w:rsidRPr="00CC5E9F">
              <w:rPr>
                <w:rFonts w:cs="Times New Roman"/>
                <w:sz w:val="20"/>
                <w:szCs w:val="20"/>
              </w:rPr>
              <w:t>0.095</w:t>
            </w:r>
          </w:p>
        </w:tc>
        <w:tc>
          <w:tcPr>
            <w:tcW w:w="872" w:type="dxa"/>
            <w:tcBorders>
              <w:top w:val="single" w:sz="4" w:space="0" w:color="auto"/>
              <w:bottom w:val="single" w:sz="4" w:space="0" w:color="auto"/>
              <w:right w:val="double" w:sz="4" w:space="0" w:color="auto"/>
            </w:tcBorders>
            <w:shd w:val="clear" w:color="auto" w:fill="auto"/>
            <w:noWrap/>
            <w:vAlign w:val="center"/>
          </w:tcPr>
          <w:p w14:paraId="1CB5BFAD" w14:textId="77777777" w:rsidR="000D65BA" w:rsidRPr="00CC5E9F" w:rsidRDefault="000D65BA" w:rsidP="00AC31B4">
            <w:pPr>
              <w:jc w:val="center"/>
              <w:rPr>
                <w:rFonts w:cs="Times New Roman"/>
                <w:sz w:val="20"/>
                <w:szCs w:val="20"/>
              </w:rPr>
            </w:pPr>
            <w:r w:rsidRPr="00CC5E9F">
              <w:rPr>
                <w:rFonts w:cs="Times New Roman"/>
                <w:sz w:val="20"/>
                <w:szCs w:val="20"/>
              </w:rPr>
              <w:t>0.200</w:t>
            </w:r>
          </w:p>
        </w:tc>
      </w:tr>
      <w:tr w:rsidR="00613836" w:rsidRPr="00CC5E9F" w14:paraId="672F4789"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7162ED1C" w14:textId="099D7E74" w:rsidR="000D65BA" w:rsidRPr="00CC5E9F" w:rsidRDefault="000D65BA" w:rsidP="00AC31B4">
            <w:pPr>
              <w:jc w:val="left"/>
              <w:rPr>
                <w:rFonts w:cs="Times New Roman"/>
                <w:sz w:val="20"/>
                <w:szCs w:val="20"/>
              </w:rPr>
            </w:pPr>
            <w:r w:rsidRPr="00CC5E9F">
              <w:rPr>
                <w:rFonts w:cs="Times New Roman"/>
                <w:sz w:val="20"/>
                <w:szCs w:val="20"/>
              </w:rPr>
              <w:t>Proportion of divided road</w:t>
            </w:r>
          </w:p>
        </w:tc>
        <w:tc>
          <w:tcPr>
            <w:tcW w:w="3901" w:type="dxa"/>
            <w:tcBorders>
              <w:top w:val="single" w:sz="4" w:space="0" w:color="auto"/>
              <w:bottom w:val="single" w:sz="4" w:space="0" w:color="auto"/>
            </w:tcBorders>
            <w:vAlign w:val="center"/>
          </w:tcPr>
          <w:p w14:paraId="7B2F3F15" w14:textId="77777777" w:rsidR="000D65BA" w:rsidRPr="00CC5E9F" w:rsidRDefault="000D65BA" w:rsidP="00AC31B4">
            <w:pPr>
              <w:jc w:val="left"/>
              <w:rPr>
                <w:rFonts w:cs="Times New Roman"/>
                <w:sz w:val="20"/>
                <w:szCs w:val="20"/>
              </w:rPr>
            </w:pPr>
            <w:r w:rsidRPr="00CC5E9F">
              <w:rPr>
                <w:rFonts w:cs="Times New Roman"/>
                <w:sz w:val="20"/>
                <w:szCs w:val="20"/>
              </w:rPr>
              <w:t>Divided roads length/total road length in TAZ area</w:t>
            </w:r>
          </w:p>
        </w:tc>
        <w:tc>
          <w:tcPr>
            <w:tcW w:w="862" w:type="dxa"/>
            <w:tcBorders>
              <w:top w:val="single" w:sz="4" w:space="0" w:color="auto"/>
              <w:bottom w:val="single" w:sz="4" w:space="0" w:color="auto"/>
            </w:tcBorders>
            <w:shd w:val="clear" w:color="auto" w:fill="auto"/>
            <w:noWrap/>
            <w:vAlign w:val="center"/>
          </w:tcPr>
          <w:p w14:paraId="5E9408D4"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7023A520" w14:textId="77777777" w:rsidR="000D65BA" w:rsidRPr="00CC5E9F" w:rsidRDefault="000D65BA" w:rsidP="00AC31B4">
            <w:pPr>
              <w:jc w:val="center"/>
              <w:rPr>
                <w:rFonts w:cs="Times New Roman"/>
                <w:sz w:val="20"/>
                <w:szCs w:val="20"/>
              </w:rPr>
            </w:pPr>
            <w:r w:rsidRPr="00CC5E9F">
              <w:rPr>
                <w:rFonts w:cs="Times New Roman"/>
                <w:sz w:val="20"/>
                <w:szCs w:val="20"/>
              </w:rPr>
              <w:t>1.000</w:t>
            </w:r>
          </w:p>
        </w:tc>
        <w:tc>
          <w:tcPr>
            <w:tcW w:w="897" w:type="dxa"/>
            <w:tcBorders>
              <w:top w:val="single" w:sz="4" w:space="0" w:color="auto"/>
              <w:bottom w:val="single" w:sz="4" w:space="0" w:color="auto"/>
            </w:tcBorders>
            <w:shd w:val="clear" w:color="auto" w:fill="auto"/>
            <w:noWrap/>
            <w:vAlign w:val="center"/>
          </w:tcPr>
          <w:p w14:paraId="22829CFC" w14:textId="77777777" w:rsidR="000D65BA" w:rsidRPr="00CC5E9F" w:rsidRDefault="000D65BA" w:rsidP="00AC31B4">
            <w:pPr>
              <w:jc w:val="center"/>
              <w:rPr>
                <w:rFonts w:cs="Times New Roman"/>
                <w:sz w:val="20"/>
                <w:szCs w:val="20"/>
              </w:rPr>
            </w:pPr>
            <w:r w:rsidRPr="00CC5E9F">
              <w:rPr>
                <w:rFonts w:cs="Times New Roman"/>
                <w:sz w:val="20"/>
                <w:szCs w:val="20"/>
              </w:rPr>
              <w:t>0.610</w:t>
            </w:r>
          </w:p>
        </w:tc>
        <w:tc>
          <w:tcPr>
            <w:tcW w:w="872" w:type="dxa"/>
            <w:tcBorders>
              <w:top w:val="single" w:sz="4" w:space="0" w:color="auto"/>
              <w:bottom w:val="single" w:sz="4" w:space="0" w:color="auto"/>
              <w:right w:val="double" w:sz="4" w:space="0" w:color="auto"/>
            </w:tcBorders>
            <w:shd w:val="clear" w:color="auto" w:fill="auto"/>
            <w:noWrap/>
            <w:vAlign w:val="center"/>
          </w:tcPr>
          <w:p w14:paraId="07CD39CE" w14:textId="77777777" w:rsidR="000D65BA" w:rsidRPr="00CC5E9F" w:rsidRDefault="000D65BA" w:rsidP="00AC31B4">
            <w:pPr>
              <w:jc w:val="center"/>
              <w:rPr>
                <w:rFonts w:cs="Times New Roman"/>
                <w:sz w:val="20"/>
                <w:szCs w:val="20"/>
              </w:rPr>
            </w:pPr>
            <w:r w:rsidRPr="00CC5E9F">
              <w:rPr>
                <w:rFonts w:cs="Times New Roman"/>
                <w:sz w:val="20"/>
                <w:szCs w:val="20"/>
              </w:rPr>
              <w:t>0.357</w:t>
            </w:r>
          </w:p>
        </w:tc>
      </w:tr>
      <w:tr w:rsidR="00613836" w:rsidRPr="00CC5E9F" w14:paraId="4101BDBD"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1BD83959" w14:textId="77777777" w:rsidR="000D65BA" w:rsidRPr="00CC5E9F" w:rsidRDefault="000D65BA" w:rsidP="00AC31B4">
            <w:pPr>
              <w:jc w:val="left"/>
              <w:rPr>
                <w:rFonts w:cs="Times New Roman"/>
                <w:sz w:val="20"/>
                <w:szCs w:val="20"/>
              </w:rPr>
            </w:pPr>
            <w:r w:rsidRPr="00CC5E9F">
              <w:rPr>
                <w:rFonts w:cs="Times New Roman"/>
                <w:sz w:val="20"/>
                <w:szCs w:val="20"/>
              </w:rPr>
              <w:t>Average speed limit</w:t>
            </w:r>
          </w:p>
        </w:tc>
        <w:tc>
          <w:tcPr>
            <w:tcW w:w="3901" w:type="dxa"/>
            <w:tcBorders>
              <w:top w:val="single" w:sz="4" w:space="0" w:color="auto"/>
              <w:bottom w:val="single" w:sz="4" w:space="0" w:color="auto"/>
            </w:tcBorders>
            <w:vAlign w:val="center"/>
          </w:tcPr>
          <w:p w14:paraId="511CD85C" w14:textId="77777777" w:rsidR="000D65BA" w:rsidRPr="00CC5E9F" w:rsidRDefault="000D65BA" w:rsidP="00AC31B4">
            <w:pPr>
              <w:jc w:val="left"/>
              <w:rPr>
                <w:rFonts w:cs="Times New Roman"/>
                <w:sz w:val="20"/>
                <w:szCs w:val="20"/>
              </w:rPr>
            </w:pPr>
            <w:r w:rsidRPr="00CC5E9F">
              <w:rPr>
                <w:rFonts w:cs="Times New Roman"/>
                <w:sz w:val="20"/>
                <w:szCs w:val="20"/>
              </w:rPr>
              <w:t>Average speed limit in mph</w:t>
            </w:r>
          </w:p>
        </w:tc>
        <w:tc>
          <w:tcPr>
            <w:tcW w:w="862" w:type="dxa"/>
            <w:tcBorders>
              <w:top w:val="single" w:sz="4" w:space="0" w:color="auto"/>
              <w:bottom w:val="single" w:sz="4" w:space="0" w:color="auto"/>
            </w:tcBorders>
            <w:shd w:val="clear" w:color="auto" w:fill="auto"/>
            <w:noWrap/>
            <w:vAlign w:val="center"/>
          </w:tcPr>
          <w:p w14:paraId="5AA510C5"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09813D1F" w14:textId="77777777" w:rsidR="000D65BA" w:rsidRPr="00CC5E9F" w:rsidRDefault="000D65BA" w:rsidP="00AC31B4">
            <w:pPr>
              <w:jc w:val="center"/>
              <w:rPr>
                <w:rFonts w:cs="Times New Roman"/>
                <w:sz w:val="20"/>
                <w:szCs w:val="20"/>
              </w:rPr>
            </w:pPr>
            <w:r w:rsidRPr="00CC5E9F">
              <w:rPr>
                <w:rFonts w:cs="Times New Roman"/>
                <w:sz w:val="20"/>
                <w:szCs w:val="20"/>
              </w:rPr>
              <w:t>70.000</w:t>
            </w:r>
          </w:p>
        </w:tc>
        <w:tc>
          <w:tcPr>
            <w:tcW w:w="897" w:type="dxa"/>
            <w:tcBorders>
              <w:top w:val="single" w:sz="4" w:space="0" w:color="auto"/>
              <w:bottom w:val="single" w:sz="4" w:space="0" w:color="auto"/>
            </w:tcBorders>
            <w:shd w:val="clear" w:color="auto" w:fill="auto"/>
            <w:noWrap/>
            <w:vAlign w:val="center"/>
          </w:tcPr>
          <w:p w14:paraId="3E1282C9" w14:textId="77777777" w:rsidR="000D65BA" w:rsidRPr="00CC5E9F" w:rsidRDefault="000D65BA" w:rsidP="00AC31B4">
            <w:pPr>
              <w:jc w:val="center"/>
              <w:rPr>
                <w:rFonts w:cs="Times New Roman"/>
                <w:sz w:val="20"/>
                <w:szCs w:val="20"/>
              </w:rPr>
            </w:pPr>
            <w:r w:rsidRPr="00CC5E9F">
              <w:rPr>
                <w:rFonts w:cs="Times New Roman"/>
                <w:sz w:val="20"/>
                <w:szCs w:val="20"/>
              </w:rPr>
              <w:t>36.422</w:t>
            </w:r>
          </w:p>
        </w:tc>
        <w:tc>
          <w:tcPr>
            <w:tcW w:w="872" w:type="dxa"/>
            <w:tcBorders>
              <w:top w:val="single" w:sz="4" w:space="0" w:color="auto"/>
              <w:bottom w:val="single" w:sz="4" w:space="0" w:color="auto"/>
              <w:right w:val="double" w:sz="4" w:space="0" w:color="auto"/>
            </w:tcBorders>
            <w:shd w:val="clear" w:color="auto" w:fill="auto"/>
            <w:noWrap/>
            <w:vAlign w:val="center"/>
          </w:tcPr>
          <w:p w14:paraId="67303F85" w14:textId="77777777" w:rsidR="000D65BA" w:rsidRPr="00CC5E9F" w:rsidRDefault="000D65BA" w:rsidP="00AC31B4">
            <w:pPr>
              <w:jc w:val="center"/>
              <w:rPr>
                <w:rFonts w:cs="Times New Roman"/>
                <w:sz w:val="20"/>
                <w:szCs w:val="20"/>
              </w:rPr>
            </w:pPr>
            <w:r w:rsidRPr="00CC5E9F">
              <w:rPr>
                <w:rFonts w:cs="Times New Roman"/>
                <w:sz w:val="20"/>
                <w:szCs w:val="20"/>
              </w:rPr>
              <w:t>10.725</w:t>
            </w:r>
          </w:p>
        </w:tc>
      </w:tr>
      <w:tr w:rsidR="00613836" w:rsidRPr="00CC5E9F" w14:paraId="6CB4EBFC"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7AD8CF21" w14:textId="77777777" w:rsidR="000D65BA" w:rsidRPr="00CC5E9F" w:rsidRDefault="000D65BA" w:rsidP="00AC31B4">
            <w:pPr>
              <w:jc w:val="left"/>
              <w:rPr>
                <w:rFonts w:cs="Times New Roman"/>
                <w:sz w:val="20"/>
                <w:szCs w:val="20"/>
              </w:rPr>
            </w:pPr>
            <w:r w:rsidRPr="00CC5E9F">
              <w:rPr>
                <w:rFonts w:cs="Times New Roman"/>
                <w:sz w:val="20"/>
                <w:szCs w:val="20"/>
              </w:rPr>
              <w:t>Average sidewalk width</w:t>
            </w:r>
          </w:p>
        </w:tc>
        <w:tc>
          <w:tcPr>
            <w:tcW w:w="3901" w:type="dxa"/>
            <w:tcBorders>
              <w:top w:val="single" w:sz="4" w:space="0" w:color="auto"/>
              <w:bottom w:val="single" w:sz="4" w:space="0" w:color="auto"/>
            </w:tcBorders>
            <w:vAlign w:val="center"/>
          </w:tcPr>
          <w:p w14:paraId="6A8F0C2A" w14:textId="77777777" w:rsidR="000D65BA" w:rsidRPr="00CC5E9F" w:rsidRDefault="000D65BA" w:rsidP="00AC31B4">
            <w:pPr>
              <w:jc w:val="left"/>
              <w:rPr>
                <w:rFonts w:cs="Times New Roman"/>
                <w:sz w:val="20"/>
                <w:szCs w:val="20"/>
              </w:rPr>
            </w:pPr>
            <w:r w:rsidRPr="00CC5E9F">
              <w:rPr>
                <w:rFonts w:cs="Times New Roman"/>
                <w:sz w:val="20"/>
                <w:szCs w:val="20"/>
              </w:rPr>
              <w:t>Ln (Average sidewalk width in feet + 1)</w:t>
            </w:r>
          </w:p>
        </w:tc>
        <w:tc>
          <w:tcPr>
            <w:tcW w:w="862" w:type="dxa"/>
            <w:tcBorders>
              <w:top w:val="single" w:sz="4" w:space="0" w:color="auto"/>
              <w:bottom w:val="single" w:sz="4" w:space="0" w:color="auto"/>
            </w:tcBorders>
            <w:shd w:val="clear" w:color="auto" w:fill="auto"/>
            <w:noWrap/>
            <w:vAlign w:val="center"/>
          </w:tcPr>
          <w:p w14:paraId="0CD285BF"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0361A5BD" w14:textId="77777777" w:rsidR="000D65BA" w:rsidRPr="00CC5E9F" w:rsidRDefault="000D65BA" w:rsidP="00AC31B4">
            <w:pPr>
              <w:jc w:val="center"/>
              <w:rPr>
                <w:rFonts w:cs="Times New Roman"/>
                <w:sz w:val="20"/>
                <w:szCs w:val="20"/>
              </w:rPr>
            </w:pPr>
            <w:r w:rsidRPr="00CC5E9F">
              <w:rPr>
                <w:rFonts w:cs="Times New Roman"/>
                <w:sz w:val="20"/>
                <w:szCs w:val="20"/>
              </w:rPr>
              <w:t>2.646</w:t>
            </w:r>
          </w:p>
        </w:tc>
        <w:tc>
          <w:tcPr>
            <w:tcW w:w="897" w:type="dxa"/>
            <w:tcBorders>
              <w:top w:val="single" w:sz="4" w:space="0" w:color="auto"/>
              <w:bottom w:val="single" w:sz="4" w:space="0" w:color="auto"/>
            </w:tcBorders>
            <w:shd w:val="clear" w:color="auto" w:fill="auto"/>
            <w:noWrap/>
            <w:vAlign w:val="center"/>
          </w:tcPr>
          <w:p w14:paraId="542003B9" w14:textId="77777777" w:rsidR="000D65BA" w:rsidRPr="00CC5E9F" w:rsidRDefault="000D65BA" w:rsidP="00AC31B4">
            <w:pPr>
              <w:jc w:val="center"/>
              <w:rPr>
                <w:rFonts w:cs="Times New Roman"/>
                <w:sz w:val="20"/>
                <w:szCs w:val="20"/>
              </w:rPr>
            </w:pPr>
            <w:r w:rsidRPr="00CC5E9F">
              <w:rPr>
                <w:rFonts w:cs="Times New Roman"/>
                <w:sz w:val="20"/>
                <w:szCs w:val="20"/>
              </w:rPr>
              <w:t>1.775</w:t>
            </w:r>
          </w:p>
        </w:tc>
        <w:tc>
          <w:tcPr>
            <w:tcW w:w="872" w:type="dxa"/>
            <w:tcBorders>
              <w:top w:val="single" w:sz="4" w:space="0" w:color="auto"/>
              <w:bottom w:val="single" w:sz="4" w:space="0" w:color="auto"/>
              <w:right w:val="double" w:sz="4" w:space="0" w:color="auto"/>
            </w:tcBorders>
            <w:shd w:val="clear" w:color="auto" w:fill="auto"/>
            <w:noWrap/>
            <w:vAlign w:val="center"/>
          </w:tcPr>
          <w:p w14:paraId="6B3BB5A8" w14:textId="77777777" w:rsidR="000D65BA" w:rsidRPr="00CC5E9F" w:rsidRDefault="000D65BA" w:rsidP="00AC31B4">
            <w:pPr>
              <w:jc w:val="center"/>
              <w:rPr>
                <w:rFonts w:cs="Times New Roman"/>
                <w:sz w:val="20"/>
                <w:szCs w:val="20"/>
              </w:rPr>
            </w:pPr>
            <w:r w:rsidRPr="00CC5E9F">
              <w:rPr>
                <w:rFonts w:cs="Times New Roman"/>
                <w:sz w:val="20"/>
                <w:szCs w:val="20"/>
              </w:rPr>
              <w:t>0.506</w:t>
            </w:r>
          </w:p>
        </w:tc>
      </w:tr>
      <w:tr w:rsidR="00613836" w:rsidRPr="00CC5E9F" w14:paraId="5291D310"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73CE096C" w14:textId="77777777" w:rsidR="000D65BA" w:rsidRPr="00CC5E9F" w:rsidRDefault="000D65BA" w:rsidP="00AC31B4">
            <w:pPr>
              <w:jc w:val="left"/>
              <w:rPr>
                <w:rFonts w:cs="Times New Roman"/>
                <w:sz w:val="20"/>
                <w:szCs w:val="20"/>
              </w:rPr>
            </w:pPr>
            <w:r w:rsidRPr="00CC5E9F">
              <w:rPr>
                <w:rFonts w:cs="Times New Roman"/>
                <w:sz w:val="20"/>
                <w:szCs w:val="20"/>
              </w:rPr>
              <w:t>Intersection density</w:t>
            </w:r>
          </w:p>
        </w:tc>
        <w:tc>
          <w:tcPr>
            <w:tcW w:w="3901" w:type="dxa"/>
            <w:tcBorders>
              <w:top w:val="single" w:sz="4" w:space="0" w:color="auto"/>
              <w:bottom w:val="single" w:sz="4" w:space="0" w:color="auto"/>
            </w:tcBorders>
            <w:vAlign w:val="center"/>
          </w:tcPr>
          <w:p w14:paraId="424C5D36" w14:textId="77777777" w:rsidR="000D65BA" w:rsidRPr="00CC5E9F" w:rsidRDefault="000D65BA" w:rsidP="00AC31B4">
            <w:pPr>
              <w:jc w:val="left"/>
              <w:rPr>
                <w:rFonts w:cs="Times New Roman"/>
                <w:sz w:val="20"/>
                <w:szCs w:val="20"/>
              </w:rPr>
            </w:pPr>
            <w:r w:rsidRPr="00CC5E9F">
              <w:rPr>
                <w:rFonts w:cs="Times New Roman"/>
                <w:sz w:val="20"/>
                <w:szCs w:val="20"/>
              </w:rPr>
              <w:t>No of intersections/ area of TAZ in acre</w:t>
            </w:r>
          </w:p>
        </w:tc>
        <w:tc>
          <w:tcPr>
            <w:tcW w:w="862" w:type="dxa"/>
            <w:tcBorders>
              <w:top w:val="single" w:sz="4" w:space="0" w:color="auto"/>
              <w:bottom w:val="single" w:sz="4" w:space="0" w:color="auto"/>
            </w:tcBorders>
            <w:shd w:val="clear" w:color="auto" w:fill="auto"/>
            <w:noWrap/>
            <w:vAlign w:val="center"/>
          </w:tcPr>
          <w:p w14:paraId="06A0A687"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5C214E93" w14:textId="77777777" w:rsidR="000D65BA" w:rsidRPr="00CC5E9F" w:rsidRDefault="000D65BA" w:rsidP="00AC31B4">
            <w:pPr>
              <w:jc w:val="center"/>
              <w:rPr>
                <w:rFonts w:cs="Times New Roman"/>
                <w:sz w:val="20"/>
                <w:szCs w:val="20"/>
              </w:rPr>
            </w:pPr>
            <w:r w:rsidRPr="00CC5E9F">
              <w:rPr>
                <w:rFonts w:cs="Times New Roman"/>
                <w:sz w:val="20"/>
                <w:szCs w:val="20"/>
              </w:rPr>
              <w:t>0.770</w:t>
            </w:r>
          </w:p>
        </w:tc>
        <w:tc>
          <w:tcPr>
            <w:tcW w:w="897" w:type="dxa"/>
            <w:tcBorders>
              <w:top w:val="single" w:sz="4" w:space="0" w:color="auto"/>
              <w:bottom w:val="single" w:sz="4" w:space="0" w:color="auto"/>
            </w:tcBorders>
            <w:shd w:val="clear" w:color="auto" w:fill="auto"/>
            <w:noWrap/>
            <w:vAlign w:val="center"/>
          </w:tcPr>
          <w:p w14:paraId="04D04CD3" w14:textId="77777777" w:rsidR="000D65BA" w:rsidRPr="00CC5E9F" w:rsidRDefault="000D65BA" w:rsidP="00AC31B4">
            <w:pPr>
              <w:jc w:val="center"/>
              <w:rPr>
                <w:rFonts w:cs="Times New Roman"/>
                <w:sz w:val="20"/>
                <w:szCs w:val="20"/>
              </w:rPr>
            </w:pPr>
            <w:r w:rsidRPr="00CC5E9F">
              <w:rPr>
                <w:rFonts w:cs="Times New Roman"/>
                <w:sz w:val="20"/>
                <w:szCs w:val="20"/>
              </w:rPr>
              <w:t>0.085</w:t>
            </w:r>
          </w:p>
        </w:tc>
        <w:tc>
          <w:tcPr>
            <w:tcW w:w="872" w:type="dxa"/>
            <w:tcBorders>
              <w:top w:val="single" w:sz="4" w:space="0" w:color="auto"/>
              <w:bottom w:val="single" w:sz="4" w:space="0" w:color="auto"/>
              <w:right w:val="double" w:sz="4" w:space="0" w:color="auto"/>
            </w:tcBorders>
            <w:shd w:val="clear" w:color="auto" w:fill="auto"/>
            <w:noWrap/>
            <w:vAlign w:val="center"/>
          </w:tcPr>
          <w:p w14:paraId="461FF1F3" w14:textId="77777777" w:rsidR="000D65BA" w:rsidRPr="00CC5E9F" w:rsidRDefault="000D65BA" w:rsidP="00AC31B4">
            <w:pPr>
              <w:jc w:val="center"/>
              <w:rPr>
                <w:rFonts w:cs="Times New Roman"/>
                <w:sz w:val="20"/>
                <w:szCs w:val="20"/>
              </w:rPr>
            </w:pPr>
            <w:r w:rsidRPr="00CC5E9F">
              <w:rPr>
                <w:rFonts w:cs="Times New Roman"/>
                <w:sz w:val="20"/>
                <w:szCs w:val="20"/>
              </w:rPr>
              <w:t>0.115</w:t>
            </w:r>
          </w:p>
        </w:tc>
      </w:tr>
      <w:tr w:rsidR="00613836" w:rsidRPr="00CC5E9F" w14:paraId="0A4C90C3"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3F5AFA35" w14:textId="77777777" w:rsidR="000D65BA" w:rsidRPr="00CC5E9F" w:rsidRDefault="000D65BA" w:rsidP="00AC31B4">
            <w:pPr>
              <w:jc w:val="left"/>
              <w:rPr>
                <w:rFonts w:cs="Times New Roman"/>
                <w:sz w:val="20"/>
                <w:szCs w:val="20"/>
              </w:rPr>
            </w:pPr>
            <w:r w:rsidRPr="00CC5E9F">
              <w:rPr>
                <w:rFonts w:cs="Times New Roman"/>
                <w:sz w:val="20"/>
                <w:szCs w:val="20"/>
              </w:rPr>
              <w:t>Traffic signal per intersection</w:t>
            </w:r>
          </w:p>
        </w:tc>
        <w:tc>
          <w:tcPr>
            <w:tcW w:w="3901" w:type="dxa"/>
            <w:tcBorders>
              <w:top w:val="single" w:sz="4" w:space="0" w:color="auto"/>
              <w:bottom w:val="single" w:sz="4" w:space="0" w:color="auto"/>
            </w:tcBorders>
            <w:vAlign w:val="center"/>
          </w:tcPr>
          <w:p w14:paraId="203DA497" w14:textId="77777777" w:rsidR="000D65BA" w:rsidRPr="00CC5E9F" w:rsidRDefault="000D65BA" w:rsidP="00AC31B4">
            <w:pPr>
              <w:jc w:val="left"/>
              <w:rPr>
                <w:rFonts w:cs="Times New Roman"/>
                <w:sz w:val="20"/>
                <w:szCs w:val="20"/>
              </w:rPr>
            </w:pPr>
            <w:r w:rsidRPr="00CC5E9F">
              <w:rPr>
                <w:rFonts w:cs="Times New Roman"/>
                <w:sz w:val="20"/>
                <w:szCs w:val="20"/>
              </w:rPr>
              <w:t>No of traffic signal/total no of intersections in the TAZ</w:t>
            </w:r>
          </w:p>
        </w:tc>
        <w:tc>
          <w:tcPr>
            <w:tcW w:w="862" w:type="dxa"/>
            <w:tcBorders>
              <w:top w:val="single" w:sz="4" w:space="0" w:color="auto"/>
              <w:bottom w:val="single" w:sz="4" w:space="0" w:color="auto"/>
            </w:tcBorders>
            <w:shd w:val="clear" w:color="auto" w:fill="auto"/>
            <w:noWrap/>
            <w:vAlign w:val="center"/>
          </w:tcPr>
          <w:p w14:paraId="77DFE674"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6398F9C8" w14:textId="77777777" w:rsidR="000D65BA" w:rsidRPr="00CC5E9F" w:rsidRDefault="000D65BA" w:rsidP="00AC31B4">
            <w:pPr>
              <w:jc w:val="center"/>
              <w:rPr>
                <w:rFonts w:cs="Times New Roman"/>
                <w:sz w:val="20"/>
                <w:szCs w:val="20"/>
              </w:rPr>
            </w:pPr>
            <w:r w:rsidRPr="00CC5E9F">
              <w:rPr>
                <w:rFonts w:cs="Times New Roman"/>
                <w:sz w:val="20"/>
                <w:szCs w:val="20"/>
              </w:rPr>
              <w:t>1.000</w:t>
            </w:r>
          </w:p>
        </w:tc>
        <w:tc>
          <w:tcPr>
            <w:tcW w:w="897" w:type="dxa"/>
            <w:tcBorders>
              <w:top w:val="single" w:sz="4" w:space="0" w:color="auto"/>
              <w:bottom w:val="single" w:sz="4" w:space="0" w:color="auto"/>
            </w:tcBorders>
            <w:shd w:val="clear" w:color="auto" w:fill="auto"/>
            <w:noWrap/>
            <w:vAlign w:val="center"/>
          </w:tcPr>
          <w:p w14:paraId="7EB3616B" w14:textId="77777777" w:rsidR="000D65BA" w:rsidRPr="00CC5E9F" w:rsidRDefault="000D65BA" w:rsidP="00AC31B4">
            <w:pPr>
              <w:jc w:val="center"/>
              <w:rPr>
                <w:rFonts w:cs="Times New Roman"/>
                <w:sz w:val="20"/>
                <w:szCs w:val="20"/>
              </w:rPr>
            </w:pPr>
            <w:r w:rsidRPr="00CC5E9F">
              <w:rPr>
                <w:rFonts w:cs="Times New Roman"/>
                <w:sz w:val="20"/>
                <w:szCs w:val="20"/>
              </w:rPr>
              <w:t>0.058</w:t>
            </w:r>
          </w:p>
        </w:tc>
        <w:tc>
          <w:tcPr>
            <w:tcW w:w="872" w:type="dxa"/>
            <w:tcBorders>
              <w:top w:val="single" w:sz="4" w:space="0" w:color="auto"/>
              <w:bottom w:val="single" w:sz="4" w:space="0" w:color="auto"/>
              <w:right w:val="double" w:sz="4" w:space="0" w:color="auto"/>
            </w:tcBorders>
            <w:shd w:val="clear" w:color="auto" w:fill="auto"/>
            <w:noWrap/>
            <w:vAlign w:val="center"/>
          </w:tcPr>
          <w:p w14:paraId="42AD3810" w14:textId="77777777" w:rsidR="000D65BA" w:rsidRPr="00CC5E9F" w:rsidRDefault="000D65BA" w:rsidP="00AC31B4">
            <w:pPr>
              <w:jc w:val="center"/>
              <w:rPr>
                <w:rFonts w:cs="Times New Roman"/>
                <w:sz w:val="20"/>
                <w:szCs w:val="20"/>
              </w:rPr>
            </w:pPr>
            <w:r w:rsidRPr="00CC5E9F">
              <w:rPr>
                <w:rFonts w:cs="Times New Roman"/>
                <w:sz w:val="20"/>
                <w:szCs w:val="20"/>
              </w:rPr>
              <w:t>0.106</w:t>
            </w:r>
          </w:p>
        </w:tc>
      </w:tr>
      <w:tr w:rsidR="00613836" w:rsidRPr="00CC5E9F" w14:paraId="6DE3022D"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365A3F3D" w14:textId="77777777" w:rsidR="000D65BA" w:rsidRPr="00CC5E9F" w:rsidRDefault="000D65BA" w:rsidP="00AC31B4">
            <w:pPr>
              <w:jc w:val="left"/>
              <w:rPr>
                <w:rFonts w:cs="Times New Roman"/>
                <w:sz w:val="20"/>
                <w:szCs w:val="20"/>
              </w:rPr>
            </w:pPr>
            <w:r w:rsidRPr="00CC5E9F">
              <w:rPr>
                <w:rFonts w:cs="Times New Roman"/>
                <w:sz w:val="20"/>
                <w:szCs w:val="20"/>
              </w:rPr>
              <w:t>AADT</w:t>
            </w:r>
          </w:p>
        </w:tc>
        <w:tc>
          <w:tcPr>
            <w:tcW w:w="3901" w:type="dxa"/>
            <w:tcBorders>
              <w:top w:val="single" w:sz="4" w:space="0" w:color="auto"/>
              <w:bottom w:val="single" w:sz="4" w:space="0" w:color="auto"/>
            </w:tcBorders>
            <w:vAlign w:val="center"/>
          </w:tcPr>
          <w:p w14:paraId="3F38DC0E" w14:textId="77777777" w:rsidR="000D65BA" w:rsidRPr="00CC5E9F" w:rsidRDefault="000D65BA" w:rsidP="00AC31B4">
            <w:pPr>
              <w:jc w:val="left"/>
              <w:rPr>
                <w:rFonts w:cs="Times New Roman"/>
                <w:sz w:val="20"/>
                <w:szCs w:val="20"/>
              </w:rPr>
            </w:pPr>
            <w:r w:rsidRPr="00CC5E9F">
              <w:rPr>
                <w:rFonts w:cs="Times New Roman"/>
                <w:sz w:val="20"/>
                <w:szCs w:val="20"/>
              </w:rPr>
              <w:t>Ln (AADT of TAZ + 1)</w:t>
            </w:r>
          </w:p>
        </w:tc>
        <w:tc>
          <w:tcPr>
            <w:tcW w:w="862" w:type="dxa"/>
            <w:tcBorders>
              <w:top w:val="single" w:sz="4" w:space="0" w:color="auto"/>
              <w:bottom w:val="single" w:sz="4" w:space="0" w:color="auto"/>
            </w:tcBorders>
            <w:shd w:val="clear" w:color="auto" w:fill="auto"/>
            <w:noWrap/>
            <w:vAlign w:val="center"/>
          </w:tcPr>
          <w:p w14:paraId="035ED736"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6872E917" w14:textId="77777777" w:rsidR="000D65BA" w:rsidRPr="00CC5E9F" w:rsidRDefault="000D65BA" w:rsidP="00AC31B4">
            <w:pPr>
              <w:jc w:val="center"/>
              <w:rPr>
                <w:rFonts w:cs="Times New Roman"/>
                <w:sz w:val="20"/>
                <w:szCs w:val="20"/>
              </w:rPr>
            </w:pPr>
            <w:r w:rsidRPr="00CC5E9F">
              <w:rPr>
                <w:rFonts w:cs="Times New Roman"/>
                <w:sz w:val="20"/>
                <w:szCs w:val="20"/>
              </w:rPr>
              <w:t>13.507</w:t>
            </w:r>
          </w:p>
        </w:tc>
        <w:tc>
          <w:tcPr>
            <w:tcW w:w="897" w:type="dxa"/>
            <w:tcBorders>
              <w:top w:val="single" w:sz="4" w:space="0" w:color="auto"/>
              <w:bottom w:val="single" w:sz="4" w:space="0" w:color="auto"/>
            </w:tcBorders>
            <w:shd w:val="clear" w:color="auto" w:fill="auto"/>
            <w:noWrap/>
            <w:vAlign w:val="center"/>
          </w:tcPr>
          <w:p w14:paraId="1B64F338" w14:textId="77777777" w:rsidR="000D65BA" w:rsidRPr="00CC5E9F" w:rsidRDefault="000D65BA" w:rsidP="00AC31B4">
            <w:pPr>
              <w:jc w:val="center"/>
              <w:rPr>
                <w:rFonts w:cs="Times New Roman"/>
                <w:sz w:val="20"/>
                <w:szCs w:val="20"/>
              </w:rPr>
            </w:pPr>
            <w:r w:rsidRPr="00CC5E9F">
              <w:rPr>
                <w:rFonts w:cs="Times New Roman"/>
                <w:sz w:val="20"/>
                <w:szCs w:val="20"/>
              </w:rPr>
              <w:t>11.189</w:t>
            </w:r>
          </w:p>
        </w:tc>
        <w:tc>
          <w:tcPr>
            <w:tcW w:w="872" w:type="dxa"/>
            <w:tcBorders>
              <w:top w:val="single" w:sz="4" w:space="0" w:color="auto"/>
              <w:bottom w:val="single" w:sz="4" w:space="0" w:color="auto"/>
              <w:right w:val="double" w:sz="4" w:space="0" w:color="auto"/>
            </w:tcBorders>
            <w:shd w:val="clear" w:color="auto" w:fill="auto"/>
            <w:noWrap/>
            <w:vAlign w:val="center"/>
          </w:tcPr>
          <w:p w14:paraId="0AD37959" w14:textId="77777777" w:rsidR="000D65BA" w:rsidRPr="00CC5E9F" w:rsidRDefault="000D65BA" w:rsidP="00AC31B4">
            <w:pPr>
              <w:jc w:val="center"/>
              <w:rPr>
                <w:rFonts w:cs="Times New Roman"/>
                <w:sz w:val="20"/>
                <w:szCs w:val="20"/>
              </w:rPr>
            </w:pPr>
            <w:r w:rsidRPr="00CC5E9F">
              <w:rPr>
                <w:rFonts w:cs="Times New Roman"/>
                <w:sz w:val="20"/>
                <w:szCs w:val="20"/>
              </w:rPr>
              <w:t>1.864</w:t>
            </w:r>
          </w:p>
        </w:tc>
      </w:tr>
      <w:tr w:rsidR="00613836" w:rsidRPr="00CC5E9F" w14:paraId="72D89DD4"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38D7770D" w14:textId="77777777" w:rsidR="000D65BA" w:rsidRPr="00CC5E9F" w:rsidRDefault="000D65BA" w:rsidP="00AC31B4">
            <w:pPr>
              <w:jc w:val="left"/>
              <w:rPr>
                <w:rFonts w:cs="Times New Roman"/>
                <w:sz w:val="20"/>
                <w:szCs w:val="20"/>
              </w:rPr>
            </w:pPr>
            <w:r w:rsidRPr="00CC5E9F">
              <w:rPr>
                <w:rFonts w:cs="Times New Roman"/>
                <w:sz w:val="20"/>
                <w:szCs w:val="20"/>
              </w:rPr>
              <w:t>Truck AADT</w:t>
            </w:r>
          </w:p>
        </w:tc>
        <w:tc>
          <w:tcPr>
            <w:tcW w:w="3901" w:type="dxa"/>
            <w:tcBorders>
              <w:top w:val="single" w:sz="4" w:space="0" w:color="auto"/>
              <w:bottom w:val="single" w:sz="4" w:space="0" w:color="auto"/>
            </w:tcBorders>
            <w:vAlign w:val="center"/>
          </w:tcPr>
          <w:p w14:paraId="3CFF0D8E" w14:textId="77777777" w:rsidR="000D65BA" w:rsidRPr="00CC5E9F" w:rsidRDefault="000D65BA" w:rsidP="00AC31B4">
            <w:pPr>
              <w:jc w:val="left"/>
              <w:rPr>
                <w:rFonts w:cs="Times New Roman"/>
                <w:sz w:val="20"/>
                <w:szCs w:val="20"/>
              </w:rPr>
            </w:pPr>
            <w:r w:rsidRPr="00CC5E9F">
              <w:rPr>
                <w:rFonts w:cs="Times New Roman"/>
                <w:sz w:val="20"/>
                <w:szCs w:val="20"/>
              </w:rPr>
              <w:t>Ln (Truck AADT of TAZ + 1)</w:t>
            </w:r>
          </w:p>
        </w:tc>
        <w:tc>
          <w:tcPr>
            <w:tcW w:w="862" w:type="dxa"/>
            <w:tcBorders>
              <w:top w:val="single" w:sz="4" w:space="0" w:color="auto"/>
              <w:bottom w:val="single" w:sz="4" w:space="0" w:color="auto"/>
            </w:tcBorders>
            <w:shd w:val="clear" w:color="auto" w:fill="auto"/>
            <w:noWrap/>
            <w:vAlign w:val="center"/>
          </w:tcPr>
          <w:p w14:paraId="1FB7E6A4"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6D17E430" w14:textId="77777777" w:rsidR="000D65BA" w:rsidRPr="00CC5E9F" w:rsidRDefault="000D65BA" w:rsidP="00AC31B4">
            <w:pPr>
              <w:jc w:val="center"/>
              <w:rPr>
                <w:rFonts w:cs="Times New Roman"/>
                <w:sz w:val="20"/>
                <w:szCs w:val="20"/>
              </w:rPr>
            </w:pPr>
            <w:r w:rsidRPr="00CC5E9F">
              <w:rPr>
                <w:rFonts w:cs="Times New Roman"/>
                <w:sz w:val="20"/>
                <w:szCs w:val="20"/>
              </w:rPr>
              <w:t>11.302</w:t>
            </w:r>
          </w:p>
        </w:tc>
        <w:tc>
          <w:tcPr>
            <w:tcW w:w="897" w:type="dxa"/>
            <w:tcBorders>
              <w:top w:val="single" w:sz="4" w:space="0" w:color="auto"/>
              <w:bottom w:val="single" w:sz="4" w:space="0" w:color="auto"/>
            </w:tcBorders>
            <w:shd w:val="clear" w:color="auto" w:fill="auto"/>
            <w:noWrap/>
            <w:vAlign w:val="center"/>
          </w:tcPr>
          <w:p w14:paraId="4899F1A2" w14:textId="77777777" w:rsidR="000D65BA" w:rsidRPr="00CC5E9F" w:rsidRDefault="000D65BA" w:rsidP="00AC31B4">
            <w:pPr>
              <w:jc w:val="center"/>
              <w:rPr>
                <w:rFonts w:cs="Times New Roman"/>
                <w:sz w:val="20"/>
                <w:szCs w:val="20"/>
              </w:rPr>
            </w:pPr>
            <w:r w:rsidRPr="00CC5E9F">
              <w:rPr>
                <w:rFonts w:cs="Times New Roman"/>
                <w:sz w:val="20"/>
                <w:szCs w:val="20"/>
              </w:rPr>
              <w:t>8.326</w:t>
            </w:r>
          </w:p>
        </w:tc>
        <w:tc>
          <w:tcPr>
            <w:tcW w:w="872" w:type="dxa"/>
            <w:tcBorders>
              <w:top w:val="single" w:sz="4" w:space="0" w:color="auto"/>
              <w:bottom w:val="single" w:sz="4" w:space="0" w:color="auto"/>
              <w:right w:val="double" w:sz="4" w:space="0" w:color="auto"/>
            </w:tcBorders>
            <w:shd w:val="clear" w:color="auto" w:fill="auto"/>
            <w:noWrap/>
            <w:vAlign w:val="center"/>
          </w:tcPr>
          <w:p w14:paraId="54D7B8C7" w14:textId="77777777" w:rsidR="000D65BA" w:rsidRPr="00CC5E9F" w:rsidRDefault="000D65BA" w:rsidP="00AC31B4">
            <w:pPr>
              <w:jc w:val="center"/>
              <w:rPr>
                <w:rFonts w:cs="Times New Roman"/>
                <w:sz w:val="20"/>
                <w:szCs w:val="20"/>
              </w:rPr>
            </w:pPr>
            <w:r w:rsidRPr="00CC5E9F">
              <w:rPr>
                <w:rFonts w:cs="Times New Roman"/>
                <w:sz w:val="20"/>
                <w:szCs w:val="20"/>
              </w:rPr>
              <w:t>1.613</w:t>
            </w:r>
          </w:p>
        </w:tc>
      </w:tr>
      <w:tr w:rsidR="00613836" w:rsidRPr="00CC5E9F" w14:paraId="7A814D17"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7B2BD1A9" w14:textId="7A08E235" w:rsidR="000D65BA" w:rsidRPr="00CC5E9F" w:rsidRDefault="000D65BA" w:rsidP="00AC31B4">
            <w:pPr>
              <w:jc w:val="left"/>
              <w:rPr>
                <w:rFonts w:cs="Times New Roman"/>
                <w:sz w:val="20"/>
                <w:szCs w:val="20"/>
              </w:rPr>
            </w:pPr>
            <w:r w:rsidRPr="00CC5E9F">
              <w:rPr>
                <w:rFonts w:cs="Times New Roman"/>
                <w:sz w:val="20"/>
                <w:szCs w:val="20"/>
              </w:rPr>
              <w:t>Proportion of heavy vehicle</w:t>
            </w:r>
          </w:p>
        </w:tc>
        <w:tc>
          <w:tcPr>
            <w:tcW w:w="3901" w:type="dxa"/>
            <w:tcBorders>
              <w:top w:val="single" w:sz="4" w:space="0" w:color="auto"/>
              <w:bottom w:val="single" w:sz="4" w:space="0" w:color="auto"/>
            </w:tcBorders>
            <w:vAlign w:val="center"/>
          </w:tcPr>
          <w:p w14:paraId="5B174624" w14:textId="77777777" w:rsidR="000D65BA" w:rsidRPr="00CC5E9F" w:rsidRDefault="000D65BA" w:rsidP="00AC31B4">
            <w:pPr>
              <w:jc w:val="left"/>
              <w:rPr>
                <w:rFonts w:cs="Times New Roman"/>
                <w:sz w:val="20"/>
                <w:szCs w:val="20"/>
              </w:rPr>
            </w:pPr>
            <w:r w:rsidRPr="00CC5E9F">
              <w:rPr>
                <w:rFonts w:cs="Times New Roman"/>
                <w:sz w:val="20"/>
                <w:szCs w:val="20"/>
              </w:rPr>
              <w:t>Total truck AADT/total AADT</w:t>
            </w:r>
          </w:p>
        </w:tc>
        <w:tc>
          <w:tcPr>
            <w:tcW w:w="862" w:type="dxa"/>
            <w:tcBorders>
              <w:top w:val="single" w:sz="4" w:space="0" w:color="auto"/>
              <w:bottom w:val="single" w:sz="4" w:space="0" w:color="auto"/>
            </w:tcBorders>
            <w:shd w:val="clear" w:color="auto" w:fill="auto"/>
            <w:noWrap/>
            <w:vAlign w:val="center"/>
          </w:tcPr>
          <w:p w14:paraId="26EAB5C3"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154BB5C9" w14:textId="77777777" w:rsidR="000D65BA" w:rsidRPr="00CC5E9F" w:rsidRDefault="000D65BA" w:rsidP="00AC31B4">
            <w:pPr>
              <w:jc w:val="center"/>
              <w:rPr>
                <w:rFonts w:cs="Times New Roman"/>
                <w:sz w:val="20"/>
                <w:szCs w:val="20"/>
              </w:rPr>
            </w:pPr>
            <w:r w:rsidRPr="00CC5E9F">
              <w:rPr>
                <w:rFonts w:cs="Times New Roman"/>
                <w:sz w:val="20"/>
                <w:szCs w:val="20"/>
              </w:rPr>
              <w:t>0.170</w:t>
            </w:r>
          </w:p>
        </w:tc>
        <w:tc>
          <w:tcPr>
            <w:tcW w:w="897" w:type="dxa"/>
            <w:tcBorders>
              <w:top w:val="single" w:sz="4" w:space="0" w:color="auto"/>
              <w:bottom w:val="single" w:sz="4" w:space="0" w:color="auto"/>
            </w:tcBorders>
            <w:shd w:val="clear" w:color="auto" w:fill="auto"/>
            <w:noWrap/>
            <w:vAlign w:val="center"/>
          </w:tcPr>
          <w:p w14:paraId="14899F7D" w14:textId="77777777" w:rsidR="000D65BA" w:rsidRPr="00CC5E9F" w:rsidRDefault="000D65BA" w:rsidP="00AC31B4">
            <w:pPr>
              <w:jc w:val="center"/>
              <w:rPr>
                <w:rFonts w:cs="Times New Roman"/>
                <w:sz w:val="20"/>
                <w:szCs w:val="20"/>
              </w:rPr>
            </w:pPr>
            <w:r w:rsidRPr="00CC5E9F">
              <w:rPr>
                <w:rFonts w:cs="Times New Roman"/>
                <w:sz w:val="20"/>
                <w:szCs w:val="20"/>
              </w:rPr>
              <w:t>0.056</w:t>
            </w:r>
          </w:p>
        </w:tc>
        <w:tc>
          <w:tcPr>
            <w:tcW w:w="872" w:type="dxa"/>
            <w:tcBorders>
              <w:top w:val="single" w:sz="4" w:space="0" w:color="auto"/>
              <w:bottom w:val="single" w:sz="4" w:space="0" w:color="auto"/>
              <w:right w:val="double" w:sz="4" w:space="0" w:color="auto"/>
            </w:tcBorders>
            <w:shd w:val="clear" w:color="auto" w:fill="auto"/>
            <w:noWrap/>
            <w:vAlign w:val="center"/>
          </w:tcPr>
          <w:p w14:paraId="7EB82C1D" w14:textId="77777777" w:rsidR="000D65BA" w:rsidRPr="00CC5E9F" w:rsidRDefault="000D65BA" w:rsidP="00AC31B4">
            <w:pPr>
              <w:jc w:val="center"/>
              <w:rPr>
                <w:rFonts w:cs="Times New Roman"/>
                <w:sz w:val="20"/>
                <w:szCs w:val="20"/>
              </w:rPr>
            </w:pPr>
            <w:r w:rsidRPr="00CC5E9F">
              <w:rPr>
                <w:rFonts w:cs="Times New Roman"/>
                <w:sz w:val="20"/>
                <w:szCs w:val="20"/>
              </w:rPr>
              <w:t>0.024</w:t>
            </w:r>
          </w:p>
        </w:tc>
      </w:tr>
      <w:tr w:rsidR="00613836" w:rsidRPr="00CC5E9F" w14:paraId="4E6E90D0"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4D777599" w14:textId="77777777" w:rsidR="000D65BA" w:rsidRPr="00CC5E9F" w:rsidRDefault="000D65BA" w:rsidP="00AC31B4">
            <w:pPr>
              <w:jc w:val="left"/>
              <w:rPr>
                <w:rFonts w:cs="Times New Roman"/>
                <w:sz w:val="20"/>
                <w:szCs w:val="20"/>
              </w:rPr>
            </w:pPr>
            <w:r w:rsidRPr="00CC5E9F">
              <w:rPr>
                <w:rFonts w:cs="Times New Roman"/>
                <w:sz w:val="20"/>
                <w:szCs w:val="20"/>
              </w:rPr>
              <w:t>Proportion of residential area</w:t>
            </w:r>
          </w:p>
        </w:tc>
        <w:tc>
          <w:tcPr>
            <w:tcW w:w="3901" w:type="dxa"/>
            <w:tcBorders>
              <w:top w:val="single" w:sz="4" w:space="0" w:color="auto"/>
              <w:bottom w:val="single" w:sz="4" w:space="0" w:color="auto"/>
            </w:tcBorders>
            <w:vAlign w:val="center"/>
          </w:tcPr>
          <w:p w14:paraId="7AE74D5D" w14:textId="77777777" w:rsidR="000D65BA" w:rsidRPr="00CC5E9F" w:rsidRDefault="000D65BA" w:rsidP="00AC31B4">
            <w:pPr>
              <w:jc w:val="left"/>
              <w:rPr>
                <w:rFonts w:cs="Times New Roman"/>
                <w:sz w:val="20"/>
                <w:szCs w:val="20"/>
              </w:rPr>
            </w:pPr>
            <w:r w:rsidRPr="00CC5E9F">
              <w:rPr>
                <w:rFonts w:cs="Times New Roman"/>
                <w:sz w:val="20"/>
                <w:szCs w:val="20"/>
              </w:rPr>
              <w:t>Residential area/total land-use area</w:t>
            </w:r>
          </w:p>
        </w:tc>
        <w:tc>
          <w:tcPr>
            <w:tcW w:w="862" w:type="dxa"/>
            <w:tcBorders>
              <w:top w:val="single" w:sz="4" w:space="0" w:color="auto"/>
              <w:bottom w:val="single" w:sz="4" w:space="0" w:color="auto"/>
            </w:tcBorders>
            <w:shd w:val="clear" w:color="auto" w:fill="auto"/>
            <w:noWrap/>
            <w:vAlign w:val="center"/>
          </w:tcPr>
          <w:p w14:paraId="168FE060"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289F7275" w14:textId="77777777" w:rsidR="000D65BA" w:rsidRPr="00CC5E9F" w:rsidRDefault="000D65BA" w:rsidP="00AC31B4">
            <w:pPr>
              <w:jc w:val="center"/>
              <w:rPr>
                <w:rFonts w:cs="Times New Roman"/>
                <w:sz w:val="20"/>
                <w:szCs w:val="20"/>
              </w:rPr>
            </w:pPr>
            <w:r w:rsidRPr="00CC5E9F">
              <w:rPr>
                <w:rFonts w:cs="Times New Roman"/>
                <w:sz w:val="20"/>
                <w:szCs w:val="20"/>
              </w:rPr>
              <w:t>0.989</w:t>
            </w:r>
          </w:p>
        </w:tc>
        <w:tc>
          <w:tcPr>
            <w:tcW w:w="897" w:type="dxa"/>
            <w:tcBorders>
              <w:top w:val="single" w:sz="4" w:space="0" w:color="auto"/>
              <w:bottom w:val="single" w:sz="4" w:space="0" w:color="auto"/>
            </w:tcBorders>
            <w:shd w:val="clear" w:color="auto" w:fill="auto"/>
            <w:noWrap/>
            <w:vAlign w:val="center"/>
          </w:tcPr>
          <w:p w14:paraId="07F6B319" w14:textId="77777777" w:rsidR="000D65BA" w:rsidRPr="00CC5E9F" w:rsidRDefault="000D65BA" w:rsidP="00AC31B4">
            <w:pPr>
              <w:jc w:val="center"/>
              <w:rPr>
                <w:rFonts w:cs="Times New Roman"/>
                <w:sz w:val="20"/>
                <w:szCs w:val="20"/>
              </w:rPr>
            </w:pPr>
            <w:r w:rsidRPr="00CC5E9F">
              <w:rPr>
                <w:rFonts w:cs="Times New Roman"/>
                <w:sz w:val="20"/>
                <w:szCs w:val="20"/>
              </w:rPr>
              <w:t>0.412</w:t>
            </w:r>
          </w:p>
        </w:tc>
        <w:tc>
          <w:tcPr>
            <w:tcW w:w="872" w:type="dxa"/>
            <w:tcBorders>
              <w:top w:val="single" w:sz="4" w:space="0" w:color="auto"/>
              <w:bottom w:val="single" w:sz="4" w:space="0" w:color="auto"/>
              <w:right w:val="double" w:sz="4" w:space="0" w:color="auto"/>
            </w:tcBorders>
            <w:shd w:val="clear" w:color="auto" w:fill="auto"/>
            <w:noWrap/>
            <w:vAlign w:val="center"/>
          </w:tcPr>
          <w:p w14:paraId="1E41693A" w14:textId="77777777" w:rsidR="000D65BA" w:rsidRPr="00CC5E9F" w:rsidRDefault="000D65BA" w:rsidP="00AC31B4">
            <w:pPr>
              <w:jc w:val="center"/>
              <w:rPr>
                <w:rFonts w:cs="Times New Roman"/>
                <w:sz w:val="20"/>
                <w:szCs w:val="20"/>
              </w:rPr>
            </w:pPr>
            <w:r w:rsidRPr="00CC5E9F">
              <w:rPr>
                <w:rFonts w:cs="Times New Roman"/>
                <w:sz w:val="20"/>
                <w:szCs w:val="20"/>
              </w:rPr>
              <w:t>0.326</w:t>
            </w:r>
          </w:p>
        </w:tc>
      </w:tr>
      <w:tr w:rsidR="00613836" w:rsidRPr="00CC5E9F" w14:paraId="7CE85DAD"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02B664FE" w14:textId="77777777" w:rsidR="000D65BA" w:rsidRPr="00CC5E9F" w:rsidRDefault="000D65BA" w:rsidP="00AC31B4">
            <w:pPr>
              <w:jc w:val="left"/>
              <w:rPr>
                <w:rFonts w:cs="Times New Roman"/>
                <w:sz w:val="20"/>
                <w:szCs w:val="20"/>
              </w:rPr>
            </w:pPr>
            <w:r w:rsidRPr="00CC5E9F">
              <w:rPr>
                <w:rFonts w:cs="Times New Roman"/>
                <w:sz w:val="20"/>
                <w:szCs w:val="20"/>
              </w:rPr>
              <w:t>Proportion of commercial area</w:t>
            </w:r>
          </w:p>
        </w:tc>
        <w:tc>
          <w:tcPr>
            <w:tcW w:w="3901" w:type="dxa"/>
            <w:tcBorders>
              <w:top w:val="single" w:sz="4" w:space="0" w:color="auto"/>
              <w:bottom w:val="single" w:sz="4" w:space="0" w:color="auto"/>
            </w:tcBorders>
            <w:vAlign w:val="center"/>
          </w:tcPr>
          <w:p w14:paraId="2A4D0731" w14:textId="77777777" w:rsidR="000D65BA" w:rsidRPr="00CC5E9F" w:rsidRDefault="000D65BA" w:rsidP="00AC31B4">
            <w:pPr>
              <w:jc w:val="left"/>
              <w:rPr>
                <w:rFonts w:cs="Times New Roman"/>
                <w:sz w:val="20"/>
                <w:szCs w:val="20"/>
              </w:rPr>
            </w:pPr>
            <w:r w:rsidRPr="00CC5E9F">
              <w:rPr>
                <w:rFonts w:cs="Times New Roman"/>
                <w:sz w:val="20"/>
                <w:szCs w:val="20"/>
              </w:rPr>
              <w:t>Commercial area/ total land-use area</w:t>
            </w:r>
          </w:p>
        </w:tc>
        <w:tc>
          <w:tcPr>
            <w:tcW w:w="862" w:type="dxa"/>
            <w:tcBorders>
              <w:top w:val="single" w:sz="4" w:space="0" w:color="auto"/>
              <w:bottom w:val="single" w:sz="4" w:space="0" w:color="auto"/>
            </w:tcBorders>
            <w:shd w:val="clear" w:color="auto" w:fill="auto"/>
            <w:noWrap/>
            <w:vAlign w:val="center"/>
          </w:tcPr>
          <w:p w14:paraId="6819AF01"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3C5B9FCA" w14:textId="77777777" w:rsidR="000D65BA" w:rsidRPr="00CC5E9F" w:rsidRDefault="000D65BA" w:rsidP="00AC31B4">
            <w:pPr>
              <w:jc w:val="center"/>
              <w:rPr>
                <w:rFonts w:cs="Times New Roman"/>
                <w:sz w:val="20"/>
                <w:szCs w:val="20"/>
              </w:rPr>
            </w:pPr>
            <w:r w:rsidRPr="00CC5E9F">
              <w:rPr>
                <w:rFonts w:cs="Times New Roman"/>
                <w:sz w:val="20"/>
                <w:szCs w:val="20"/>
              </w:rPr>
              <w:t>1.000</w:t>
            </w:r>
          </w:p>
        </w:tc>
        <w:tc>
          <w:tcPr>
            <w:tcW w:w="897" w:type="dxa"/>
            <w:tcBorders>
              <w:top w:val="single" w:sz="4" w:space="0" w:color="auto"/>
              <w:bottom w:val="single" w:sz="4" w:space="0" w:color="auto"/>
            </w:tcBorders>
            <w:shd w:val="clear" w:color="auto" w:fill="auto"/>
            <w:noWrap/>
            <w:vAlign w:val="center"/>
          </w:tcPr>
          <w:p w14:paraId="220DEDD6" w14:textId="77777777" w:rsidR="000D65BA" w:rsidRPr="00CC5E9F" w:rsidRDefault="000D65BA" w:rsidP="00AC31B4">
            <w:pPr>
              <w:jc w:val="center"/>
              <w:rPr>
                <w:rFonts w:cs="Times New Roman"/>
                <w:sz w:val="20"/>
                <w:szCs w:val="20"/>
              </w:rPr>
            </w:pPr>
            <w:r w:rsidRPr="00CC5E9F">
              <w:rPr>
                <w:rFonts w:cs="Times New Roman"/>
                <w:sz w:val="20"/>
                <w:szCs w:val="20"/>
              </w:rPr>
              <w:t>0.203</w:t>
            </w:r>
          </w:p>
        </w:tc>
        <w:tc>
          <w:tcPr>
            <w:tcW w:w="872" w:type="dxa"/>
            <w:tcBorders>
              <w:top w:val="single" w:sz="4" w:space="0" w:color="auto"/>
              <w:bottom w:val="single" w:sz="4" w:space="0" w:color="auto"/>
              <w:right w:val="double" w:sz="4" w:space="0" w:color="auto"/>
            </w:tcBorders>
            <w:shd w:val="clear" w:color="auto" w:fill="auto"/>
            <w:noWrap/>
            <w:vAlign w:val="center"/>
          </w:tcPr>
          <w:p w14:paraId="0B6A0256" w14:textId="77777777" w:rsidR="000D65BA" w:rsidRPr="00CC5E9F" w:rsidRDefault="000D65BA" w:rsidP="00AC31B4">
            <w:pPr>
              <w:jc w:val="center"/>
              <w:rPr>
                <w:rFonts w:cs="Times New Roman"/>
                <w:sz w:val="20"/>
                <w:szCs w:val="20"/>
              </w:rPr>
            </w:pPr>
            <w:r w:rsidRPr="00CC5E9F">
              <w:rPr>
                <w:rFonts w:cs="Times New Roman"/>
                <w:sz w:val="20"/>
                <w:szCs w:val="20"/>
              </w:rPr>
              <w:t>0.248</w:t>
            </w:r>
          </w:p>
        </w:tc>
      </w:tr>
      <w:tr w:rsidR="00613836" w:rsidRPr="00CC5E9F" w14:paraId="26868A79"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795EBE24" w14:textId="73227CE1" w:rsidR="000D65BA" w:rsidRPr="00CC5E9F" w:rsidRDefault="000D65BA" w:rsidP="00AC31B4">
            <w:pPr>
              <w:jc w:val="left"/>
              <w:rPr>
                <w:rFonts w:cs="Times New Roman"/>
                <w:sz w:val="20"/>
                <w:szCs w:val="20"/>
              </w:rPr>
            </w:pPr>
            <w:r w:rsidRPr="00CC5E9F">
              <w:rPr>
                <w:rFonts w:cs="Times New Roman"/>
                <w:sz w:val="20"/>
                <w:szCs w:val="20"/>
              </w:rPr>
              <w:t>No of restaurant</w:t>
            </w:r>
            <w:r w:rsidR="00590935" w:rsidRPr="00CC5E9F">
              <w:rPr>
                <w:rFonts w:cs="Times New Roman"/>
                <w:sz w:val="20"/>
                <w:szCs w:val="20"/>
              </w:rPr>
              <w:t>s</w:t>
            </w:r>
          </w:p>
        </w:tc>
        <w:tc>
          <w:tcPr>
            <w:tcW w:w="3901" w:type="dxa"/>
            <w:tcBorders>
              <w:top w:val="single" w:sz="4" w:space="0" w:color="auto"/>
              <w:bottom w:val="single" w:sz="4" w:space="0" w:color="auto"/>
            </w:tcBorders>
            <w:vAlign w:val="center"/>
          </w:tcPr>
          <w:p w14:paraId="42B15481" w14:textId="7AA0AA80" w:rsidR="000D65BA" w:rsidRPr="00CC5E9F" w:rsidRDefault="000D65BA" w:rsidP="00AC31B4">
            <w:pPr>
              <w:jc w:val="left"/>
              <w:rPr>
                <w:rFonts w:cs="Times New Roman"/>
                <w:sz w:val="20"/>
                <w:szCs w:val="20"/>
              </w:rPr>
            </w:pPr>
            <w:r w:rsidRPr="00CC5E9F">
              <w:rPr>
                <w:rFonts w:cs="Times New Roman"/>
                <w:sz w:val="20"/>
                <w:szCs w:val="20"/>
              </w:rPr>
              <w:t>Z score*: No of restaurant</w:t>
            </w:r>
            <w:r w:rsidR="00C070F3" w:rsidRPr="00CC5E9F">
              <w:rPr>
                <w:rFonts w:cs="Times New Roman"/>
                <w:sz w:val="20"/>
                <w:szCs w:val="20"/>
              </w:rPr>
              <w:t>s</w:t>
            </w:r>
          </w:p>
        </w:tc>
        <w:tc>
          <w:tcPr>
            <w:tcW w:w="862" w:type="dxa"/>
            <w:tcBorders>
              <w:top w:val="single" w:sz="4" w:space="0" w:color="auto"/>
              <w:bottom w:val="single" w:sz="4" w:space="0" w:color="auto"/>
            </w:tcBorders>
            <w:shd w:val="clear" w:color="auto" w:fill="auto"/>
            <w:noWrap/>
            <w:vAlign w:val="center"/>
          </w:tcPr>
          <w:p w14:paraId="2803A238" w14:textId="77777777" w:rsidR="000D65BA" w:rsidRPr="00CC5E9F" w:rsidRDefault="000D65BA" w:rsidP="00AC31B4">
            <w:pPr>
              <w:jc w:val="center"/>
              <w:rPr>
                <w:rFonts w:cs="Times New Roman"/>
                <w:sz w:val="20"/>
                <w:szCs w:val="20"/>
              </w:rPr>
            </w:pPr>
            <w:r w:rsidRPr="00CC5E9F">
              <w:rPr>
                <w:rFonts w:cs="Times New Roman"/>
                <w:sz w:val="20"/>
                <w:szCs w:val="20"/>
              </w:rPr>
              <w:t>-0.597</w:t>
            </w:r>
          </w:p>
        </w:tc>
        <w:tc>
          <w:tcPr>
            <w:tcW w:w="872" w:type="dxa"/>
            <w:tcBorders>
              <w:top w:val="single" w:sz="4" w:space="0" w:color="auto"/>
              <w:bottom w:val="single" w:sz="4" w:space="0" w:color="auto"/>
            </w:tcBorders>
            <w:shd w:val="clear" w:color="auto" w:fill="auto"/>
            <w:noWrap/>
            <w:vAlign w:val="center"/>
          </w:tcPr>
          <w:p w14:paraId="2E731184" w14:textId="77777777" w:rsidR="000D65BA" w:rsidRPr="00CC5E9F" w:rsidRDefault="000D65BA" w:rsidP="00AC31B4">
            <w:pPr>
              <w:jc w:val="center"/>
              <w:rPr>
                <w:rFonts w:cs="Times New Roman"/>
                <w:sz w:val="20"/>
                <w:szCs w:val="20"/>
              </w:rPr>
            </w:pPr>
            <w:r w:rsidRPr="00CC5E9F">
              <w:rPr>
                <w:rFonts w:cs="Times New Roman"/>
                <w:sz w:val="20"/>
                <w:szCs w:val="20"/>
              </w:rPr>
              <w:t>6.690</w:t>
            </w:r>
          </w:p>
        </w:tc>
        <w:tc>
          <w:tcPr>
            <w:tcW w:w="897" w:type="dxa"/>
            <w:tcBorders>
              <w:top w:val="single" w:sz="4" w:space="0" w:color="auto"/>
              <w:bottom w:val="single" w:sz="4" w:space="0" w:color="auto"/>
            </w:tcBorders>
            <w:shd w:val="clear" w:color="auto" w:fill="auto"/>
            <w:noWrap/>
            <w:vAlign w:val="center"/>
          </w:tcPr>
          <w:p w14:paraId="0F73C042"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right w:val="double" w:sz="4" w:space="0" w:color="auto"/>
            </w:tcBorders>
            <w:shd w:val="clear" w:color="auto" w:fill="auto"/>
            <w:noWrap/>
            <w:vAlign w:val="center"/>
          </w:tcPr>
          <w:p w14:paraId="66A36C81" w14:textId="77777777" w:rsidR="000D65BA" w:rsidRPr="00CC5E9F" w:rsidRDefault="000D65BA" w:rsidP="00AC31B4">
            <w:pPr>
              <w:jc w:val="center"/>
              <w:rPr>
                <w:rFonts w:cs="Times New Roman"/>
                <w:sz w:val="20"/>
                <w:szCs w:val="20"/>
              </w:rPr>
            </w:pPr>
            <w:r w:rsidRPr="00CC5E9F">
              <w:rPr>
                <w:rFonts w:cs="Times New Roman"/>
                <w:sz w:val="20"/>
                <w:szCs w:val="20"/>
              </w:rPr>
              <w:t>1.000</w:t>
            </w:r>
          </w:p>
        </w:tc>
      </w:tr>
      <w:tr w:rsidR="00613836" w:rsidRPr="00CC5E9F" w14:paraId="6C214B75"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127B163B" w14:textId="0D1DC6CB" w:rsidR="000D65BA" w:rsidRPr="00CC5E9F" w:rsidRDefault="000D65BA" w:rsidP="00AC31B4">
            <w:pPr>
              <w:jc w:val="left"/>
              <w:rPr>
                <w:rFonts w:cs="Times New Roman"/>
                <w:sz w:val="20"/>
                <w:szCs w:val="20"/>
              </w:rPr>
            </w:pPr>
            <w:r w:rsidRPr="00CC5E9F">
              <w:rPr>
                <w:rFonts w:cs="Times New Roman"/>
                <w:sz w:val="20"/>
                <w:szCs w:val="20"/>
              </w:rPr>
              <w:t>No of educational center</w:t>
            </w:r>
            <w:r w:rsidR="00590935" w:rsidRPr="00CC5E9F">
              <w:rPr>
                <w:rFonts w:cs="Times New Roman"/>
                <w:sz w:val="20"/>
                <w:szCs w:val="20"/>
              </w:rPr>
              <w:t>s</w:t>
            </w:r>
          </w:p>
        </w:tc>
        <w:tc>
          <w:tcPr>
            <w:tcW w:w="3901" w:type="dxa"/>
            <w:tcBorders>
              <w:top w:val="single" w:sz="4" w:space="0" w:color="auto"/>
              <w:bottom w:val="single" w:sz="4" w:space="0" w:color="auto"/>
            </w:tcBorders>
            <w:vAlign w:val="center"/>
          </w:tcPr>
          <w:p w14:paraId="171099D9" w14:textId="00B9EE9C" w:rsidR="000D65BA" w:rsidRPr="00CC5E9F" w:rsidRDefault="000D65BA" w:rsidP="00AC31B4">
            <w:pPr>
              <w:jc w:val="left"/>
              <w:rPr>
                <w:rFonts w:cs="Times New Roman"/>
                <w:sz w:val="20"/>
                <w:szCs w:val="20"/>
              </w:rPr>
            </w:pPr>
            <w:r w:rsidRPr="00CC5E9F">
              <w:rPr>
                <w:rFonts w:cs="Times New Roman"/>
                <w:sz w:val="20"/>
                <w:szCs w:val="20"/>
              </w:rPr>
              <w:t>Z score: No of educational center</w:t>
            </w:r>
            <w:r w:rsidR="00C070F3" w:rsidRPr="00CC5E9F">
              <w:rPr>
                <w:rFonts w:cs="Times New Roman"/>
                <w:sz w:val="20"/>
                <w:szCs w:val="20"/>
              </w:rPr>
              <w:t>s</w:t>
            </w:r>
          </w:p>
        </w:tc>
        <w:tc>
          <w:tcPr>
            <w:tcW w:w="862" w:type="dxa"/>
            <w:tcBorders>
              <w:top w:val="single" w:sz="4" w:space="0" w:color="auto"/>
              <w:bottom w:val="single" w:sz="4" w:space="0" w:color="auto"/>
            </w:tcBorders>
            <w:shd w:val="clear" w:color="auto" w:fill="auto"/>
            <w:noWrap/>
            <w:vAlign w:val="center"/>
          </w:tcPr>
          <w:p w14:paraId="72EAC716" w14:textId="77777777" w:rsidR="000D65BA" w:rsidRPr="00CC5E9F" w:rsidRDefault="000D65BA" w:rsidP="00AC31B4">
            <w:pPr>
              <w:jc w:val="center"/>
              <w:rPr>
                <w:rFonts w:cs="Times New Roman"/>
                <w:sz w:val="20"/>
                <w:szCs w:val="20"/>
              </w:rPr>
            </w:pPr>
            <w:r w:rsidRPr="00CC5E9F">
              <w:rPr>
                <w:rFonts w:cs="Times New Roman"/>
                <w:sz w:val="20"/>
                <w:szCs w:val="20"/>
              </w:rPr>
              <w:t>-0.649</w:t>
            </w:r>
          </w:p>
        </w:tc>
        <w:tc>
          <w:tcPr>
            <w:tcW w:w="872" w:type="dxa"/>
            <w:tcBorders>
              <w:top w:val="single" w:sz="4" w:space="0" w:color="auto"/>
              <w:bottom w:val="single" w:sz="4" w:space="0" w:color="auto"/>
            </w:tcBorders>
            <w:shd w:val="clear" w:color="auto" w:fill="auto"/>
            <w:noWrap/>
            <w:vAlign w:val="center"/>
          </w:tcPr>
          <w:p w14:paraId="33E48C1B" w14:textId="77777777" w:rsidR="000D65BA" w:rsidRPr="00CC5E9F" w:rsidRDefault="000D65BA" w:rsidP="00AC31B4">
            <w:pPr>
              <w:jc w:val="center"/>
              <w:rPr>
                <w:rFonts w:cs="Times New Roman"/>
                <w:sz w:val="20"/>
                <w:szCs w:val="20"/>
              </w:rPr>
            </w:pPr>
            <w:r w:rsidRPr="00CC5E9F">
              <w:rPr>
                <w:rFonts w:cs="Times New Roman"/>
                <w:sz w:val="20"/>
                <w:szCs w:val="20"/>
              </w:rPr>
              <w:t>3.879</w:t>
            </w:r>
          </w:p>
        </w:tc>
        <w:tc>
          <w:tcPr>
            <w:tcW w:w="897" w:type="dxa"/>
            <w:tcBorders>
              <w:top w:val="single" w:sz="4" w:space="0" w:color="auto"/>
              <w:bottom w:val="single" w:sz="4" w:space="0" w:color="auto"/>
            </w:tcBorders>
            <w:shd w:val="clear" w:color="auto" w:fill="auto"/>
            <w:noWrap/>
            <w:vAlign w:val="center"/>
          </w:tcPr>
          <w:p w14:paraId="61DFBE0D"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right w:val="double" w:sz="4" w:space="0" w:color="auto"/>
            </w:tcBorders>
            <w:shd w:val="clear" w:color="auto" w:fill="auto"/>
            <w:noWrap/>
            <w:vAlign w:val="center"/>
          </w:tcPr>
          <w:p w14:paraId="5F8AD52F" w14:textId="77777777" w:rsidR="000D65BA" w:rsidRPr="00CC5E9F" w:rsidRDefault="000D65BA" w:rsidP="00AC31B4">
            <w:pPr>
              <w:jc w:val="center"/>
              <w:rPr>
                <w:rFonts w:cs="Times New Roman"/>
                <w:sz w:val="20"/>
                <w:szCs w:val="20"/>
              </w:rPr>
            </w:pPr>
            <w:r w:rsidRPr="00CC5E9F">
              <w:rPr>
                <w:rFonts w:cs="Times New Roman"/>
                <w:sz w:val="20"/>
                <w:szCs w:val="20"/>
              </w:rPr>
              <w:t>1.000</w:t>
            </w:r>
          </w:p>
        </w:tc>
      </w:tr>
      <w:tr w:rsidR="00613836" w:rsidRPr="00CC5E9F" w14:paraId="0D0C85CE"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5458AA1C" w14:textId="77777777" w:rsidR="000D65BA" w:rsidRPr="00CC5E9F" w:rsidRDefault="000D65BA" w:rsidP="00AC31B4">
            <w:pPr>
              <w:jc w:val="left"/>
              <w:rPr>
                <w:rFonts w:cs="Times New Roman"/>
                <w:sz w:val="20"/>
                <w:szCs w:val="20"/>
              </w:rPr>
            </w:pPr>
            <w:r w:rsidRPr="00CC5E9F">
              <w:rPr>
                <w:rFonts w:cs="Times New Roman"/>
                <w:sz w:val="20"/>
                <w:szCs w:val="20"/>
              </w:rPr>
              <w:t>Household density</w:t>
            </w:r>
          </w:p>
        </w:tc>
        <w:tc>
          <w:tcPr>
            <w:tcW w:w="3901" w:type="dxa"/>
            <w:tcBorders>
              <w:top w:val="single" w:sz="4" w:space="0" w:color="auto"/>
              <w:bottom w:val="single" w:sz="4" w:space="0" w:color="auto"/>
            </w:tcBorders>
            <w:vAlign w:val="center"/>
          </w:tcPr>
          <w:p w14:paraId="6882CF82" w14:textId="77777777" w:rsidR="000D65BA" w:rsidRPr="00CC5E9F" w:rsidRDefault="000D65BA" w:rsidP="00AC31B4">
            <w:pPr>
              <w:jc w:val="left"/>
              <w:rPr>
                <w:rFonts w:cs="Times New Roman"/>
                <w:sz w:val="20"/>
                <w:szCs w:val="20"/>
              </w:rPr>
            </w:pPr>
            <w:r w:rsidRPr="00CC5E9F">
              <w:rPr>
                <w:rFonts w:cs="Times New Roman"/>
                <w:sz w:val="20"/>
                <w:szCs w:val="20"/>
              </w:rPr>
              <w:t>No of households per acre TAZ area</w:t>
            </w:r>
          </w:p>
        </w:tc>
        <w:tc>
          <w:tcPr>
            <w:tcW w:w="862" w:type="dxa"/>
            <w:tcBorders>
              <w:top w:val="single" w:sz="4" w:space="0" w:color="auto"/>
              <w:bottom w:val="single" w:sz="4" w:space="0" w:color="auto"/>
            </w:tcBorders>
            <w:shd w:val="clear" w:color="auto" w:fill="auto"/>
            <w:noWrap/>
            <w:vAlign w:val="center"/>
          </w:tcPr>
          <w:p w14:paraId="7D5F982C" w14:textId="77777777" w:rsidR="000D65BA" w:rsidRPr="00CC5E9F" w:rsidRDefault="000D65BA" w:rsidP="00AC31B4">
            <w:pPr>
              <w:jc w:val="center"/>
              <w:rPr>
                <w:rFonts w:cs="Times New Roman"/>
                <w:sz w:val="20"/>
                <w:szCs w:val="20"/>
              </w:rPr>
            </w:pPr>
            <w:r w:rsidRPr="00CC5E9F">
              <w:rPr>
                <w:rFonts w:cs="Times New Roman"/>
                <w:sz w:val="20"/>
                <w:szCs w:val="20"/>
              </w:rPr>
              <w:t>0.084</w:t>
            </w:r>
          </w:p>
        </w:tc>
        <w:tc>
          <w:tcPr>
            <w:tcW w:w="872" w:type="dxa"/>
            <w:tcBorders>
              <w:top w:val="single" w:sz="4" w:space="0" w:color="auto"/>
              <w:bottom w:val="single" w:sz="4" w:space="0" w:color="auto"/>
            </w:tcBorders>
            <w:shd w:val="clear" w:color="auto" w:fill="auto"/>
            <w:noWrap/>
            <w:vAlign w:val="center"/>
          </w:tcPr>
          <w:p w14:paraId="575DCA0B" w14:textId="77777777" w:rsidR="000D65BA" w:rsidRPr="00CC5E9F" w:rsidRDefault="000D65BA" w:rsidP="00AC31B4">
            <w:pPr>
              <w:jc w:val="center"/>
              <w:rPr>
                <w:rFonts w:cs="Times New Roman"/>
                <w:sz w:val="20"/>
                <w:szCs w:val="20"/>
              </w:rPr>
            </w:pPr>
            <w:r w:rsidRPr="00CC5E9F">
              <w:rPr>
                <w:rFonts w:cs="Times New Roman"/>
                <w:sz w:val="20"/>
                <w:szCs w:val="20"/>
              </w:rPr>
              <w:t>8.621</w:t>
            </w:r>
          </w:p>
        </w:tc>
        <w:tc>
          <w:tcPr>
            <w:tcW w:w="897" w:type="dxa"/>
            <w:tcBorders>
              <w:top w:val="single" w:sz="4" w:space="0" w:color="auto"/>
              <w:bottom w:val="single" w:sz="4" w:space="0" w:color="auto"/>
            </w:tcBorders>
            <w:shd w:val="clear" w:color="auto" w:fill="auto"/>
            <w:noWrap/>
            <w:vAlign w:val="center"/>
          </w:tcPr>
          <w:p w14:paraId="441CDDCA" w14:textId="77777777" w:rsidR="000D65BA" w:rsidRPr="00CC5E9F" w:rsidRDefault="000D65BA" w:rsidP="00AC31B4">
            <w:pPr>
              <w:jc w:val="center"/>
              <w:rPr>
                <w:rFonts w:cs="Times New Roman"/>
                <w:sz w:val="20"/>
                <w:szCs w:val="20"/>
              </w:rPr>
            </w:pPr>
            <w:r w:rsidRPr="00CC5E9F">
              <w:rPr>
                <w:rFonts w:cs="Times New Roman"/>
                <w:sz w:val="20"/>
                <w:szCs w:val="20"/>
              </w:rPr>
              <w:t>2.016</w:t>
            </w:r>
          </w:p>
        </w:tc>
        <w:tc>
          <w:tcPr>
            <w:tcW w:w="872" w:type="dxa"/>
            <w:tcBorders>
              <w:top w:val="single" w:sz="4" w:space="0" w:color="auto"/>
              <w:bottom w:val="single" w:sz="4" w:space="0" w:color="auto"/>
              <w:right w:val="double" w:sz="4" w:space="0" w:color="auto"/>
            </w:tcBorders>
            <w:shd w:val="clear" w:color="auto" w:fill="auto"/>
            <w:noWrap/>
            <w:vAlign w:val="center"/>
          </w:tcPr>
          <w:p w14:paraId="22756766" w14:textId="77777777" w:rsidR="000D65BA" w:rsidRPr="00CC5E9F" w:rsidRDefault="000D65BA" w:rsidP="00AC31B4">
            <w:pPr>
              <w:jc w:val="center"/>
              <w:rPr>
                <w:rFonts w:cs="Times New Roman"/>
                <w:sz w:val="20"/>
                <w:szCs w:val="20"/>
              </w:rPr>
            </w:pPr>
            <w:r w:rsidRPr="00CC5E9F">
              <w:rPr>
                <w:rFonts w:cs="Times New Roman"/>
                <w:sz w:val="20"/>
                <w:szCs w:val="20"/>
              </w:rPr>
              <w:t>1.574</w:t>
            </w:r>
          </w:p>
        </w:tc>
      </w:tr>
      <w:tr w:rsidR="00613836" w:rsidRPr="00CC5E9F" w14:paraId="40A4887F" w14:textId="77777777" w:rsidTr="00242782">
        <w:trPr>
          <w:trHeight w:val="18"/>
        </w:trPr>
        <w:tc>
          <w:tcPr>
            <w:tcW w:w="2160" w:type="dxa"/>
            <w:tcBorders>
              <w:top w:val="single" w:sz="4" w:space="0" w:color="auto"/>
              <w:left w:val="double" w:sz="4" w:space="0" w:color="auto"/>
              <w:bottom w:val="single" w:sz="4" w:space="0" w:color="auto"/>
            </w:tcBorders>
            <w:shd w:val="clear" w:color="auto" w:fill="auto"/>
            <w:vAlign w:val="center"/>
          </w:tcPr>
          <w:p w14:paraId="3475E9D5" w14:textId="77777777" w:rsidR="000D65BA" w:rsidRPr="00CC5E9F" w:rsidRDefault="000D65BA" w:rsidP="00AC31B4">
            <w:pPr>
              <w:jc w:val="left"/>
              <w:rPr>
                <w:rFonts w:cs="Times New Roman"/>
                <w:sz w:val="20"/>
                <w:szCs w:val="20"/>
              </w:rPr>
            </w:pPr>
            <w:r w:rsidRPr="00CC5E9F">
              <w:rPr>
                <w:rFonts w:cs="Times New Roman"/>
                <w:sz w:val="20"/>
                <w:szCs w:val="20"/>
              </w:rPr>
              <w:t>Non-motorized means of transport</w:t>
            </w:r>
          </w:p>
        </w:tc>
        <w:tc>
          <w:tcPr>
            <w:tcW w:w="3901" w:type="dxa"/>
            <w:tcBorders>
              <w:top w:val="single" w:sz="4" w:space="0" w:color="auto"/>
              <w:bottom w:val="single" w:sz="4" w:space="0" w:color="auto"/>
            </w:tcBorders>
            <w:vAlign w:val="center"/>
          </w:tcPr>
          <w:p w14:paraId="2A985A7C" w14:textId="77777777" w:rsidR="000D65BA" w:rsidRPr="00CC5E9F" w:rsidRDefault="000D65BA" w:rsidP="00AC31B4">
            <w:pPr>
              <w:jc w:val="left"/>
              <w:rPr>
                <w:rFonts w:cs="Times New Roman"/>
                <w:sz w:val="20"/>
                <w:szCs w:val="20"/>
              </w:rPr>
            </w:pPr>
            <w:r w:rsidRPr="00CC5E9F">
              <w:rPr>
                <w:rFonts w:cs="Times New Roman"/>
                <w:sz w:val="20"/>
                <w:szCs w:val="20"/>
              </w:rPr>
              <w:t>Ln (Non-motorized means of transport + 1)</w:t>
            </w:r>
          </w:p>
        </w:tc>
        <w:tc>
          <w:tcPr>
            <w:tcW w:w="862" w:type="dxa"/>
            <w:tcBorders>
              <w:top w:val="single" w:sz="4" w:space="0" w:color="auto"/>
              <w:bottom w:val="single" w:sz="4" w:space="0" w:color="auto"/>
            </w:tcBorders>
            <w:shd w:val="clear" w:color="auto" w:fill="auto"/>
            <w:noWrap/>
            <w:vAlign w:val="center"/>
          </w:tcPr>
          <w:p w14:paraId="31D4132D"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single" w:sz="4" w:space="0" w:color="auto"/>
            </w:tcBorders>
            <w:shd w:val="clear" w:color="auto" w:fill="auto"/>
            <w:noWrap/>
            <w:vAlign w:val="center"/>
          </w:tcPr>
          <w:p w14:paraId="2FF06DCE" w14:textId="77777777" w:rsidR="000D65BA" w:rsidRPr="00CC5E9F" w:rsidRDefault="000D65BA" w:rsidP="00AC31B4">
            <w:pPr>
              <w:jc w:val="center"/>
              <w:rPr>
                <w:rFonts w:cs="Times New Roman"/>
                <w:sz w:val="20"/>
                <w:szCs w:val="20"/>
              </w:rPr>
            </w:pPr>
            <w:r w:rsidRPr="00CC5E9F">
              <w:rPr>
                <w:rFonts w:cs="Times New Roman"/>
                <w:sz w:val="20"/>
                <w:szCs w:val="20"/>
              </w:rPr>
              <w:t>5.366</w:t>
            </w:r>
          </w:p>
        </w:tc>
        <w:tc>
          <w:tcPr>
            <w:tcW w:w="897" w:type="dxa"/>
            <w:tcBorders>
              <w:top w:val="single" w:sz="4" w:space="0" w:color="auto"/>
              <w:bottom w:val="single" w:sz="4" w:space="0" w:color="auto"/>
            </w:tcBorders>
            <w:shd w:val="clear" w:color="auto" w:fill="auto"/>
            <w:noWrap/>
            <w:vAlign w:val="center"/>
          </w:tcPr>
          <w:p w14:paraId="35B1441D" w14:textId="77777777" w:rsidR="000D65BA" w:rsidRPr="00CC5E9F" w:rsidRDefault="000D65BA" w:rsidP="00AC31B4">
            <w:pPr>
              <w:jc w:val="center"/>
              <w:rPr>
                <w:rFonts w:cs="Times New Roman"/>
                <w:sz w:val="20"/>
                <w:szCs w:val="20"/>
              </w:rPr>
            </w:pPr>
            <w:r w:rsidRPr="00CC5E9F">
              <w:rPr>
                <w:rFonts w:cs="Times New Roman"/>
                <w:sz w:val="20"/>
                <w:szCs w:val="20"/>
              </w:rPr>
              <w:t>2.152</w:t>
            </w:r>
          </w:p>
        </w:tc>
        <w:tc>
          <w:tcPr>
            <w:tcW w:w="872" w:type="dxa"/>
            <w:tcBorders>
              <w:top w:val="single" w:sz="4" w:space="0" w:color="auto"/>
              <w:bottom w:val="single" w:sz="4" w:space="0" w:color="auto"/>
              <w:right w:val="double" w:sz="4" w:space="0" w:color="auto"/>
            </w:tcBorders>
            <w:shd w:val="clear" w:color="auto" w:fill="auto"/>
            <w:noWrap/>
            <w:vAlign w:val="center"/>
          </w:tcPr>
          <w:p w14:paraId="6C8EE2ED" w14:textId="77777777" w:rsidR="000D65BA" w:rsidRPr="00CC5E9F" w:rsidRDefault="000D65BA" w:rsidP="00AC31B4">
            <w:pPr>
              <w:jc w:val="center"/>
              <w:rPr>
                <w:rFonts w:cs="Times New Roman"/>
                <w:sz w:val="20"/>
                <w:szCs w:val="20"/>
              </w:rPr>
            </w:pPr>
            <w:r w:rsidRPr="00CC5E9F">
              <w:rPr>
                <w:rFonts w:cs="Times New Roman"/>
                <w:sz w:val="20"/>
                <w:szCs w:val="20"/>
              </w:rPr>
              <w:t>1.166</w:t>
            </w:r>
          </w:p>
        </w:tc>
      </w:tr>
      <w:tr w:rsidR="00613836" w:rsidRPr="00CC5E9F" w14:paraId="117D8A6D" w14:textId="77777777" w:rsidTr="00242782">
        <w:trPr>
          <w:trHeight w:val="18"/>
        </w:trPr>
        <w:tc>
          <w:tcPr>
            <w:tcW w:w="2160" w:type="dxa"/>
            <w:tcBorders>
              <w:top w:val="single" w:sz="4" w:space="0" w:color="auto"/>
              <w:left w:val="double" w:sz="4" w:space="0" w:color="auto"/>
              <w:bottom w:val="double" w:sz="4" w:space="0" w:color="auto"/>
            </w:tcBorders>
            <w:shd w:val="clear" w:color="auto" w:fill="auto"/>
            <w:vAlign w:val="center"/>
          </w:tcPr>
          <w:p w14:paraId="03154748" w14:textId="157DFB74" w:rsidR="000D65BA" w:rsidRPr="00CC5E9F" w:rsidRDefault="000D65BA" w:rsidP="00AC31B4">
            <w:pPr>
              <w:jc w:val="left"/>
              <w:rPr>
                <w:rFonts w:cs="Times New Roman"/>
                <w:sz w:val="20"/>
                <w:szCs w:val="20"/>
              </w:rPr>
            </w:pPr>
            <w:r w:rsidRPr="00CC5E9F">
              <w:rPr>
                <w:rFonts w:cs="Times New Roman"/>
                <w:sz w:val="20"/>
                <w:szCs w:val="20"/>
              </w:rPr>
              <w:t>Proportion of African American p</w:t>
            </w:r>
            <w:r w:rsidR="00590935" w:rsidRPr="00CC5E9F">
              <w:rPr>
                <w:rFonts w:cs="Times New Roman"/>
                <w:sz w:val="20"/>
                <w:szCs w:val="20"/>
              </w:rPr>
              <w:t>opulation</w:t>
            </w:r>
          </w:p>
        </w:tc>
        <w:tc>
          <w:tcPr>
            <w:tcW w:w="3901" w:type="dxa"/>
            <w:tcBorders>
              <w:top w:val="single" w:sz="4" w:space="0" w:color="auto"/>
              <w:bottom w:val="double" w:sz="4" w:space="0" w:color="auto"/>
            </w:tcBorders>
            <w:vAlign w:val="center"/>
          </w:tcPr>
          <w:p w14:paraId="625C5225" w14:textId="353464C6" w:rsidR="000D65BA" w:rsidRPr="00CC5E9F" w:rsidRDefault="000D65BA" w:rsidP="00AC31B4">
            <w:pPr>
              <w:jc w:val="left"/>
              <w:rPr>
                <w:rFonts w:cs="Times New Roman"/>
                <w:sz w:val="20"/>
                <w:szCs w:val="20"/>
              </w:rPr>
            </w:pPr>
            <w:r w:rsidRPr="00CC5E9F">
              <w:rPr>
                <w:rFonts w:cs="Times New Roman"/>
                <w:sz w:val="20"/>
                <w:szCs w:val="20"/>
              </w:rPr>
              <w:t>No of African American p</w:t>
            </w:r>
            <w:r w:rsidR="00590935" w:rsidRPr="00CC5E9F">
              <w:rPr>
                <w:rFonts w:cs="Times New Roman"/>
                <w:sz w:val="20"/>
                <w:szCs w:val="20"/>
              </w:rPr>
              <w:t>opulation</w:t>
            </w:r>
            <w:r w:rsidRPr="00CC5E9F">
              <w:rPr>
                <w:rFonts w:cs="Times New Roman"/>
                <w:sz w:val="20"/>
                <w:szCs w:val="20"/>
              </w:rPr>
              <w:t>/total population</w:t>
            </w:r>
          </w:p>
        </w:tc>
        <w:tc>
          <w:tcPr>
            <w:tcW w:w="862" w:type="dxa"/>
            <w:tcBorders>
              <w:top w:val="single" w:sz="4" w:space="0" w:color="auto"/>
              <w:bottom w:val="double" w:sz="4" w:space="0" w:color="auto"/>
            </w:tcBorders>
            <w:shd w:val="clear" w:color="auto" w:fill="auto"/>
            <w:noWrap/>
            <w:vAlign w:val="center"/>
          </w:tcPr>
          <w:p w14:paraId="0AC8501B" w14:textId="77777777" w:rsidR="000D65BA" w:rsidRPr="00CC5E9F" w:rsidRDefault="000D65BA" w:rsidP="00AC31B4">
            <w:pPr>
              <w:jc w:val="center"/>
              <w:rPr>
                <w:rFonts w:cs="Times New Roman"/>
                <w:sz w:val="20"/>
                <w:szCs w:val="20"/>
              </w:rPr>
            </w:pPr>
            <w:r w:rsidRPr="00CC5E9F">
              <w:rPr>
                <w:rFonts w:cs="Times New Roman"/>
                <w:sz w:val="20"/>
                <w:szCs w:val="20"/>
              </w:rPr>
              <w:t>0.000</w:t>
            </w:r>
          </w:p>
        </w:tc>
        <w:tc>
          <w:tcPr>
            <w:tcW w:w="872" w:type="dxa"/>
            <w:tcBorders>
              <w:top w:val="single" w:sz="4" w:space="0" w:color="auto"/>
              <w:bottom w:val="double" w:sz="4" w:space="0" w:color="auto"/>
            </w:tcBorders>
            <w:shd w:val="clear" w:color="auto" w:fill="auto"/>
            <w:noWrap/>
            <w:vAlign w:val="center"/>
          </w:tcPr>
          <w:p w14:paraId="41B5CD30" w14:textId="77777777" w:rsidR="000D65BA" w:rsidRPr="00CC5E9F" w:rsidRDefault="000D65BA" w:rsidP="00AC31B4">
            <w:pPr>
              <w:jc w:val="center"/>
              <w:rPr>
                <w:rFonts w:cs="Times New Roman"/>
                <w:sz w:val="20"/>
                <w:szCs w:val="20"/>
              </w:rPr>
            </w:pPr>
            <w:r w:rsidRPr="00CC5E9F">
              <w:rPr>
                <w:rFonts w:cs="Times New Roman"/>
                <w:sz w:val="20"/>
                <w:szCs w:val="20"/>
              </w:rPr>
              <w:t>0.978</w:t>
            </w:r>
          </w:p>
        </w:tc>
        <w:tc>
          <w:tcPr>
            <w:tcW w:w="897" w:type="dxa"/>
            <w:tcBorders>
              <w:top w:val="single" w:sz="4" w:space="0" w:color="auto"/>
              <w:bottom w:val="double" w:sz="4" w:space="0" w:color="auto"/>
            </w:tcBorders>
            <w:shd w:val="clear" w:color="auto" w:fill="auto"/>
            <w:noWrap/>
            <w:vAlign w:val="center"/>
          </w:tcPr>
          <w:p w14:paraId="768D78CF" w14:textId="77777777" w:rsidR="000D65BA" w:rsidRPr="00CC5E9F" w:rsidRDefault="000D65BA" w:rsidP="00AC31B4">
            <w:pPr>
              <w:jc w:val="center"/>
              <w:rPr>
                <w:rFonts w:cs="Times New Roman"/>
                <w:sz w:val="20"/>
                <w:szCs w:val="20"/>
              </w:rPr>
            </w:pPr>
            <w:r w:rsidRPr="00CC5E9F">
              <w:rPr>
                <w:rFonts w:cs="Times New Roman"/>
                <w:sz w:val="20"/>
                <w:szCs w:val="20"/>
              </w:rPr>
              <w:t>0.222</w:t>
            </w:r>
          </w:p>
        </w:tc>
        <w:tc>
          <w:tcPr>
            <w:tcW w:w="872" w:type="dxa"/>
            <w:tcBorders>
              <w:top w:val="single" w:sz="4" w:space="0" w:color="auto"/>
              <w:bottom w:val="double" w:sz="4" w:space="0" w:color="auto"/>
              <w:right w:val="double" w:sz="4" w:space="0" w:color="auto"/>
            </w:tcBorders>
            <w:shd w:val="clear" w:color="auto" w:fill="auto"/>
            <w:noWrap/>
            <w:vAlign w:val="center"/>
          </w:tcPr>
          <w:p w14:paraId="2C609D41" w14:textId="77777777" w:rsidR="000D65BA" w:rsidRPr="00CC5E9F" w:rsidRDefault="000D65BA" w:rsidP="00AC31B4">
            <w:pPr>
              <w:jc w:val="center"/>
              <w:rPr>
                <w:rFonts w:cs="Times New Roman"/>
                <w:sz w:val="20"/>
                <w:szCs w:val="20"/>
              </w:rPr>
            </w:pPr>
            <w:r w:rsidRPr="00CC5E9F">
              <w:rPr>
                <w:rFonts w:cs="Times New Roman"/>
                <w:sz w:val="20"/>
                <w:szCs w:val="20"/>
              </w:rPr>
              <w:t>0.246</w:t>
            </w:r>
          </w:p>
        </w:tc>
      </w:tr>
    </w:tbl>
    <w:p w14:paraId="4D504832" w14:textId="7DC4E5F6" w:rsidR="00F519B0" w:rsidRPr="00CC5E9F" w:rsidRDefault="000D65BA" w:rsidP="00AC49A3">
      <w:pPr>
        <w:rPr>
          <w:rFonts w:cs="Times New Roman"/>
          <w:i/>
          <w:iCs/>
          <w:szCs w:val="24"/>
        </w:rPr>
      </w:pPr>
      <w:r w:rsidRPr="00CC5E9F">
        <w:rPr>
          <w:rFonts w:cs="Times New Roman"/>
          <w:i/>
          <w:iCs/>
          <w:sz w:val="20"/>
          <w:szCs w:val="18"/>
        </w:rPr>
        <w:t>*Z-score represents the standardized form of the actual variable</w:t>
      </w:r>
    </w:p>
    <w:p w14:paraId="1DAE7F78" w14:textId="77777777" w:rsidR="00242782" w:rsidRDefault="00242782" w:rsidP="00F519B0">
      <w:pPr>
        <w:jc w:val="center"/>
        <w:rPr>
          <w:b/>
          <w:bCs/>
        </w:rPr>
      </w:pPr>
    </w:p>
    <w:p w14:paraId="1BEE96C9" w14:textId="690F90A4" w:rsidR="00F519B0" w:rsidRPr="00F519B0" w:rsidRDefault="00F519B0" w:rsidP="00F519B0">
      <w:pPr>
        <w:jc w:val="center"/>
      </w:pPr>
      <w:r w:rsidRPr="00F519B0">
        <w:rPr>
          <w:b/>
          <w:bCs/>
        </w:rPr>
        <w:lastRenderedPageBreak/>
        <w:t>TABLE 2</w:t>
      </w:r>
      <w:r w:rsidRPr="00F519B0">
        <w:t xml:space="preserve"> Results of Proposed Integrated M</w:t>
      </w:r>
      <w:r w:rsidR="006346A6">
        <w:t>i</w:t>
      </w:r>
      <w:r w:rsidRPr="00F519B0">
        <w:t>cro-M</w:t>
      </w:r>
      <w:r w:rsidR="006346A6">
        <w:t>a</w:t>
      </w:r>
      <w:r w:rsidRPr="00F519B0">
        <w:t>cro Model</w:t>
      </w:r>
      <w:r w:rsidR="001C65D5">
        <w:t xml:space="preserve"> </w:t>
      </w:r>
    </w:p>
    <w:tbl>
      <w:tblPr>
        <w:tblStyle w:val="TableGrid1"/>
        <w:tblW w:w="513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476"/>
        <w:gridCol w:w="2092"/>
        <w:gridCol w:w="2012"/>
      </w:tblGrid>
      <w:tr w:rsidR="00AC31B4" w:rsidRPr="00DC25EE" w14:paraId="2D48C143" w14:textId="77777777" w:rsidTr="00C0197F">
        <w:trPr>
          <w:trHeight w:val="29"/>
          <w:jc w:val="center"/>
        </w:trPr>
        <w:tc>
          <w:tcPr>
            <w:tcW w:w="2858" w:type="pct"/>
            <w:vMerge w:val="restart"/>
            <w:vAlign w:val="center"/>
          </w:tcPr>
          <w:p w14:paraId="2B1B50B9" w14:textId="77777777" w:rsidR="00F519B0" w:rsidRPr="00AC49A3" w:rsidRDefault="00F519B0" w:rsidP="00AC49A3">
            <w:pPr>
              <w:jc w:val="center"/>
              <w:rPr>
                <w:rFonts w:ascii="Times New Roman" w:hAnsi="Times New Roman" w:cs="Times New Roman"/>
                <w:b/>
                <w:bCs/>
                <w:sz w:val="20"/>
                <w:szCs w:val="20"/>
              </w:rPr>
            </w:pPr>
            <w:bookmarkStart w:id="9" w:name="_Hlk78227825"/>
            <w:r w:rsidRPr="00AC49A3">
              <w:rPr>
                <w:rFonts w:ascii="Times New Roman" w:hAnsi="Times New Roman" w:cs="Times New Roman"/>
                <w:b/>
                <w:bCs/>
                <w:sz w:val="20"/>
                <w:szCs w:val="20"/>
              </w:rPr>
              <w:t>Variables</w:t>
            </w:r>
          </w:p>
        </w:tc>
        <w:tc>
          <w:tcPr>
            <w:tcW w:w="2142" w:type="pct"/>
            <w:gridSpan w:val="2"/>
            <w:vAlign w:val="center"/>
          </w:tcPr>
          <w:p w14:paraId="51F4896B" w14:textId="77777777" w:rsidR="00F519B0" w:rsidRPr="00AC49A3" w:rsidRDefault="00F519B0" w:rsidP="00AC49A3">
            <w:pPr>
              <w:jc w:val="center"/>
              <w:rPr>
                <w:rFonts w:ascii="Times New Roman" w:hAnsi="Times New Roman" w:cs="Times New Roman"/>
                <w:b/>
                <w:bCs/>
                <w:sz w:val="20"/>
                <w:szCs w:val="20"/>
              </w:rPr>
            </w:pPr>
            <w:r w:rsidRPr="00AC49A3">
              <w:rPr>
                <w:rFonts w:ascii="Times New Roman" w:hAnsi="Times New Roman" w:cs="Times New Roman"/>
                <w:b/>
                <w:bCs/>
                <w:sz w:val="20"/>
                <w:szCs w:val="20"/>
              </w:rPr>
              <w:t>Proposed integrated macro-micro model</w:t>
            </w:r>
          </w:p>
        </w:tc>
      </w:tr>
      <w:tr w:rsidR="00AC31B4" w:rsidRPr="00DC25EE" w14:paraId="0A1E551D" w14:textId="77777777" w:rsidTr="00C0197F">
        <w:trPr>
          <w:trHeight w:val="29"/>
          <w:jc w:val="center"/>
        </w:trPr>
        <w:tc>
          <w:tcPr>
            <w:tcW w:w="2858" w:type="pct"/>
            <w:vMerge/>
            <w:tcBorders>
              <w:bottom w:val="double" w:sz="4" w:space="0" w:color="auto"/>
            </w:tcBorders>
            <w:vAlign w:val="center"/>
          </w:tcPr>
          <w:p w14:paraId="5B2AF6B0" w14:textId="77777777" w:rsidR="00F519B0" w:rsidRPr="00AC49A3" w:rsidRDefault="00F519B0" w:rsidP="00AC49A3">
            <w:pPr>
              <w:jc w:val="center"/>
              <w:rPr>
                <w:rFonts w:ascii="Times New Roman" w:hAnsi="Times New Roman" w:cs="Times New Roman"/>
                <w:b/>
                <w:bCs/>
                <w:sz w:val="20"/>
                <w:szCs w:val="20"/>
              </w:rPr>
            </w:pPr>
          </w:p>
        </w:tc>
        <w:tc>
          <w:tcPr>
            <w:tcW w:w="1092" w:type="pct"/>
            <w:tcBorders>
              <w:bottom w:val="double" w:sz="4" w:space="0" w:color="auto"/>
            </w:tcBorders>
            <w:vAlign w:val="center"/>
          </w:tcPr>
          <w:p w14:paraId="1A46A57E" w14:textId="77777777" w:rsidR="00F519B0" w:rsidRPr="00AC49A3" w:rsidRDefault="00F519B0" w:rsidP="00AC49A3">
            <w:pPr>
              <w:jc w:val="center"/>
              <w:rPr>
                <w:rFonts w:ascii="Times New Roman" w:hAnsi="Times New Roman" w:cs="Times New Roman"/>
                <w:b/>
                <w:bCs/>
                <w:sz w:val="20"/>
                <w:szCs w:val="20"/>
              </w:rPr>
            </w:pPr>
            <w:r w:rsidRPr="00AC49A3">
              <w:rPr>
                <w:rFonts w:ascii="Times New Roman" w:hAnsi="Times New Roman" w:cs="Times New Roman"/>
                <w:b/>
                <w:bCs/>
                <w:sz w:val="20"/>
                <w:szCs w:val="20"/>
              </w:rPr>
              <w:t>Estimate</w:t>
            </w:r>
          </w:p>
        </w:tc>
        <w:tc>
          <w:tcPr>
            <w:tcW w:w="1050" w:type="pct"/>
            <w:tcBorders>
              <w:bottom w:val="double" w:sz="4" w:space="0" w:color="auto"/>
            </w:tcBorders>
            <w:vAlign w:val="center"/>
          </w:tcPr>
          <w:p w14:paraId="2347874D" w14:textId="77777777" w:rsidR="00F519B0" w:rsidRPr="00AC49A3" w:rsidRDefault="00F519B0" w:rsidP="00AC49A3">
            <w:pPr>
              <w:jc w:val="center"/>
              <w:rPr>
                <w:rFonts w:ascii="Times New Roman" w:hAnsi="Times New Roman" w:cs="Times New Roman"/>
                <w:b/>
                <w:bCs/>
                <w:sz w:val="20"/>
                <w:szCs w:val="20"/>
              </w:rPr>
            </w:pPr>
            <w:r w:rsidRPr="00AC49A3">
              <w:rPr>
                <w:rFonts w:ascii="Times New Roman" w:hAnsi="Times New Roman" w:cs="Times New Roman"/>
                <w:b/>
                <w:bCs/>
                <w:sz w:val="20"/>
                <w:szCs w:val="20"/>
              </w:rPr>
              <w:t>t-stat</w:t>
            </w:r>
          </w:p>
        </w:tc>
      </w:tr>
      <w:tr w:rsidR="00F519B0" w:rsidRPr="00DC25EE" w14:paraId="3C613DB0" w14:textId="77777777" w:rsidTr="00C0197F">
        <w:trPr>
          <w:trHeight w:val="29"/>
          <w:jc w:val="center"/>
        </w:trPr>
        <w:tc>
          <w:tcPr>
            <w:tcW w:w="5000" w:type="pct"/>
            <w:gridSpan w:val="3"/>
            <w:tcBorders>
              <w:top w:val="double" w:sz="4" w:space="0" w:color="auto"/>
              <w:bottom w:val="single" w:sz="4" w:space="0" w:color="auto"/>
            </w:tcBorders>
            <w:vAlign w:val="center"/>
          </w:tcPr>
          <w:p w14:paraId="48B3FF98" w14:textId="77777777" w:rsidR="00F519B0" w:rsidRPr="00AC49A3" w:rsidRDefault="00F519B0" w:rsidP="00F519B0">
            <w:pPr>
              <w:rPr>
                <w:rFonts w:ascii="Times New Roman" w:hAnsi="Times New Roman" w:cs="Times New Roman"/>
                <w:b/>
                <w:bCs/>
                <w:i/>
                <w:iCs/>
                <w:sz w:val="20"/>
                <w:szCs w:val="20"/>
              </w:rPr>
            </w:pPr>
            <w:r w:rsidRPr="00AC49A3">
              <w:rPr>
                <w:rFonts w:ascii="Times New Roman" w:hAnsi="Times New Roman" w:cs="Times New Roman"/>
                <w:b/>
                <w:bCs/>
                <w:i/>
                <w:iCs/>
                <w:sz w:val="20"/>
                <w:szCs w:val="20"/>
              </w:rPr>
              <w:t>Segment level (micro)</w:t>
            </w:r>
          </w:p>
        </w:tc>
      </w:tr>
      <w:tr w:rsidR="00AC31B4" w:rsidRPr="00DC25EE" w14:paraId="4C176595" w14:textId="77777777" w:rsidTr="00C0197F">
        <w:trPr>
          <w:trHeight w:val="29"/>
          <w:jc w:val="center"/>
        </w:trPr>
        <w:tc>
          <w:tcPr>
            <w:tcW w:w="2858" w:type="pct"/>
            <w:tcBorders>
              <w:top w:val="single" w:sz="4" w:space="0" w:color="auto"/>
              <w:bottom w:val="single" w:sz="4" w:space="0" w:color="auto"/>
            </w:tcBorders>
            <w:vAlign w:val="center"/>
          </w:tcPr>
          <w:p w14:paraId="7988701C"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Constant</w:t>
            </w:r>
          </w:p>
        </w:tc>
        <w:tc>
          <w:tcPr>
            <w:tcW w:w="1092" w:type="pct"/>
            <w:tcBorders>
              <w:top w:val="single" w:sz="4" w:space="0" w:color="auto"/>
              <w:bottom w:val="single" w:sz="4" w:space="0" w:color="auto"/>
            </w:tcBorders>
            <w:vAlign w:val="center"/>
          </w:tcPr>
          <w:p w14:paraId="0241E6F3"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-0.813</w:t>
            </w:r>
          </w:p>
        </w:tc>
        <w:tc>
          <w:tcPr>
            <w:tcW w:w="1050" w:type="pct"/>
            <w:tcBorders>
              <w:top w:val="single" w:sz="4" w:space="0" w:color="auto"/>
              <w:bottom w:val="single" w:sz="4" w:space="0" w:color="auto"/>
            </w:tcBorders>
            <w:vAlign w:val="center"/>
          </w:tcPr>
          <w:p w14:paraId="3545A6A9"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-1.08</w:t>
            </w:r>
          </w:p>
        </w:tc>
      </w:tr>
      <w:tr w:rsidR="00AC31B4" w:rsidRPr="00DC25EE" w14:paraId="50861B4B" w14:textId="77777777" w:rsidTr="00C0197F">
        <w:trPr>
          <w:trHeight w:val="29"/>
          <w:jc w:val="center"/>
        </w:trPr>
        <w:tc>
          <w:tcPr>
            <w:tcW w:w="2858" w:type="pct"/>
            <w:tcBorders>
              <w:top w:val="single" w:sz="4" w:space="0" w:color="auto"/>
              <w:bottom w:val="single" w:sz="4" w:space="0" w:color="auto"/>
            </w:tcBorders>
            <w:vAlign w:val="center"/>
          </w:tcPr>
          <w:p w14:paraId="38A0DAD9"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Segment length</w:t>
            </w:r>
          </w:p>
        </w:tc>
        <w:tc>
          <w:tcPr>
            <w:tcW w:w="1092" w:type="pct"/>
            <w:tcBorders>
              <w:top w:val="single" w:sz="4" w:space="0" w:color="auto"/>
              <w:bottom w:val="single" w:sz="4" w:space="0" w:color="auto"/>
            </w:tcBorders>
            <w:vAlign w:val="center"/>
          </w:tcPr>
          <w:p w14:paraId="0DF888E2"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0.515</w:t>
            </w:r>
          </w:p>
        </w:tc>
        <w:tc>
          <w:tcPr>
            <w:tcW w:w="1050" w:type="pct"/>
            <w:tcBorders>
              <w:top w:val="single" w:sz="4" w:space="0" w:color="auto"/>
              <w:bottom w:val="single" w:sz="4" w:space="0" w:color="auto"/>
            </w:tcBorders>
            <w:vAlign w:val="center"/>
          </w:tcPr>
          <w:p w14:paraId="12A7F59C"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5.753</w:t>
            </w:r>
          </w:p>
        </w:tc>
      </w:tr>
      <w:tr w:rsidR="00AC31B4" w:rsidRPr="00DC25EE" w14:paraId="3792D8FB" w14:textId="77777777" w:rsidTr="00C0197F">
        <w:trPr>
          <w:trHeight w:val="29"/>
          <w:jc w:val="center"/>
        </w:trPr>
        <w:tc>
          <w:tcPr>
            <w:tcW w:w="2858" w:type="pct"/>
            <w:tcBorders>
              <w:top w:val="single" w:sz="4" w:space="0" w:color="auto"/>
              <w:bottom w:val="single" w:sz="4" w:space="0" w:color="auto"/>
            </w:tcBorders>
            <w:vAlign w:val="center"/>
          </w:tcPr>
          <w:p w14:paraId="43D1D9DF"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No of lanes</w:t>
            </w:r>
          </w:p>
        </w:tc>
        <w:tc>
          <w:tcPr>
            <w:tcW w:w="1092" w:type="pct"/>
            <w:tcBorders>
              <w:top w:val="single" w:sz="4" w:space="0" w:color="auto"/>
              <w:bottom w:val="single" w:sz="4" w:space="0" w:color="auto"/>
            </w:tcBorders>
            <w:vAlign w:val="center"/>
          </w:tcPr>
          <w:p w14:paraId="64A020BE"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0.179</w:t>
            </w:r>
          </w:p>
        </w:tc>
        <w:tc>
          <w:tcPr>
            <w:tcW w:w="1050" w:type="pct"/>
            <w:tcBorders>
              <w:top w:val="single" w:sz="4" w:space="0" w:color="auto"/>
              <w:bottom w:val="single" w:sz="4" w:space="0" w:color="auto"/>
            </w:tcBorders>
            <w:vAlign w:val="center"/>
          </w:tcPr>
          <w:p w14:paraId="6E1505F7"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2.389</w:t>
            </w:r>
          </w:p>
        </w:tc>
      </w:tr>
      <w:tr w:rsidR="00AC31B4" w:rsidRPr="00DC25EE" w14:paraId="797A0CF2" w14:textId="77777777" w:rsidTr="00C0197F">
        <w:trPr>
          <w:trHeight w:val="29"/>
          <w:jc w:val="center"/>
        </w:trPr>
        <w:tc>
          <w:tcPr>
            <w:tcW w:w="2858" w:type="pct"/>
            <w:tcBorders>
              <w:top w:val="single" w:sz="4" w:space="0" w:color="auto"/>
              <w:bottom w:val="single" w:sz="4" w:space="0" w:color="auto"/>
            </w:tcBorders>
            <w:vAlign w:val="center"/>
          </w:tcPr>
          <w:p w14:paraId="179ADF97"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Average inside shoulder width</w:t>
            </w:r>
          </w:p>
        </w:tc>
        <w:tc>
          <w:tcPr>
            <w:tcW w:w="1092" w:type="pct"/>
            <w:tcBorders>
              <w:top w:val="single" w:sz="4" w:space="0" w:color="auto"/>
              <w:bottom w:val="single" w:sz="4" w:space="0" w:color="auto"/>
            </w:tcBorders>
            <w:vAlign w:val="center"/>
          </w:tcPr>
          <w:p w14:paraId="2B80657F"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0.037</w:t>
            </w:r>
          </w:p>
        </w:tc>
        <w:tc>
          <w:tcPr>
            <w:tcW w:w="1050" w:type="pct"/>
            <w:tcBorders>
              <w:top w:val="single" w:sz="4" w:space="0" w:color="auto"/>
              <w:bottom w:val="single" w:sz="4" w:space="0" w:color="auto"/>
            </w:tcBorders>
            <w:vAlign w:val="center"/>
          </w:tcPr>
          <w:p w14:paraId="77C2711B"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2.475</w:t>
            </w:r>
          </w:p>
        </w:tc>
      </w:tr>
      <w:tr w:rsidR="00AC31B4" w:rsidRPr="00DC25EE" w14:paraId="20AA870A" w14:textId="77777777" w:rsidTr="00C0197F">
        <w:trPr>
          <w:trHeight w:val="29"/>
          <w:jc w:val="center"/>
        </w:trPr>
        <w:tc>
          <w:tcPr>
            <w:tcW w:w="2858" w:type="pct"/>
            <w:tcBorders>
              <w:top w:val="single" w:sz="4" w:space="0" w:color="auto"/>
              <w:bottom w:val="single" w:sz="4" w:space="0" w:color="auto"/>
            </w:tcBorders>
            <w:vAlign w:val="center"/>
          </w:tcPr>
          <w:p w14:paraId="5A4F8EBB" w14:textId="57CBCECE" w:rsidR="00F519B0" w:rsidRPr="00F519B0" w:rsidRDefault="00F519B0" w:rsidP="00BC0206">
            <w:pPr>
              <w:ind w:left="288"/>
              <w:rPr>
                <w:rFonts w:ascii="Times New Roman" w:hAnsi="Times New Roman" w:cs="Times New Roman"/>
                <w:sz w:val="20"/>
                <w:szCs w:val="20"/>
              </w:rPr>
            </w:pPr>
            <w:r w:rsidRPr="00F519B0">
              <w:rPr>
                <w:rFonts w:ascii="Times New Roman" w:hAnsi="Times New Roman" w:cs="Times New Roman"/>
                <w:sz w:val="20"/>
                <w:szCs w:val="20"/>
              </w:rPr>
              <w:t>Standard deviation</w:t>
            </w:r>
            <w:r w:rsidR="008F0FD2">
              <w:rPr>
                <w:rFonts w:ascii="Times New Roman" w:hAnsi="Times New Roman" w:cs="Times New Roman"/>
                <w:sz w:val="20"/>
                <w:szCs w:val="20"/>
              </w:rPr>
              <w:t>*</w:t>
            </w:r>
          </w:p>
        </w:tc>
        <w:tc>
          <w:tcPr>
            <w:tcW w:w="1092" w:type="pct"/>
            <w:tcBorders>
              <w:top w:val="single" w:sz="4" w:space="0" w:color="auto"/>
              <w:bottom w:val="single" w:sz="4" w:space="0" w:color="auto"/>
            </w:tcBorders>
            <w:vAlign w:val="center"/>
          </w:tcPr>
          <w:p w14:paraId="39238EA6"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0.022</w:t>
            </w:r>
          </w:p>
        </w:tc>
        <w:tc>
          <w:tcPr>
            <w:tcW w:w="1050" w:type="pct"/>
            <w:tcBorders>
              <w:top w:val="single" w:sz="4" w:space="0" w:color="auto"/>
              <w:bottom w:val="single" w:sz="4" w:space="0" w:color="auto"/>
            </w:tcBorders>
            <w:vAlign w:val="center"/>
          </w:tcPr>
          <w:p w14:paraId="242453AB"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1.746</w:t>
            </w:r>
          </w:p>
        </w:tc>
      </w:tr>
      <w:tr w:rsidR="00AC31B4" w:rsidRPr="00DC25EE" w14:paraId="26C19BDD" w14:textId="77777777" w:rsidTr="00C0197F">
        <w:trPr>
          <w:trHeight w:val="29"/>
          <w:jc w:val="center"/>
        </w:trPr>
        <w:tc>
          <w:tcPr>
            <w:tcW w:w="2858" w:type="pct"/>
            <w:tcBorders>
              <w:top w:val="single" w:sz="4" w:space="0" w:color="auto"/>
              <w:bottom w:val="single" w:sz="4" w:space="0" w:color="auto"/>
            </w:tcBorders>
            <w:vAlign w:val="center"/>
          </w:tcPr>
          <w:p w14:paraId="490B3BC9"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Average sidewalk width</w:t>
            </w:r>
          </w:p>
        </w:tc>
        <w:tc>
          <w:tcPr>
            <w:tcW w:w="1092" w:type="pct"/>
            <w:tcBorders>
              <w:top w:val="single" w:sz="4" w:space="0" w:color="auto"/>
              <w:bottom w:val="single" w:sz="4" w:space="0" w:color="auto"/>
            </w:tcBorders>
            <w:vAlign w:val="center"/>
          </w:tcPr>
          <w:p w14:paraId="4F016DDA"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-0.210</w:t>
            </w:r>
          </w:p>
        </w:tc>
        <w:tc>
          <w:tcPr>
            <w:tcW w:w="1050" w:type="pct"/>
            <w:tcBorders>
              <w:top w:val="single" w:sz="4" w:space="0" w:color="auto"/>
              <w:bottom w:val="single" w:sz="4" w:space="0" w:color="auto"/>
            </w:tcBorders>
            <w:vAlign w:val="center"/>
          </w:tcPr>
          <w:p w14:paraId="04E02A40"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-1.808</w:t>
            </w:r>
          </w:p>
        </w:tc>
      </w:tr>
      <w:tr w:rsidR="00AC31B4" w:rsidRPr="00DC25EE" w14:paraId="4323D8F5" w14:textId="77777777" w:rsidTr="00C0197F">
        <w:trPr>
          <w:trHeight w:val="29"/>
          <w:jc w:val="center"/>
        </w:trPr>
        <w:tc>
          <w:tcPr>
            <w:tcW w:w="2858" w:type="pct"/>
            <w:tcBorders>
              <w:top w:val="single" w:sz="4" w:space="0" w:color="auto"/>
              <w:bottom w:val="single" w:sz="4" w:space="0" w:color="auto"/>
            </w:tcBorders>
            <w:vAlign w:val="center"/>
          </w:tcPr>
          <w:p w14:paraId="6C85331E" w14:textId="292D6609"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No of traffic signal</w:t>
            </w:r>
            <w:r w:rsidR="00590935">
              <w:rPr>
                <w:rFonts w:ascii="Times New Roman" w:hAnsi="Times New Roman" w:cs="Times New Roman"/>
                <w:sz w:val="20"/>
                <w:szCs w:val="20"/>
              </w:rPr>
              <w:t>s</w:t>
            </w:r>
            <w:r w:rsidRPr="00F519B0">
              <w:rPr>
                <w:rFonts w:ascii="Times New Roman" w:hAnsi="Times New Roman" w:cs="Times New Roman"/>
                <w:sz w:val="20"/>
                <w:szCs w:val="20"/>
              </w:rPr>
              <w:t xml:space="preserve"> per unit segment length</w:t>
            </w:r>
          </w:p>
        </w:tc>
        <w:tc>
          <w:tcPr>
            <w:tcW w:w="1092" w:type="pct"/>
            <w:tcBorders>
              <w:top w:val="single" w:sz="4" w:space="0" w:color="auto"/>
              <w:bottom w:val="single" w:sz="4" w:space="0" w:color="auto"/>
            </w:tcBorders>
            <w:vAlign w:val="center"/>
          </w:tcPr>
          <w:p w14:paraId="4D06EAD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0.025</w:t>
            </w:r>
          </w:p>
        </w:tc>
        <w:tc>
          <w:tcPr>
            <w:tcW w:w="1050" w:type="pct"/>
            <w:tcBorders>
              <w:top w:val="single" w:sz="4" w:space="0" w:color="auto"/>
              <w:bottom w:val="single" w:sz="4" w:space="0" w:color="auto"/>
            </w:tcBorders>
            <w:vAlign w:val="center"/>
          </w:tcPr>
          <w:p w14:paraId="1D6B9445"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4.24</w:t>
            </w:r>
          </w:p>
        </w:tc>
      </w:tr>
      <w:tr w:rsidR="00AC31B4" w:rsidRPr="00DC25EE" w14:paraId="10DECB79" w14:textId="77777777" w:rsidTr="00C0197F">
        <w:trPr>
          <w:trHeight w:val="29"/>
          <w:jc w:val="center"/>
        </w:trPr>
        <w:tc>
          <w:tcPr>
            <w:tcW w:w="2858" w:type="pct"/>
            <w:tcBorders>
              <w:top w:val="single" w:sz="4" w:space="0" w:color="auto"/>
              <w:bottom w:val="single" w:sz="4" w:space="0" w:color="auto"/>
            </w:tcBorders>
            <w:vAlign w:val="center"/>
          </w:tcPr>
          <w:p w14:paraId="51470A31"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AADT</w:t>
            </w:r>
          </w:p>
        </w:tc>
        <w:tc>
          <w:tcPr>
            <w:tcW w:w="1092" w:type="pct"/>
            <w:tcBorders>
              <w:top w:val="single" w:sz="4" w:space="0" w:color="auto"/>
              <w:bottom w:val="single" w:sz="4" w:space="0" w:color="auto"/>
            </w:tcBorders>
            <w:vAlign w:val="center"/>
          </w:tcPr>
          <w:p w14:paraId="2D5ED5D0"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0.306</w:t>
            </w:r>
          </w:p>
        </w:tc>
        <w:tc>
          <w:tcPr>
            <w:tcW w:w="1050" w:type="pct"/>
            <w:tcBorders>
              <w:top w:val="single" w:sz="4" w:space="0" w:color="auto"/>
              <w:bottom w:val="single" w:sz="4" w:space="0" w:color="auto"/>
            </w:tcBorders>
            <w:vAlign w:val="center"/>
          </w:tcPr>
          <w:p w14:paraId="2A3D6880"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4.838</w:t>
            </w:r>
          </w:p>
        </w:tc>
      </w:tr>
      <w:tr w:rsidR="00AC31B4" w:rsidRPr="00DC25EE" w14:paraId="3B98B7BE" w14:textId="77777777" w:rsidTr="00C0197F">
        <w:trPr>
          <w:trHeight w:val="29"/>
          <w:jc w:val="center"/>
        </w:trPr>
        <w:tc>
          <w:tcPr>
            <w:tcW w:w="2858" w:type="pct"/>
            <w:tcBorders>
              <w:top w:val="single" w:sz="4" w:space="0" w:color="auto"/>
              <w:bottom w:val="single" w:sz="4" w:space="0" w:color="auto"/>
            </w:tcBorders>
            <w:vAlign w:val="center"/>
          </w:tcPr>
          <w:p w14:paraId="4E3093AF"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Land-use mix</w:t>
            </w:r>
          </w:p>
        </w:tc>
        <w:tc>
          <w:tcPr>
            <w:tcW w:w="1092" w:type="pct"/>
            <w:tcBorders>
              <w:top w:val="single" w:sz="4" w:space="0" w:color="auto"/>
              <w:bottom w:val="single" w:sz="4" w:space="0" w:color="auto"/>
            </w:tcBorders>
            <w:vAlign w:val="center"/>
          </w:tcPr>
          <w:p w14:paraId="389E794A"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-0.818</w:t>
            </w:r>
          </w:p>
        </w:tc>
        <w:tc>
          <w:tcPr>
            <w:tcW w:w="1050" w:type="pct"/>
            <w:tcBorders>
              <w:top w:val="single" w:sz="4" w:space="0" w:color="auto"/>
              <w:bottom w:val="single" w:sz="4" w:space="0" w:color="auto"/>
            </w:tcBorders>
            <w:vAlign w:val="center"/>
          </w:tcPr>
          <w:p w14:paraId="329FE81F"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-3.191</w:t>
            </w:r>
          </w:p>
        </w:tc>
      </w:tr>
      <w:tr w:rsidR="00AC31B4" w:rsidRPr="00DC25EE" w14:paraId="519DDA48" w14:textId="77777777" w:rsidTr="00C0197F">
        <w:trPr>
          <w:trHeight w:val="29"/>
          <w:jc w:val="center"/>
        </w:trPr>
        <w:tc>
          <w:tcPr>
            <w:tcW w:w="2858" w:type="pct"/>
            <w:tcBorders>
              <w:top w:val="single" w:sz="4" w:space="0" w:color="auto"/>
              <w:bottom w:val="double" w:sz="4" w:space="0" w:color="auto"/>
            </w:tcBorders>
            <w:vAlign w:val="center"/>
          </w:tcPr>
          <w:p w14:paraId="6CCDBCA0"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Over-dispersion parameter</w:t>
            </w:r>
          </w:p>
        </w:tc>
        <w:tc>
          <w:tcPr>
            <w:tcW w:w="1092" w:type="pct"/>
            <w:tcBorders>
              <w:top w:val="single" w:sz="4" w:space="0" w:color="auto"/>
              <w:bottom w:val="double" w:sz="4" w:space="0" w:color="auto"/>
            </w:tcBorders>
            <w:vAlign w:val="center"/>
          </w:tcPr>
          <w:p w14:paraId="2BCA46B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2.189</w:t>
            </w:r>
          </w:p>
        </w:tc>
        <w:tc>
          <w:tcPr>
            <w:tcW w:w="1050" w:type="pct"/>
            <w:tcBorders>
              <w:top w:val="single" w:sz="4" w:space="0" w:color="auto"/>
              <w:bottom w:val="double" w:sz="4" w:space="0" w:color="auto"/>
            </w:tcBorders>
            <w:vAlign w:val="center"/>
          </w:tcPr>
          <w:p w14:paraId="0A07358B"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11.727</w:t>
            </w:r>
          </w:p>
        </w:tc>
      </w:tr>
      <w:tr w:rsidR="00F519B0" w:rsidRPr="00DC25EE" w14:paraId="3867BA1F" w14:textId="77777777" w:rsidTr="00C0197F">
        <w:trPr>
          <w:trHeight w:val="29"/>
          <w:jc w:val="center"/>
        </w:trPr>
        <w:tc>
          <w:tcPr>
            <w:tcW w:w="5000" w:type="pct"/>
            <w:gridSpan w:val="3"/>
            <w:tcBorders>
              <w:top w:val="double" w:sz="4" w:space="0" w:color="auto"/>
              <w:bottom w:val="single" w:sz="4" w:space="0" w:color="auto"/>
            </w:tcBorders>
            <w:vAlign w:val="center"/>
          </w:tcPr>
          <w:p w14:paraId="2FCBCC42" w14:textId="77777777" w:rsidR="00F519B0" w:rsidRPr="00AC49A3" w:rsidRDefault="00F519B0" w:rsidP="00F519B0">
            <w:pPr>
              <w:rPr>
                <w:rFonts w:ascii="Times New Roman" w:hAnsi="Times New Roman" w:cs="Times New Roman"/>
                <w:b/>
                <w:bCs/>
                <w:i/>
                <w:iCs/>
                <w:sz w:val="20"/>
                <w:szCs w:val="20"/>
              </w:rPr>
            </w:pPr>
            <w:r w:rsidRPr="00AC49A3">
              <w:rPr>
                <w:rFonts w:ascii="Times New Roman" w:hAnsi="Times New Roman" w:cs="Times New Roman"/>
                <w:b/>
                <w:bCs/>
                <w:i/>
                <w:iCs/>
                <w:sz w:val="20"/>
                <w:szCs w:val="20"/>
              </w:rPr>
              <w:t>Intersection level (micro)</w:t>
            </w:r>
          </w:p>
        </w:tc>
      </w:tr>
      <w:tr w:rsidR="00AC31B4" w:rsidRPr="00DC25EE" w14:paraId="3CA21BFC" w14:textId="77777777" w:rsidTr="00C0197F">
        <w:trPr>
          <w:trHeight w:val="29"/>
          <w:jc w:val="center"/>
        </w:trPr>
        <w:tc>
          <w:tcPr>
            <w:tcW w:w="2858" w:type="pct"/>
            <w:tcBorders>
              <w:top w:val="single" w:sz="4" w:space="0" w:color="auto"/>
              <w:bottom w:val="single" w:sz="4" w:space="0" w:color="auto"/>
            </w:tcBorders>
            <w:vAlign w:val="center"/>
          </w:tcPr>
          <w:p w14:paraId="7E5C0F4D"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Constant</w:t>
            </w:r>
          </w:p>
        </w:tc>
        <w:tc>
          <w:tcPr>
            <w:tcW w:w="1092" w:type="pct"/>
            <w:tcBorders>
              <w:top w:val="single" w:sz="4" w:space="0" w:color="auto"/>
              <w:bottom w:val="single" w:sz="4" w:space="0" w:color="auto"/>
            </w:tcBorders>
            <w:vAlign w:val="center"/>
          </w:tcPr>
          <w:p w14:paraId="2CC3E739"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0.922</w:t>
            </w:r>
          </w:p>
        </w:tc>
        <w:tc>
          <w:tcPr>
            <w:tcW w:w="1050" w:type="pct"/>
            <w:tcBorders>
              <w:top w:val="single" w:sz="4" w:space="0" w:color="auto"/>
              <w:bottom w:val="single" w:sz="4" w:space="0" w:color="auto"/>
            </w:tcBorders>
            <w:vAlign w:val="center"/>
          </w:tcPr>
          <w:p w14:paraId="728A3F0F"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3.964</w:t>
            </w:r>
          </w:p>
        </w:tc>
      </w:tr>
      <w:tr w:rsidR="00AC31B4" w:rsidRPr="00DC25EE" w14:paraId="65B18AAD" w14:textId="77777777" w:rsidTr="00C0197F">
        <w:trPr>
          <w:trHeight w:val="29"/>
          <w:jc w:val="center"/>
        </w:trPr>
        <w:tc>
          <w:tcPr>
            <w:tcW w:w="2858" w:type="pct"/>
            <w:tcBorders>
              <w:top w:val="single" w:sz="4" w:space="0" w:color="auto"/>
              <w:bottom w:val="single" w:sz="4" w:space="0" w:color="auto"/>
            </w:tcBorders>
            <w:vAlign w:val="center"/>
          </w:tcPr>
          <w:p w14:paraId="32185E00"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Proportion of interstate and expressways</w:t>
            </w:r>
          </w:p>
        </w:tc>
        <w:tc>
          <w:tcPr>
            <w:tcW w:w="1092" w:type="pct"/>
            <w:tcBorders>
              <w:top w:val="single" w:sz="4" w:space="0" w:color="auto"/>
              <w:bottom w:val="single" w:sz="4" w:space="0" w:color="auto"/>
            </w:tcBorders>
            <w:vAlign w:val="center"/>
          </w:tcPr>
          <w:p w14:paraId="6BDAFC77"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-0.400</w:t>
            </w:r>
          </w:p>
        </w:tc>
        <w:tc>
          <w:tcPr>
            <w:tcW w:w="1050" w:type="pct"/>
            <w:tcBorders>
              <w:top w:val="single" w:sz="4" w:space="0" w:color="auto"/>
              <w:bottom w:val="single" w:sz="4" w:space="0" w:color="auto"/>
            </w:tcBorders>
            <w:vAlign w:val="center"/>
          </w:tcPr>
          <w:p w14:paraId="4B145299"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-1.725</w:t>
            </w:r>
          </w:p>
        </w:tc>
      </w:tr>
      <w:tr w:rsidR="00AC31B4" w:rsidRPr="00DC25EE" w14:paraId="46C2C4A9" w14:textId="77777777" w:rsidTr="00C0197F">
        <w:trPr>
          <w:trHeight w:val="29"/>
          <w:jc w:val="center"/>
        </w:trPr>
        <w:tc>
          <w:tcPr>
            <w:tcW w:w="2858" w:type="pct"/>
            <w:tcBorders>
              <w:top w:val="single" w:sz="4" w:space="0" w:color="auto"/>
              <w:bottom w:val="single" w:sz="4" w:space="0" w:color="auto"/>
            </w:tcBorders>
            <w:vAlign w:val="center"/>
          </w:tcPr>
          <w:p w14:paraId="6721F98B"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Average bike lane length</w:t>
            </w:r>
          </w:p>
        </w:tc>
        <w:tc>
          <w:tcPr>
            <w:tcW w:w="1092" w:type="pct"/>
            <w:tcBorders>
              <w:top w:val="single" w:sz="4" w:space="0" w:color="auto"/>
              <w:bottom w:val="single" w:sz="4" w:space="0" w:color="auto"/>
            </w:tcBorders>
            <w:vAlign w:val="center"/>
          </w:tcPr>
          <w:p w14:paraId="1D6F3C83"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-3.263</w:t>
            </w:r>
          </w:p>
        </w:tc>
        <w:tc>
          <w:tcPr>
            <w:tcW w:w="1050" w:type="pct"/>
            <w:tcBorders>
              <w:top w:val="single" w:sz="4" w:space="0" w:color="auto"/>
              <w:bottom w:val="single" w:sz="4" w:space="0" w:color="auto"/>
            </w:tcBorders>
            <w:vAlign w:val="center"/>
          </w:tcPr>
          <w:p w14:paraId="4F714076"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-2.362</w:t>
            </w:r>
          </w:p>
        </w:tc>
      </w:tr>
      <w:tr w:rsidR="00AC31B4" w:rsidRPr="00DC25EE" w14:paraId="474D8F8B" w14:textId="77777777" w:rsidTr="00C0197F">
        <w:trPr>
          <w:trHeight w:val="29"/>
          <w:jc w:val="center"/>
        </w:trPr>
        <w:tc>
          <w:tcPr>
            <w:tcW w:w="2858" w:type="pct"/>
            <w:tcBorders>
              <w:top w:val="single" w:sz="4" w:space="0" w:color="auto"/>
              <w:bottom w:val="single" w:sz="4" w:space="0" w:color="auto"/>
            </w:tcBorders>
            <w:vAlign w:val="center"/>
          </w:tcPr>
          <w:p w14:paraId="38FF6069"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AADT</w:t>
            </w:r>
          </w:p>
        </w:tc>
        <w:tc>
          <w:tcPr>
            <w:tcW w:w="1092" w:type="pct"/>
            <w:tcBorders>
              <w:top w:val="single" w:sz="4" w:space="0" w:color="auto"/>
              <w:bottom w:val="single" w:sz="4" w:space="0" w:color="auto"/>
            </w:tcBorders>
            <w:vAlign w:val="center"/>
          </w:tcPr>
          <w:p w14:paraId="38226DE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0.030</w:t>
            </w:r>
          </w:p>
        </w:tc>
        <w:tc>
          <w:tcPr>
            <w:tcW w:w="1050" w:type="pct"/>
            <w:tcBorders>
              <w:top w:val="single" w:sz="4" w:space="0" w:color="auto"/>
              <w:bottom w:val="single" w:sz="4" w:space="0" w:color="auto"/>
            </w:tcBorders>
            <w:vAlign w:val="center"/>
          </w:tcPr>
          <w:p w14:paraId="1BDEA430"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1.992</w:t>
            </w:r>
          </w:p>
        </w:tc>
      </w:tr>
      <w:tr w:rsidR="00AC31B4" w:rsidRPr="00DC25EE" w14:paraId="56383D2C" w14:textId="77777777" w:rsidTr="00C0197F">
        <w:trPr>
          <w:trHeight w:val="29"/>
          <w:jc w:val="center"/>
        </w:trPr>
        <w:tc>
          <w:tcPr>
            <w:tcW w:w="2858" w:type="pct"/>
            <w:tcBorders>
              <w:top w:val="single" w:sz="4" w:space="0" w:color="auto"/>
              <w:bottom w:val="single" w:sz="4" w:space="0" w:color="auto"/>
            </w:tcBorders>
            <w:vAlign w:val="center"/>
          </w:tcPr>
          <w:p w14:paraId="058893A1" w14:textId="0E4E21B7" w:rsidR="00F519B0" w:rsidRPr="00F519B0" w:rsidRDefault="00F519B0" w:rsidP="00BC0206">
            <w:pPr>
              <w:ind w:left="288"/>
              <w:rPr>
                <w:rFonts w:ascii="Times New Roman" w:hAnsi="Times New Roman" w:cs="Times New Roman"/>
                <w:sz w:val="20"/>
                <w:szCs w:val="20"/>
              </w:rPr>
            </w:pPr>
            <w:r w:rsidRPr="00F519B0">
              <w:rPr>
                <w:rFonts w:ascii="Times New Roman" w:hAnsi="Times New Roman" w:cs="Times New Roman"/>
                <w:sz w:val="20"/>
                <w:szCs w:val="20"/>
              </w:rPr>
              <w:t>Standard deviation</w:t>
            </w:r>
          </w:p>
        </w:tc>
        <w:tc>
          <w:tcPr>
            <w:tcW w:w="1092" w:type="pct"/>
            <w:tcBorders>
              <w:top w:val="single" w:sz="4" w:space="0" w:color="auto"/>
              <w:bottom w:val="single" w:sz="4" w:space="0" w:color="auto"/>
            </w:tcBorders>
            <w:vAlign w:val="center"/>
          </w:tcPr>
          <w:p w14:paraId="6394299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0.007</w:t>
            </w:r>
          </w:p>
        </w:tc>
        <w:tc>
          <w:tcPr>
            <w:tcW w:w="1050" w:type="pct"/>
            <w:tcBorders>
              <w:top w:val="single" w:sz="4" w:space="0" w:color="auto"/>
              <w:bottom w:val="single" w:sz="4" w:space="0" w:color="auto"/>
            </w:tcBorders>
            <w:vAlign w:val="center"/>
          </w:tcPr>
          <w:p w14:paraId="460C0568"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1.986</w:t>
            </w:r>
          </w:p>
        </w:tc>
      </w:tr>
      <w:tr w:rsidR="00AC31B4" w:rsidRPr="00DC25EE" w14:paraId="40BA5688" w14:textId="77777777" w:rsidTr="00C0197F">
        <w:trPr>
          <w:trHeight w:val="29"/>
          <w:jc w:val="center"/>
        </w:trPr>
        <w:tc>
          <w:tcPr>
            <w:tcW w:w="2858" w:type="pct"/>
            <w:tcBorders>
              <w:top w:val="single" w:sz="4" w:space="0" w:color="auto"/>
              <w:bottom w:val="double" w:sz="4" w:space="0" w:color="auto"/>
            </w:tcBorders>
            <w:vAlign w:val="center"/>
          </w:tcPr>
          <w:p w14:paraId="468FAB62"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Over-dispersion parameter</w:t>
            </w:r>
          </w:p>
        </w:tc>
        <w:tc>
          <w:tcPr>
            <w:tcW w:w="1092" w:type="pct"/>
            <w:tcBorders>
              <w:top w:val="single" w:sz="4" w:space="0" w:color="auto"/>
              <w:bottom w:val="double" w:sz="4" w:space="0" w:color="auto"/>
            </w:tcBorders>
            <w:vAlign w:val="center"/>
          </w:tcPr>
          <w:p w14:paraId="10AEA5BF"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3.000</w:t>
            </w:r>
          </w:p>
        </w:tc>
        <w:tc>
          <w:tcPr>
            <w:tcW w:w="1050" w:type="pct"/>
            <w:tcBorders>
              <w:top w:val="single" w:sz="4" w:space="0" w:color="auto"/>
              <w:bottom w:val="double" w:sz="4" w:space="0" w:color="auto"/>
            </w:tcBorders>
            <w:vAlign w:val="center"/>
          </w:tcPr>
          <w:p w14:paraId="17194D62"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39.23</w:t>
            </w:r>
          </w:p>
        </w:tc>
      </w:tr>
      <w:tr w:rsidR="00F519B0" w:rsidRPr="00DC25EE" w14:paraId="74B300AA" w14:textId="77777777" w:rsidTr="00C0197F">
        <w:trPr>
          <w:trHeight w:val="29"/>
          <w:jc w:val="center"/>
        </w:trPr>
        <w:tc>
          <w:tcPr>
            <w:tcW w:w="5000" w:type="pct"/>
            <w:gridSpan w:val="3"/>
            <w:tcBorders>
              <w:top w:val="double" w:sz="4" w:space="0" w:color="auto"/>
              <w:bottom w:val="single" w:sz="4" w:space="0" w:color="auto"/>
            </w:tcBorders>
            <w:vAlign w:val="center"/>
          </w:tcPr>
          <w:p w14:paraId="47968682" w14:textId="77777777" w:rsidR="00F519B0" w:rsidRPr="00AC49A3" w:rsidRDefault="00F519B0" w:rsidP="00F519B0">
            <w:pPr>
              <w:rPr>
                <w:rFonts w:ascii="Times New Roman" w:hAnsi="Times New Roman" w:cs="Times New Roman"/>
                <w:b/>
                <w:bCs/>
                <w:i/>
                <w:iCs/>
                <w:sz w:val="20"/>
                <w:szCs w:val="20"/>
              </w:rPr>
            </w:pPr>
            <w:r w:rsidRPr="00AC49A3">
              <w:rPr>
                <w:rFonts w:ascii="Times New Roman" w:hAnsi="Times New Roman" w:cs="Times New Roman"/>
                <w:b/>
                <w:bCs/>
                <w:i/>
                <w:iCs/>
                <w:sz w:val="20"/>
                <w:szCs w:val="20"/>
              </w:rPr>
              <w:t>TAZ level (macro)</w:t>
            </w:r>
          </w:p>
        </w:tc>
      </w:tr>
      <w:tr w:rsidR="00AC31B4" w:rsidRPr="00DC25EE" w14:paraId="77C78EB2" w14:textId="77777777" w:rsidTr="00C0197F">
        <w:trPr>
          <w:trHeight w:val="29"/>
          <w:jc w:val="center"/>
        </w:trPr>
        <w:tc>
          <w:tcPr>
            <w:tcW w:w="2858" w:type="pct"/>
            <w:tcBorders>
              <w:top w:val="single" w:sz="4" w:space="0" w:color="auto"/>
              <w:bottom w:val="single" w:sz="4" w:space="0" w:color="auto"/>
            </w:tcBorders>
            <w:vAlign w:val="center"/>
          </w:tcPr>
          <w:p w14:paraId="122D78FD"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Constant</w:t>
            </w:r>
          </w:p>
        </w:tc>
        <w:tc>
          <w:tcPr>
            <w:tcW w:w="1092" w:type="pct"/>
            <w:tcBorders>
              <w:top w:val="single" w:sz="4" w:space="0" w:color="auto"/>
              <w:bottom w:val="single" w:sz="4" w:space="0" w:color="auto"/>
            </w:tcBorders>
            <w:vAlign w:val="center"/>
          </w:tcPr>
          <w:p w14:paraId="758745DE"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-2.730</w:t>
            </w:r>
          </w:p>
        </w:tc>
        <w:tc>
          <w:tcPr>
            <w:tcW w:w="1050" w:type="pct"/>
            <w:tcBorders>
              <w:top w:val="single" w:sz="4" w:space="0" w:color="auto"/>
              <w:bottom w:val="single" w:sz="4" w:space="0" w:color="auto"/>
            </w:tcBorders>
            <w:vAlign w:val="center"/>
          </w:tcPr>
          <w:p w14:paraId="61904C2F"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-9.085</w:t>
            </w:r>
          </w:p>
        </w:tc>
      </w:tr>
      <w:tr w:rsidR="00AC31B4" w:rsidRPr="00DC25EE" w14:paraId="517A536A" w14:textId="77777777" w:rsidTr="00C0197F">
        <w:trPr>
          <w:trHeight w:val="29"/>
          <w:jc w:val="center"/>
        </w:trPr>
        <w:tc>
          <w:tcPr>
            <w:tcW w:w="2858" w:type="pct"/>
            <w:tcBorders>
              <w:top w:val="single" w:sz="4" w:space="0" w:color="auto"/>
              <w:bottom w:val="single" w:sz="4" w:space="0" w:color="auto"/>
            </w:tcBorders>
            <w:vAlign w:val="center"/>
          </w:tcPr>
          <w:p w14:paraId="3DBA4AE2"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Average speed limit</w:t>
            </w:r>
          </w:p>
        </w:tc>
        <w:tc>
          <w:tcPr>
            <w:tcW w:w="1092" w:type="pct"/>
            <w:tcBorders>
              <w:top w:val="single" w:sz="4" w:space="0" w:color="auto"/>
              <w:bottom w:val="single" w:sz="4" w:space="0" w:color="auto"/>
            </w:tcBorders>
            <w:vAlign w:val="center"/>
          </w:tcPr>
          <w:p w14:paraId="2ED7A2A2"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0.022</w:t>
            </w:r>
          </w:p>
        </w:tc>
        <w:tc>
          <w:tcPr>
            <w:tcW w:w="1050" w:type="pct"/>
            <w:tcBorders>
              <w:top w:val="single" w:sz="4" w:space="0" w:color="auto"/>
              <w:bottom w:val="single" w:sz="4" w:space="0" w:color="auto"/>
            </w:tcBorders>
            <w:vAlign w:val="center"/>
          </w:tcPr>
          <w:p w14:paraId="2186F539"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4.178</w:t>
            </w:r>
          </w:p>
        </w:tc>
      </w:tr>
      <w:tr w:rsidR="00AC31B4" w:rsidRPr="00DC25EE" w14:paraId="3790F2D9" w14:textId="77777777" w:rsidTr="00C0197F">
        <w:trPr>
          <w:trHeight w:val="29"/>
          <w:jc w:val="center"/>
        </w:trPr>
        <w:tc>
          <w:tcPr>
            <w:tcW w:w="2858" w:type="pct"/>
            <w:tcBorders>
              <w:top w:val="single" w:sz="4" w:space="0" w:color="auto"/>
              <w:bottom w:val="single" w:sz="4" w:space="0" w:color="auto"/>
            </w:tcBorders>
            <w:vAlign w:val="center"/>
          </w:tcPr>
          <w:p w14:paraId="5CDEDCD4"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Truck AADT</w:t>
            </w:r>
          </w:p>
        </w:tc>
        <w:tc>
          <w:tcPr>
            <w:tcW w:w="1092" w:type="pct"/>
            <w:tcBorders>
              <w:top w:val="single" w:sz="4" w:space="0" w:color="auto"/>
              <w:bottom w:val="single" w:sz="4" w:space="0" w:color="auto"/>
            </w:tcBorders>
            <w:vAlign w:val="center"/>
          </w:tcPr>
          <w:p w14:paraId="6CCA8A41"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0.316</w:t>
            </w:r>
          </w:p>
        </w:tc>
        <w:tc>
          <w:tcPr>
            <w:tcW w:w="1050" w:type="pct"/>
            <w:tcBorders>
              <w:top w:val="single" w:sz="4" w:space="0" w:color="auto"/>
              <w:bottom w:val="single" w:sz="4" w:space="0" w:color="auto"/>
            </w:tcBorders>
            <w:vAlign w:val="center"/>
          </w:tcPr>
          <w:p w14:paraId="3126C64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7.774</w:t>
            </w:r>
          </w:p>
        </w:tc>
      </w:tr>
      <w:tr w:rsidR="00AC31B4" w:rsidRPr="00DC25EE" w14:paraId="38CF3523" w14:textId="77777777" w:rsidTr="00C0197F">
        <w:trPr>
          <w:trHeight w:val="29"/>
          <w:jc w:val="center"/>
        </w:trPr>
        <w:tc>
          <w:tcPr>
            <w:tcW w:w="2858" w:type="pct"/>
            <w:tcBorders>
              <w:top w:val="single" w:sz="4" w:space="0" w:color="auto"/>
              <w:bottom w:val="single" w:sz="4" w:space="0" w:color="auto"/>
            </w:tcBorders>
            <w:vAlign w:val="center"/>
          </w:tcPr>
          <w:p w14:paraId="4EC147FF"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Proportion of commercial area</w:t>
            </w:r>
          </w:p>
        </w:tc>
        <w:tc>
          <w:tcPr>
            <w:tcW w:w="1092" w:type="pct"/>
            <w:tcBorders>
              <w:top w:val="single" w:sz="4" w:space="0" w:color="auto"/>
              <w:bottom w:val="single" w:sz="4" w:space="0" w:color="auto"/>
            </w:tcBorders>
            <w:vAlign w:val="center"/>
          </w:tcPr>
          <w:p w14:paraId="67F3E151"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0.439</w:t>
            </w:r>
          </w:p>
        </w:tc>
        <w:tc>
          <w:tcPr>
            <w:tcW w:w="1050" w:type="pct"/>
            <w:tcBorders>
              <w:top w:val="single" w:sz="4" w:space="0" w:color="auto"/>
              <w:bottom w:val="single" w:sz="4" w:space="0" w:color="auto"/>
            </w:tcBorders>
            <w:vAlign w:val="center"/>
          </w:tcPr>
          <w:p w14:paraId="1217DEE8"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3.623</w:t>
            </w:r>
          </w:p>
        </w:tc>
      </w:tr>
      <w:tr w:rsidR="00AC31B4" w:rsidRPr="00DC25EE" w14:paraId="33AB3198" w14:textId="77777777" w:rsidTr="00C0197F">
        <w:trPr>
          <w:trHeight w:val="29"/>
          <w:jc w:val="center"/>
        </w:trPr>
        <w:tc>
          <w:tcPr>
            <w:tcW w:w="2858" w:type="pct"/>
            <w:tcBorders>
              <w:top w:val="single" w:sz="4" w:space="0" w:color="auto"/>
              <w:bottom w:val="single" w:sz="4" w:space="0" w:color="auto"/>
            </w:tcBorders>
            <w:vAlign w:val="center"/>
          </w:tcPr>
          <w:p w14:paraId="003644CE" w14:textId="77777777" w:rsidR="00F519B0" w:rsidRPr="00F519B0" w:rsidRDefault="00F519B0" w:rsidP="00F519B0">
            <w:pPr>
              <w:rPr>
                <w:rFonts w:ascii="Times New Roman" w:hAnsi="Times New Roman" w:cs="Times New Roman"/>
                <w:sz w:val="20"/>
                <w:szCs w:val="20"/>
              </w:rPr>
            </w:pPr>
            <w:bookmarkStart w:id="10" w:name="_Hlk77558093"/>
            <w:r w:rsidRPr="00F519B0">
              <w:rPr>
                <w:rFonts w:ascii="Times New Roman" w:hAnsi="Times New Roman" w:cs="Times New Roman"/>
                <w:sz w:val="20"/>
                <w:szCs w:val="20"/>
              </w:rPr>
              <w:t>Household density</w:t>
            </w:r>
          </w:p>
        </w:tc>
        <w:tc>
          <w:tcPr>
            <w:tcW w:w="1092" w:type="pct"/>
            <w:tcBorders>
              <w:top w:val="single" w:sz="4" w:space="0" w:color="auto"/>
              <w:bottom w:val="single" w:sz="4" w:space="0" w:color="auto"/>
            </w:tcBorders>
            <w:vAlign w:val="center"/>
          </w:tcPr>
          <w:p w14:paraId="3CFA3215"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0.092</w:t>
            </w:r>
          </w:p>
        </w:tc>
        <w:tc>
          <w:tcPr>
            <w:tcW w:w="1050" w:type="pct"/>
            <w:tcBorders>
              <w:top w:val="single" w:sz="4" w:space="0" w:color="auto"/>
              <w:bottom w:val="single" w:sz="4" w:space="0" w:color="auto"/>
            </w:tcBorders>
            <w:vAlign w:val="center"/>
          </w:tcPr>
          <w:p w14:paraId="65601FA7"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4.053</w:t>
            </w:r>
          </w:p>
        </w:tc>
      </w:tr>
      <w:tr w:rsidR="00AC31B4" w:rsidRPr="00DC25EE" w14:paraId="69B3C333" w14:textId="77777777" w:rsidTr="00C0197F">
        <w:trPr>
          <w:trHeight w:val="29"/>
          <w:jc w:val="center"/>
        </w:trPr>
        <w:tc>
          <w:tcPr>
            <w:tcW w:w="2858" w:type="pct"/>
            <w:tcBorders>
              <w:top w:val="single" w:sz="4" w:space="0" w:color="auto"/>
              <w:bottom w:val="single" w:sz="4" w:space="0" w:color="auto"/>
            </w:tcBorders>
            <w:vAlign w:val="center"/>
          </w:tcPr>
          <w:p w14:paraId="499A6B96" w14:textId="77777777" w:rsidR="00F519B0" w:rsidRPr="00F519B0" w:rsidRDefault="00F519B0" w:rsidP="00BC0206">
            <w:pPr>
              <w:ind w:left="288"/>
              <w:rPr>
                <w:rFonts w:ascii="Times New Roman" w:hAnsi="Times New Roman" w:cs="Times New Roman"/>
                <w:sz w:val="20"/>
                <w:szCs w:val="20"/>
              </w:rPr>
            </w:pPr>
            <w:r w:rsidRPr="00F519B0">
              <w:rPr>
                <w:rFonts w:ascii="Times New Roman" w:hAnsi="Times New Roman" w:cs="Times New Roman"/>
                <w:sz w:val="20"/>
                <w:szCs w:val="20"/>
              </w:rPr>
              <w:t>Standard deviation</w:t>
            </w:r>
          </w:p>
        </w:tc>
        <w:tc>
          <w:tcPr>
            <w:tcW w:w="1092" w:type="pct"/>
            <w:tcBorders>
              <w:top w:val="single" w:sz="4" w:space="0" w:color="auto"/>
              <w:bottom w:val="single" w:sz="4" w:space="0" w:color="auto"/>
            </w:tcBorders>
            <w:vAlign w:val="center"/>
          </w:tcPr>
          <w:p w14:paraId="441E2B6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0.002</w:t>
            </w:r>
          </w:p>
        </w:tc>
        <w:tc>
          <w:tcPr>
            <w:tcW w:w="1050" w:type="pct"/>
            <w:tcBorders>
              <w:top w:val="single" w:sz="4" w:space="0" w:color="auto"/>
              <w:bottom w:val="single" w:sz="4" w:space="0" w:color="auto"/>
            </w:tcBorders>
            <w:vAlign w:val="center"/>
          </w:tcPr>
          <w:p w14:paraId="54736342"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2.458</w:t>
            </w:r>
          </w:p>
        </w:tc>
      </w:tr>
      <w:bookmarkEnd w:id="10"/>
      <w:tr w:rsidR="00AC31B4" w:rsidRPr="00DC25EE" w14:paraId="4D0C8B2C" w14:textId="77777777" w:rsidTr="00C0197F">
        <w:trPr>
          <w:trHeight w:val="29"/>
          <w:jc w:val="center"/>
        </w:trPr>
        <w:tc>
          <w:tcPr>
            <w:tcW w:w="2858" w:type="pct"/>
            <w:tcBorders>
              <w:top w:val="single" w:sz="4" w:space="0" w:color="auto"/>
              <w:bottom w:val="single" w:sz="4" w:space="0" w:color="auto"/>
            </w:tcBorders>
            <w:vAlign w:val="center"/>
          </w:tcPr>
          <w:p w14:paraId="30546EC5" w14:textId="48FE6CB1"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Proportion of African American p</w:t>
            </w:r>
            <w:r w:rsidR="00590935">
              <w:rPr>
                <w:rFonts w:ascii="Times New Roman" w:hAnsi="Times New Roman" w:cs="Times New Roman"/>
                <w:sz w:val="20"/>
                <w:szCs w:val="20"/>
              </w:rPr>
              <w:t>opulation</w:t>
            </w:r>
          </w:p>
        </w:tc>
        <w:tc>
          <w:tcPr>
            <w:tcW w:w="1092" w:type="pct"/>
            <w:tcBorders>
              <w:top w:val="single" w:sz="4" w:space="0" w:color="auto"/>
              <w:bottom w:val="single" w:sz="4" w:space="0" w:color="auto"/>
            </w:tcBorders>
            <w:vAlign w:val="center"/>
          </w:tcPr>
          <w:p w14:paraId="322A3CFB"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0.253</w:t>
            </w:r>
          </w:p>
        </w:tc>
        <w:tc>
          <w:tcPr>
            <w:tcW w:w="1050" w:type="pct"/>
            <w:tcBorders>
              <w:top w:val="single" w:sz="4" w:space="0" w:color="auto"/>
              <w:bottom w:val="single" w:sz="4" w:space="0" w:color="auto"/>
            </w:tcBorders>
            <w:vAlign w:val="center"/>
          </w:tcPr>
          <w:p w14:paraId="1972329E"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2.381</w:t>
            </w:r>
          </w:p>
        </w:tc>
      </w:tr>
      <w:tr w:rsidR="00AC31B4" w:rsidRPr="00DC25EE" w14:paraId="79F80CEB" w14:textId="77777777" w:rsidTr="00C0197F">
        <w:trPr>
          <w:trHeight w:val="29"/>
          <w:jc w:val="center"/>
        </w:trPr>
        <w:tc>
          <w:tcPr>
            <w:tcW w:w="2858" w:type="pct"/>
            <w:tcBorders>
              <w:top w:val="single" w:sz="4" w:space="0" w:color="auto"/>
              <w:bottom w:val="single" w:sz="4" w:space="0" w:color="auto"/>
            </w:tcBorders>
            <w:vAlign w:val="center"/>
          </w:tcPr>
          <w:p w14:paraId="75440487"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Over-dispersion parameter</w:t>
            </w:r>
          </w:p>
        </w:tc>
        <w:tc>
          <w:tcPr>
            <w:tcW w:w="1092" w:type="pct"/>
            <w:tcBorders>
              <w:top w:val="single" w:sz="4" w:space="0" w:color="auto"/>
              <w:bottom w:val="single" w:sz="4" w:space="0" w:color="auto"/>
            </w:tcBorders>
            <w:vAlign w:val="center"/>
          </w:tcPr>
          <w:p w14:paraId="4D6E9E50"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2.933</w:t>
            </w:r>
          </w:p>
        </w:tc>
        <w:tc>
          <w:tcPr>
            <w:tcW w:w="1050" w:type="pct"/>
            <w:tcBorders>
              <w:top w:val="single" w:sz="4" w:space="0" w:color="auto"/>
              <w:bottom w:val="single" w:sz="4" w:space="0" w:color="auto"/>
            </w:tcBorders>
            <w:vAlign w:val="center"/>
          </w:tcPr>
          <w:p w14:paraId="27BC32DD"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14.653</w:t>
            </w:r>
          </w:p>
        </w:tc>
      </w:tr>
      <w:tr w:rsidR="00AC31B4" w:rsidRPr="00DC25EE" w14:paraId="781B5F6F" w14:textId="77777777" w:rsidTr="00C0197F">
        <w:trPr>
          <w:trHeight w:val="29"/>
          <w:jc w:val="center"/>
        </w:trPr>
        <w:tc>
          <w:tcPr>
            <w:tcW w:w="2858" w:type="pct"/>
            <w:tcBorders>
              <w:top w:val="single" w:sz="4" w:space="0" w:color="auto"/>
              <w:bottom w:val="single" w:sz="4" w:space="0" w:color="auto"/>
            </w:tcBorders>
            <w:vAlign w:val="center"/>
          </w:tcPr>
          <w:p w14:paraId="3C147BE6"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Parameter for segment level propensity sum</w:t>
            </w:r>
          </w:p>
        </w:tc>
        <w:tc>
          <w:tcPr>
            <w:tcW w:w="1092" w:type="pct"/>
            <w:tcBorders>
              <w:top w:val="single" w:sz="4" w:space="0" w:color="auto"/>
              <w:bottom w:val="single" w:sz="4" w:space="0" w:color="auto"/>
            </w:tcBorders>
            <w:vAlign w:val="center"/>
          </w:tcPr>
          <w:p w14:paraId="78E1E903"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0.226</w:t>
            </w:r>
          </w:p>
        </w:tc>
        <w:tc>
          <w:tcPr>
            <w:tcW w:w="1050" w:type="pct"/>
            <w:tcBorders>
              <w:top w:val="single" w:sz="4" w:space="0" w:color="auto"/>
              <w:bottom w:val="single" w:sz="4" w:space="0" w:color="auto"/>
            </w:tcBorders>
            <w:vAlign w:val="center"/>
          </w:tcPr>
          <w:p w14:paraId="0DB51CB7"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7.809</w:t>
            </w:r>
          </w:p>
        </w:tc>
      </w:tr>
      <w:tr w:rsidR="00AC31B4" w:rsidRPr="00DC25EE" w14:paraId="33347470" w14:textId="77777777" w:rsidTr="00C0197F">
        <w:trPr>
          <w:trHeight w:val="29"/>
          <w:jc w:val="center"/>
        </w:trPr>
        <w:tc>
          <w:tcPr>
            <w:tcW w:w="2858" w:type="pct"/>
            <w:tcBorders>
              <w:top w:val="single" w:sz="4" w:space="0" w:color="auto"/>
              <w:bottom w:val="double" w:sz="4" w:space="0" w:color="auto"/>
            </w:tcBorders>
            <w:vAlign w:val="center"/>
          </w:tcPr>
          <w:p w14:paraId="4D29260D"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Parameter for intersection level propensity sum</w:t>
            </w:r>
          </w:p>
        </w:tc>
        <w:tc>
          <w:tcPr>
            <w:tcW w:w="1092" w:type="pct"/>
            <w:tcBorders>
              <w:top w:val="single" w:sz="4" w:space="0" w:color="auto"/>
              <w:bottom w:val="double" w:sz="4" w:space="0" w:color="auto"/>
            </w:tcBorders>
            <w:vAlign w:val="center"/>
          </w:tcPr>
          <w:p w14:paraId="3EA59CF6"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0.497</w:t>
            </w:r>
          </w:p>
        </w:tc>
        <w:tc>
          <w:tcPr>
            <w:tcW w:w="1050" w:type="pct"/>
            <w:tcBorders>
              <w:top w:val="single" w:sz="4" w:space="0" w:color="auto"/>
              <w:bottom w:val="double" w:sz="4" w:space="0" w:color="auto"/>
            </w:tcBorders>
            <w:vAlign w:val="center"/>
          </w:tcPr>
          <w:p w14:paraId="728353D8"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10.007</w:t>
            </w:r>
          </w:p>
        </w:tc>
      </w:tr>
      <w:tr w:rsidR="00F519B0" w:rsidRPr="00DC25EE" w14:paraId="54D539F0" w14:textId="77777777" w:rsidTr="00C0197F">
        <w:trPr>
          <w:trHeight w:val="29"/>
          <w:jc w:val="center"/>
        </w:trPr>
        <w:tc>
          <w:tcPr>
            <w:tcW w:w="5000" w:type="pct"/>
            <w:gridSpan w:val="3"/>
            <w:tcBorders>
              <w:top w:val="double" w:sz="4" w:space="0" w:color="auto"/>
            </w:tcBorders>
            <w:vAlign w:val="center"/>
          </w:tcPr>
          <w:p w14:paraId="7E63C6F9" w14:textId="77777777" w:rsidR="00F519B0" w:rsidRPr="00AC49A3" w:rsidRDefault="00F519B0" w:rsidP="00F519B0">
            <w:pPr>
              <w:rPr>
                <w:rFonts w:ascii="Times New Roman" w:hAnsi="Times New Roman" w:cs="Times New Roman"/>
                <w:b/>
                <w:bCs/>
                <w:i/>
                <w:iCs/>
                <w:sz w:val="20"/>
                <w:szCs w:val="20"/>
              </w:rPr>
            </w:pPr>
            <w:r w:rsidRPr="00AC49A3">
              <w:rPr>
                <w:rFonts w:ascii="Times New Roman" w:hAnsi="Times New Roman" w:cs="Times New Roman"/>
                <w:b/>
                <w:bCs/>
                <w:i/>
                <w:iCs/>
                <w:sz w:val="20"/>
                <w:szCs w:val="20"/>
              </w:rPr>
              <w:t>Unobserved heterogeneity</w:t>
            </w:r>
          </w:p>
        </w:tc>
      </w:tr>
      <w:tr w:rsidR="00AC31B4" w:rsidRPr="00DC25EE" w14:paraId="0EAD756D" w14:textId="77777777" w:rsidTr="00C0197F">
        <w:trPr>
          <w:trHeight w:val="29"/>
          <w:jc w:val="center"/>
        </w:trPr>
        <w:tc>
          <w:tcPr>
            <w:tcW w:w="2858" w:type="pct"/>
            <w:vAlign w:val="center"/>
          </w:tcPr>
          <w:p w14:paraId="131C9338"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Segment correlation</w:t>
            </w:r>
          </w:p>
        </w:tc>
        <w:tc>
          <w:tcPr>
            <w:tcW w:w="1092" w:type="pct"/>
            <w:vAlign w:val="center"/>
          </w:tcPr>
          <w:p w14:paraId="4A487574"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0.682</w:t>
            </w:r>
          </w:p>
        </w:tc>
        <w:tc>
          <w:tcPr>
            <w:tcW w:w="1050" w:type="pct"/>
            <w:vAlign w:val="center"/>
          </w:tcPr>
          <w:p w14:paraId="58CEC020"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8.875</w:t>
            </w:r>
          </w:p>
        </w:tc>
      </w:tr>
      <w:tr w:rsidR="00AC31B4" w:rsidRPr="00DC25EE" w14:paraId="75EA3771" w14:textId="77777777" w:rsidTr="00C0197F">
        <w:trPr>
          <w:trHeight w:val="29"/>
          <w:jc w:val="center"/>
        </w:trPr>
        <w:tc>
          <w:tcPr>
            <w:tcW w:w="2858" w:type="pct"/>
            <w:tcBorders>
              <w:bottom w:val="double" w:sz="4" w:space="0" w:color="auto"/>
            </w:tcBorders>
            <w:vAlign w:val="center"/>
          </w:tcPr>
          <w:p w14:paraId="2F7E9C5B" w14:textId="77777777" w:rsidR="00F519B0" w:rsidRPr="00F519B0" w:rsidRDefault="00F519B0" w:rsidP="00F519B0">
            <w:pPr>
              <w:rPr>
                <w:rFonts w:ascii="Times New Roman" w:hAnsi="Times New Roman" w:cs="Times New Roman"/>
                <w:sz w:val="20"/>
                <w:szCs w:val="20"/>
              </w:rPr>
            </w:pPr>
            <w:r w:rsidRPr="00F519B0">
              <w:rPr>
                <w:rFonts w:ascii="Times New Roman" w:hAnsi="Times New Roman" w:cs="Times New Roman"/>
                <w:sz w:val="20"/>
                <w:szCs w:val="20"/>
              </w:rPr>
              <w:t>Intersection correlation</w:t>
            </w:r>
          </w:p>
        </w:tc>
        <w:tc>
          <w:tcPr>
            <w:tcW w:w="1092" w:type="pct"/>
            <w:tcBorders>
              <w:bottom w:val="double" w:sz="4" w:space="0" w:color="auto"/>
            </w:tcBorders>
            <w:vAlign w:val="center"/>
          </w:tcPr>
          <w:p w14:paraId="27412D05"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0.739</w:t>
            </w:r>
          </w:p>
        </w:tc>
        <w:tc>
          <w:tcPr>
            <w:tcW w:w="1050" w:type="pct"/>
            <w:tcBorders>
              <w:bottom w:val="double" w:sz="4" w:space="0" w:color="auto"/>
            </w:tcBorders>
            <w:vAlign w:val="center"/>
          </w:tcPr>
          <w:p w14:paraId="0A68EA1E" w14:textId="77777777" w:rsidR="00F519B0" w:rsidRPr="00F519B0" w:rsidRDefault="00F519B0" w:rsidP="00AC49A3">
            <w:pPr>
              <w:jc w:val="center"/>
              <w:rPr>
                <w:rFonts w:ascii="Times New Roman" w:hAnsi="Times New Roman" w:cs="Times New Roman"/>
                <w:sz w:val="20"/>
                <w:szCs w:val="20"/>
              </w:rPr>
            </w:pPr>
            <w:r w:rsidRPr="00F519B0">
              <w:rPr>
                <w:rFonts w:ascii="Times New Roman" w:hAnsi="Times New Roman" w:cs="Times New Roman"/>
                <w:sz w:val="20"/>
                <w:szCs w:val="20"/>
              </w:rPr>
              <w:t>17.948</w:t>
            </w:r>
          </w:p>
        </w:tc>
      </w:tr>
      <w:tr w:rsidR="00F519B0" w:rsidRPr="00CA5306" w14:paraId="704981D7" w14:textId="77777777" w:rsidTr="00C0197F">
        <w:trPr>
          <w:trHeight w:val="29"/>
          <w:jc w:val="center"/>
        </w:trPr>
        <w:tc>
          <w:tcPr>
            <w:tcW w:w="5000" w:type="pct"/>
            <w:gridSpan w:val="3"/>
            <w:tcBorders>
              <w:top w:val="double" w:sz="4" w:space="0" w:color="auto"/>
              <w:left w:val="double" w:sz="4" w:space="0" w:color="auto"/>
              <w:bottom w:val="double" w:sz="4" w:space="0" w:color="auto"/>
              <w:right w:val="double" w:sz="4" w:space="0" w:color="auto"/>
            </w:tcBorders>
            <w:vAlign w:val="center"/>
          </w:tcPr>
          <w:p w14:paraId="355DF33F" w14:textId="257A7EF6" w:rsidR="00F519B0" w:rsidRPr="00CA5306" w:rsidRDefault="00F519B0" w:rsidP="00F519B0">
            <w:pPr>
              <w:rPr>
                <w:rFonts w:ascii="Times New Roman" w:hAnsi="Times New Roman" w:cs="Times New Roman"/>
                <w:sz w:val="20"/>
                <w:szCs w:val="20"/>
              </w:rPr>
            </w:pPr>
            <w:r w:rsidRPr="00CA5306">
              <w:rPr>
                <w:rFonts w:ascii="Times New Roman" w:hAnsi="Times New Roman" w:cs="Times New Roman"/>
                <w:sz w:val="20"/>
                <w:szCs w:val="20"/>
              </w:rPr>
              <w:t>For proposed integrated m</w:t>
            </w:r>
            <w:r w:rsidR="006346A6" w:rsidRPr="00CA5306">
              <w:rPr>
                <w:rFonts w:ascii="Times New Roman" w:hAnsi="Times New Roman" w:cs="Times New Roman"/>
                <w:sz w:val="20"/>
                <w:szCs w:val="20"/>
              </w:rPr>
              <w:t>i</w:t>
            </w:r>
            <w:r w:rsidRPr="00CA5306">
              <w:rPr>
                <w:rFonts w:ascii="Times New Roman" w:hAnsi="Times New Roman" w:cs="Times New Roman"/>
                <w:sz w:val="20"/>
                <w:szCs w:val="20"/>
              </w:rPr>
              <w:t>cro-m</w:t>
            </w:r>
            <w:r w:rsidR="006346A6" w:rsidRPr="00CA5306">
              <w:rPr>
                <w:rFonts w:ascii="Times New Roman" w:hAnsi="Times New Roman" w:cs="Times New Roman"/>
                <w:sz w:val="20"/>
                <w:szCs w:val="20"/>
              </w:rPr>
              <w:t>a</w:t>
            </w:r>
            <w:r w:rsidRPr="00CA5306">
              <w:rPr>
                <w:rFonts w:ascii="Times New Roman" w:hAnsi="Times New Roman" w:cs="Times New Roman"/>
                <w:sz w:val="20"/>
                <w:szCs w:val="20"/>
              </w:rPr>
              <w:t>cro model: Log-likelihood: -17,068.710; BIC: 34,297.126</w:t>
            </w:r>
          </w:p>
        </w:tc>
      </w:tr>
    </w:tbl>
    <w:bookmarkEnd w:id="9"/>
    <w:p w14:paraId="3F14AADE" w14:textId="2DE6EBDA" w:rsidR="00AC49A3" w:rsidRDefault="008F0FD2" w:rsidP="005E0487">
      <w:pPr>
        <w:rPr>
          <w:rFonts w:asciiTheme="majorHAnsi" w:hAnsiTheme="majorHAnsi" w:cstheme="majorHAnsi"/>
          <w:szCs w:val="24"/>
          <w:lang w:val="en-GB" w:eastAsia="en-GB"/>
        </w:rPr>
      </w:pPr>
      <w:r w:rsidRPr="00CA5306">
        <w:rPr>
          <w:i/>
          <w:iCs/>
          <w:sz w:val="20"/>
          <w:szCs w:val="18"/>
        </w:rPr>
        <w:t>*</w:t>
      </w:r>
      <w:r w:rsidR="00CA5306" w:rsidRPr="00CA5306">
        <w:rPr>
          <w:rFonts w:cs="Times New Roman"/>
        </w:rPr>
        <w:t xml:space="preserve"> </w:t>
      </w:r>
      <w:r w:rsidR="00CA5306" w:rsidRPr="00CA5306">
        <w:rPr>
          <w:rFonts w:cs="Times New Roman"/>
          <w:i/>
          <w:iCs/>
          <w:sz w:val="20"/>
          <w:szCs w:val="18"/>
        </w:rPr>
        <w:t>The standard deviation denotes random parameter associated with respective variable which indicates significant variation of the impact of that variable across the study level.</w:t>
      </w:r>
    </w:p>
    <w:p w14:paraId="73B39A33" w14:textId="77777777" w:rsidR="00AC49A3" w:rsidRDefault="00AC49A3" w:rsidP="005E0487">
      <w:pPr>
        <w:rPr>
          <w:rFonts w:asciiTheme="majorHAnsi" w:hAnsiTheme="majorHAnsi" w:cstheme="majorHAnsi"/>
          <w:szCs w:val="24"/>
          <w:lang w:val="en-GB" w:eastAsia="en-GB"/>
        </w:rPr>
      </w:pPr>
    </w:p>
    <w:p w14:paraId="585CD11C" w14:textId="05B7086E" w:rsidR="005E0487" w:rsidRDefault="005E0487" w:rsidP="005E0487">
      <w:pPr>
        <w:rPr>
          <w:rFonts w:asciiTheme="majorHAnsi" w:hAnsiTheme="majorHAnsi" w:cstheme="majorHAnsi"/>
          <w:szCs w:val="24"/>
          <w:lang w:val="en-GB" w:eastAsia="en-GB"/>
        </w:rPr>
      </w:pPr>
    </w:p>
    <w:p w14:paraId="59CB1364" w14:textId="5EB3BC57" w:rsidR="00613836" w:rsidRDefault="00613836" w:rsidP="005E0487">
      <w:pPr>
        <w:rPr>
          <w:rFonts w:asciiTheme="majorHAnsi" w:hAnsiTheme="majorHAnsi" w:cstheme="majorHAnsi"/>
          <w:szCs w:val="24"/>
          <w:lang w:val="en-GB" w:eastAsia="en-GB"/>
        </w:rPr>
      </w:pPr>
    </w:p>
    <w:p w14:paraId="304D4DB8" w14:textId="20AB45D7" w:rsidR="00613836" w:rsidRDefault="00613836" w:rsidP="005E0487">
      <w:pPr>
        <w:rPr>
          <w:rFonts w:asciiTheme="majorHAnsi" w:hAnsiTheme="majorHAnsi" w:cstheme="majorHAnsi"/>
          <w:szCs w:val="24"/>
          <w:lang w:val="en-GB" w:eastAsia="en-GB"/>
        </w:rPr>
      </w:pPr>
    </w:p>
    <w:p w14:paraId="65A31335" w14:textId="3C24CABF" w:rsidR="00613836" w:rsidRDefault="00613836" w:rsidP="005E0487">
      <w:pPr>
        <w:rPr>
          <w:rFonts w:asciiTheme="majorHAnsi" w:hAnsiTheme="majorHAnsi" w:cstheme="majorHAnsi"/>
          <w:szCs w:val="24"/>
          <w:lang w:val="en-GB" w:eastAsia="en-GB"/>
        </w:rPr>
      </w:pPr>
    </w:p>
    <w:p w14:paraId="6A82C9D7" w14:textId="36862FBF" w:rsidR="00613836" w:rsidRDefault="00613836" w:rsidP="005E0487">
      <w:pPr>
        <w:rPr>
          <w:rFonts w:asciiTheme="majorHAnsi" w:hAnsiTheme="majorHAnsi" w:cstheme="majorHAnsi"/>
          <w:szCs w:val="24"/>
          <w:lang w:val="en-GB" w:eastAsia="en-GB"/>
        </w:rPr>
      </w:pPr>
    </w:p>
    <w:p w14:paraId="54E288C7" w14:textId="11A624B2" w:rsidR="00613836" w:rsidRDefault="00613836" w:rsidP="005E0487">
      <w:pPr>
        <w:rPr>
          <w:rFonts w:asciiTheme="majorHAnsi" w:hAnsiTheme="majorHAnsi" w:cstheme="majorHAnsi"/>
          <w:szCs w:val="24"/>
          <w:lang w:val="en-GB" w:eastAsia="en-GB"/>
        </w:rPr>
      </w:pPr>
    </w:p>
    <w:p w14:paraId="2DDA7172" w14:textId="303EDF68" w:rsidR="00613836" w:rsidRDefault="00613836" w:rsidP="005E0487">
      <w:pPr>
        <w:rPr>
          <w:rFonts w:asciiTheme="majorHAnsi" w:hAnsiTheme="majorHAnsi" w:cstheme="majorHAnsi"/>
          <w:szCs w:val="24"/>
          <w:lang w:val="en-GB" w:eastAsia="en-GB"/>
        </w:rPr>
      </w:pPr>
    </w:p>
    <w:p w14:paraId="770D6D13" w14:textId="05911AB5" w:rsidR="00613836" w:rsidRDefault="00613836" w:rsidP="005E0487">
      <w:pPr>
        <w:rPr>
          <w:rFonts w:asciiTheme="majorHAnsi" w:hAnsiTheme="majorHAnsi" w:cstheme="majorHAnsi"/>
          <w:szCs w:val="24"/>
          <w:lang w:val="en-GB" w:eastAsia="en-GB"/>
        </w:rPr>
      </w:pPr>
    </w:p>
    <w:p w14:paraId="2ABA3FFC" w14:textId="46358328" w:rsidR="00E67E06" w:rsidRDefault="00E67E06" w:rsidP="005E0487">
      <w:pPr>
        <w:rPr>
          <w:rFonts w:asciiTheme="majorHAnsi" w:hAnsiTheme="majorHAnsi" w:cstheme="majorHAnsi"/>
          <w:szCs w:val="24"/>
          <w:lang w:val="en-GB" w:eastAsia="en-GB"/>
        </w:rPr>
      </w:pPr>
    </w:p>
    <w:p w14:paraId="0DF582DB" w14:textId="1EA9BF90" w:rsidR="00E67E06" w:rsidRDefault="00E67E06" w:rsidP="005E0487">
      <w:pPr>
        <w:rPr>
          <w:rFonts w:asciiTheme="majorHAnsi" w:hAnsiTheme="majorHAnsi" w:cstheme="majorHAnsi"/>
          <w:szCs w:val="24"/>
          <w:lang w:val="en-GB" w:eastAsia="en-GB"/>
        </w:rPr>
      </w:pPr>
    </w:p>
    <w:p w14:paraId="46FE0BC1" w14:textId="77777777" w:rsidR="009D25D9" w:rsidRDefault="009D25D9" w:rsidP="009D25D9">
      <w:pPr>
        <w:rPr>
          <w:lang w:val="en-GB"/>
        </w:rPr>
      </w:pPr>
    </w:p>
    <w:p w14:paraId="57D83BBF" w14:textId="777FA42F" w:rsidR="00F56C71" w:rsidRDefault="00F56C71" w:rsidP="005D3939">
      <w:pPr>
        <w:pStyle w:val="Heading1"/>
        <w:numPr>
          <w:ilvl w:val="0"/>
          <w:numId w:val="0"/>
        </w:numPr>
        <w:ind w:left="432"/>
        <w:jc w:val="center"/>
        <w:rPr>
          <w:lang w:val="en-GB"/>
        </w:rPr>
      </w:pPr>
      <w:r>
        <w:rPr>
          <w:lang w:val="en-GB"/>
        </w:rPr>
        <w:lastRenderedPageBreak/>
        <w:t>Supplementary Material</w:t>
      </w:r>
    </w:p>
    <w:p w14:paraId="76CA8B45" w14:textId="77777777" w:rsidR="005D3939" w:rsidRPr="005D3939" w:rsidRDefault="005D3939" w:rsidP="005D3939">
      <w:pPr>
        <w:rPr>
          <w:lang w:val="en-GB"/>
        </w:rPr>
      </w:pPr>
    </w:p>
    <w:p w14:paraId="1D78F86A" w14:textId="77777777" w:rsidR="00F56C71" w:rsidRPr="00F7534A" w:rsidRDefault="00F56C71" w:rsidP="00F56C71">
      <w:pPr>
        <w:jc w:val="center"/>
      </w:pPr>
      <w:r w:rsidRPr="00F7534A">
        <w:rPr>
          <w:b/>
          <w:bCs/>
        </w:rPr>
        <w:t>TABLE S1</w:t>
      </w:r>
      <w:r>
        <w:rPr>
          <w:b/>
          <w:bCs/>
        </w:rPr>
        <w:t>:</w:t>
      </w:r>
      <w:r w:rsidRPr="00F7534A">
        <w:t xml:space="preserve"> Results of Integrated Micro</w:t>
      </w:r>
      <w:r>
        <w:t>-</w:t>
      </w:r>
      <w:r w:rsidRPr="00F7534A">
        <w:t>Macro Models</w:t>
      </w:r>
      <w:r>
        <w:t xml:space="preserve"> with 2018, 2019, and Pooled Records</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972"/>
        <w:gridCol w:w="847"/>
        <w:gridCol w:w="972"/>
        <w:gridCol w:w="774"/>
        <w:gridCol w:w="976"/>
        <w:gridCol w:w="770"/>
      </w:tblGrid>
      <w:tr w:rsidR="00F56C71" w:rsidRPr="00C468E3" w14:paraId="50BF130E" w14:textId="77777777" w:rsidTr="00C0197F">
        <w:trPr>
          <w:trHeight w:val="29"/>
        </w:trPr>
        <w:tc>
          <w:tcPr>
            <w:tcW w:w="4210" w:type="dxa"/>
            <w:vMerge w:val="restart"/>
            <w:tcBorders>
              <w:top w:val="double" w:sz="4" w:space="0" w:color="auto"/>
              <w:left w:val="double" w:sz="4" w:space="0" w:color="auto"/>
              <w:bottom w:val="double" w:sz="4" w:space="0" w:color="auto"/>
              <w:right w:val="double" w:sz="4" w:space="0" w:color="auto"/>
            </w:tcBorders>
            <w:shd w:val="clear" w:color="auto" w:fill="auto"/>
            <w:noWrap/>
            <w:vAlign w:val="center"/>
          </w:tcPr>
          <w:p w14:paraId="44DEAECF" w14:textId="77777777" w:rsidR="00F56C71" w:rsidRPr="00C468E3" w:rsidRDefault="00F56C71" w:rsidP="005A7CE8">
            <w:pPr>
              <w:pStyle w:val="NoSpacing"/>
              <w:jc w:val="center"/>
              <w:rPr>
                <w:rFonts w:ascii="Times New Roman" w:hAnsi="Times New Roman" w:cs="Times New Roman"/>
                <w:b/>
                <w:bCs/>
                <w:sz w:val="20"/>
                <w:szCs w:val="20"/>
                <w:lang w:val="en-CA"/>
              </w:rPr>
            </w:pPr>
            <w:r w:rsidRPr="00C468E3">
              <w:rPr>
                <w:rFonts w:ascii="Times New Roman" w:hAnsi="Times New Roman" w:cs="Times New Roman"/>
                <w:b/>
                <w:bCs/>
                <w:sz w:val="20"/>
                <w:szCs w:val="20"/>
                <w:lang w:val="en-CA"/>
              </w:rPr>
              <w:t>Variables</w:t>
            </w:r>
          </w:p>
        </w:tc>
        <w:tc>
          <w:tcPr>
            <w:tcW w:w="1819" w:type="dxa"/>
            <w:gridSpan w:val="2"/>
            <w:tcBorders>
              <w:top w:val="double" w:sz="4" w:space="0" w:color="auto"/>
              <w:left w:val="double" w:sz="4" w:space="0" w:color="auto"/>
              <w:bottom w:val="single" w:sz="4" w:space="0" w:color="auto"/>
              <w:right w:val="double" w:sz="4" w:space="0" w:color="auto"/>
            </w:tcBorders>
            <w:shd w:val="clear" w:color="auto" w:fill="auto"/>
            <w:noWrap/>
            <w:vAlign w:val="center"/>
          </w:tcPr>
          <w:p w14:paraId="2DE50CCC" w14:textId="77777777" w:rsidR="00F56C71" w:rsidRPr="00C468E3" w:rsidRDefault="00F56C71" w:rsidP="005A7CE8">
            <w:pPr>
              <w:pStyle w:val="NoSpacing"/>
              <w:jc w:val="center"/>
              <w:rPr>
                <w:rFonts w:ascii="Times New Roman" w:hAnsi="Times New Roman" w:cs="Times New Roman"/>
                <w:b/>
                <w:bCs/>
                <w:sz w:val="20"/>
                <w:szCs w:val="20"/>
              </w:rPr>
            </w:pPr>
            <w:r w:rsidRPr="00C468E3">
              <w:rPr>
                <w:rFonts w:ascii="Times New Roman" w:hAnsi="Times New Roman" w:cs="Times New Roman"/>
                <w:b/>
                <w:bCs/>
                <w:sz w:val="20"/>
                <w:szCs w:val="20"/>
              </w:rPr>
              <w:t>Integrated</w:t>
            </w:r>
          </w:p>
          <w:p w14:paraId="4728C088" w14:textId="77777777" w:rsidR="00F56C71" w:rsidRPr="00C468E3" w:rsidRDefault="00F56C71" w:rsidP="005A7CE8">
            <w:pPr>
              <w:pStyle w:val="NoSpacing"/>
              <w:jc w:val="center"/>
              <w:rPr>
                <w:rFonts w:ascii="Times New Roman" w:hAnsi="Times New Roman" w:cs="Times New Roman"/>
                <w:b/>
                <w:bCs/>
                <w:sz w:val="20"/>
                <w:szCs w:val="20"/>
              </w:rPr>
            </w:pPr>
            <w:r w:rsidRPr="00C468E3">
              <w:rPr>
                <w:rFonts w:ascii="Times New Roman" w:hAnsi="Times New Roman" w:cs="Times New Roman"/>
                <w:b/>
                <w:bCs/>
                <w:sz w:val="20"/>
                <w:szCs w:val="20"/>
              </w:rPr>
              <w:t>macro-micro</w:t>
            </w:r>
          </w:p>
          <w:p w14:paraId="016EF3C2" w14:textId="5107A347" w:rsidR="00F56C71" w:rsidRPr="00C468E3" w:rsidRDefault="00F56C71" w:rsidP="005A7CE8">
            <w:pPr>
              <w:pStyle w:val="NoSpacing"/>
              <w:jc w:val="center"/>
              <w:rPr>
                <w:rFonts w:ascii="Times New Roman" w:eastAsia="Times New Roman" w:hAnsi="Times New Roman" w:cs="Times New Roman"/>
                <w:b/>
                <w:bCs/>
                <w:color w:val="000000"/>
                <w:sz w:val="20"/>
                <w:szCs w:val="20"/>
              </w:rPr>
            </w:pPr>
            <w:r w:rsidRPr="00C468E3">
              <w:rPr>
                <w:rFonts w:ascii="Times New Roman" w:hAnsi="Times New Roman" w:cs="Times New Roman"/>
                <w:b/>
                <w:bCs/>
                <w:sz w:val="20"/>
                <w:szCs w:val="20"/>
              </w:rPr>
              <w:t>model</w:t>
            </w:r>
            <w:r>
              <w:rPr>
                <w:rFonts w:ascii="Times New Roman" w:hAnsi="Times New Roman" w:cs="Times New Roman"/>
                <w:b/>
                <w:bCs/>
                <w:sz w:val="20"/>
                <w:szCs w:val="20"/>
              </w:rPr>
              <w:t xml:space="preserve"> </w:t>
            </w:r>
            <w:r w:rsidRPr="00C468E3">
              <w:rPr>
                <w:rFonts w:ascii="Times New Roman" w:hAnsi="Times New Roman" w:cs="Times New Roman"/>
                <w:b/>
                <w:bCs/>
                <w:sz w:val="20"/>
                <w:szCs w:val="20"/>
              </w:rPr>
              <w:t>(2018 records)</w:t>
            </w:r>
          </w:p>
        </w:tc>
        <w:tc>
          <w:tcPr>
            <w:tcW w:w="1746" w:type="dxa"/>
            <w:gridSpan w:val="2"/>
            <w:tcBorders>
              <w:top w:val="double" w:sz="4" w:space="0" w:color="auto"/>
              <w:left w:val="double" w:sz="4" w:space="0" w:color="auto"/>
              <w:bottom w:val="single" w:sz="4" w:space="0" w:color="auto"/>
              <w:right w:val="double" w:sz="4" w:space="0" w:color="auto"/>
            </w:tcBorders>
            <w:vAlign w:val="center"/>
          </w:tcPr>
          <w:p w14:paraId="1889FE7E" w14:textId="30D48369" w:rsidR="00F56C71" w:rsidRPr="00C468E3" w:rsidRDefault="00F56C71" w:rsidP="005A7CE8">
            <w:pPr>
              <w:pStyle w:val="NoSpacing"/>
              <w:jc w:val="center"/>
              <w:rPr>
                <w:rFonts w:ascii="Times New Roman" w:hAnsi="Times New Roman" w:cs="Times New Roman"/>
                <w:b/>
                <w:bCs/>
                <w:sz w:val="20"/>
                <w:szCs w:val="20"/>
              </w:rPr>
            </w:pPr>
            <w:r w:rsidRPr="00C468E3">
              <w:rPr>
                <w:rFonts w:ascii="Times New Roman" w:hAnsi="Times New Roman" w:cs="Times New Roman"/>
                <w:b/>
                <w:bCs/>
                <w:sz w:val="20"/>
                <w:szCs w:val="20"/>
              </w:rPr>
              <w:t>Integrated macro-micro model (2019 records)</w:t>
            </w:r>
          </w:p>
        </w:tc>
        <w:tc>
          <w:tcPr>
            <w:tcW w:w="0" w:type="auto"/>
            <w:gridSpan w:val="2"/>
            <w:tcBorders>
              <w:top w:val="double" w:sz="4" w:space="0" w:color="auto"/>
              <w:left w:val="double" w:sz="4" w:space="0" w:color="auto"/>
              <w:bottom w:val="single" w:sz="4" w:space="0" w:color="auto"/>
              <w:right w:val="double" w:sz="4" w:space="0" w:color="auto"/>
            </w:tcBorders>
            <w:vAlign w:val="center"/>
          </w:tcPr>
          <w:p w14:paraId="00F4F747" w14:textId="04ED4466" w:rsidR="00F56C71" w:rsidRPr="00C468E3" w:rsidRDefault="00F56C71" w:rsidP="005A7CE8">
            <w:pPr>
              <w:pStyle w:val="NoSpacing"/>
              <w:jc w:val="center"/>
              <w:rPr>
                <w:rFonts w:ascii="Times New Roman" w:hAnsi="Times New Roman" w:cs="Times New Roman"/>
                <w:b/>
                <w:bCs/>
                <w:sz w:val="20"/>
                <w:szCs w:val="20"/>
              </w:rPr>
            </w:pPr>
            <w:r w:rsidRPr="00C468E3">
              <w:rPr>
                <w:rFonts w:ascii="Times New Roman" w:hAnsi="Times New Roman" w:cs="Times New Roman"/>
                <w:b/>
                <w:bCs/>
                <w:sz w:val="20"/>
                <w:szCs w:val="20"/>
              </w:rPr>
              <w:t>Integrated macro-micro model (pooled records)</w:t>
            </w:r>
          </w:p>
        </w:tc>
      </w:tr>
      <w:tr w:rsidR="00F56C71" w:rsidRPr="00C468E3" w14:paraId="6F5D1E67" w14:textId="77777777" w:rsidTr="00C0197F">
        <w:trPr>
          <w:trHeight w:val="29"/>
        </w:trPr>
        <w:tc>
          <w:tcPr>
            <w:tcW w:w="4210" w:type="dxa"/>
            <w:vMerge/>
            <w:tcBorders>
              <w:top w:val="double" w:sz="4" w:space="0" w:color="auto"/>
              <w:left w:val="double" w:sz="4" w:space="0" w:color="auto"/>
              <w:bottom w:val="double" w:sz="4" w:space="0" w:color="auto"/>
              <w:right w:val="double" w:sz="4" w:space="0" w:color="auto"/>
            </w:tcBorders>
            <w:shd w:val="clear" w:color="auto" w:fill="auto"/>
            <w:noWrap/>
            <w:vAlign w:val="center"/>
          </w:tcPr>
          <w:p w14:paraId="4D4AE162" w14:textId="77777777" w:rsidR="00F56C71" w:rsidRPr="00C468E3" w:rsidRDefault="00F56C71" w:rsidP="005A7CE8">
            <w:pPr>
              <w:pStyle w:val="NoSpacing"/>
              <w:jc w:val="center"/>
              <w:rPr>
                <w:rFonts w:ascii="Times New Roman" w:eastAsia="Times New Roman" w:hAnsi="Times New Roman" w:cs="Times New Roman"/>
                <w:b/>
                <w:bCs/>
                <w:color w:val="000000"/>
                <w:sz w:val="20"/>
                <w:szCs w:val="20"/>
              </w:rPr>
            </w:pPr>
          </w:p>
        </w:tc>
        <w:tc>
          <w:tcPr>
            <w:tcW w:w="972" w:type="dxa"/>
            <w:tcBorders>
              <w:top w:val="single" w:sz="4" w:space="0" w:color="auto"/>
              <w:left w:val="double" w:sz="4" w:space="0" w:color="auto"/>
              <w:bottom w:val="double" w:sz="4" w:space="0" w:color="auto"/>
              <w:right w:val="single" w:sz="4" w:space="0" w:color="auto"/>
            </w:tcBorders>
            <w:shd w:val="clear" w:color="auto" w:fill="auto"/>
            <w:noWrap/>
            <w:vAlign w:val="center"/>
          </w:tcPr>
          <w:p w14:paraId="4CB53967" w14:textId="77777777" w:rsidR="00F56C71" w:rsidRPr="00C468E3" w:rsidRDefault="00F56C71" w:rsidP="005A7CE8">
            <w:pPr>
              <w:pStyle w:val="NoSpacing"/>
              <w:jc w:val="center"/>
              <w:rPr>
                <w:rFonts w:ascii="Times New Roman" w:eastAsia="Times New Roman" w:hAnsi="Times New Roman" w:cs="Times New Roman"/>
                <w:b/>
                <w:bCs/>
                <w:color w:val="000000"/>
                <w:sz w:val="20"/>
                <w:szCs w:val="20"/>
              </w:rPr>
            </w:pPr>
            <w:r w:rsidRPr="00C468E3">
              <w:rPr>
                <w:rFonts w:ascii="Times New Roman" w:hAnsi="Times New Roman" w:cs="Times New Roman"/>
                <w:b/>
                <w:bCs/>
                <w:sz w:val="20"/>
                <w:szCs w:val="20"/>
              </w:rPr>
              <w:t>Estimate</w:t>
            </w:r>
          </w:p>
        </w:tc>
        <w:tc>
          <w:tcPr>
            <w:tcW w:w="847" w:type="dxa"/>
            <w:tcBorders>
              <w:top w:val="single" w:sz="4" w:space="0" w:color="auto"/>
              <w:left w:val="single" w:sz="4" w:space="0" w:color="auto"/>
              <w:bottom w:val="double" w:sz="4" w:space="0" w:color="auto"/>
              <w:right w:val="double" w:sz="4" w:space="0" w:color="auto"/>
            </w:tcBorders>
            <w:shd w:val="clear" w:color="auto" w:fill="auto"/>
            <w:noWrap/>
            <w:vAlign w:val="center"/>
          </w:tcPr>
          <w:p w14:paraId="5F680539" w14:textId="77777777" w:rsidR="00F56C71" w:rsidRPr="00C468E3" w:rsidRDefault="00F56C71" w:rsidP="005A7CE8">
            <w:pPr>
              <w:pStyle w:val="NoSpacing"/>
              <w:jc w:val="center"/>
              <w:rPr>
                <w:rFonts w:ascii="Times New Roman" w:eastAsia="Times New Roman" w:hAnsi="Times New Roman" w:cs="Times New Roman"/>
                <w:b/>
                <w:bCs/>
                <w:color w:val="000000"/>
                <w:sz w:val="20"/>
                <w:szCs w:val="20"/>
              </w:rPr>
            </w:pPr>
            <w:r w:rsidRPr="00C468E3">
              <w:rPr>
                <w:rFonts w:ascii="Times New Roman" w:eastAsia="Times New Roman" w:hAnsi="Times New Roman" w:cs="Times New Roman"/>
                <w:b/>
                <w:bCs/>
                <w:color w:val="000000"/>
                <w:sz w:val="20"/>
                <w:szCs w:val="20"/>
              </w:rPr>
              <w:t>t-stat</w:t>
            </w:r>
          </w:p>
        </w:tc>
        <w:tc>
          <w:tcPr>
            <w:tcW w:w="972" w:type="dxa"/>
            <w:tcBorders>
              <w:top w:val="single" w:sz="4" w:space="0" w:color="auto"/>
              <w:left w:val="double" w:sz="4" w:space="0" w:color="auto"/>
              <w:bottom w:val="single" w:sz="4" w:space="0" w:color="auto"/>
              <w:right w:val="single" w:sz="4" w:space="0" w:color="auto"/>
            </w:tcBorders>
            <w:vAlign w:val="center"/>
          </w:tcPr>
          <w:p w14:paraId="349D4F9F" w14:textId="77777777" w:rsidR="00F56C71" w:rsidRPr="00C468E3" w:rsidRDefault="00F56C71" w:rsidP="005A7CE8">
            <w:pPr>
              <w:pStyle w:val="NoSpacing"/>
              <w:jc w:val="center"/>
              <w:rPr>
                <w:rFonts w:ascii="Times New Roman" w:hAnsi="Times New Roman" w:cs="Times New Roman"/>
                <w:b/>
                <w:bCs/>
                <w:sz w:val="20"/>
                <w:szCs w:val="20"/>
              </w:rPr>
            </w:pPr>
            <w:r w:rsidRPr="00C468E3">
              <w:rPr>
                <w:rFonts w:ascii="Times New Roman" w:hAnsi="Times New Roman" w:cs="Times New Roman"/>
                <w:b/>
                <w:bCs/>
                <w:sz w:val="20"/>
                <w:szCs w:val="20"/>
              </w:rPr>
              <w:t>Estimate</w:t>
            </w:r>
          </w:p>
        </w:tc>
        <w:tc>
          <w:tcPr>
            <w:tcW w:w="0" w:type="auto"/>
            <w:tcBorders>
              <w:top w:val="single" w:sz="4" w:space="0" w:color="auto"/>
              <w:left w:val="single" w:sz="4" w:space="0" w:color="auto"/>
              <w:bottom w:val="single" w:sz="4" w:space="0" w:color="auto"/>
              <w:right w:val="double" w:sz="4" w:space="0" w:color="auto"/>
            </w:tcBorders>
            <w:vAlign w:val="center"/>
          </w:tcPr>
          <w:p w14:paraId="12046087" w14:textId="77777777" w:rsidR="00F56C71" w:rsidRPr="00C468E3" w:rsidRDefault="00F56C71" w:rsidP="005A7CE8">
            <w:pPr>
              <w:pStyle w:val="NoSpacing"/>
              <w:jc w:val="center"/>
              <w:rPr>
                <w:rFonts w:ascii="Times New Roman" w:hAnsi="Times New Roman" w:cs="Times New Roman"/>
                <w:b/>
                <w:bCs/>
                <w:sz w:val="20"/>
                <w:szCs w:val="20"/>
              </w:rPr>
            </w:pPr>
            <w:r w:rsidRPr="00C468E3">
              <w:rPr>
                <w:rFonts w:ascii="Times New Roman" w:eastAsia="Times New Roman" w:hAnsi="Times New Roman" w:cs="Times New Roman"/>
                <w:b/>
                <w:bCs/>
                <w:color w:val="000000"/>
                <w:sz w:val="20"/>
                <w:szCs w:val="20"/>
              </w:rPr>
              <w:t>t-stat</w:t>
            </w:r>
          </w:p>
        </w:tc>
        <w:tc>
          <w:tcPr>
            <w:tcW w:w="0" w:type="auto"/>
            <w:tcBorders>
              <w:top w:val="single" w:sz="4" w:space="0" w:color="auto"/>
              <w:left w:val="double" w:sz="4" w:space="0" w:color="auto"/>
              <w:bottom w:val="double" w:sz="4" w:space="0" w:color="auto"/>
              <w:right w:val="single" w:sz="4" w:space="0" w:color="auto"/>
            </w:tcBorders>
            <w:vAlign w:val="center"/>
          </w:tcPr>
          <w:p w14:paraId="4CF7E5BF" w14:textId="77777777" w:rsidR="00F56C71" w:rsidRPr="00C468E3" w:rsidRDefault="00F56C71" w:rsidP="005A7CE8">
            <w:pPr>
              <w:pStyle w:val="NoSpacing"/>
              <w:jc w:val="center"/>
              <w:rPr>
                <w:rFonts w:ascii="Times New Roman" w:eastAsia="Times New Roman" w:hAnsi="Times New Roman" w:cs="Times New Roman"/>
                <w:b/>
                <w:bCs/>
                <w:color w:val="000000"/>
                <w:sz w:val="20"/>
                <w:szCs w:val="20"/>
              </w:rPr>
            </w:pPr>
            <w:r w:rsidRPr="00C468E3">
              <w:rPr>
                <w:rFonts w:ascii="Times New Roman" w:hAnsi="Times New Roman" w:cs="Times New Roman"/>
                <w:b/>
                <w:bCs/>
                <w:sz w:val="20"/>
                <w:szCs w:val="20"/>
              </w:rPr>
              <w:t>Estimate</w:t>
            </w:r>
          </w:p>
        </w:tc>
        <w:tc>
          <w:tcPr>
            <w:tcW w:w="0" w:type="auto"/>
            <w:tcBorders>
              <w:top w:val="single" w:sz="4" w:space="0" w:color="auto"/>
              <w:left w:val="single" w:sz="4" w:space="0" w:color="auto"/>
              <w:bottom w:val="double" w:sz="4" w:space="0" w:color="auto"/>
              <w:right w:val="double" w:sz="4" w:space="0" w:color="auto"/>
            </w:tcBorders>
            <w:vAlign w:val="center"/>
          </w:tcPr>
          <w:p w14:paraId="5D35ADE5" w14:textId="77777777" w:rsidR="00F56C71" w:rsidRPr="00C468E3" w:rsidRDefault="00F56C71" w:rsidP="005A7CE8">
            <w:pPr>
              <w:pStyle w:val="NoSpacing"/>
              <w:jc w:val="center"/>
              <w:rPr>
                <w:rFonts w:ascii="Times New Roman" w:eastAsia="Times New Roman" w:hAnsi="Times New Roman" w:cs="Times New Roman"/>
                <w:b/>
                <w:bCs/>
                <w:color w:val="000000"/>
                <w:sz w:val="20"/>
                <w:szCs w:val="20"/>
              </w:rPr>
            </w:pPr>
            <w:r w:rsidRPr="00C468E3">
              <w:rPr>
                <w:rFonts w:ascii="Times New Roman" w:eastAsia="Times New Roman" w:hAnsi="Times New Roman" w:cs="Times New Roman"/>
                <w:b/>
                <w:bCs/>
                <w:color w:val="000000"/>
                <w:sz w:val="20"/>
                <w:szCs w:val="20"/>
              </w:rPr>
              <w:t>t-stat</w:t>
            </w:r>
          </w:p>
        </w:tc>
      </w:tr>
      <w:tr w:rsidR="00F56C71" w:rsidRPr="00C468E3" w14:paraId="3CA038D2" w14:textId="77777777" w:rsidTr="00C0197F">
        <w:trPr>
          <w:trHeight w:val="29"/>
        </w:trPr>
        <w:tc>
          <w:tcPr>
            <w:tcW w:w="0" w:type="auto"/>
            <w:gridSpan w:val="7"/>
            <w:tcBorders>
              <w:top w:val="double" w:sz="4" w:space="0" w:color="auto"/>
              <w:left w:val="double" w:sz="4" w:space="0" w:color="auto"/>
              <w:bottom w:val="single" w:sz="4" w:space="0" w:color="auto"/>
              <w:right w:val="double" w:sz="4" w:space="0" w:color="auto"/>
            </w:tcBorders>
            <w:shd w:val="clear" w:color="auto" w:fill="auto"/>
            <w:noWrap/>
            <w:vAlign w:val="center"/>
          </w:tcPr>
          <w:p w14:paraId="62644B0E" w14:textId="77777777" w:rsidR="00F56C71" w:rsidRPr="00C468E3" w:rsidRDefault="00F56C71" w:rsidP="005A7CE8">
            <w:pPr>
              <w:pStyle w:val="NoSpacing"/>
              <w:rPr>
                <w:rFonts w:ascii="Times New Roman" w:hAnsi="Times New Roman" w:cs="Times New Roman"/>
                <w:b/>
                <w:bCs/>
                <w:i/>
                <w:iCs/>
                <w:sz w:val="20"/>
                <w:szCs w:val="20"/>
              </w:rPr>
            </w:pPr>
            <w:r w:rsidRPr="00C468E3">
              <w:rPr>
                <w:rFonts w:ascii="Times New Roman" w:hAnsi="Times New Roman" w:cs="Times New Roman"/>
                <w:b/>
                <w:bCs/>
                <w:i/>
                <w:iCs/>
                <w:sz w:val="20"/>
                <w:szCs w:val="20"/>
              </w:rPr>
              <w:t>Segment level (micro)</w:t>
            </w:r>
          </w:p>
        </w:tc>
      </w:tr>
      <w:tr w:rsidR="00F56C71" w:rsidRPr="00C468E3" w14:paraId="08B1B7E1" w14:textId="77777777" w:rsidTr="00C0197F">
        <w:trPr>
          <w:trHeight w:val="29"/>
        </w:trPr>
        <w:tc>
          <w:tcPr>
            <w:tcW w:w="4210" w:type="dxa"/>
            <w:tcBorders>
              <w:top w:val="single" w:sz="4" w:space="0" w:color="auto"/>
              <w:left w:val="double" w:sz="4" w:space="0" w:color="auto"/>
              <w:right w:val="double" w:sz="4" w:space="0" w:color="auto"/>
            </w:tcBorders>
            <w:shd w:val="clear" w:color="auto" w:fill="auto"/>
            <w:noWrap/>
            <w:vAlign w:val="center"/>
            <w:hideMark/>
          </w:tcPr>
          <w:p w14:paraId="69B096DF"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Constant</w:t>
            </w:r>
          </w:p>
        </w:tc>
        <w:tc>
          <w:tcPr>
            <w:tcW w:w="972" w:type="dxa"/>
            <w:tcBorders>
              <w:top w:val="single" w:sz="4" w:space="0" w:color="auto"/>
              <w:left w:val="double" w:sz="4" w:space="0" w:color="auto"/>
              <w:right w:val="single" w:sz="4" w:space="0" w:color="auto"/>
            </w:tcBorders>
            <w:shd w:val="clear" w:color="auto" w:fill="auto"/>
            <w:noWrap/>
            <w:vAlign w:val="center"/>
            <w:hideMark/>
          </w:tcPr>
          <w:p w14:paraId="3698C6E6"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-0.412</w:t>
            </w:r>
          </w:p>
        </w:tc>
        <w:tc>
          <w:tcPr>
            <w:tcW w:w="847" w:type="dxa"/>
            <w:tcBorders>
              <w:top w:val="single" w:sz="4" w:space="0" w:color="auto"/>
              <w:left w:val="single" w:sz="4" w:space="0" w:color="auto"/>
              <w:right w:val="double" w:sz="4" w:space="0" w:color="auto"/>
            </w:tcBorders>
            <w:shd w:val="clear" w:color="auto" w:fill="auto"/>
            <w:noWrap/>
            <w:vAlign w:val="center"/>
            <w:hideMark/>
          </w:tcPr>
          <w:p w14:paraId="1E132FE3"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-0.675</w:t>
            </w:r>
          </w:p>
        </w:tc>
        <w:tc>
          <w:tcPr>
            <w:tcW w:w="972" w:type="dxa"/>
            <w:tcBorders>
              <w:top w:val="single" w:sz="4" w:space="0" w:color="auto"/>
              <w:left w:val="double" w:sz="4" w:space="0" w:color="auto"/>
              <w:right w:val="single" w:sz="4" w:space="0" w:color="auto"/>
            </w:tcBorders>
            <w:vAlign w:val="center"/>
          </w:tcPr>
          <w:p w14:paraId="6120D222"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-0.550</w:t>
            </w:r>
          </w:p>
        </w:tc>
        <w:tc>
          <w:tcPr>
            <w:tcW w:w="0" w:type="auto"/>
            <w:tcBorders>
              <w:top w:val="single" w:sz="4" w:space="0" w:color="auto"/>
              <w:left w:val="single" w:sz="4" w:space="0" w:color="auto"/>
              <w:right w:val="double" w:sz="4" w:space="0" w:color="auto"/>
            </w:tcBorders>
            <w:vAlign w:val="center"/>
          </w:tcPr>
          <w:p w14:paraId="432A44C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-0.773</w:t>
            </w:r>
          </w:p>
        </w:tc>
        <w:tc>
          <w:tcPr>
            <w:tcW w:w="0" w:type="auto"/>
            <w:tcBorders>
              <w:top w:val="single" w:sz="4" w:space="0" w:color="auto"/>
              <w:left w:val="double" w:sz="4" w:space="0" w:color="auto"/>
              <w:right w:val="single" w:sz="4" w:space="0" w:color="auto"/>
            </w:tcBorders>
            <w:vAlign w:val="center"/>
          </w:tcPr>
          <w:p w14:paraId="479E869A"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-0.456</w:t>
            </w:r>
          </w:p>
        </w:tc>
        <w:tc>
          <w:tcPr>
            <w:tcW w:w="0" w:type="auto"/>
            <w:tcBorders>
              <w:top w:val="single" w:sz="4" w:space="0" w:color="auto"/>
              <w:left w:val="single" w:sz="4" w:space="0" w:color="auto"/>
              <w:right w:val="double" w:sz="4" w:space="0" w:color="auto"/>
            </w:tcBorders>
            <w:vAlign w:val="center"/>
          </w:tcPr>
          <w:p w14:paraId="279E8DC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-0.988</w:t>
            </w:r>
          </w:p>
        </w:tc>
      </w:tr>
      <w:tr w:rsidR="00F56C71" w:rsidRPr="00C468E3" w14:paraId="4AE460EB"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24E7E923"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Segment length</w:t>
            </w:r>
          </w:p>
        </w:tc>
        <w:tc>
          <w:tcPr>
            <w:tcW w:w="972" w:type="dxa"/>
            <w:tcBorders>
              <w:left w:val="double" w:sz="4" w:space="0" w:color="auto"/>
            </w:tcBorders>
            <w:shd w:val="clear" w:color="auto" w:fill="auto"/>
            <w:noWrap/>
            <w:vAlign w:val="center"/>
            <w:hideMark/>
          </w:tcPr>
          <w:p w14:paraId="6FE7B89B"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0.602</w:t>
            </w:r>
          </w:p>
        </w:tc>
        <w:tc>
          <w:tcPr>
            <w:tcW w:w="847" w:type="dxa"/>
            <w:tcBorders>
              <w:right w:val="double" w:sz="4" w:space="0" w:color="auto"/>
            </w:tcBorders>
            <w:shd w:val="clear" w:color="auto" w:fill="auto"/>
            <w:noWrap/>
            <w:vAlign w:val="center"/>
            <w:hideMark/>
          </w:tcPr>
          <w:p w14:paraId="27A20ACC"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7.465</w:t>
            </w:r>
          </w:p>
        </w:tc>
        <w:tc>
          <w:tcPr>
            <w:tcW w:w="972" w:type="dxa"/>
            <w:tcBorders>
              <w:left w:val="double" w:sz="4" w:space="0" w:color="auto"/>
              <w:right w:val="single" w:sz="4" w:space="0" w:color="auto"/>
            </w:tcBorders>
            <w:vAlign w:val="center"/>
          </w:tcPr>
          <w:p w14:paraId="0E84EA9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0.564</w:t>
            </w:r>
          </w:p>
        </w:tc>
        <w:tc>
          <w:tcPr>
            <w:tcW w:w="0" w:type="auto"/>
            <w:tcBorders>
              <w:left w:val="single" w:sz="4" w:space="0" w:color="auto"/>
              <w:right w:val="double" w:sz="4" w:space="0" w:color="auto"/>
            </w:tcBorders>
            <w:vAlign w:val="center"/>
          </w:tcPr>
          <w:p w14:paraId="1C2831F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6.559</w:t>
            </w:r>
          </w:p>
        </w:tc>
        <w:tc>
          <w:tcPr>
            <w:tcW w:w="0" w:type="auto"/>
            <w:tcBorders>
              <w:left w:val="double" w:sz="4" w:space="0" w:color="auto"/>
              <w:right w:val="single" w:sz="4" w:space="0" w:color="auto"/>
            </w:tcBorders>
            <w:vAlign w:val="center"/>
          </w:tcPr>
          <w:p w14:paraId="4D12AB4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0.583</w:t>
            </w:r>
          </w:p>
        </w:tc>
        <w:tc>
          <w:tcPr>
            <w:tcW w:w="0" w:type="auto"/>
            <w:tcBorders>
              <w:left w:val="single" w:sz="4" w:space="0" w:color="auto"/>
              <w:right w:val="double" w:sz="4" w:space="0" w:color="auto"/>
            </w:tcBorders>
            <w:vAlign w:val="center"/>
          </w:tcPr>
          <w:p w14:paraId="604179A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9.904</w:t>
            </w:r>
          </w:p>
        </w:tc>
      </w:tr>
      <w:tr w:rsidR="00F56C71" w:rsidRPr="00C468E3" w14:paraId="7FA7FDC2"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3666F721"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No of lanes</w:t>
            </w:r>
          </w:p>
        </w:tc>
        <w:tc>
          <w:tcPr>
            <w:tcW w:w="972" w:type="dxa"/>
            <w:tcBorders>
              <w:left w:val="double" w:sz="4" w:space="0" w:color="auto"/>
            </w:tcBorders>
            <w:shd w:val="clear" w:color="auto" w:fill="auto"/>
            <w:noWrap/>
            <w:vAlign w:val="center"/>
            <w:hideMark/>
          </w:tcPr>
          <w:p w14:paraId="27238C13"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0.133</w:t>
            </w:r>
          </w:p>
        </w:tc>
        <w:tc>
          <w:tcPr>
            <w:tcW w:w="847" w:type="dxa"/>
            <w:tcBorders>
              <w:right w:val="double" w:sz="4" w:space="0" w:color="auto"/>
            </w:tcBorders>
            <w:shd w:val="clear" w:color="auto" w:fill="auto"/>
            <w:noWrap/>
            <w:vAlign w:val="center"/>
            <w:hideMark/>
          </w:tcPr>
          <w:p w14:paraId="19C17BA3"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1.890</w:t>
            </w:r>
          </w:p>
        </w:tc>
        <w:tc>
          <w:tcPr>
            <w:tcW w:w="972" w:type="dxa"/>
            <w:tcBorders>
              <w:left w:val="double" w:sz="4" w:space="0" w:color="auto"/>
              <w:right w:val="single" w:sz="4" w:space="0" w:color="auto"/>
            </w:tcBorders>
            <w:vAlign w:val="center"/>
          </w:tcPr>
          <w:p w14:paraId="2EB0E1AD"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0.229</w:t>
            </w:r>
          </w:p>
        </w:tc>
        <w:tc>
          <w:tcPr>
            <w:tcW w:w="0" w:type="auto"/>
            <w:tcBorders>
              <w:left w:val="single" w:sz="4" w:space="0" w:color="auto"/>
              <w:right w:val="double" w:sz="4" w:space="0" w:color="auto"/>
            </w:tcBorders>
            <w:vAlign w:val="center"/>
          </w:tcPr>
          <w:p w14:paraId="52CE6BE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2.879</w:t>
            </w:r>
          </w:p>
        </w:tc>
        <w:tc>
          <w:tcPr>
            <w:tcW w:w="0" w:type="auto"/>
            <w:tcBorders>
              <w:left w:val="double" w:sz="4" w:space="0" w:color="auto"/>
              <w:right w:val="single" w:sz="4" w:space="0" w:color="auto"/>
            </w:tcBorders>
            <w:vAlign w:val="center"/>
          </w:tcPr>
          <w:p w14:paraId="540F919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0.183</w:t>
            </w:r>
          </w:p>
        </w:tc>
        <w:tc>
          <w:tcPr>
            <w:tcW w:w="0" w:type="auto"/>
            <w:tcBorders>
              <w:left w:val="single" w:sz="4" w:space="0" w:color="auto"/>
              <w:right w:val="double" w:sz="4" w:space="0" w:color="auto"/>
            </w:tcBorders>
            <w:vAlign w:val="center"/>
          </w:tcPr>
          <w:p w14:paraId="7451C2B8"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3.398</w:t>
            </w:r>
          </w:p>
        </w:tc>
      </w:tr>
      <w:tr w:rsidR="00F56C71" w:rsidRPr="00C468E3" w14:paraId="5B06674A"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6ABEF17D" w14:textId="77777777" w:rsidR="00F56C71" w:rsidRPr="00C468E3" w:rsidRDefault="00F56C71" w:rsidP="005A7CE8">
            <w:pPr>
              <w:pStyle w:val="NoSpacing"/>
              <w:rPr>
                <w:rFonts w:ascii="Times New Roman" w:hAnsi="Times New Roman" w:cs="Times New Roman"/>
                <w:sz w:val="20"/>
                <w:szCs w:val="20"/>
              </w:rPr>
            </w:pPr>
            <w:r w:rsidRPr="00C468E3">
              <w:rPr>
                <w:rFonts w:ascii="Times New Roman" w:hAnsi="Times New Roman" w:cs="Times New Roman"/>
                <w:color w:val="000000"/>
                <w:sz w:val="20"/>
                <w:szCs w:val="20"/>
              </w:rPr>
              <w:t>Average inside shoulder width</w:t>
            </w:r>
          </w:p>
        </w:tc>
        <w:tc>
          <w:tcPr>
            <w:tcW w:w="972" w:type="dxa"/>
            <w:tcBorders>
              <w:left w:val="double" w:sz="4" w:space="0" w:color="auto"/>
            </w:tcBorders>
            <w:shd w:val="clear" w:color="auto" w:fill="auto"/>
            <w:noWrap/>
            <w:vAlign w:val="center"/>
            <w:hideMark/>
          </w:tcPr>
          <w:p w14:paraId="3A43258C"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0.033</w:t>
            </w:r>
          </w:p>
        </w:tc>
        <w:tc>
          <w:tcPr>
            <w:tcW w:w="847" w:type="dxa"/>
            <w:tcBorders>
              <w:right w:val="double" w:sz="4" w:space="0" w:color="auto"/>
            </w:tcBorders>
            <w:shd w:val="clear" w:color="auto" w:fill="auto"/>
            <w:noWrap/>
            <w:vAlign w:val="center"/>
            <w:hideMark/>
          </w:tcPr>
          <w:p w14:paraId="3D043D3B"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2.257</w:t>
            </w:r>
          </w:p>
        </w:tc>
        <w:tc>
          <w:tcPr>
            <w:tcW w:w="972" w:type="dxa"/>
            <w:tcBorders>
              <w:left w:val="double" w:sz="4" w:space="0" w:color="auto"/>
              <w:right w:val="single" w:sz="4" w:space="0" w:color="auto"/>
            </w:tcBorders>
            <w:vAlign w:val="center"/>
          </w:tcPr>
          <w:p w14:paraId="66ADE450"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0.034</w:t>
            </w:r>
          </w:p>
        </w:tc>
        <w:tc>
          <w:tcPr>
            <w:tcW w:w="0" w:type="auto"/>
            <w:tcBorders>
              <w:left w:val="single" w:sz="4" w:space="0" w:color="auto"/>
              <w:right w:val="double" w:sz="4" w:space="0" w:color="auto"/>
            </w:tcBorders>
            <w:vAlign w:val="center"/>
          </w:tcPr>
          <w:p w14:paraId="381CAFC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2.374</w:t>
            </w:r>
          </w:p>
        </w:tc>
        <w:tc>
          <w:tcPr>
            <w:tcW w:w="0" w:type="auto"/>
            <w:tcBorders>
              <w:left w:val="double" w:sz="4" w:space="0" w:color="auto"/>
              <w:right w:val="single" w:sz="4" w:space="0" w:color="auto"/>
            </w:tcBorders>
            <w:vAlign w:val="center"/>
          </w:tcPr>
          <w:p w14:paraId="3F90092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0.034</w:t>
            </w:r>
          </w:p>
        </w:tc>
        <w:tc>
          <w:tcPr>
            <w:tcW w:w="0" w:type="auto"/>
            <w:tcBorders>
              <w:left w:val="single" w:sz="4" w:space="0" w:color="auto"/>
              <w:right w:val="double" w:sz="4" w:space="0" w:color="auto"/>
            </w:tcBorders>
            <w:vAlign w:val="center"/>
          </w:tcPr>
          <w:p w14:paraId="13BD2A2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3.299</w:t>
            </w:r>
          </w:p>
        </w:tc>
      </w:tr>
      <w:tr w:rsidR="00F56C71" w:rsidRPr="00C468E3" w14:paraId="6483013B"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1FB57546" w14:textId="77777777" w:rsidR="00F56C71" w:rsidRPr="00C468E3" w:rsidRDefault="00F56C71" w:rsidP="005A7CE8">
            <w:pPr>
              <w:pStyle w:val="NoSpacing"/>
              <w:rPr>
                <w:rFonts w:ascii="Times New Roman" w:hAnsi="Times New Roman" w:cs="Times New Roman"/>
                <w:sz w:val="20"/>
                <w:szCs w:val="20"/>
              </w:rPr>
            </w:pPr>
            <w:r w:rsidRPr="00C468E3">
              <w:rPr>
                <w:rFonts w:ascii="Times New Roman" w:hAnsi="Times New Roman" w:cs="Times New Roman"/>
                <w:color w:val="000000"/>
                <w:sz w:val="20"/>
                <w:szCs w:val="20"/>
              </w:rPr>
              <w:t>Average sidewalk width</w:t>
            </w:r>
          </w:p>
        </w:tc>
        <w:tc>
          <w:tcPr>
            <w:tcW w:w="972" w:type="dxa"/>
            <w:tcBorders>
              <w:left w:val="double" w:sz="4" w:space="0" w:color="auto"/>
            </w:tcBorders>
            <w:shd w:val="clear" w:color="auto" w:fill="auto"/>
            <w:noWrap/>
            <w:vAlign w:val="center"/>
            <w:hideMark/>
          </w:tcPr>
          <w:p w14:paraId="0F60CDC8"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-0.218</w:t>
            </w:r>
          </w:p>
        </w:tc>
        <w:tc>
          <w:tcPr>
            <w:tcW w:w="847" w:type="dxa"/>
            <w:tcBorders>
              <w:right w:val="double" w:sz="4" w:space="0" w:color="auto"/>
            </w:tcBorders>
            <w:shd w:val="clear" w:color="auto" w:fill="auto"/>
            <w:noWrap/>
            <w:vAlign w:val="center"/>
            <w:hideMark/>
          </w:tcPr>
          <w:p w14:paraId="0FC332D9"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-1.828</w:t>
            </w:r>
          </w:p>
        </w:tc>
        <w:tc>
          <w:tcPr>
            <w:tcW w:w="972" w:type="dxa"/>
            <w:tcBorders>
              <w:left w:val="double" w:sz="4" w:space="0" w:color="auto"/>
              <w:right w:val="single" w:sz="4" w:space="0" w:color="auto"/>
            </w:tcBorders>
            <w:vAlign w:val="center"/>
          </w:tcPr>
          <w:p w14:paraId="4E82635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-0.230</w:t>
            </w:r>
          </w:p>
        </w:tc>
        <w:tc>
          <w:tcPr>
            <w:tcW w:w="0" w:type="auto"/>
            <w:tcBorders>
              <w:left w:val="single" w:sz="4" w:space="0" w:color="auto"/>
              <w:right w:val="double" w:sz="4" w:space="0" w:color="auto"/>
            </w:tcBorders>
            <w:vAlign w:val="center"/>
          </w:tcPr>
          <w:p w14:paraId="7B2A808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-1.917</w:t>
            </w:r>
          </w:p>
        </w:tc>
        <w:tc>
          <w:tcPr>
            <w:tcW w:w="0" w:type="auto"/>
            <w:tcBorders>
              <w:left w:val="double" w:sz="4" w:space="0" w:color="auto"/>
              <w:right w:val="single" w:sz="4" w:space="0" w:color="auto"/>
            </w:tcBorders>
            <w:vAlign w:val="center"/>
          </w:tcPr>
          <w:p w14:paraId="2892DA5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-0.224</w:t>
            </w:r>
          </w:p>
        </w:tc>
        <w:tc>
          <w:tcPr>
            <w:tcW w:w="0" w:type="auto"/>
            <w:tcBorders>
              <w:left w:val="single" w:sz="4" w:space="0" w:color="auto"/>
              <w:right w:val="double" w:sz="4" w:space="0" w:color="auto"/>
            </w:tcBorders>
            <w:vAlign w:val="center"/>
          </w:tcPr>
          <w:p w14:paraId="24D0420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-2.650</w:t>
            </w:r>
          </w:p>
        </w:tc>
      </w:tr>
      <w:tr w:rsidR="00F56C71" w:rsidRPr="00C468E3" w14:paraId="7EA460D4"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10D30EBA" w14:textId="639CA4D4" w:rsidR="00F56C71" w:rsidRPr="00C468E3" w:rsidRDefault="00F56C71" w:rsidP="005A7CE8">
            <w:pPr>
              <w:pStyle w:val="NoSpacing"/>
              <w:rPr>
                <w:rFonts w:ascii="Times New Roman" w:hAnsi="Times New Roman" w:cs="Times New Roman"/>
                <w:sz w:val="20"/>
                <w:szCs w:val="20"/>
              </w:rPr>
            </w:pPr>
            <w:r w:rsidRPr="00C468E3">
              <w:rPr>
                <w:rFonts w:ascii="Times New Roman" w:hAnsi="Times New Roman" w:cs="Times New Roman"/>
                <w:color w:val="000000"/>
                <w:sz w:val="20"/>
                <w:szCs w:val="20"/>
              </w:rPr>
              <w:t>No of traffic signal</w:t>
            </w:r>
            <w:r w:rsidR="00590935">
              <w:rPr>
                <w:rFonts w:ascii="Times New Roman" w:hAnsi="Times New Roman" w:cs="Times New Roman"/>
                <w:color w:val="000000"/>
                <w:sz w:val="20"/>
                <w:szCs w:val="20"/>
              </w:rPr>
              <w:t>s</w:t>
            </w:r>
            <w:r w:rsidRPr="00C468E3">
              <w:rPr>
                <w:rFonts w:ascii="Times New Roman" w:hAnsi="Times New Roman" w:cs="Times New Roman"/>
                <w:color w:val="000000"/>
                <w:sz w:val="20"/>
                <w:szCs w:val="20"/>
              </w:rPr>
              <w:t xml:space="preserve"> per unit segment length</w:t>
            </w:r>
          </w:p>
        </w:tc>
        <w:tc>
          <w:tcPr>
            <w:tcW w:w="972" w:type="dxa"/>
            <w:tcBorders>
              <w:left w:val="double" w:sz="4" w:space="0" w:color="auto"/>
            </w:tcBorders>
            <w:shd w:val="clear" w:color="auto" w:fill="auto"/>
            <w:noWrap/>
            <w:vAlign w:val="center"/>
            <w:hideMark/>
          </w:tcPr>
          <w:p w14:paraId="0BE8A454"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0.029</w:t>
            </w:r>
          </w:p>
        </w:tc>
        <w:tc>
          <w:tcPr>
            <w:tcW w:w="847" w:type="dxa"/>
            <w:tcBorders>
              <w:right w:val="double" w:sz="4" w:space="0" w:color="auto"/>
            </w:tcBorders>
            <w:shd w:val="clear" w:color="auto" w:fill="auto"/>
            <w:noWrap/>
            <w:vAlign w:val="center"/>
            <w:hideMark/>
          </w:tcPr>
          <w:p w14:paraId="76F4EB2D"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4.924</w:t>
            </w:r>
          </w:p>
        </w:tc>
        <w:tc>
          <w:tcPr>
            <w:tcW w:w="972" w:type="dxa"/>
            <w:tcBorders>
              <w:left w:val="double" w:sz="4" w:space="0" w:color="auto"/>
              <w:right w:val="single" w:sz="4" w:space="0" w:color="auto"/>
            </w:tcBorders>
            <w:vAlign w:val="center"/>
          </w:tcPr>
          <w:p w14:paraId="2CEF142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0.027</w:t>
            </w:r>
          </w:p>
        </w:tc>
        <w:tc>
          <w:tcPr>
            <w:tcW w:w="0" w:type="auto"/>
            <w:tcBorders>
              <w:left w:val="single" w:sz="4" w:space="0" w:color="auto"/>
              <w:right w:val="double" w:sz="4" w:space="0" w:color="auto"/>
            </w:tcBorders>
            <w:vAlign w:val="center"/>
          </w:tcPr>
          <w:p w14:paraId="6AE62C3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4.752</w:t>
            </w:r>
          </w:p>
        </w:tc>
        <w:tc>
          <w:tcPr>
            <w:tcW w:w="0" w:type="auto"/>
            <w:tcBorders>
              <w:left w:val="double" w:sz="4" w:space="0" w:color="auto"/>
              <w:right w:val="single" w:sz="4" w:space="0" w:color="auto"/>
            </w:tcBorders>
            <w:vAlign w:val="center"/>
          </w:tcPr>
          <w:p w14:paraId="1B3AE4F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0.028</w:t>
            </w:r>
          </w:p>
        </w:tc>
        <w:tc>
          <w:tcPr>
            <w:tcW w:w="0" w:type="auto"/>
            <w:tcBorders>
              <w:left w:val="single" w:sz="4" w:space="0" w:color="auto"/>
              <w:right w:val="double" w:sz="4" w:space="0" w:color="auto"/>
            </w:tcBorders>
            <w:vAlign w:val="center"/>
          </w:tcPr>
          <w:p w14:paraId="3D6FA1F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6.857</w:t>
            </w:r>
          </w:p>
        </w:tc>
      </w:tr>
      <w:tr w:rsidR="00F56C71" w:rsidRPr="00C468E3" w14:paraId="2CA5C6D6" w14:textId="77777777" w:rsidTr="00C0197F">
        <w:trPr>
          <w:trHeight w:val="29"/>
        </w:trPr>
        <w:tc>
          <w:tcPr>
            <w:tcW w:w="4210" w:type="dxa"/>
            <w:tcBorders>
              <w:left w:val="double" w:sz="4" w:space="0" w:color="auto"/>
              <w:right w:val="double" w:sz="4" w:space="0" w:color="auto"/>
            </w:tcBorders>
            <w:shd w:val="clear" w:color="auto" w:fill="auto"/>
            <w:noWrap/>
            <w:vAlign w:val="center"/>
          </w:tcPr>
          <w:p w14:paraId="0323B3C2" w14:textId="77777777" w:rsidR="00F56C71" w:rsidRPr="00C468E3" w:rsidRDefault="00F56C71" w:rsidP="005A7CE8">
            <w:pPr>
              <w:pStyle w:val="NoSpacing"/>
              <w:rPr>
                <w:rFonts w:ascii="Times New Roman" w:hAnsi="Times New Roman" w:cs="Times New Roman"/>
                <w:color w:val="000000"/>
                <w:sz w:val="20"/>
                <w:szCs w:val="20"/>
              </w:rPr>
            </w:pPr>
            <w:r w:rsidRPr="00C468E3">
              <w:rPr>
                <w:rFonts w:ascii="Times New Roman" w:eastAsia="Times New Roman" w:hAnsi="Times New Roman" w:cs="Times New Roman"/>
                <w:color w:val="000000"/>
                <w:sz w:val="20"/>
                <w:szCs w:val="20"/>
              </w:rPr>
              <w:t>AADT</w:t>
            </w:r>
          </w:p>
        </w:tc>
        <w:tc>
          <w:tcPr>
            <w:tcW w:w="972" w:type="dxa"/>
            <w:tcBorders>
              <w:left w:val="double" w:sz="4" w:space="0" w:color="auto"/>
            </w:tcBorders>
            <w:shd w:val="clear" w:color="auto" w:fill="auto"/>
            <w:noWrap/>
            <w:vAlign w:val="center"/>
          </w:tcPr>
          <w:p w14:paraId="0BB3CE0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0.290</w:t>
            </w:r>
          </w:p>
        </w:tc>
        <w:tc>
          <w:tcPr>
            <w:tcW w:w="847" w:type="dxa"/>
            <w:tcBorders>
              <w:right w:val="double" w:sz="4" w:space="0" w:color="auto"/>
            </w:tcBorders>
            <w:shd w:val="clear" w:color="auto" w:fill="auto"/>
            <w:noWrap/>
            <w:vAlign w:val="center"/>
          </w:tcPr>
          <w:p w14:paraId="0BF2BC82"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5.717</w:t>
            </w:r>
          </w:p>
        </w:tc>
        <w:tc>
          <w:tcPr>
            <w:tcW w:w="972" w:type="dxa"/>
            <w:tcBorders>
              <w:left w:val="double" w:sz="4" w:space="0" w:color="auto"/>
              <w:right w:val="single" w:sz="4" w:space="0" w:color="auto"/>
            </w:tcBorders>
            <w:vAlign w:val="center"/>
          </w:tcPr>
          <w:p w14:paraId="7A367DE9"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0.276</w:t>
            </w:r>
          </w:p>
        </w:tc>
        <w:tc>
          <w:tcPr>
            <w:tcW w:w="0" w:type="auto"/>
            <w:tcBorders>
              <w:left w:val="single" w:sz="4" w:space="0" w:color="auto"/>
              <w:right w:val="double" w:sz="4" w:space="0" w:color="auto"/>
            </w:tcBorders>
            <w:vAlign w:val="center"/>
          </w:tcPr>
          <w:p w14:paraId="17895B8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4.502</w:t>
            </w:r>
          </w:p>
        </w:tc>
        <w:tc>
          <w:tcPr>
            <w:tcW w:w="0" w:type="auto"/>
            <w:tcBorders>
              <w:left w:val="double" w:sz="4" w:space="0" w:color="auto"/>
              <w:right w:val="single" w:sz="4" w:space="0" w:color="auto"/>
            </w:tcBorders>
            <w:vAlign w:val="center"/>
          </w:tcPr>
          <w:p w14:paraId="0B88C447"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0.280</w:t>
            </w:r>
          </w:p>
        </w:tc>
        <w:tc>
          <w:tcPr>
            <w:tcW w:w="0" w:type="auto"/>
            <w:tcBorders>
              <w:left w:val="single" w:sz="4" w:space="0" w:color="auto"/>
              <w:right w:val="double" w:sz="4" w:space="0" w:color="auto"/>
            </w:tcBorders>
            <w:vAlign w:val="center"/>
          </w:tcPr>
          <w:p w14:paraId="18DE8BC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7.098</w:t>
            </w:r>
          </w:p>
        </w:tc>
      </w:tr>
      <w:tr w:rsidR="00F56C71" w:rsidRPr="00C468E3" w14:paraId="73DF917D"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6EC9BC48"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color w:val="000000"/>
                <w:sz w:val="20"/>
                <w:szCs w:val="20"/>
              </w:rPr>
              <w:t>Land-use mix</w:t>
            </w:r>
          </w:p>
        </w:tc>
        <w:tc>
          <w:tcPr>
            <w:tcW w:w="972" w:type="dxa"/>
            <w:tcBorders>
              <w:left w:val="double" w:sz="4" w:space="0" w:color="auto"/>
            </w:tcBorders>
            <w:shd w:val="clear" w:color="auto" w:fill="auto"/>
            <w:noWrap/>
            <w:vAlign w:val="center"/>
            <w:hideMark/>
          </w:tcPr>
          <w:p w14:paraId="4C490D5E"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-0.678</w:t>
            </w:r>
          </w:p>
        </w:tc>
        <w:tc>
          <w:tcPr>
            <w:tcW w:w="847" w:type="dxa"/>
            <w:tcBorders>
              <w:right w:val="double" w:sz="4" w:space="0" w:color="auto"/>
            </w:tcBorders>
            <w:shd w:val="clear" w:color="auto" w:fill="auto"/>
            <w:noWrap/>
            <w:vAlign w:val="center"/>
            <w:hideMark/>
          </w:tcPr>
          <w:p w14:paraId="2992A8B0"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-2.710</w:t>
            </w:r>
          </w:p>
        </w:tc>
        <w:tc>
          <w:tcPr>
            <w:tcW w:w="972" w:type="dxa"/>
            <w:tcBorders>
              <w:left w:val="double" w:sz="4" w:space="0" w:color="auto"/>
              <w:right w:val="single" w:sz="4" w:space="0" w:color="auto"/>
            </w:tcBorders>
            <w:vAlign w:val="center"/>
          </w:tcPr>
          <w:p w14:paraId="7A5E4419"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-0.662</w:t>
            </w:r>
          </w:p>
        </w:tc>
        <w:tc>
          <w:tcPr>
            <w:tcW w:w="0" w:type="auto"/>
            <w:tcBorders>
              <w:left w:val="single" w:sz="4" w:space="0" w:color="auto"/>
              <w:right w:val="double" w:sz="4" w:space="0" w:color="auto"/>
            </w:tcBorders>
            <w:vAlign w:val="center"/>
          </w:tcPr>
          <w:p w14:paraId="0D675CF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-2.497</w:t>
            </w:r>
          </w:p>
        </w:tc>
        <w:tc>
          <w:tcPr>
            <w:tcW w:w="0" w:type="auto"/>
            <w:tcBorders>
              <w:left w:val="double" w:sz="4" w:space="0" w:color="auto"/>
              <w:right w:val="single" w:sz="4" w:space="0" w:color="auto"/>
            </w:tcBorders>
            <w:vAlign w:val="center"/>
          </w:tcPr>
          <w:p w14:paraId="5165EFC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-0.671</w:t>
            </w:r>
          </w:p>
        </w:tc>
        <w:tc>
          <w:tcPr>
            <w:tcW w:w="0" w:type="auto"/>
            <w:tcBorders>
              <w:left w:val="single" w:sz="4" w:space="0" w:color="auto"/>
              <w:right w:val="double" w:sz="4" w:space="0" w:color="auto"/>
            </w:tcBorders>
            <w:vAlign w:val="center"/>
          </w:tcPr>
          <w:p w14:paraId="4EAD92A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-3.688</w:t>
            </w:r>
          </w:p>
        </w:tc>
      </w:tr>
      <w:tr w:rsidR="00F56C71" w:rsidRPr="00C468E3" w14:paraId="67FC08AB" w14:textId="77777777" w:rsidTr="00C0197F">
        <w:trPr>
          <w:trHeight w:val="29"/>
        </w:trPr>
        <w:tc>
          <w:tcPr>
            <w:tcW w:w="4210" w:type="dxa"/>
            <w:tcBorders>
              <w:left w:val="double" w:sz="4" w:space="0" w:color="auto"/>
              <w:bottom w:val="double" w:sz="4" w:space="0" w:color="auto"/>
              <w:right w:val="double" w:sz="4" w:space="0" w:color="auto"/>
            </w:tcBorders>
            <w:shd w:val="clear" w:color="auto" w:fill="auto"/>
            <w:noWrap/>
            <w:vAlign w:val="center"/>
            <w:hideMark/>
          </w:tcPr>
          <w:p w14:paraId="62DD6889"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Over-dispersion parameter</w:t>
            </w:r>
          </w:p>
        </w:tc>
        <w:tc>
          <w:tcPr>
            <w:tcW w:w="972" w:type="dxa"/>
            <w:tcBorders>
              <w:left w:val="double" w:sz="4" w:space="0" w:color="auto"/>
              <w:bottom w:val="double" w:sz="4" w:space="0" w:color="auto"/>
            </w:tcBorders>
            <w:shd w:val="clear" w:color="auto" w:fill="auto"/>
            <w:noWrap/>
            <w:vAlign w:val="center"/>
            <w:hideMark/>
          </w:tcPr>
          <w:p w14:paraId="630040FC"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1.997</w:t>
            </w:r>
          </w:p>
        </w:tc>
        <w:tc>
          <w:tcPr>
            <w:tcW w:w="847" w:type="dxa"/>
            <w:tcBorders>
              <w:bottom w:val="double" w:sz="4" w:space="0" w:color="auto"/>
              <w:right w:val="double" w:sz="4" w:space="0" w:color="auto"/>
            </w:tcBorders>
            <w:shd w:val="clear" w:color="auto" w:fill="auto"/>
            <w:noWrap/>
            <w:vAlign w:val="center"/>
            <w:hideMark/>
          </w:tcPr>
          <w:p w14:paraId="1BC9EEFF"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10.607</w:t>
            </w:r>
          </w:p>
        </w:tc>
        <w:tc>
          <w:tcPr>
            <w:tcW w:w="972" w:type="dxa"/>
            <w:tcBorders>
              <w:left w:val="double" w:sz="4" w:space="0" w:color="auto"/>
              <w:bottom w:val="double" w:sz="4" w:space="0" w:color="auto"/>
              <w:right w:val="single" w:sz="4" w:space="0" w:color="auto"/>
            </w:tcBorders>
            <w:vAlign w:val="center"/>
          </w:tcPr>
          <w:p w14:paraId="2CE2723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2.155</w:t>
            </w:r>
          </w:p>
        </w:tc>
        <w:tc>
          <w:tcPr>
            <w:tcW w:w="0" w:type="auto"/>
            <w:tcBorders>
              <w:left w:val="single" w:sz="4" w:space="0" w:color="auto"/>
              <w:bottom w:val="double" w:sz="4" w:space="0" w:color="auto"/>
              <w:right w:val="double" w:sz="4" w:space="0" w:color="auto"/>
            </w:tcBorders>
            <w:vAlign w:val="center"/>
          </w:tcPr>
          <w:p w14:paraId="0645AAEA"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10.366</w:t>
            </w:r>
          </w:p>
        </w:tc>
        <w:tc>
          <w:tcPr>
            <w:tcW w:w="0" w:type="auto"/>
            <w:tcBorders>
              <w:left w:val="double" w:sz="4" w:space="0" w:color="auto"/>
              <w:bottom w:val="double" w:sz="4" w:space="0" w:color="auto"/>
              <w:right w:val="single" w:sz="4" w:space="0" w:color="auto"/>
            </w:tcBorders>
            <w:vAlign w:val="center"/>
          </w:tcPr>
          <w:p w14:paraId="39BA862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2.078</w:t>
            </w:r>
          </w:p>
        </w:tc>
        <w:tc>
          <w:tcPr>
            <w:tcW w:w="0" w:type="auto"/>
            <w:tcBorders>
              <w:left w:val="single" w:sz="4" w:space="0" w:color="auto"/>
              <w:bottom w:val="double" w:sz="4" w:space="0" w:color="auto"/>
              <w:right w:val="double" w:sz="4" w:space="0" w:color="auto"/>
            </w:tcBorders>
            <w:vAlign w:val="center"/>
          </w:tcPr>
          <w:p w14:paraId="43BA953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14.789</w:t>
            </w:r>
          </w:p>
        </w:tc>
      </w:tr>
      <w:tr w:rsidR="00F56C71" w:rsidRPr="00C468E3" w14:paraId="60B4A074" w14:textId="77777777" w:rsidTr="00C0197F">
        <w:trPr>
          <w:trHeight w:val="29"/>
        </w:trPr>
        <w:tc>
          <w:tcPr>
            <w:tcW w:w="0" w:type="auto"/>
            <w:gridSpan w:val="7"/>
            <w:tcBorders>
              <w:top w:val="double" w:sz="4" w:space="0" w:color="auto"/>
              <w:left w:val="double" w:sz="4" w:space="0" w:color="auto"/>
              <w:bottom w:val="single" w:sz="4" w:space="0" w:color="auto"/>
              <w:right w:val="double" w:sz="4" w:space="0" w:color="auto"/>
            </w:tcBorders>
            <w:shd w:val="clear" w:color="auto" w:fill="auto"/>
            <w:noWrap/>
            <w:vAlign w:val="center"/>
          </w:tcPr>
          <w:p w14:paraId="4AE57B36" w14:textId="77777777" w:rsidR="00F56C71" w:rsidRPr="00C468E3" w:rsidRDefault="00F56C71" w:rsidP="005A7CE8">
            <w:pPr>
              <w:pStyle w:val="NoSpacing"/>
              <w:rPr>
                <w:rFonts w:ascii="Times New Roman" w:hAnsi="Times New Roman" w:cs="Times New Roman"/>
                <w:b/>
                <w:bCs/>
                <w:i/>
                <w:iCs/>
                <w:sz w:val="20"/>
                <w:szCs w:val="20"/>
              </w:rPr>
            </w:pPr>
            <w:r w:rsidRPr="00C468E3">
              <w:rPr>
                <w:rFonts w:ascii="Times New Roman" w:hAnsi="Times New Roman" w:cs="Times New Roman"/>
                <w:b/>
                <w:bCs/>
                <w:i/>
                <w:iCs/>
                <w:sz w:val="20"/>
                <w:szCs w:val="20"/>
              </w:rPr>
              <w:t>Intersection level (micro)</w:t>
            </w:r>
          </w:p>
        </w:tc>
      </w:tr>
      <w:tr w:rsidR="00F56C71" w:rsidRPr="00C468E3" w14:paraId="1C6B324C" w14:textId="77777777" w:rsidTr="00C0197F">
        <w:trPr>
          <w:trHeight w:val="29"/>
        </w:trPr>
        <w:tc>
          <w:tcPr>
            <w:tcW w:w="4210" w:type="dxa"/>
            <w:tcBorders>
              <w:top w:val="single" w:sz="4" w:space="0" w:color="auto"/>
              <w:left w:val="double" w:sz="4" w:space="0" w:color="auto"/>
              <w:right w:val="double" w:sz="4" w:space="0" w:color="auto"/>
            </w:tcBorders>
            <w:shd w:val="clear" w:color="auto" w:fill="auto"/>
            <w:noWrap/>
            <w:vAlign w:val="center"/>
            <w:hideMark/>
          </w:tcPr>
          <w:p w14:paraId="0C7C7A2E"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Constant</w:t>
            </w:r>
          </w:p>
        </w:tc>
        <w:tc>
          <w:tcPr>
            <w:tcW w:w="972" w:type="dxa"/>
            <w:tcBorders>
              <w:top w:val="single" w:sz="4" w:space="0" w:color="auto"/>
              <w:left w:val="double" w:sz="4" w:space="0" w:color="auto"/>
              <w:right w:val="single" w:sz="4" w:space="0" w:color="auto"/>
            </w:tcBorders>
            <w:shd w:val="clear" w:color="auto" w:fill="auto"/>
            <w:noWrap/>
            <w:vAlign w:val="center"/>
            <w:hideMark/>
          </w:tcPr>
          <w:p w14:paraId="1E67E9BD"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1.302</w:t>
            </w:r>
          </w:p>
        </w:tc>
        <w:tc>
          <w:tcPr>
            <w:tcW w:w="847" w:type="dxa"/>
            <w:tcBorders>
              <w:top w:val="single" w:sz="4" w:space="0" w:color="auto"/>
              <w:left w:val="single" w:sz="4" w:space="0" w:color="auto"/>
              <w:right w:val="double" w:sz="4" w:space="0" w:color="auto"/>
            </w:tcBorders>
            <w:shd w:val="clear" w:color="auto" w:fill="auto"/>
            <w:noWrap/>
            <w:vAlign w:val="center"/>
            <w:hideMark/>
          </w:tcPr>
          <w:p w14:paraId="137EC5E3"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22.623</w:t>
            </w:r>
          </w:p>
        </w:tc>
        <w:tc>
          <w:tcPr>
            <w:tcW w:w="972" w:type="dxa"/>
            <w:tcBorders>
              <w:top w:val="single" w:sz="4" w:space="0" w:color="auto"/>
              <w:left w:val="double" w:sz="4" w:space="0" w:color="auto"/>
              <w:right w:val="single" w:sz="4" w:space="0" w:color="auto"/>
            </w:tcBorders>
            <w:vAlign w:val="center"/>
          </w:tcPr>
          <w:p w14:paraId="017A6139"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1.286</w:t>
            </w:r>
          </w:p>
        </w:tc>
        <w:tc>
          <w:tcPr>
            <w:tcW w:w="0" w:type="auto"/>
            <w:tcBorders>
              <w:top w:val="single" w:sz="4" w:space="0" w:color="auto"/>
              <w:left w:val="single" w:sz="4" w:space="0" w:color="auto"/>
              <w:right w:val="double" w:sz="4" w:space="0" w:color="auto"/>
            </w:tcBorders>
            <w:vAlign w:val="center"/>
          </w:tcPr>
          <w:p w14:paraId="4EF06D52"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22.905</w:t>
            </w:r>
          </w:p>
        </w:tc>
        <w:tc>
          <w:tcPr>
            <w:tcW w:w="0" w:type="auto"/>
            <w:tcBorders>
              <w:top w:val="single" w:sz="4" w:space="0" w:color="auto"/>
              <w:left w:val="double" w:sz="4" w:space="0" w:color="auto"/>
              <w:right w:val="single" w:sz="4" w:space="0" w:color="auto"/>
            </w:tcBorders>
            <w:vAlign w:val="center"/>
          </w:tcPr>
          <w:p w14:paraId="789EC3A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1.669</w:t>
            </w:r>
          </w:p>
        </w:tc>
        <w:tc>
          <w:tcPr>
            <w:tcW w:w="0" w:type="auto"/>
            <w:tcBorders>
              <w:top w:val="single" w:sz="4" w:space="0" w:color="auto"/>
              <w:left w:val="single" w:sz="4" w:space="0" w:color="auto"/>
              <w:right w:val="double" w:sz="4" w:space="0" w:color="auto"/>
            </w:tcBorders>
            <w:vAlign w:val="center"/>
          </w:tcPr>
          <w:p w14:paraId="7DC57D7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10.062</w:t>
            </w:r>
          </w:p>
        </w:tc>
      </w:tr>
      <w:tr w:rsidR="00F56C71" w:rsidRPr="00C468E3" w14:paraId="5007F1E8"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57754F05" w14:textId="77777777" w:rsidR="00F56C71" w:rsidRPr="00C468E3" w:rsidRDefault="00F56C71" w:rsidP="005A7CE8">
            <w:pPr>
              <w:pStyle w:val="NoSpacing"/>
              <w:rPr>
                <w:rFonts w:ascii="Times New Roman" w:hAnsi="Times New Roman" w:cs="Times New Roman"/>
                <w:sz w:val="20"/>
                <w:szCs w:val="20"/>
              </w:rPr>
            </w:pPr>
            <w:r w:rsidRPr="00C468E3">
              <w:rPr>
                <w:rFonts w:ascii="Times New Roman" w:hAnsi="Times New Roman" w:cs="Times New Roman"/>
                <w:color w:val="000000"/>
                <w:sz w:val="20"/>
                <w:szCs w:val="20"/>
              </w:rPr>
              <w:t>Average inside shoulder width</w:t>
            </w:r>
          </w:p>
        </w:tc>
        <w:tc>
          <w:tcPr>
            <w:tcW w:w="972" w:type="dxa"/>
            <w:tcBorders>
              <w:left w:val="double" w:sz="4" w:space="0" w:color="auto"/>
            </w:tcBorders>
            <w:shd w:val="clear" w:color="auto" w:fill="auto"/>
            <w:noWrap/>
            <w:vAlign w:val="center"/>
            <w:hideMark/>
          </w:tcPr>
          <w:p w14:paraId="4A65629C"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0.017</w:t>
            </w:r>
          </w:p>
        </w:tc>
        <w:tc>
          <w:tcPr>
            <w:tcW w:w="847" w:type="dxa"/>
            <w:tcBorders>
              <w:right w:val="double" w:sz="4" w:space="0" w:color="auto"/>
            </w:tcBorders>
            <w:shd w:val="clear" w:color="auto" w:fill="auto"/>
            <w:noWrap/>
            <w:vAlign w:val="center"/>
            <w:hideMark/>
          </w:tcPr>
          <w:p w14:paraId="2E84D4D0"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1.805</w:t>
            </w:r>
          </w:p>
        </w:tc>
        <w:tc>
          <w:tcPr>
            <w:tcW w:w="972" w:type="dxa"/>
            <w:tcBorders>
              <w:left w:val="double" w:sz="4" w:space="0" w:color="auto"/>
              <w:right w:val="single" w:sz="4" w:space="0" w:color="auto"/>
            </w:tcBorders>
            <w:vAlign w:val="center"/>
          </w:tcPr>
          <w:p w14:paraId="38E4F6B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0.018</w:t>
            </w:r>
          </w:p>
        </w:tc>
        <w:tc>
          <w:tcPr>
            <w:tcW w:w="0" w:type="auto"/>
            <w:tcBorders>
              <w:left w:val="single" w:sz="4" w:space="0" w:color="auto"/>
              <w:right w:val="double" w:sz="4" w:space="0" w:color="auto"/>
            </w:tcBorders>
            <w:vAlign w:val="center"/>
          </w:tcPr>
          <w:p w14:paraId="42DAC64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1.953</w:t>
            </w:r>
          </w:p>
        </w:tc>
        <w:tc>
          <w:tcPr>
            <w:tcW w:w="0" w:type="auto"/>
            <w:tcBorders>
              <w:left w:val="double" w:sz="4" w:space="0" w:color="auto"/>
              <w:right w:val="single" w:sz="4" w:space="0" w:color="auto"/>
            </w:tcBorders>
            <w:vAlign w:val="center"/>
          </w:tcPr>
          <w:p w14:paraId="5DF5FAF8"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0.031</w:t>
            </w:r>
          </w:p>
        </w:tc>
        <w:tc>
          <w:tcPr>
            <w:tcW w:w="0" w:type="auto"/>
            <w:tcBorders>
              <w:left w:val="single" w:sz="4" w:space="0" w:color="auto"/>
              <w:right w:val="double" w:sz="4" w:space="0" w:color="auto"/>
            </w:tcBorders>
            <w:vAlign w:val="center"/>
          </w:tcPr>
          <w:p w14:paraId="40A9E020"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3.903</w:t>
            </w:r>
          </w:p>
        </w:tc>
      </w:tr>
      <w:tr w:rsidR="00F56C71" w:rsidRPr="00C468E3" w14:paraId="0215FF1E" w14:textId="77777777" w:rsidTr="00C0197F">
        <w:trPr>
          <w:trHeight w:val="29"/>
        </w:trPr>
        <w:tc>
          <w:tcPr>
            <w:tcW w:w="4210" w:type="dxa"/>
            <w:tcBorders>
              <w:left w:val="double" w:sz="4" w:space="0" w:color="auto"/>
              <w:right w:val="double" w:sz="4" w:space="0" w:color="auto"/>
            </w:tcBorders>
            <w:shd w:val="clear" w:color="auto" w:fill="auto"/>
            <w:noWrap/>
            <w:vAlign w:val="center"/>
          </w:tcPr>
          <w:p w14:paraId="5BD839A8" w14:textId="77777777" w:rsidR="00F56C71" w:rsidRPr="00C468E3" w:rsidRDefault="00F56C71" w:rsidP="005A7CE8">
            <w:pPr>
              <w:pStyle w:val="NoSpacing"/>
              <w:rPr>
                <w:rFonts w:ascii="Times New Roman" w:hAnsi="Times New Roman" w:cs="Times New Roman"/>
                <w:color w:val="000000"/>
                <w:sz w:val="20"/>
                <w:szCs w:val="20"/>
              </w:rPr>
            </w:pPr>
            <w:r w:rsidRPr="00C468E3">
              <w:rPr>
                <w:rFonts w:ascii="Times New Roman" w:eastAsia="Times New Roman" w:hAnsi="Times New Roman" w:cs="Times New Roman"/>
                <w:color w:val="000000"/>
                <w:sz w:val="20"/>
                <w:szCs w:val="20"/>
              </w:rPr>
              <w:t>Average no of lanes</w:t>
            </w:r>
          </w:p>
        </w:tc>
        <w:tc>
          <w:tcPr>
            <w:tcW w:w="972" w:type="dxa"/>
            <w:tcBorders>
              <w:left w:val="double" w:sz="4" w:space="0" w:color="auto"/>
            </w:tcBorders>
            <w:shd w:val="clear" w:color="auto" w:fill="auto"/>
            <w:noWrap/>
            <w:vAlign w:val="center"/>
          </w:tcPr>
          <w:p w14:paraId="1128BCD9"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847" w:type="dxa"/>
            <w:tcBorders>
              <w:right w:val="double" w:sz="4" w:space="0" w:color="auto"/>
            </w:tcBorders>
            <w:shd w:val="clear" w:color="auto" w:fill="auto"/>
            <w:noWrap/>
            <w:vAlign w:val="center"/>
          </w:tcPr>
          <w:p w14:paraId="62E18A00"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972" w:type="dxa"/>
            <w:tcBorders>
              <w:left w:val="double" w:sz="4" w:space="0" w:color="auto"/>
              <w:right w:val="single" w:sz="4" w:space="0" w:color="auto"/>
            </w:tcBorders>
            <w:vAlign w:val="center"/>
          </w:tcPr>
          <w:p w14:paraId="0178128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0" w:type="auto"/>
            <w:tcBorders>
              <w:left w:val="single" w:sz="4" w:space="0" w:color="auto"/>
              <w:right w:val="double" w:sz="4" w:space="0" w:color="auto"/>
            </w:tcBorders>
            <w:vAlign w:val="center"/>
          </w:tcPr>
          <w:p w14:paraId="766C319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0" w:type="auto"/>
            <w:tcBorders>
              <w:left w:val="double" w:sz="4" w:space="0" w:color="auto"/>
              <w:right w:val="single" w:sz="4" w:space="0" w:color="auto"/>
            </w:tcBorders>
            <w:vAlign w:val="center"/>
          </w:tcPr>
          <w:p w14:paraId="2FB7588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-0.167</w:t>
            </w:r>
          </w:p>
        </w:tc>
        <w:tc>
          <w:tcPr>
            <w:tcW w:w="0" w:type="auto"/>
            <w:tcBorders>
              <w:left w:val="single" w:sz="4" w:space="0" w:color="auto"/>
              <w:right w:val="double" w:sz="4" w:space="0" w:color="auto"/>
            </w:tcBorders>
            <w:vAlign w:val="center"/>
          </w:tcPr>
          <w:p w14:paraId="27CD17C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-2.086</w:t>
            </w:r>
          </w:p>
        </w:tc>
      </w:tr>
      <w:tr w:rsidR="00F56C71" w:rsidRPr="00C468E3" w14:paraId="108D0097"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20E8E2DD" w14:textId="0B6C53C0"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Proportion of local road</w:t>
            </w:r>
          </w:p>
        </w:tc>
        <w:tc>
          <w:tcPr>
            <w:tcW w:w="972" w:type="dxa"/>
            <w:tcBorders>
              <w:left w:val="double" w:sz="4" w:space="0" w:color="auto"/>
            </w:tcBorders>
            <w:shd w:val="clear" w:color="auto" w:fill="auto"/>
            <w:noWrap/>
            <w:vAlign w:val="center"/>
            <w:hideMark/>
          </w:tcPr>
          <w:p w14:paraId="2153FE46"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-0.481</w:t>
            </w:r>
          </w:p>
        </w:tc>
        <w:tc>
          <w:tcPr>
            <w:tcW w:w="847" w:type="dxa"/>
            <w:tcBorders>
              <w:right w:val="double" w:sz="4" w:space="0" w:color="auto"/>
            </w:tcBorders>
            <w:shd w:val="clear" w:color="auto" w:fill="auto"/>
            <w:noWrap/>
            <w:vAlign w:val="center"/>
            <w:hideMark/>
          </w:tcPr>
          <w:p w14:paraId="2E4E8093"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-1.668</w:t>
            </w:r>
          </w:p>
        </w:tc>
        <w:tc>
          <w:tcPr>
            <w:tcW w:w="972" w:type="dxa"/>
            <w:tcBorders>
              <w:left w:val="double" w:sz="4" w:space="0" w:color="auto"/>
              <w:right w:val="single" w:sz="4" w:space="0" w:color="auto"/>
            </w:tcBorders>
            <w:vAlign w:val="center"/>
          </w:tcPr>
          <w:p w14:paraId="14A7434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0" w:type="auto"/>
            <w:tcBorders>
              <w:left w:val="single" w:sz="4" w:space="0" w:color="auto"/>
              <w:right w:val="double" w:sz="4" w:space="0" w:color="auto"/>
            </w:tcBorders>
            <w:vAlign w:val="center"/>
          </w:tcPr>
          <w:p w14:paraId="6FCC8CE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0" w:type="auto"/>
            <w:tcBorders>
              <w:left w:val="double" w:sz="4" w:space="0" w:color="auto"/>
              <w:right w:val="single" w:sz="4" w:space="0" w:color="auto"/>
            </w:tcBorders>
            <w:vAlign w:val="center"/>
          </w:tcPr>
          <w:p w14:paraId="1547384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-0.496</w:t>
            </w:r>
          </w:p>
        </w:tc>
        <w:tc>
          <w:tcPr>
            <w:tcW w:w="0" w:type="auto"/>
            <w:tcBorders>
              <w:left w:val="single" w:sz="4" w:space="0" w:color="auto"/>
              <w:right w:val="double" w:sz="4" w:space="0" w:color="auto"/>
            </w:tcBorders>
            <w:vAlign w:val="center"/>
          </w:tcPr>
          <w:p w14:paraId="684740C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-2.234</w:t>
            </w:r>
          </w:p>
        </w:tc>
      </w:tr>
      <w:tr w:rsidR="00F56C71" w:rsidRPr="00C468E3" w14:paraId="6ECB049D"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0C5C62B9" w14:textId="55D5B475"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Proportion of institutional area</w:t>
            </w:r>
          </w:p>
        </w:tc>
        <w:tc>
          <w:tcPr>
            <w:tcW w:w="972" w:type="dxa"/>
            <w:tcBorders>
              <w:left w:val="double" w:sz="4" w:space="0" w:color="auto"/>
            </w:tcBorders>
            <w:shd w:val="clear" w:color="auto" w:fill="auto"/>
            <w:noWrap/>
            <w:vAlign w:val="center"/>
            <w:hideMark/>
          </w:tcPr>
          <w:p w14:paraId="4F43F9B8"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-0.790</w:t>
            </w:r>
          </w:p>
        </w:tc>
        <w:tc>
          <w:tcPr>
            <w:tcW w:w="847" w:type="dxa"/>
            <w:tcBorders>
              <w:right w:val="double" w:sz="4" w:space="0" w:color="auto"/>
            </w:tcBorders>
            <w:shd w:val="clear" w:color="auto" w:fill="auto"/>
            <w:noWrap/>
            <w:vAlign w:val="center"/>
            <w:hideMark/>
          </w:tcPr>
          <w:p w14:paraId="7DCFEF9E"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-2.558</w:t>
            </w:r>
          </w:p>
        </w:tc>
        <w:tc>
          <w:tcPr>
            <w:tcW w:w="972" w:type="dxa"/>
            <w:tcBorders>
              <w:left w:val="double" w:sz="4" w:space="0" w:color="auto"/>
              <w:right w:val="single" w:sz="4" w:space="0" w:color="auto"/>
            </w:tcBorders>
            <w:vAlign w:val="center"/>
          </w:tcPr>
          <w:p w14:paraId="2D28703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-0.754</w:t>
            </w:r>
          </w:p>
        </w:tc>
        <w:tc>
          <w:tcPr>
            <w:tcW w:w="0" w:type="auto"/>
            <w:tcBorders>
              <w:left w:val="single" w:sz="4" w:space="0" w:color="auto"/>
              <w:right w:val="double" w:sz="4" w:space="0" w:color="auto"/>
            </w:tcBorders>
            <w:vAlign w:val="center"/>
          </w:tcPr>
          <w:p w14:paraId="0364E1F2"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-2.379</w:t>
            </w:r>
          </w:p>
        </w:tc>
        <w:tc>
          <w:tcPr>
            <w:tcW w:w="0" w:type="auto"/>
            <w:tcBorders>
              <w:left w:val="double" w:sz="4" w:space="0" w:color="auto"/>
              <w:right w:val="single" w:sz="4" w:space="0" w:color="auto"/>
            </w:tcBorders>
            <w:vAlign w:val="center"/>
          </w:tcPr>
          <w:p w14:paraId="503CA1B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-0.754</w:t>
            </w:r>
          </w:p>
        </w:tc>
        <w:tc>
          <w:tcPr>
            <w:tcW w:w="0" w:type="auto"/>
            <w:tcBorders>
              <w:left w:val="single" w:sz="4" w:space="0" w:color="auto"/>
              <w:right w:val="double" w:sz="4" w:space="0" w:color="auto"/>
            </w:tcBorders>
            <w:vAlign w:val="center"/>
          </w:tcPr>
          <w:p w14:paraId="4115723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-3.404</w:t>
            </w:r>
          </w:p>
        </w:tc>
      </w:tr>
      <w:tr w:rsidR="00F56C71" w:rsidRPr="00C468E3" w14:paraId="0CF40E47"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7D7CDF10"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No of finance center</w:t>
            </w:r>
            <w:r>
              <w:rPr>
                <w:rFonts w:ascii="Times New Roman" w:eastAsia="Times New Roman" w:hAnsi="Times New Roman" w:cs="Times New Roman"/>
                <w:color w:val="000000"/>
                <w:sz w:val="20"/>
                <w:szCs w:val="20"/>
              </w:rPr>
              <w:t>s</w:t>
            </w:r>
          </w:p>
        </w:tc>
        <w:tc>
          <w:tcPr>
            <w:tcW w:w="972" w:type="dxa"/>
            <w:tcBorders>
              <w:left w:val="double" w:sz="4" w:space="0" w:color="auto"/>
            </w:tcBorders>
            <w:shd w:val="clear" w:color="auto" w:fill="auto"/>
            <w:noWrap/>
            <w:vAlign w:val="center"/>
            <w:hideMark/>
          </w:tcPr>
          <w:p w14:paraId="3A865589"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847" w:type="dxa"/>
            <w:tcBorders>
              <w:right w:val="double" w:sz="4" w:space="0" w:color="auto"/>
            </w:tcBorders>
            <w:shd w:val="clear" w:color="auto" w:fill="auto"/>
            <w:noWrap/>
            <w:vAlign w:val="center"/>
            <w:hideMark/>
          </w:tcPr>
          <w:p w14:paraId="4E8C31D3"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972" w:type="dxa"/>
            <w:tcBorders>
              <w:left w:val="double" w:sz="4" w:space="0" w:color="auto"/>
              <w:right w:val="single" w:sz="4" w:space="0" w:color="auto"/>
            </w:tcBorders>
            <w:vAlign w:val="center"/>
          </w:tcPr>
          <w:p w14:paraId="7360494F"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-0.067</w:t>
            </w:r>
          </w:p>
        </w:tc>
        <w:tc>
          <w:tcPr>
            <w:tcW w:w="0" w:type="auto"/>
            <w:tcBorders>
              <w:left w:val="single" w:sz="4" w:space="0" w:color="auto"/>
              <w:right w:val="double" w:sz="4" w:space="0" w:color="auto"/>
            </w:tcBorders>
            <w:vAlign w:val="center"/>
          </w:tcPr>
          <w:p w14:paraId="4FE95DD9"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-1.850</w:t>
            </w:r>
          </w:p>
        </w:tc>
        <w:tc>
          <w:tcPr>
            <w:tcW w:w="0" w:type="auto"/>
            <w:tcBorders>
              <w:left w:val="double" w:sz="4" w:space="0" w:color="auto"/>
              <w:right w:val="single" w:sz="4" w:space="0" w:color="auto"/>
            </w:tcBorders>
            <w:vAlign w:val="center"/>
          </w:tcPr>
          <w:p w14:paraId="46C23B4D"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-0.058</w:t>
            </w:r>
          </w:p>
        </w:tc>
        <w:tc>
          <w:tcPr>
            <w:tcW w:w="0" w:type="auto"/>
            <w:tcBorders>
              <w:left w:val="single" w:sz="4" w:space="0" w:color="auto"/>
              <w:right w:val="double" w:sz="4" w:space="0" w:color="auto"/>
            </w:tcBorders>
            <w:vAlign w:val="center"/>
          </w:tcPr>
          <w:p w14:paraId="2469E146"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-2.156</w:t>
            </w:r>
          </w:p>
        </w:tc>
      </w:tr>
      <w:tr w:rsidR="00F56C71" w:rsidRPr="00C468E3" w14:paraId="2B27BFC7" w14:textId="77777777" w:rsidTr="00C0197F">
        <w:trPr>
          <w:trHeight w:val="29"/>
        </w:trPr>
        <w:tc>
          <w:tcPr>
            <w:tcW w:w="4210" w:type="dxa"/>
            <w:tcBorders>
              <w:left w:val="double" w:sz="4" w:space="0" w:color="auto"/>
              <w:right w:val="double" w:sz="4" w:space="0" w:color="auto"/>
            </w:tcBorders>
            <w:shd w:val="clear" w:color="auto" w:fill="auto"/>
            <w:noWrap/>
            <w:vAlign w:val="center"/>
          </w:tcPr>
          <w:p w14:paraId="09D47717" w14:textId="78F0B14E"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Proportion of household with no vehicle</w:t>
            </w:r>
          </w:p>
        </w:tc>
        <w:tc>
          <w:tcPr>
            <w:tcW w:w="972" w:type="dxa"/>
            <w:tcBorders>
              <w:left w:val="double" w:sz="4" w:space="0" w:color="auto"/>
            </w:tcBorders>
            <w:shd w:val="clear" w:color="auto" w:fill="auto"/>
            <w:noWrap/>
            <w:vAlign w:val="center"/>
          </w:tcPr>
          <w:p w14:paraId="36E950CC"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847" w:type="dxa"/>
            <w:tcBorders>
              <w:right w:val="double" w:sz="4" w:space="0" w:color="auto"/>
            </w:tcBorders>
            <w:shd w:val="clear" w:color="auto" w:fill="auto"/>
            <w:noWrap/>
            <w:vAlign w:val="center"/>
          </w:tcPr>
          <w:p w14:paraId="2FCD78BA"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972" w:type="dxa"/>
            <w:tcBorders>
              <w:left w:val="double" w:sz="4" w:space="0" w:color="auto"/>
              <w:right w:val="single" w:sz="4" w:space="0" w:color="auto"/>
            </w:tcBorders>
            <w:vAlign w:val="center"/>
          </w:tcPr>
          <w:p w14:paraId="789D5082"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0" w:type="auto"/>
            <w:tcBorders>
              <w:left w:val="single" w:sz="4" w:space="0" w:color="auto"/>
              <w:right w:val="double" w:sz="4" w:space="0" w:color="auto"/>
            </w:tcBorders>
            <w:vAlign w:val="center"/>
          </w:tcPr>
          <w:p w14:paraId="46267C5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w:t>
            </w:r>
          </w:p>
        </w:tc>
        <w:tc>
          <w:tcPr>
            <w:tcW w:w="0" w:type="auto"/>
            <w:tcBorders>
              <w:left w:val="double" w:sz="4" w:space="0" w:color="auto"/>
              <w:right w:val="single" w:sz="4" w:space="0" w:color="auto"/>
            </w:tcBorders>
            <w:vAlign w:val="center"/>
          </w:tcPr>
          <w:p w14:paraId="4D7E06C7"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-0.746</w:t>
            </w:r>
          </w:p>
        </w:tc>
        <w:tc>
          <w:tcPr>
            <w:tcW w:w="0" w:type="auto"/>
            <w:tcBorders>
              <w:left w:val="single" w:sz="4" w:space="0" w:color="auto"/>
              <w:right w:val="double" w:sz="4" w:space="0" w:color="auto"/>
            </w:tcBorders>
            <w:vAlign w:val="center"/>
          </w:tcPr>
          <w:p w14:paraId="76D6D7F5"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-1.964</w:t>
            </w:r>
          </w:p>
        </w:tc>
      </w:tr>
      <w:tr w:rsidR="00F56C71" w:rsidRPr="00C468E3" w14:paraId="0CAA8A6B" w14:textId="77777777" w:rsidTr="00C0197F">
        <w:trPr>
          <w:trHeight w:val="29"/>
        </w:trPr>
        <w:tc>
          <w:tcPr>
            <w:tcW w:w="4210" w:type="dxa"/>
            <w:tcBorders>
              <w:left w:val="double" w:sz="4" w:space="0" w:color="auto"/>
              <w:bottom w:val="double" w:sz="4" w:space="0" w:color="auto"/>
              <w:right w:val="double" w:sz="4" w:space="0" w:color="auto"/>
            </w:tcBorders>
            <w:shd w:val="clear" w:color="auto" w:fill="auto"/>
            <w:noWrap/>
            <w:vAlign w:val="center"/>
            <w:hideMark/>
          </w:tcPr>
          <w:p w14:paraId="2EF4ECD1"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Over-dispersion parameter</w:t>
            </w:r>
          </w:p>
        </w:tc>
        <w:tc>
          <w:tcPr>
            <w:tcW w:w="972" w:type="dxa"/>
            <w:tcBorders>
              <w:left w:val="double" w:sz="4" w:space="0" w:color="auto"/>
              <w:bottom w:val="double" w:sz="4" w:space="0" w:color="auto"/>
            </w:tcBorders>
            <w:shd w:val="clear" w:color="auto" w:fill="auto"/>
            <w:noWrap/>
            <w:vAlign w:val="center"/>
            <w:hideMark/>
          </w:tcPr>
          <w:p w14:paraId="052DD842"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3.898</w:t>
            </w:r>
          </w:p>
        </w:tc>
        <w:tc>
          <w:tcPr>
            <w:tcW w:w="847" w:type="dxa"/>
            <w:tcBorders>
              <w:bottom w:val="double" w:sz="4" w:space="0" w:color="auto"/>
              <w:right w:val="double" w:sz="4" w:space="0" w:color="auto"/>
            </w:tcBorders>
            <w:shd w:val="clear" w:color="auto" w:fill="auto"/>
            <w:noWrap/>
            <w:vAlign w:val="center"/>
            <w:hideMark/>
          </w:tcPr>
          <w:p w14:paraId="4ACE16A5"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33.837</w:t>
            </w:r>
          </w:p>
        </w:tc>
        <w:tc>
          <w:tcPr>
            <w:tcW w:w="972" w:type="dxa"/>
            <w:tcBorders>
              <w:left w:val="double" w:sz="4" w:space="0" w:color="auto"/>
              <w:bottom w:val="double" w:sz="4" w:space="0" w:color="auto"/>
              <w:right w:val="single" w:sz="4" w:space="0" w:color="auto"/>
            </w:tcBorders>
            <w:vAlign w:val="center"/>
          </w:tcPr>
          <w:p w14:paraId="5F479A6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3.808</w:t>
            </w:r>
          </w:p>
        </w:tc>
        <w:tc>
          <w:tcPr>
            <w:tcW w:w="0" w:type="auto"/>
            <w:tcBorders>
              <w:left w:val="single" w:sz="4" w:space="0" w:color="auto"/>
              <w:bottom w:val="double" w:sz="4" w:space="0" w:color="auto"/>
              <w:right w:val="double" w:sz="4" w:space="0" w:color="auto"/>
            </w:tcBorders>
            <w:vAlign w:val="center"/>
          </w:tcPr>
          <w:p w14:paraId="58FB087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34.049</w:t>
            </w:r>
          </w:p>
        </w:tc>
        <w:tc>
          <w:tcPr>
            <w:tcW w:w="0" w:type="auto"/>
            <w:tcBorders>
              <w:left w:val="double" w:sz="4" w:space="0" w:color="auto"/>
              <w:bottom w:val="double" w:sz="4" w:space="0" w:color="auto"/>
              <w:right w:val="single" w:sz="4" w:space="0" w:color="auto"/>
            </w:tcBorders>
            <w:vAlign w:val="center"/>
          </w:tcPr>
          <w:p w14:paraId="31803C5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3.843</w:t>
            </w:r>
          </w:p>
        </w:tc>
        <w:tc>
          <w:tcPr>
            <w:tcW w:w="0" w:type="auto"/>
            <w:tcBorders>
              <w:left w:val="single" w:sz="4" w:space="0" w:color="auto"/>
              <w:bottom w:val="double" w:sz="4" w:space="0" w:color="auto"/>
              <w:right w:val="double" w:sz="4" w:space="0" w:color="auto"/>
            </w:tcBorders>
            <w:vAlign w:val="center"/>
          </w:tcPr>
          <w:p w14:paraId="1F975BD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47.857</w:t>
            </w:r>
          </w:p>
        </w:tc>
      </w:tr>
      <w:tr w:rsidR="00F56C71" w:rsidRPr="00C468E3" w14:paraId="077D168B" w14:textId="77777777" w:rsidTr="00C0197F">
        <w:trPr>
          <w:trHeight w:val="29"/>
        </w:trPr>
        <w:tc>
          <w:tcPr>
            <w:tcW w:w="0" w:type="auto"/>
            <w:gridSpan w:val="7"/>
            <w:tcBorders>
              <w:top w:val="double" w:sz="4" w:space="0" w:color="auto"/>
              <w:left w:val="double" w:sz="4" w:space="0" w:color="auto"/>
              <w:bottom w:val="single" w:sz="4" w:space="0" w:color="auto"/>
              <w:right w:val="double" w:sz="4" w:space="0" w:color="auto"/>
            </w:tcBorders>
            <w:shd w:val="clear" w:color="auto" w:fill="auto"/>
            <w:noWrap/>
            <w:vAlign w:val="center"/>
          </w:tcPr>
          <w:p w14:paraId="058CD968" w14:textId="77777777" w:rsidR="00F56C71" w:rsidRPr="00C468E3" w:rsidRDefault="00F56C71" w:rsidP="005A7CE8">
            <w:pPr>
              <w:pStyle w:val="NoSpacing"/>
              <w:rPr>
                <w:rFonts w:ascii="Times New Roman" w:hAnsi="Times New Roman" w:cs="Times New Roman"/>
                <w:b/>
                <w:bCs/>
                <w:i/>
                <w:iCs/>
                <w:sz w:val="20"/>
                <w:szCs w:val="20"/>
              </w:rPr>
            </w:pPr>
            <w:r w:rsidRPr="00C468E3">
              <w:rPr>
                <w:rFonts w:ascii="Times New Roman" w:hAnsi="Times New Roman" w:cs="Times New Roman"/>
                <w:b/>
                <w:bCs/>
                <w:i/>
                <w:iCs/>
                <w:sz w:val="20"/>
                <w:szCs w:val="20"/>
              </w:rPr>
              <w:t>TAZ level (macro)</w:t>
            </w:r>
          </w:p>
        </w:tc>
      </w:tr>
      <w:tr w:rsidR="00F56C71" w:rsidRPr="00C468E3" w14:paraId="6E467F0D" w14:textId="77777777" w:rsidTr="00C0197F">
        <w:trPr>
          <w:trHeight w:val="29"/>
        </w:trPr>
        <w:tc>
          <w:tcPr>
            <w:tcW w:w="4210"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4D688F8"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Constant</w:t>
            </w:r>
          </w:p>
        </w:tc>
        <w:tc>
          <w:tcPr>
            <w:tcW w:w="97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5516DF5"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-3.035</w:t>
            </w:r>
          </w:p>
        </w:tc>
        <w:tc>
          <w:tcPr>
            <w:tcW w:w="847"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FF41E00"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-7.401</w:t>
            </w:r>
          </w:p>
        </w:tc>
        <w:tc>
          <w:tcPr>
            <w:tcW w:w="972" w:type="dxa"/>
            <w:tcBorders>
              <w:top w:val="single" w:sz="4" w:space="0" w:color="auto"/>
              <w:left w:val="double" w:sz="4" w:space="0" w:color="auto"/>
              <w:bottom w:val="single" w:sz="4" w:space="0" w:color="auto"/>
              <w:right w:val="single" w:sz="4" w:space="0" w:color="auto"/>
            </w:tcBorders>
            <w:vAlign w:val="center"/>
          </w:tcPr>
          <w:p w14:paraId="032FE99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-2.513</w:t>
            </w:r>
          </w:p>
        </w:tc>
        <w:tc>
          <w:tcPr>
            <w:tcW w:w="0" w:type="auto"/>
            <w:tcBorders>
              <w:top w:val="single" w:sz="4" w:space="0" w:color="auto"/>
              <w:left w:val="single" w:sz="4" w:space="0" w:color="auto"/>
              <w:bottom w:val="single" w:sz="4" w:space="0" w:color="auto"/>
              <w:right w:val="double" w:sz="4" w:space="0" w:color="auto"/>
            </w:tcBorders>
            <w:vAlign w:val="center"/>
          </w:tcPr>
          <w:p w14:paraId="602084B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-6.018</w:t>
            </w:r>
          </w:p>
        </w:tc>
        <w:tc>
          <w:tcPr>
            <w:tcW w:w="0" w:type="auto"/>
            <w:tcBorders>
              <w:top w:val="single" w:sz="4" w:space="0" w:color="auto"/>
              <w:left w:val="double" w:sz="4" w:space="0" w:color="auto"/>
              <w:bottom w:val="single" w:sz="4" w:space="0" w:color="auto"/>
              <w:right w:val="single" w:sz="4" w:space="0" w:color="auto"/>
            </w:tcBorders>
            <w:vAlign w:val="center"/>
          </w:tcPr>
          <w:p w14:paraId="5A914CC8"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-2.794</w:t>
            </w:r>
          </w:p>
        </w:tc>
        <w:tc>
          <w:tcPr>
            <w:tcW w:w="0" w:type="auto"/>
            <w:tcBorders>
              <w:top w:val="single" w:sz="4" w:space="0" w:color="auto"/>
              <w:left w:val="single" w:sz="4" w:space="0" w:color="auto"/>
              <w:bottom w:val="single" w:sz="4" w:space="0" w:color="auto"/>
              <w:right w:val="double" w:sz="4" w:space="0" w:color="auto"/>
            </w:tcBorders>
            <w:vAlign w:val="center"/>
          </w:tcPr>
          <w:p w14:paraId="133B8AB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-9.372</w:t>
            </w:r>
          </w:p>
        </w:tc>
      </w:tr>
      <w:tr w:rsidR="00F56C71" w:rsidRPr="00C468E3" w14:paraId="0999A082" w14:textId="77777777" w:rsidTr="00C0197F">
        <w:trPr>
          <w:trHeight w:val="29"/>
        </w:trPr>
        <w:tc>
          <w:tcPr>
            <w:tcW w:w="4210" w:type="dxa"/>
            <w:tcBorders>
              <w:top w:val="single" w:sz="4" w:space="0" w:color="auto"/>
              <w:left w:val="double" w:sz="4" w:space="0" w:color="auto"/>
              <w:right w:val="double" w:sz="4" w:space="0" w:color="auto"/>
            </w:tcBorders>
            <w:shd w:val="clear" w:color="auto" w:fill="auto"/>
            <w:noWrap/>
            <w:vAlign w:val="center"/>
          </w:tcPr>
          <w:p w14:paraId="2185025F"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Average speed limit</w:t>
            </w:r>
          </w:p>
        </w:tc>
        <w:tc>
          <w:tcPr>
            <w:tcW w:w="972" w:type="dxa"/>
            <w:tcBorders>
              <w:top w:val="single" w:sz="4" w:space="0" w:color="auto"/>
              <w:left w:val="double" w:sz="4" w:space="0" w:color="auto"/>
            </w:tcBorders>
            <w:shd w:val="clear" w:color="auto" w:fill="auto"/>
            <w:noWrap/>
            <w:vAlign w:val="center"/>
          </w:tcPr>
          <w:p w14:paraId="06B8B8AD"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0.016</w:t>
            </w:r>
          </w:p>
        </w:tc>
        <w:tc>
          <w:tcPr>
            <w:tcW w:w="847" w:type="dxa"/>
            <w:tcBorders>
              <w:top w:val="single" w:sz="4" w:space="0" w:color="auto"/>
              <w:right w:val="double" w:sz="4" w:space="0" w:color="auto"/>
            </w:tcBorders>
            <w:shd w:val="clear" w:color="auto" w:fill="auto"/>
            <w:noWrap/>
            <w:vAlign w:val="center"/>
          </w:tcPr>
          <w:p w14:paraId="7791873B"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2.325</w:t>
            </w:r>
          </w:p>
        </w:tc>
        <w:tc>
          <w:tcPr>
            <w:tcW w:w="972" w:type="dxa"/>
            <w:tcBorders>
              <w:top w:val="single" w:sz="4" w:space="0" w:color="auto"/>
              <w:left w:val="double" w:sz="4" w:space="0" w:color="auto"/>
              <w:right w:val="single" w:sz="4" w:space="0" w:color="auto"/>
            </w:tcBorders>
            <w:vAlign w:val="center"/>
          </w:tcPr>
          <w:p w14:paraId="24FDE01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0.012</w:t>
            </w:r>
          </w:p>
        </w:tc>
        <w:tc>
          <w:tcPr>
            <w:tcW w:w="0" w:type="auto"/>
            <w:tcBorders>
              <w:top w:val="single" w:sz="4" w:space="0" w:color="auto"/>
              <w:left w:val="single" w:sz="4" w:space="0" w:color="auto"/>
              <w:right w:val="double" w:sz="4" w:space="0" w:color="auto"/>
            </w:tcBorders>
            <w:vAlign w:val="center"/>
          </w:tcPr>
          <w:p w14:paraId="3A8A9D5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1.732</w:t>
            </w:r>
          </w:p>
        </w:tc>
        <w:tc>
          <w:tcPr>
            <w:tcW w:w="0" w:type="auto"/>
            <w:tcBorders>
              <w:top w:val="single" w:sz="4" w:space="0" w:color="auto"/>
              <w:left w:val="double" w:sz="4" w:space="0" w:color="auto"/>
              <w:right w:val="single" w:sz="4" w:space="0" w:color="auto"/>
            </w:tcBorders>
            <w:vAlign w:val="center"/>
          </w:tcPr>
          <w:p w14:paraId="72C3A57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0.015</w:t>
            </w:r>
          </w:p>
        </w:tc>
        <w:tc>
          <w:tcPr>
            <w:tcW w:w="0" w:type="auto"/>
            <w:tcBorders>
              <w:top w:val="single" w:sz="4" w:space="0" w:color="auto"/>
              <w:left w:val="single" w:sz="4" w:space="0" w:color="auto"/>
              <w:right w:val="double" w:sz="4" w:space="0" w:color="auto"/>
            </w:tcBorders>
            <w:vAlign w:val="center"/>
          </w:tcPr>
          <w:p w14:paraId="56AEC3C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3.164</w:t>
            </w:r>
          </w:p>
        </w:tc>
      </w:tr>
      <w:tr w:rsidR="00F56C71" w:rsidRPr="00C468E3" w14:paraId="014CCD8F"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65AF4E53"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Truck AADT</w:t>
            </w:r>
          </w:p>
        </w:tc>
        <w:tc>
          <w:tcPr>
            <w:tcW w:w="972" w:type="dxa"/>
            <w:tcBorders>
              <w:left w:val="double" w:sz="4" w:space="0" w:color="auto"/>
            </w:tcBorders>
            <w:shd w:val="clear" w:color="auto" w:fill="auto"/>
            <w:noWrap/>
            <w:vAlign w:val="center"/>
            <w:hideMark/>
          </w:tcPr>
          <w:p w14:paraId="115CC1B6"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0.439</w:t>
            </w:r>
          </w:p>
        </w:tc>
        <w:tc>
          <w:tcPr>
            <w:tcW w:w="847" w:type="dxa"/>
            <w:tcBorders>
              <w:right w:val="double" w:sz="4" w:space="0" w:color="auto"/>
            </w:tcBorders>
            <w:shd w:val="clear" w:color="auto" w:fill="auto"/>
            <w:noWrap/>
            <w:vAlign w:val="center"/>
            <w:hideMark/>
          </w:tcPr>
          <w:p w14:paraId="2E802AC0"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7.851</w:t>
            </w:r>
          </w:p>
        </w:tc>
        <w:tc>
          <w:tcPr>
            <w:tcW w:w="972" w:type="dxa"/>
            <w:tcBorders>
              <w:left w:val="double" w:sz="4" w:space="0" w:color="auto"/>
              <w:right w:val="single" w:sz="4" w:space="0" w:color="auto"/>
            </w:tcBorders>
            <w:vAlign w:val="center"/>
          </w:tcPr>
          <w:p w14:paraId="05F4D41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0.378</w:t>
            </w:r>
          </w:p>
        </w:tc>
        <w:tc>
          <w:tcPr>
            <w:tcW w:w="0" w:type="auto"/>
            <w:tcBorders>
              <w:left w:val="single" w:sz="4" w:space="0" w:color="auto"/>
              <w:right w:val="double" w:sz="4" w:space="0" w:color="auto"/>
            </w:tcBorders>
            <w:vAlign w:val="center"/>
          </w:tcPr>
          <w:p w14:paraId="1C79C6C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6.447</w:t>
            </w:r>
          </w:p>
        </w:tc>
        <w:tc>
          <w:tcPr>
            <w:tcW w:w="0" w:type="auto"/>
            <w:tcBorders>
              <w:left w:val="double" w:sz="4" w:space="0" w:color="auto"/>
              <w:right w:val="single" w:sz="4" w:space="0" w:color="auto"/>
            </w:tcBorders>
            <w:vAlign w:val="center"/>
          </w:tcPr>
          <w:p w14:paraId="06CCB31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0.412</w:t>
            </w:r>
          </w:p>
        </w:tc>
        <w:tc>
          <w:tcPr>
            <w:tcW w:w="0" w:type="auto"/>
            <w:tcBorders>
              <w:left w:val="single" w:sz="4" w:space="0" w:color="auto"/>
              <w:right w:val="double" w:sz="4" w:space="0" w:color="auto"/>
            </w:tcBorders>
            <w:vAlign w:val="center"/>
          </w:tcPr>
          <w:p w14:paraId="7600370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10.081</w:t>
            </w:r>
          </w:p>
        </w:tc>
      </w:tr>
      <w:tr w:rsidR="00F56C71" w:rsidRPr="00C468E3" w14:paraId="4E618254"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7A76A6B6" w14:textId="0278BFD4"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Proportion of commercial area</w:t>
            </w:r>
          </w:p>
        </w:tc>
        <w:tc>
          <w:tcPr>
            <w:tcW w:w="972" w:type="dxa"/>
            <w:tcBorders>
              <w:left w:val="double" w:sz="4" w:space="0" w:color="auto"/>
            </w:tcBorders>
            <w:shd w:val="clear" w:color="auto" w:fill="auto"/>
            <w:noWrap/>
            <w:vAlign w:val="center"/>
            <w:hideMark/>
          </w:tcPr>
          <w:p w14:paraId="34E68410"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0.688</w:t>
            </w:r>
          </w:p>
        </w:tc>
        <w:tc>
          <w:tcPr>
            <w:tcW w:w="847" w:type="dxa"/>
            <w:tcBorders>
              <w:right w:val="double" w:sz="4" w:space="0" w:color="auto"/>
            </w:tcBorders>
            <w:shd w:val="clear" w:color="auto" w:fill="auto"/>
            <w:noWrap/>
            <w:vAlign w:val="center"/>
            <w:hideMark/>
          </w:tcPr>
          <w:p w14:paraId="0A652711"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3.863</w:t>
            </w:r>
          </w:p>
        </w:tc>
        <w:tc>
          <w:tcPr>
            <w:tcW w:w="972" w:type="dxa"/>
            <w:tcBorders>
              <w:left w:val="double" w:sz="4" w:space="0" w:color="auto"/>
              <w:right w:val="single" w:sz="4" w:space="0" w:color="auto"/>
            </w:tcBorders>
            <w:vAlign w:val="center"/>
          </w:tcPr>
          <w:p w14:paraId="6598751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0.608</w:t>
            </w:r>
          </w:p>
        </w:tc>
        <w:tc>
          <w:tcPr>
            <w:tcW w:w="0" w:type="auto"/>
            <w:tcBorders>
              <w:left w:val="single" w:sz="4" w:space="0" w:color="auto"/>
              <w:right w:val="double" w:sz="4" w:space="0" w:color="auto"/>
            </w:tcBorders>
            <w:vAlign w:val="center"/>
          </w:tcPr>
          <w:p w14:paraId="24CFE85E"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3.991</w:t>
            </w:r>
          </w:p>
        </w:tc>
        <w:tc>
          <w:tcPr>
            <w:tcW w:w="0" w:type="auto"/>
            <w:tcBorders>
              <w:left w:val="double" w:sz="4" w:space="0" w:color="auto"/>
              <w:right w:val="single" w:sz="4" w:space="0" w:color="auto"/>
            </w:tcBorders>
            <w:vAlign w:val="center"/>
          </w:tcPr>
          <w:p w14:paraId="571213C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0.677</w:t>
            </w:r>
          </w:p>
        </w:tc>
        <w:tc>
          <w:tcPr>
            <w:tcW w:w="0" w:type="auto"/>
            <w:tcBorders>
              <w:left w:val="single" w:sz="4" w:space="0" w:color="auto"/>
              <w:right w:val="double" w:sz="4" w:space="0" w:color="auto"/>
            </w:tcBorders>
            <w:vAlign w:val="center"/>
          </w:tcPr>
          <w:p w14:paraId="6B8E550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5.706</w:t>
            </w:r>
          </w:p>
        </w:tc>
      </w:tr>
      <w:tr w:rsidR="00F56C71" w:rsidRPr="00C468E3" w14:paraId="05FE3E61"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0DD1A9C2"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eastAsia="Times New Roman" w:hAnsi="Times New Roman" w:cs="Times New Roman"/>
                <w:color w:val="000000"/>
                <w:sz w:val="20"/>
                <w:szCs w:val="20"/>
              </w:rPr>
              <w:t>Household density</w:t>
            </w:r>
          </w:p>
        </w:tc>
        <w:tc>
          <w:tcPr>
            <w:tcW w:w="972" w:type="dxa"/>
            <w:tcBorders>
              <w:left w:val="double" w:sz="4" w:space="0" w:color="auto"/>
            </w:tcBorders>
            <w:shd w:val="clear" w:color="auto" w:fill="auto"/>
            <w:noWrap/>
            <w:vAlign w:val="center"/>
            <w:hideMark/>
          </w:tcPr>
          <w:p w14:paraId="3F6A37C4"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0.119</w:t>
            </w:r>
          </w:p>
        </w:tc>
        <w:tc>
          <w:tcPr>
            <w:tcW w:w="847" w:type="dxa"/>
            <w:tcBorders>
              <w:right w:val="double" w:sz="4" w:space="0" w:color="auto"/>
            </w:tcBorders>
            <w:shd w:val="clear" w:color="auto" w:fill="auto"/>
            <w:noWrap/>
            <w:vAlign w:val="center"/>
            <w:hideMark/>
          </w:tcPr>
          <w:p w14:paraId="68EA2E32"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4.373</w:t>
            </w:r>
          </w:p>
        </w:tc>
        <w:tc>
          <w:tcPr>
            <w:tcW w:w="972" w:type="dxa"/>
            <w:tcBorders>
              <w:left w:val="double" w:sz="4" w:space="0" w:color="auto"/>
              <w:right w:val="single" w:sz="4" w:space="0" w:color="auto"/>
            </w:tcBorders>
            <w:vAlign w:val="center"/>
          </w:tcPr>
          <w:p w14:paraId="7AFB25C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0.106</w:t>
            </w:r>
          </w:p>
        </w:tc>
        <w:tc>
          <w:tcPr>
            <w:tcW w:w="0" w:type="auto"/>
            <w:tcBorders>
              <w:left w:val="single" w:sz="4" w:space="0" w:color="auto"/>
              <w:right w:val="double" w:sz="4" w:space="0" w:color="auto"/>
            </w:tcBorders>
            <w:vAlign w:val="center"/>
          </w:tcPr>
          <w:p w14:paraId="0FE4450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3.701</w:t>
            </w:r>
          </w:p>
        </w:tc>
        <w:tc>
          <w:tcPr>
            <w:tcW w:w="0" w:type="auto"/>
            <w:tcBorders>
              <w:left w:val="double" w:sz="4" w:space="0" w:color="auto"/>
              <w:right w:val="single" w:sz="4" w:space="0" w:color="auto"/>
            </w:tcBorders>
            <w:vAlign w:val="center"/>
          </w:tcPr>
          <w:p w14:paraId="43396813"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0.112</w:t>
            </w:r>
          </w:p>
        </w:tc>
        <w:tc>
          <w:tcPr>
            <w:tcW w:w="0" w:type="auto"/>
            <w:tcBorders>
              <w:left w:val="single" w:sz="4" w:space="0" w:color="auto"/>
              <w:right w:val="double" w:sz="4" w:space="0" w:color="auto"/>
            </w:tcBorders>
            <w:vAlign w:val="center"/>
          </w:tcPr>
          <w:p w14:paraId="0C5A79C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5.611</w:t>
            </w:r>
          </w:p>
        </w:tc>
      </w:tr>
      <w:tr w:rsidR="00F56C71" w:rsidRPr="00C468E3" w14:paraId="3FADB145" w14:textId="77777777" w:rsidTr="00C0197F">
        <w:trPr>
          <w:trHeight w:val="29"/>
        </w:trPr>
        <w:tc>
          <w:tcPr>
            <w:tcW w:w="4210" w:type="dxa"/>
            <w:tcBorders>
              <w:left w:val="double" w:sz="4" w:space="0" w:color="auto"/>
              <w:right w:val="double" w:sz="4" w:space="0" w:color="auto"/>
            </w:tcBorders>
            <w:shd w:val="clear" w:color="auto" w:fill="auto"/>
            <w:noWrap/>
            <w:vAlign w:val="center"/>
          </w:tcPr>
          <w:p w14:paraId="05ABD17B"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color w:val="000000"/>
                <w:sz w:val="20"/>
                <w:szCs w:val="20"/>
              </w:rPr>
              <w:t xml:space="preserve">Proportion of African American </w:t>
            </w:r>
            <w:r>
              <w:rPr>
                <w:rFonts w:ascii="Times New Roman" w:hAnsi="Times New Roman" w:cs="Times New Roman"/>
                <w:color w:val="000000"/>
                <w:sz w:val="20"/>
                <w:szCs w:val="20"/>
              </w:rPr>
              <w:t>population</w:t>
            </w:r>
          </w:p>
        </w:tc>
        <w:tc>
          <w:tcPr>
            <w:tcW w:w="972" w:type="dxa"/>
            <w:tcBorders>
              <w:left w:val="double" w:sz="4" w:space="0" w:color="auto"/>
            </w:tcBorders>
            <w:shd w:val="clear" w:color="auto" w:fill="auto"/>
            <w:noWrap/>
            <w:vAlign w:val="center"/>
          </w:tcPr>
          <w:p w14:paraId="2B8FFEAD"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0.536</w:t>
            </w:r>
          </w:p>
        </w:tc>
        <w:tc>
          <w:tcPr>
            <w:tcW w:w="847" w:type="dxa"/>
            <w:tcBorders>
              <w:right w:val="double" w:sz="4" w:space="0" w:color="auto"/>
            </w:tcBorders>
            <w:shd w:val="clear" w:color="auto" w:fill="auto"/>
            <w:noWrap/>
            <w:vAlign w:val="center"/>
          </w:tcPr>
          <w:p w14:paraId="4E2A0604"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3.095</w:t>
            </w:r>
          </w:p>
        </w:tc>
        <w:tc>
          <w:tcPr>
            <w:tcW w:w="972" w:type="dxa"/>
            <w:tcBorders>
              <w:left w:val="double" w:sz="4" w:space="0" w:color="auto"/>
              <w:right w:val="single" w:sz="4" w:space="0" w:color="auto"/>
            </w:tcBorders>
            <w:vAlign w:val="center"/>
          </w:tcPr>
          <w:p w14:paraId="3D35B91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0.593</w:t>
            </w:r>
          </w:p>
        </w:tc>
        <w:tc>
          <w:tcPr>
            <w:tcW w:w="0" w:type="auto"/>
            <w:tcBorders>
              <w:left w:val="single" w:sz="4" w:space="0" w:color="auto"/>
              <w:right w:val="double" w:sz="4" w:space="0" w:color="auto"/>
            </w:tcBorders>
            <w:vAlign w:val="center"/>
          </w:tcPr>
          <w:p w14:paraId="510BA2C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3.716</w:t>
            </w:r>
          </w:p>
        </w:tc>
        <w:tc>
          <w:tcPr>
            <w:tcW w:w="0" w:type="auto"/>
            <w:tcBorders>
              <w:left w:val="double" w:sz="4" w:space="0" w:color="auto"/>
              <w:right w:val="single" w:sz="4" w:space="0" w:color="auto"/>
            </w:tcBorders>
            <w:vAlign w:val="center"/>
          </w:tcPr>
          <w:p w14:paraId="467118FE"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0.565</w:t>
            </w:r>
          </w:p>
        </w:tc>
        <w:tc>
          <w:tcPr>
            <w:tcW w:w="0" w:type="auto"/>
            <w:tcBorders>
              <w:left w:val="single" w:sz="4" w:space="0" w:color="auto"/>
              <w:right w:val="double" w:sz="4" w:space="0" w:color="auto"/>
            </w:tcBorders>
            <w:vAlign w:val="center"/>
          </w:tcPr>
          <w:p w14:paraId="7BD89A8B"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4.834</w:t>
            </w:r>
          </w:p>
        </w:tc>
      </w:tr>
      <w:tr w:rsidR="00F56C71" w:rsidRPr="00C468E3" w14:paraId="6E7DB5BD"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057677C4"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Over-dispersion parameter</w:t>
            </w:r>
          </w:p>
        </w:tc>
        <w:tc>
          <w:tcPr>
            <w:tcW w:w="972" w:type="dxa"/>
            <w:tcBorders>
              <w:left w:val="double" w:sz="4" w:space="0" w:color="auto"/>
            </w:tcBorders>
            <w:shd w:val="clear" w:color="auto" w:fill="auto"/>
            <w:noWrap/>
            <w:vAlign w:val="center"/>
            <w:hideMark/>
          </w:tcPr>
          <w:p w14:paraId="2CDD498F"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1.126</w:t>
            </w:r>
          </w:p>
        </w:tc>
        <w:tc>
          <w:tcPr>
            <w:tcW w:w="847" w:type="dxa"/>
            <w:tcBorders>
              <w:right w:val="double" w:sz="4" w:space="0" w:color="auto"/>
            </w:tcBorders>
            <w:shd w:val="clear" w:color="auto" w:fill="auto"/>
            <w:noWrap/>
            <w:vAlign w:val="center"/>
            <w:hideMark/>
          </w:tcPr>
          <w:p w14:paraId="405BC4FF"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7.943</w:t>
            </w:r>
          </w:p>
        </w:tc>
        <w:tc>
          <w:tcPr>
            <w:tcW w:w="972" w:type="dxa"/>
            <w:tcBorders>
              <w:left w:val="double" w:sz="4" w:space="0" w:color="auto"/>
              <w:right w:val="single" w:sz="4" w:space="0" w:color="auto"/>
            </w:tcBorders>
            <w:vAlign w:val="center"/>
          </w:tcPr>
          <w:p w14:paraId="1BA14082"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0.989</w:t>
            </w:r>
          </w:p>
        </w:tc>
        <w:tc>
          <w:tcPr>
            <w:tcW w:w="0" w:type="auto"/>
            <w:tcBorders>
              <w:left w:val="single" w:sz="4" w:space="0" w:color="auto"/>
              <w:right w:val="double" w:sz="4" w:space="0" w:color="auto"/>
            </w:tcBorders>
            <w:vAlign w:val="center"/>
          </w:tcPr>
          <w:p w14:paraId="143474D9"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7.299</w:t>
            </w:r>
          </w:p>
        </w:tc>
        <w:tc>
          <w:tcPr>
            <w:tcW w:w="0" w:type="auto"/>
            <w:tcBorders>
              <w:left w:val="double" w:sz="4" w:space="0" w:color="auto"/>
              <w:right w:val="single" w:sz="4" w:space="0" w:color="auto"/>
            </w:tcBorders>
            <w:vAlign w:val="center"/>
          </w:tcPr>
          <w:p w14:paraId="3B73767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1.058</w:t>
            </w:r>
          </w:p>
        </w:tc>
        <w:tc>
          <w:tcPr>
            <w:tcW w:w="0" w:type="auto"/>
            <w:tcBorders>
              <w:left w:val="single" w:sz="4" w:space="0" w:color="auto"/>
              <w:right w:val="double" w:sz="4" w:space="0" w:color="auto"/>
            </w:tcBorders>
            <w:vAlign w:val="center"/>
          </w:tcPr>
          <w:p w14:paraId="5794473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10.737</w:t>
            </w:r>
          </w:p>
        </w:tc>
      </w:tr>
      <w:tr w:rsidR="00F56C71" w:rsidRPr="00C468E3" w14:paraId="73931B68" w14:textId="77777777" w:rsidTr="00C0197F">
        <w:trPr>
          <w:trHeight w:val="29"/>
        </w:trPr>
        <w:tc>
          <w:tcPr>
            <w:tcW w:w="4210" w:type="dxa"/>
            <w:tcBorders>
              <w:left w:val="double" w:sz="4" w:space="0" w:color="auto"/>
              <w:right w:val="double" w:sz="4" w:space="0" w:color="auto"/>
            </w:tcBorders>
            <w:shd w:val="clear" w:color="auto" w:fill="auto"/>
            <w:noWrap/>
            <w:vAlign w:val="center"/>
            <w:hideMark/>
          </w:tcPr>
          <w:p w14:paraId="67B217E8" w14:textId="77777777" w:rsidR="00F56C71" w:rsidRPr="00C468E3" w:rsidRDefault="00F56C71" w:rsidP="005A7CE8">
            <w:pPr>
              <w:pStyle w:val="NoSpacing"/>
              <w:rPr>
                <w:rFonts w:ascii="Times New Roman" w:eastAsia="Times New Roman" w:hAnsi="Times New Roman" w:cs="Times New Roman"/>
                <w:color w:val="000000"/>
                <w:sz w:val="20"/>
                <w:szCs w:val="20"/>
              </w:rPr>
            </w:pPr>
            <w:r w:rsidRPr="00C468E3">
              <w:rPr>
                <w:rFonts w:ascii="Times New Roman" w:hAnsi="Times New Roman" w:cs="Times New Roman"/>
                <w:sz w:val="20"/>
                <w:szCs w:val="20"/>
              </w:rPr>
              <w:t>Parameter for segment level propensity sum</w:t>
            </w:r>
          </w:p>
        </w:tc>
        <w:tc>
          <w:tcPr>
            <w:tcW w:w="972" w:type="dxa"/>
            <w:tcBorders>
              <w:left w:val="double" w:sz="4" w:space="0" w:color="auto"/>
            </w:tcBorders>
            <w:shd w:val="clear" w:color="auto" w:fill="auto"/>
            <w:noWrap/>
            <w:vAlign w:val="center"/>
            <w:hideMark/>
          </w:tcPr>
          <w:p w14:paraId="364C100D"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0.234</w:t>
            </w:r>
          </w:p>
        </w:tc>
        <w:tc>
          <w:tcPr>
            <w:tcW w:w="847" w:type="dxa"/>
            <w:tcBorders>
              <w:right w:val="double" w:sz="4" w:space="0" w:color="auto"/>
            </w:tcBorders>
            <w:shd w:val="clear" w:color="auto" w:fill="auto"/>
            <w:noWrap/>
            <w:vAlign w:val="center"/>
            <w:hideMark/>
          </w:tcPr>
          <w:p w14:paraId="1F10845D"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DE55FD">
              <w:rPr>
                <w:rFonts w:ascii="Times New Roman" w:hAnsi="Times New Roman" w:cs="Times New Roman"/>
                <w:color w:val="000000"/>
                <w:sz w:val="20"/>
                <w:szCs w:val="20"/>
              </w:rPr>
              <w:t>4.697</w:t>
            </w:r>
          </w:p>
        </w:tc>
        <w:tc>
          <w:tcPr>
            <w:tcW w:w="972" w:type="dxa"/>
            <w:tcBorders>
              <w:left w:val="double" w:sz="4" w:space="0" w:color="auto"/>
              <w:right w:val="single" w:sz="4" w:space="0" w:color="auto"/>
            </w:tcBorders>
            <w:vAlign w:val="center"/>
          </w:tcPr>
          <w:p w14:paraId="57B29BC1"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0.295</w:t>
            </w:r>
          </w:p>
        </w:tc>
        <w:tc>
          <w:tcPr>
            <w:tcW w:w="0" w:type="auto"/>
            <w:tcBorders>
              <w:left w:val="single" w:sz="4" w:space="0" w:color="auto"/>
              <w:right w:val="double" w:sz="4" w:space="0" w:color="auto"/>
            </w:tcBorders>
            <w:vAlign w:val="center"/>
          </w:tcPr>
          <w:p w14:paraId="7A0E2F40"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4.413</w:t>
            </w:r>
          </w:p>
        </w:tc>
        <w:tc>
          <w:tcPr>
            <w:tcW w:w="0" w:type="auto"/>
            <w:tcBorders>
              <w:left w:val="double" w:sz="4" w:space="0" w:color="auto"/>
              <w:right w:val="single" w:sz="4" w:space="0" w:color="auto"/>
            </w:tcBorders>
            <w:vAlign w:val="center"/>
          </w:tcPr>
          <w:p w14:paraId="0D3798EC"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0.259</w:t>
            </w:r>
          </w:p>
        </w:tc>
        <w:tc>
          <w:tcPr>
            <w:tcW w:w="0" w:type="auto"/>
            <w:tcBorders>
              <w:left w:val="single" w:sz="4" w:space="0" w:color="auto"/>
              <w:right w:val="double" w:sz="4" w:space="0" w:color="auto"/>
            </w:tcBorders>
            <w:vAlign w:val="center"/>
          </w:tcPr>
          <w:p w14:paraId="28F25427"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6.087</w:t>
            </w:r>
          </w:p>
        </w:tc>
      </w:tr>
      <w:tr w:rsidR="00F56C71" w:rsidRPr="00C468E3" w14:paraId="528BC483" w14:textId="77777777" w:rsidTr="00C0197F">
        <w:trPr>
          <w:trHeight w:val="29"/>
        </w:trPr>
        <w:tc>
          <w:tcPr>
            <w:tcW w:w="4210" w:type="dxa"/>
            <w:tcBorders>
              <w:left w:val="double" w:sz="4" w:space="0" w:color="auto"/>
              <w:bottom w:val="double" w:sz="4" w:space="0" w:color="auto"/>
              <w:right w:val="double" w:sz="4" w:space="0" w:color="auto"/>
            </w:tcBorders>
            <w:shd w:val="clear" w:color="auto" w:fill="auto"/>
            <w:noWrap/>
            <w:vAlign w:val="center"/>
          </w:tcPr>
          <w:p w14:paraId="6D8F4A4E" w14:textId="77777777" w:rsidR="00F56C71" w:rsidRPr="00C468E3" w:rsidRDefault="00F56C71" w:rsidP="005A7CE8">
            <w:pPr>
              <w:pStyle w:val="NoSpacing"/>
              <w:rPr>
                <w:rFonts w:ascii="Times New Roman" w:hAnsi="Times New Roman" w:cs="Times New Roman"/>
                <w:sz w:val="20"/>
                <w:szCs w:val="20"/>
              </w:rPr>
            </w:pPr>
            <w:r w:rsidRPr="00C468E3">
              <w:rPr>
                <w:rFonts w:ascii="Times New Roman" w:hAnsi="Times New Roman" w:cs="Times New Roman"/>
                <w:sz w:val="20"/>
                <w:szCs w:val="20"/>
              </w:rPr>
              <w:t>Parameter for intersection level propensity sum</w:t>
            </w:r>
          </w:p>
        </w:tc>
        <w:tc>
          <w:tcPr>
            <w:tcW w:w="972" w:type="dxa"/>
            <w:tcBorders>
              <w:left w:val="double" w:sz="4" w:space="0" w:color="auto"/>
              <w:bottom w:val="double" w:sz="4" w:space="0" w:color="auto"/>
            </w:tcBorders>
            <w:shd w:val="clear" w:color="auto" w:fill="auto"/>
            <w:noWrap/>
            <w:vAlign w:val="center"/>
          </w:tcPr>
          <w:p w14:paraId="2D229756"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0.432</w:t>
            </w:r>
          </w:p>
        </w:tc>
        <w:tc>
          <w:tcPr>
            <w:tcW w:w="847" w:type="dxa"/>
            <w:tcBorders>
              <w:bottom w:val="double" w:sz="4" w:space="0" w:color="auto"/>
              <w:right w:val="double" w:sz="4" w:space="0" w:color="auto"/>
            </w:tcBorders>
            <w:shd w:val="clear" w:color="auto" w:fill="auto"/>
            <w:noWrap/>
            <w:vAlign w:val="center"/>
          </w:tcPr>
          <w:p w14:paraId="2314819B"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7.885</w:t>
            </w:r>
          </w:p>
        </w:tc>
        <w:tc>
          <w:tcPr>
            <w:tcW w:w="972" w:type="dxa"/>
            <w:tcBorders>
              <w:left w:val="double" w:sz="4" w:space="0" w:color="auto"/>
              <w:bottom w:val="double" w:sz="4" w:space="0" w:color="auto"/>
              <w:right w:val="single" w:sz="4" w:space="0" w:color="auto"/>
            </w:tcBorders>
            <w:vAlign w:val="center"/>
          </w:tcPr>
          <w:p w14:paraId="64BCD619"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0.441</w:t>
            </w:r>
          </w:p>
        </w:tc>
        <w:tc>
          <w:tcPr>
            <w:tcW w:w="0" w:type="auto"/>
            <w:tcBorders>
              <w:left w:val="single" w:sz="4" w:space="0" w:color="auto"/>
              <w:bottom w:val="double" w:sz="4" w:space="0" w:color="auto"/>
              <w:right w:val="double" w:sz="4" w:space="0" w:color="auto"/>
            </w:tcBorders>
            <w:vAlign w:val="center"/>
          </w:tcPr>
          <w:p w14:paraId="3B6E5F2A"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7.318</w:t>
            </w:r>
          </w:p>
        </w:tc>
        <w:tc>
          <w:tcPr>
            <w:tcW w:w="0" w:type="auto"/>
            <w:tcBorders>
              <w:left w:val="double" w:sz="4" w:space="0" w:color="auto"/>
              <w:bottom w:val="double" w:sz="4" w:space="0" w:color="auto"/>
              <w:right w:val="single" w:sz="4" w:space="0" w:color="auto"/>
            </w:tcBorders>
            <w:vAlign w:val="center"/>
          </w:tcPr>
          <w:p w14:paraId="14459F2F"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0.430</w:t>
            </w:r>
          </w:p>
        </w:tc>
        <w:tc>
          <w:tcPr>
            <w:tcW w:w="0" w:type="auto"/>
            <w:tcBorders>
              <w:left w:val="single" w:sz="4" w:space="0" w:color="auto"/>
              <w:bottom w:val="double" w:sz="4" w:space="0" w:color="auto"/>
              <w:right w:val="double" w:sz="4" w:space="0" w:color="auto"/>
            </w:tcBorders>
            <w:vAlign w:val="center"/>
          </w:tcPr>
          <w:p w14:paraId="4DF88825" w14:textId="77777777" w:rsidR="00F56C71" w:rsidRPr="00DE55FD" w:rsidRDefault="00F56C71" w:rsidP="005A7CE8">
            <w:pPr>
              <w:pStyle w:val="NoSpacing"/>
              <w:jc w:val="center"/>
              <w:rPr>
                <w:rFonts w:ascii="Times New Roman" w:hAnsi="Times New Roman" w:cs="Times New Roman"/>
                <w:color w:val="000000"/>
                <w:sz w:val="20"/>
                <w:szCs w:val="20"/>
              </w:rPr>
            </w:pPr>
            <w:r w:rsidRPr="00DE55FD">
              <w:rPr>
                <w:rFonts w:ascii="Times New Roman" w:hAnsi="Times New Roman" w:cs="Times New Roman"/>
                <w:color w:val="000000"/>
                <w:sz w:val="20"/>
                <w:szCs w:val="20"/>
              </w:rPr>
              <w:t>10.816</w:t>
            </w:r>
          </w:p>
        </w:tc>
      </w:tr>
      <w:tr w:rsidR="00F56C71" w:rsidRPr="00C468E3" w14:paraId="2BBD4C9C" w14:textId="77777777" w:rsidTr="00C0197F">
        <w:trPr>
          <w:trHeight w:val="29"/>
        </w:trPr>
        <w:tc>
          <w:tcPr>
            <w:tcW w:w="42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6FEC3F5" w14:textId="5B3F903A" w:rsidR="00F56C71" w:rsidRPr="00C468E3" w:rsidRDefault="00F56C71" w:rsidP="005A7CE8">
            <w:pPr>
              <w:pStyle w:val="NoSpacing"/>
              <w:rPr>
                <w:rFonts w:ascii="Times New Roman" w:hAnsi="Times New Roman" w:cs="Times New Roman"/>
                <w:sz w:val="20"/>
                <w:szCs w:val="20"/>
              </w:rPr>
            </w:pPr>
            <w:r>
              <w:rPr>
                <w:rFonts w:ascii="Times New Roman" w:hAnsi="Times New Roman" w:cs="Times New Roman"/>
                <w:sz w:val="20"/>
                <w:szCs w:val="20"/>
              </w:rPr>
              <w:t xml:space="preserve">Number of </w:t>
            </w:r>
            <w:r w:rsidR="00426906">
              <w:rPr>
                <w:rFonts w:ascii="Times New Roman" w:hAnsi="Times New Roman" w:cs="Times New Roman"/>
                <w:sz w:val="20"/>
                <w:szCs w:val="20"/>
              </w:rPr>
              <w:t>p</w:t>
            </w:r>
            <w:r>
              <w:rPr>
                <w:rFonts w:ascii="Times New Roman" w:hAnsi="Times New Roman" w:cs="Times New Roman"/>
                <w:sz w:val="20"/>
                <w:szCs w:val="20"/>
              </w:rPr>
              <w:t>arameters</w:t>
            </w:r>
          </w:p>
        </w:tc>
        <w:tc>
          <w:tcPr>
            <w:tcW w:w="1819" w:type="dxa"/>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06B07D34" w14:textId="77777777" w:rsidR="00F56C71" w:rsidRPr="00DE55FD" w:rsidRDefault="00F56C71"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746" w:type="dxa"/>
            <w:gridSpan w:val="2"/>
            <w:tcBorders>
              <w:top w:val="double" w:sz="4" w:space="0" w:color="auto"/>
              <w:left w:val="double" w:sz="4" w:space="0" w:color="auto"/>
              <w:bottom w:val="double" w:sz="4" w:space="0" w:color="auto"/>
              <w:right w:val="double" w:sz="4" w:space="0" w:color="auto"/>
            </w:tcBorders>
            <w:vAlign w:val="center"/>
          </w:tcPr>
          <w:p w14:paraId="3BBFD649" w14:textId="77777777" w:rsidR="00F56C71" w:rsidRPr="00DE55FD" w:rsidRDefault="00F56C71"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0" w:type="auto"/>
            <w:gridSpan w:val="2"/>
            <w:tcBorders>
              <w:top w:val="double" w:sz="4" w:space="0" w:color="auto"/>
              <w:left w:val="double" w:sz="4" w:space="0" w:color="auto"/>
              <w:bottom w:val="double" w:sz="4" w:space="0" w:color="auto"/>
              <w:right w:val="double" w:sz="4" w:space="0" w:color="auto"/>
            </w:tcBorders>
            <w:vAlign w:val="center"/>
          </w:tcPr>
          <w:p w14:paraId="498C704E" w14:textId="77777777" w:rsidR="00F56C71" w:rsidRPr="00DE55FD" w:rsidRDefault="00F56C71"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r>
      <w:tr w:rsidR="00F56C71" w:rsidRPr="00C468E3" w14:paraId="5C1E27A6" w14:textId="77777777" w:rsidTr="00C0197F">
        <w:trPr>
          <w:trHeight w:val="29"/>
        </w:trPr>
        <w:tc>
          <w:tcPr>
            <w:tcW w:w="42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30C235" w14:textId="77777777" w:rsidR="00F56C71" w:rsidRPr="00C468E3" w:rsidRDefault="00F56C71" w:rsidP="005A7CE8">
            <w:pPr>
              <w:pStyle w:val="No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Log-likelihood</w:t>
            </w:r>
          </w:p>
        </w:tc>
        <w:tc>
          <w:tcPr>
            <w:tcW w:w="1819" w:type="dxa"/>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21973450" w14:textId="77777777" w:rsidR="00F56C71" w:rsidRPr="00DE55FD" w:rsidRDefault="00F56C71" w:rsidP="005A7CE8">
            <w:pPr>
              <w:pStyle w:val="NoSpacing"/>
              <w:jc w:val="center"/>
              <w:rPr>
                <w:rFonts w:ascii="Times New Roman" w:eastAsia="Times New Roman" w:hAnsi="Times New Roman" w:cs="Times New Roman"/>
                <w:color w:val="000000"/>
                <w:sz w:val="20"/>
                <w:szCs w:val="20"/>
              </w:rPr>
            </w:pPr>
            <w:r w:rsidRPr="00C468E3">
              <w:rPr>
                <w:rFonts w:ascii="Times New Roman" w:hAnsi="Times New Roman" w:cs="Times New Roman"/>
                <w:color w:val="000000"/>
                <w:sz w:val="20"/>
                <w:szCs w:val="20"/>
              </w:rPr>
              <w:t>-13,548.720</w:t>
            </w:r>
          </w:p>
        </w:tc>
        <w:tc>
          <w:tcPr>
            <w:tcW w:w="1746" w:type="dxa"/>
            <w:gridSpan w:val="2"/>
            <w:tcBorders>
              <w:top w:val="double" w:sz="4" w:space="0" w:color="auto"/>
              <w:left w:val="double" w:sz="4" w:space="0" w:color="auto"/>
              <w:bottom w:val="double" w:sz="4" w:space="0" w:color="auto"/>
              <w:right w:val="double" w:sz="4" w:space="0" w:color="auto"/>
            </w:tcBorders>
            <w:vAlign w:val="center"/>
          </w:tcPr>
          <w:p w14:paraId="40BE985C" w14:textId="77777777" w:rsidR="00F56C71" w:rsidRPr="00DE55FD" w:rsidRDefault="00F56C71" w:rsidP="005A7CE8">
            <w:pPr>
              <w:pStyle w:val="NoSpacing"/>
              <w:jc w:val="center"/>
              <w:rPr>
                <w:rFonts w:ascii="Times New Roman" w:hAnsi="Times New Roman" w:cs="Times New Roman"/>
                <w:color w:val="000000"/>
                <w:sz w:val="20"/>
                <w:szCs w:val="20"/>
              </w:rPr>
            </w:pPr>
            <w:r w:rsidRPr="00C468E3">
              <w:rPr>
                <w:rFonts w:ascii="Times New Roman" w:hAnsi="Times New Roman" w:cs="Times New Roman"/>
                <w:color w:val="000000"/>
                <w:sz w:val="20"/>
                <w:szCs w:val="20"/>
              </w:rPr>
              <w:t>-13,645.050</w:t>
            </w:r>
          </w:p>
        </w:tc>
        <w:tc>
          <w:tcPr>
            <w:tcW w:w="0" w:type="auto"/>
            <w:gridSpan w:val="2"/>
            <w:tcBorders>
              <w:top w:val="double" w:sz="4" w:space="0" w:color="auto"/>
              <w:left w:val="double" w:sz="4" w:space="0" w:color="auto"/>
              <w:bottom w:val="double" w:sz="4" w:space="0" w:color="auto"/>
              <w:right w:val="double" w:sz="4" w:space="0" w:color="auto"/>
            </w:tcBorders>
            <w:vAlign w:val="center"/>
          </w:tcPr>
          <w:p w14:paraId="6AE7DD35" w14:textId="77777777" w:rsidR="00F56C71" w:rsidRPr="00DE55FD" w:rsidRDefault="00F56C71" w:rsidP="005A7CE8">
            <w:pPr>
              <w:pStyle w:val="NoSpacing"/>
              <w:jc w:val="center"/>
              <w:rPr>
                <w:rFonts w:ascii="Times New Roman" w:hAnsi="Times New Roman" w:cs="Times New Roman"/>
                <w:color w:val="000000"/>
                <w:sz w:val="20"/>
                <w:szCs w:val="20"/>
              </w:rPr>
            </w:pPr>
            <w:r w:rsidRPr="00C468E3">
              <w:rPr>
                <w:rFonts w:ascii="Times New Roman" w:hAnsi="Times New Roman" w:cs="Times New Roman"/>
                <w:sz w:val="20"/>
                <w:szCs w:val="20"/>
              </w:rPr>
              <w:t>-27,189.480</w:t>
            </w:r>
          </w:p>
        </w:tc>
      </w:tr>
      <w:tr w:rsidR="00F56C71" w:rsidRPr="00C468E3" w14:paraId="7FF3F199" w14:textId="77777777" w:rsidTr="00C0197F">
        <w:trPr>
          <w:trHeight w:val="29"/>
        </w:trPr>
        <w:tc>
          <w:tcPr>
            <w:tcW w:w="42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BE3ECA4" w14:textId="56E83DA6" w:rsidR="00F56C71" w:rsidRDefault="00F56C71" w:rsidP="005A7CE8">
            <w:pPr>
              <w:pStyle w:val="No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Bayesian Information Criterion (BIC) </w:t>
            </w:r>
            <w:r w:rsidR="00FE1DDF">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t xml:space="preserve">alue </w:t>
            </w:r>
          </w:p>
        </w:tc>
        <w:tc>
          <w:tcPr>
            <w:tcW w:w="3565" w:type="dxa"/>
            <w:gridSpan w:val="4"/>
            <w:tcBorders>
              <w:left w:val="double" w:sz="4" w:space="0" w:color="auto"/>
              <w:bottom w:val="double" w:sz="4" w:space="0" w:color="auto"/>
              <w:right w:val="double" w:sz="4" w:space="0" w:color="auto"/>
            </w:tcBorders>
            <w:shd w:val="clear" w:color="auto" w:fill="auto"/>
            <w:noWrap/>
            <w:vAlign w:val="center"/>
          </w:tcPr>
          <w:p w14:paraId="41FA012E" w14:textId="77777777" w:rsidR="00F56C71" w:rsidRPr="00DE55FD" w:rsidRDefault="00F56C71"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54, 649.914</w:t>
            </w:r>
          </w:p>
        </w:tc>
        <w:tc>
          <w:tcPr>
            <w:tcW w:w="0" w:type="auto"/>
            <w:gridSpan w:val="2"/>
            <w:tcBorders>
              <w:left w:val="double" w:sz="4" w:space="0" w:color="auto"/>
              <w:bottom w:val="double" w:sz="4" w:space="0" w:color="auto"/>
              <w:right w:val="double" w:sz="4" w:space="0" w:color="auto"/>
            </w:tcBorders>
            <w:vAlign w:val="center"/>
          </w:tcPr>
          <w:p w14:paraId="2F0C24FE" w14:textId="77777777" w:rsidR="00F56C71" w:rsidRPr="00DE55FD" w:rsidRDefault="00F56C71"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54,545.280</w:t>
            </w:r>
          </w:p>
        </w:tc>
      </w:tr>
      <w:tr w:rsidR="00983114" w:rsidRPr="00C468E3" w14:paraId="55213F4F" w14:textId="77777777" w:rsidTr="00C0197F">
        <w:trPr>
          <w:trHeight w:val="29"/>
        </w:trPr>
        <w:tc>
          <w:tcPr>
            <w:tcW w:w="42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ACF1A3C" w14:textId="19712265" w:rsidR="00983114" w:rsidRDefault="00983114" w:rsidP="005A7CE8">
            <w:pPr>
              <w:pStyle w:val="No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Sample size</w:t>
            </w:r>
          </w:p>
        </w:tc>
        <w:tc>
          <w:tcPr>
            <w:tcW w:w="3565" w:type="dxa"/>
            <w:gridSpan w:val="4"/>
            <w:tcBorders>
              <w:top w:val="double" w:sz="4" w:space="0" w:color="auto"/>
              <w:left w:val="double" w:sz="4" w:space="0" w:color="auto"/>
              <w:bottom w:val="double" w:sz="4" w:space="0" w:color="auto"/>
              <w:right w:val="double" w:sz="4" w:space="0" w:color="auto"/>
            </w:tcBorders>
            <w:shd w:val="clear" w:color="auto" w:fill="auto"/>
            <w:noWrap/>
            <w:vAlign w:val="center"/>
          </w:tcPr>
          <w:p w14:paraId="262E4ECF" w14:textId="43FE5B41" w:rsidR="00983114" w:rsidRDefault="00983114"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0" w:type="auto"/>
            <w:gridSpan w:val="2"/>
            <w:tcBorders>
              <w:top w:val="double" w:sz="4" w:space="0" w:color="auto"/>
              <w:left w:val="double" w:sz="4" w:space="0" w:color="auto"/>
              <w:bottom w:val="double" w:sz="4" w:space="0" w:color="auto"/>
              <w:right w:val="double" w:sz="4" w:space="0" w:color="auto"/>
            </w:tcBorders>
            <w:vAlign w:val="center"/>
          </w:tcPr>
          <w:p w14:paraId="59921AF6" w14:textId="066368F4" w:rsidR="00983114" w:rsidRDefault="00983114" w:rsidP="005A7CE8">
            <w:pPr>
              <w:pStyle w:val="NoSpacing"/>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r>
    </w:tbl>
    <w:p w14:paraId="4C8865CE" w14:textId="77777777" w:rsidR="00F56C71" w:rsidRDefault="00F56C71" w:rsidP="00F56C71">
      <w:pPr>
        <w:rPr>
          <w:rFonts w:cs="Times New Roman"/>
          <w:sz w:val="20"/>
          <w:szCs w:val="20"/>
        </w:rPr>
      </w:pPr>
    </w:p>
    <w:p w14:paraId="27B666FB" w14:textId="77777777" w:rsidR="00F56C71" w:rsidRDefault="00F56C71" w:rsidP="00F56C71">
      <w:pPr>
        <w:rPr>
          <w:rFonts w:cs="Times New Roman"/>
          <w:sz w:val="20"/>
          <w:szCs w:val="20"/>
        </w:rPr>
      </w:pPr>
    </w:p>
    <w:p w14:paraId="1B99682E" w14:textId="77777777" w:rsidR="00F56C71" w:rsidRDefault="00F56C71" w:rsidP="00F56C71">
      <w:pPr>
        <w:rPr>
          <w:rFonts w:cs="Times New Roman"/>
          <w:sz w:val="20"/>
          <w:szCs w:val="20"/>
        </w:rPr>
      </w:pPr>
    </w:p>
    <w:p w14:paraId="673E5AA4" w14:textId="77777777" w:rsidR="00F56C71" w:rsidRDefault="00F56C71" w:rsidP="00F56C71">
      <w:pPr>
        <w:rPr>
          <w:rFonts w:cs="Times New Roman"/>
          <w:sz w:val="20"/>
          <w:szCs w:val="20"/>
        </w:rPr>
      </w:pPr>
    </w:p>
    <w:p w14:paraId="5E282CAE" w14:textId="77777777" w:rsidR="00F56C71" w:rsidRDefault="00F56C71" w:rsidP="00F56C71">
      <w:pPr>
        <w:rPr>
          <w:rFonts w:cs="Times New Roman"/>
          <w:sz w:val="20"/>
          <w:szCs w:val="20"/>
        </w:rPr>
      </w:pPr>
    </w:p>
    <w:p w14:paraId="4646E6A7" w14:textId="77777777" w:rsidR="00F56C71" w:rsidRDefault="00F56C71" w:rsidP="00F56C71">
      <w:pPr>
        <w:rPr>
          <w:rFonts w:cs="Times New Roman"/>
          <w:sz w:val="20"/>
          <w:szCs w:val="20"/>
        </w:rPr>
      </w:pPr>
    </w:p>
    <w:p w14:paraId="290B6D89" w14:textId="1B15C6C1" w:rsidR="00F56C71" w:rsidRDefault="00F56C71" w:rsidP="00F56C71">
      <w:pPr>
        <w:rPr>
          <w:rFonts w:cs="Times New Roman"/>
          <w:sz w:val="20"/>
          <w:szCs w:val="20"/>
        </w:rPr>
      </w:pPr>
    </w:p>
    <w:p w14:paraId="2D769336" w14:textId="38FA41D4" w:rsidR="009D25D9" w:rsidRDefault="009D25D9" w:rsidP="00F56C71">
      <w:pPr>
        <w:rPr>
          <w:rFonts w:cs="Times New Roman"/>
          <w:sz w:val="20"/>
          <w:szCs w:val="20"/>
        </w:rPr>
      </w:pPr>
    </w:p>
    <w:p w14:paraId="73BC393B" w14:textId="16EC76C2" w:rsidR="009D25D9" w:rsidRDefault="009D25D9" w:rsidP="00F56C71">
      <w:pPr>
        <w:rPr>
          <w:rFonts w:cs="Times New Roman"/>
          <w:sz w:val="20"/>
          <w:szCs w:val="20"/>
        </w:rPr>
      </w:pPr>
    </w:p>
    <w:p w14:paraId="0894C0BA" w14:textId="4DB267A7" w:rsidR="009D25D9" w:rsidRDefault="009D25D9" w:rsidP="00F56C71">
      <w:pPr>
        <w:rPr>
          <w:rFonts w:cs="Times New Roman"/>
          <w:sz w:val="20"/>
          <w:szCs w:val="20"/>
        </w:rPr>
      </w:pPr>
    </w:p>
    <w:p w14:paraId="503F4177" w14:textId="25BF5D3B" w:rsidR="009D25D9" w:rsidRDefault="009D25D9" w:rsidP="00F56C71">
      <w:pPr>
        <w:rPr>
          <w:rFonts w:cs="Times New Roman"/>
          <w:sz w:val="20"/>
          <w:szCs w:val="20"/>
        </w:rPr>
      </w:pPr>
    </w:p>
    <w:p w14:paraId="04718664" w14:textId="77777777" w:rsidR="009D25D9" w:rsidRDefault="009D25D9" w:rsidP="00F56C71">
      <w:pPr>
        <w:rPr>
          <w:rFonts w:cs="Times New Roman"/>
          <w:sz w:val="20"/>
          <w:szCs w:val="20"/>
        </w:rPr>
      </w:pPr>
    </w:p>
    <w:p w14:paraId="3675E495" w14:textId="77777777" w:rsidR="00F56C71" w:rsidRPr="00711BA0" w:rsidRDefault="00F56C71" w:rsidP="00F56C71">
      <w:pPr>
        <w:jc w:val="center"/>
        <w:rPr>
          <w:rFonts w:eastAsia="Calibri" w:cs="Times New Roman"/>
        </w:rPr>
      </w:pPr>
      <w:r w:rsidRPr="00711BA0">
        <w:rPr>
          <w:rFonts w:eastAsia="Calibri" w:cs="Times New Roman"/>
          <w:b/>
          <w:bCs/>
        </w:rPr>
        <w:lastRenderedPageBreak/>
        <w:t xml:space="preserve">TABLE </w:t>
      </w:r>
      <w:r>
        <w:rPr>
          <w:rFonts w:eastAsia="Calibri" w:cs="Times New Roman"/>
          <w:b/>
          <w:bCs/>
        </w:rPr>
        <w:t>S2</w:t>
      </w:r>
      <w:r w:rsidRPr="00711BA0">
        <w:rPr>
          <w:rFonts w:eastAsia="Calibri" w:cs="Times New Roman"/>
        </w:rPr>
        <w:t xml:space="preserve"> Results of Non-Integrated NB Micro and Macro Models</w:t>
      </w:r>
    </w:p>
    <w:tbl>
      <w:tblPr>
        <w:tblStyle w:val="TableGrid1"/>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98"/>
        <w:gridCol w:w="1336"/>
        <w:gridCol w:w="1396"/>
      </w:tblGrid>
      <w:tr w:rsidR="00F56C71" w:rsidRPr="00711BA0" w14:paraId="2734E509" w14:textId="77777777" w:rsidTr="005A7CE8">
        <w:trPr>
          <w:trHeight w:val="22"/>
        </w:trPr>
        <w:tc>
          <w:tcPr>
            <w:tcW w:w="3536" w:type="pct"/>
            <w:vMerge w:val="restart"/>
            <w:tcBorders>
              <w:top w:val="double" w:sz="4" w:space="0" w:color="auto"/>
              <w:left w:val="double" w:sz="4" w:space="0" w:color="auto"/>
            </w:tcBorders>
            <w:vAlign w:val="center"/>
          </w:tcPr>
          <w:p w14:paraId="63CEEA5D" w14:textId="77777777" w:rsidR="00F56C71" w:rsidRPr="00711BA0" w:rsidRDefault="00F56C71" w:rsidP="005A7CE8">
            <w:pPr>
              <w:jc w:val="center"/>
              <w:rPr>
                <w:rFonts w:ascii="Times New Roman" w:eastAsia="Calibri" w:hAnsi="Times New Roman" w:cs="Times New Roman"/>
                <w:b/>
                <w:bCs/>
                <w:sz w:val="20"/>
                <w:szCs w:val="20"/>
              </w:rPr>
            </w:pPr>
            <w:r w:rsidRPr="00711BA0">
              <w:rPr>
                <w:rFonts w:ascii="Times New Roman" w:eastAsia="Calibri" w:hAnsi="Times New Roman" w:cs="Times New Roman"/>
                <w:b/>
                <w:bCs/>
                <w:sz w:val="20"/>
                <w:szCs w:val="20"/>
              </w:rPr>
              <w:t>Variables</w:t>
            </w:r>
          </w:p>
        </w:tc>
        <w:tc>
          <w:tcPr>
            <w:tcW w:w="1464" w:type="pct"/>
            <w:gridSpan w:val="2"/>
            <w:tcBorders>
              <w:top w:val="double" w:sz="4" w:space="0" w:color="auto"/>
              <w:right w:val="double" w:sz="4" w:space="0" w:color="auto"/>
            </w:tcBorders>
            <w:vAlign w:val="center"/>
          </w:tcPr>
          <w:p w14:paraId="1401E182" w14:textId="77777777" w:rsidR="00F56C71" w:rsidRPr="00711BA0" w:rsidRDefault="00F56C71" w:rsidP="005A7CE8">
            <w:pPr>
              <w:jc w:val="center"/>
              <w:rPr>
                <w:rFonts w:ascii="Times New Roman" w:eastAsia="Calibri" w:hAnsi="Times New Roman" w:cs="Times New Roman"/>
                <w:b/>
                <w:bCs/>
                <w:sz w:val="20"/>
                <w:szCs w:val="20"/>
              </w:rPr>
            </w:pPr>
            <w:r w:rsidRPr="00711BA0">
              <w:rPr>
                <w:rFonts w:ascii="Times New Roman" w:eastAsia="Calibri" w:hAnsi="Times New Roman" w:cs="Times New Roman"/>
                <w:b/>
                <w:bCs/>
                <w:sz w:val="20"/>
                <w:szCs w:val="20"/>
              </w:rPr>
              <w:t>Non-integrated NB model results</w:t>
            </w:r>
          </w:p>
        </w:tc>
      </w:tr>
      <w:tr w:rsidR="00F56C71" w:rsidRPr="00711BA0" w14:paraId="4FF348CF" w14:textId="77777777" w:rsidTr="005A7CE8">
        <w:trPr>
          <w:trHeight w:val="22"/>
        </w:trPr>
        <w:tc>
          <w:tcPr>
            <w:tcW w:w="3536" w:type="pct"/>
            <w:vMerge/>
            <w:tcBorders>
              <w:left w:val="double" w:sz="4" w:space="0" w:color="auto"/>
              <w:bottom w:val="double" w:sz="4" w:space="0" w:color="auto"/>
            </w:tcBorders>
            <w:vAlign w:val="center"/>
          </w:tcPr>
          <w:p w14:paraId="33435593" w14:textId="77777777" w:rsidR="00F56C71" w:rsidRPr="00711BA0" w:rsidRDefault="00F56C71" w:rsidP="005A7CE8">
            <w:pPr>
              <w:jc w:val="center"/>
              <w:rPr>
                <w:rFonts w:ascii="Times New Roman" w:eastAsia="Calibri" w:hAnsi="Times New Roman" w:cs="Times New Roman"/>
                <w:b/>
                <w:bCs/>
                <w:sz w:val="20"/>
                <w:szCs w:val="20"/>
              </w:rPr>
            </w:pPr>
          </w:p>
        </w:tc>
        <w:tc>
          <w:tcPr>
            <w:tcW w:w="716" w:type="pct"/>
            <w:tcBorders>
              <w:bottom w:val="double" w:sz="4" w:space="0" w:color="auto"/>
            </w:tcBorders>
            <w:vAlign w:val="center"/>
          </w:tcPr>
          <w:p w14:paraId="3936B0EF" w14:textId="77777777" w:rsidR="00F56C71" w:rsidRPr="00711BA0" w:rsidRDefault="00F56C71" w:rsidP="005A7CE8">
            <w:pPr>
              <w:jc w:val="center"/>
              <w:rPr>
                <w:rFonts w:ascii="Times New Roman" w:eastAsia="Calibri" w:hAnsi="Times New Roman" w:cs="Times New Roman"/>
                <w:b/>
                <w:bCs/>
                <w:sz w:val="20"/>
                <w:szCs w:val="20"/>
              </w:rPr>
            </w:pPr>
            <w:r w:rsidRPr="00711BA0">
              <w:rPr>
                <w:rFonts w:ascii="Times New Roman" w:eastAsia="Calibri" w:hAnsi="Times New Roman" w:cs="Times New Roman"/>
                <w:b/>
                <w:bCs/>
                <w:sz w:val="20"/>
                <w:szCs w:val="20"/>
              </w:rPr>
              <w:t>Estimate</w:t>
            </w:r>
          </w:p>
        </w:tc>
        <w:tc>
          <w:tcPr>
            <w:tcW w:w="748" w:type="pct"/>
            <w:tcBorders>
              <w:bottom w:val="double" w:sz="4" w:space="0" w:color="auto"/>
              <w:right w:val="double" w:sz="4" w:space="0" w:color="auto"/>
            </w:tcBorders>
            <w:vAlign w:val="center"/>
          </w:tcPr>
          <w:p w14:paraId="022E9413" w14:textId="77777777" w:rsidR="00F56C71" w:rsidRPr="00711BA0" w:rsidRDefault="00F56C71" w:rsidP="005A7CE8">
            <w:pPr>
              <w:jc w:val="center"/>
              <w:rPr>
                <w:rFonts w:ascii="Times New Roman" w:eastAsia="Calibri" w:hAnsi="Times New Roman" w:cs="Times New Roman"/>
                <w:b/>
                <w:bCs/>
                <w:sz w:val="20"/>
                <w:szCs w:val="20"/>
              </w:rPr>
            </w:pPr>
            <w:r w:rsidRPr="00711BA0">
              <w:rPr>
                <w:rFonts w:ascii="Times New Roman" w:eastAsia="Calibri" w:hAnsi="Times New Roman" w:cs="Times New Roman"/>
                <w:b/>
                <w:bCs/>
                <w:sz w:val="20"/>
                <w:szCs w:val="20"/>
              </w:rPr>
              <w:t>t-stat</w:t>
            </w:r>
          </w:p>
        </w:tc>
      </w:tr>
      <w:tr w:rsidR="00F56C71" w:rsidRPr="00711BA0" w14:paraId="19CD9615" w14:textId="77777777" w:rsidTr="00C00AF7">
        <w:trPr>
          <w:trHeight w:val="29"/>
        </w:trPr>
        <w:tc>
          <w:tcPr>
            <w:tcW w:w="5000" w:type="pct"/>
            <w:gridSpan w:val="3"/>
            <w:tcBorders>
              <w:top w:val="double" w:sz="4" w:space="0" w:color="auto"/>
              <w:left w:val="double" w:sz="4" w:space="0" w:color="auto"/>
              <w:bottom w:val="single" w:sz="4" w:space="0" w:color="auto"/>
              <w:right w:val="double" w:sz="4" w:space="0" w:color="auto"/>
            </w:tcBorders>
            <w:vAlign w:val="center"/>
          </w:tcPr>
          <w:p w14:paraId="433D17F9" w14:textId="77777777" w:rsidR="00F56C71" w:rsidRPr="00711BA0" w:rsidRDefault="00F56C71" w:rsidP="005A7CE8">
            <w:pPr>
              <w:rPr>
                <w:rFonts w:ascii="Times New Roman" w:eastAsia="Calibri" w:hAnsi="Times New Roman" w:cs="Times New Roman"/>
                <w:b/>
                <w:bCs/>
                <w:i/>
                <w:iCs/>
                <w:sz w:val="20"/>
                <w:szCs w:val="20"/>
              </w:rPr>
            </w:pPr>
            <w:r w:rsidRPr="00711BA0">
              <w:rPr>
                <w:rFonts w:ascii="Times New Roman" w:eastAsia="Calibri" w:hAnsi="Times New Roman" w:cs="Times New Roman"/>
                <w:b/>
                <w:bCs/>
                <w:i/>
                <w:iCs/>
                <w:sz w:val="20"/>
                <w:szCs w:val="20"/>
              </w:rPr>
              <w:t>Non-Integrated Segment level (micro)</w:t>
            </w:r>
          </w:p>
        </w:tc>
      </w:tr>
      <w:tr w:rsidR="00F56C71" w:rsidRPr="00711BA0" w14:paraId="1DFF0846" w14:textId="77777777" w:rsidTr="00C00AF7">
        <w:trPr>
          <w:trHeight w:val="29"/>
        </w:trPr>
        <w:tc>
          <w:tcPr>
            <w:tcW w:w="3536" w:type="pct"/>
            <w:tcBorders>
              <w:top w:val="single" w:sz="4" w:space="0" w:color="auto"/>
              <w:left w:val="double" w:sz="4" w:space="0" w:color="auto"/>
              <w:bottom w:val="single" w:sz="4" w:space="0" w:color="auto"/>
            </w:tcBorders>
            <w:vAlign w:val="center"/>
          </w:tcPr>
          <w:p w14:paraId="7F03694F"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Constant</w:t>
            </w:r>
          </w:p>
        </w:tc>
        <w:tc>
          <w:tcPr>
            <w:tcW w:w="716" w:type="pct"/>
            <w:tcBorders>
              <w:top w:val="single" w:sz="4" w:space="0" w:color="auto"/>
              <w:bottom w:val="single" w:sz="4" w:space="0" w:color="auto"/>
            </w:tcBorders>
            <w:vAlign w:val="center"/>
          </w:tcPr>
          <w:p w14:paraId="40EBF90E"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-0.813</w:t>
            </w:r>
          </w:p>
        </w:tc>
        <w:tc>
          <w:tcPr>
            <w:tcW w:w="748" w:type="pct"/>
            <w:tcBorders>
              <w:top w:val="single" w:sz="4" w:space="0" w:color="auto"/>
              <w:bottom w:val="single" w:sz="4" w:space="0" w:color="auto"/>
              <w:right w:val="double" w:sz="4" w:space="0" w:color="auto"/>
            </w:tcBorders>
            <w:vAlign w:val="center"/>
          </w:tcPr>
          <w:p w14:paraId="37BE6394"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-1.08</w:t>
            </w:r>
          </w:p>
        </w:tc>
      </w:tr>
      <w:tr w:rsidR="00F56C71" w:rsidRPr="00711BA0" w14:paraId="35DF0ED8" w14:textId="77777777" w:rsidTr="00C00AF7">
        <w:trPr>
          <w:trHeight w:val="29"/>
        </w:trPr>
        <w:tc>
          <w:tcPr>
            <w:tcW w:w="3536" w:type="pct"/>
            <w:tcBorders>
              <w:top w:val="single" w:sz="4" w:space="0" w:color="auto"/>
              <w:left w:val="double" w:sz="4" w:space="0" w:color="auto"/>
              <w:bottom w:val="single" w:sz="4" w:space="0" w:color="auto"/>
            </w:tcBorders>
            <w:vAlign w:val="center"/>
          </w:tcPr>
          <w:p w14:paraId="5BED214C"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Segment length</w:t>
            </w:r>
          </w:p>
        </w:tc>
        <w:tc>
          <w:tcPr>
            <w:tcW w:w="716" w:type="pct"/>
            <w:tcBorders>
              <w:top w:val="single" w:sz="4" w:space="0" w:color="auto"/>
              <w:bottom w:val="single" w:sz="4" w:space="0" w:color="auto"/>
            </w:tcBorders>
            <w:vAlign w:val="center"/>
          </w:tcPr>
          <w:p w14:paraId="33233F78"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0.515</w:t>
            </w:r>
          </w:p>
        </w:tc>
        <w:tc>
          <w:tcPr>
            <w:tcW w:w="748" w:type="pct"/>
            <w:tcBorders>
              <w:top w:val="single" w:sz="4" w:space="0" w:color="auto"/>
              <w:bottom w:val="single" w:sz="4" w:space="0" w:color="auto"/>
              <w:right w:val="double" w:sz="4" w:space="0" w:color="auto"/>
            </w:tcBorders>
            <w:vAlign w:val="center"/>
          </w:tcPr>
          <w:p w14:paraId="6A46B6C8"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5.753</w:t>
            </w:r>
          </w:p>
        </w:tc>
      </w:tr>
      <w:tr w:rsidR="00F56C71" w:rsidRPr="00711BA0" w14:paraId="01EE77D4" w14:textId="77777777" w:rsidTr="00C00AF7">
        <w:trPr>
          <w:trHeight w:val="29"/>
        </w:trPr>
        <w:tc>
          <w:tcPr>
            <w:tcW w:w="3536" w:type="pct"/>
            <w:tcBorders>
              <w:top w:val="single" w:sz="4" w:space="0" w:color="auto"/>
              <w:left w:val="double" w:sz="4" w:space="0" w:color="auto"/>
              <w:bottom w:val="single" w:sz="4" w:space="0" w:color="auto"/>
            </w:tcBorders>
            <w:vAlign w:val="center"/>
          </w:tcPr>
          <w:p w14:paraId="4949356E"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No of lanes</w:t>
            </w:r>
          </w:p>
        </w:tc>
        <w:tc>
          <w:tcPr>
            <w:tcW w:w="716" w:type="pct"/>
            <w:tcBorders>
              <w:top w:val="single" w:sz="4" w:space="0" w:color="auto"/>
              <w:bottom w:val="single" w:sz="4" w:space="0" w:color="auto"/>
            </w:tcBorders>
            <w:vAlign w:val="center"/>
          </w:tcPr>
          <w:p w14:paraId="1893A94F"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0.179</w:t>
            </w:r>
          </w:p>
        </w:tc>
        <w:tc>
          <w:tcPr>
            <w:tcW w:w="748" w:type="pct"/>
            <w:tcBorders>
              <w:top w:val="single" w:sz="4" w:space="0" w:color="auto"/>
              <w:bottom w:val="single" w:sz="4" w:space="0" w:color="auto"/>
              <w:right w:val="double" w:sz="4" w:space="0" w:color="auto"/>
            </w:tcBorders>
            <w:vAlign w:val="center"/>
          </w:tcPr>
          <w:p w14:paraId="73D30833"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2.389</w:t>
            </w:r>
          </w:p>
        </w:tc>
      </w:tr>
      <w:tr w:rsidR="00F56C71" w:rsidRPr="00711BA0" w14:paraId="75BC30B6" w14:textId="77777777" w:rsidTr="00C00AF7">
        <w:trPr>
          <w:trHeight w:val="29"/>
        </w:trPr>
        <w:tc>
          <w:tcPr>
            <w:tcW w:w="3536" w:type="pct"/>
            <w:tcBorders>
              <w:top w:val="single" w:sz="4" w:space="0" w:color="auto"/>
              <w:left w:val="double" w:sz="4" w:space="0" w:color="auto"/>
              <w:bottom w:val="single" w:sz="4" w:space="0" w:color="auto"/>
            </w:tcBorders>
            <w:vAlign w:val="center"/>
          </w:tcPr>
          <w:p w14:paraId="3477B7B0"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Average inside shoulder width</w:t>
            </w:r>
          </w:p>
        </w:tc>
        <w:tc>
          <w:tcPr>
            <w:tcW w:w="716" w:type="pct"/>
            <w:tcBorders>
              <w:top w:val="single" w:sz="4" w:space="0" w:color="auto"/>
              <w:bottom w:val="single" w:sz="4" w:space="0" w:color="auto"/>
            </w:tcBorders>
            <w:vAlign w:val="center"/>
          </w:tcPr>
          <w:p w14:paraId="6FCEB334"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0.037</w:t>
            </w:r>
          </w:p>
        </w:tc>
        <w:tc>
          <w:tcPr>
            <w:tcW w:w="748" w:type="pct"/>
            <w:tcBorders>
              <w:top w:val="single" w:sz="4" w:space="0" w:color="auto"/>
              <w:bottom w:val="single" w:sz="4" w:space="0" w:color="auto"/>
              <w:right w:val="double" w:sz="4" w:space="0" w:color="auto"/>
            </w:tcBorders>
            <w:vAlign w:val="center"/>
          </w:tcPr>
          <w:p w14:paraId="67BDC1AE"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2.475</w:t>
            </w:r>
          </w:p>
        </w:tc>
      </w:tr>
      <w:tr w:rsidR="00F56C71" w:rsidRPr="00711BA0" w14:paraId="1FC2AC7F" w14:textId="77777777" w:rsidTr="00C00AF7">
        <w:trPr>
          <w:trHeight w:val="29"/>
        </w:trPr>
        <w:tc>
          <w:tcPr>
            <w:tcW w:w="3536" w:type="pct"/>
            <w:tcBorders>
              <w:top w:val="single" w:sz="4" w:space="0" w:color="auto"/>
              <w:left w:val="double" w:sz="4" w:space="0" w:color="auto"/>
              <w:bottom w:val="single" w:sz="4" w:space="0" w:color="auto"/>
            </w:tcBorders>
            <w:vAlign w:val="center"/>
          </w:tcPr>
          <w:p w14:paraId="4FA5A3A9"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Average sidewalk width</w:t>
            </w:r>
          </w:p>
        </w:tc>
        <w:tc>
          <w:tcPr>
            <w:tcW w:w="716" w:type="pct"/>
            <w:tcBorders>
              <w:top w:val="single" w:sz="4" w:space="0" w:color="auto"/>
              <w:bottom w:val="single" w:sz="4" w:space="0" w:color="auto"/>
            </w:tcBorders>
            <w:vAlign w:val="center"/>
          </w:tcPr>
          <w:p w14:paraId="208479D1"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-0.210</w:t>
            </w:r>
          </w:p>
        </w:tc>
        <w:tc>
          <w:tcPr>
            <w:tcW w:w="748" w:type="pct"/>
            <w:tcBorders>
              <w:top w:val="single" w:sz="4" w:space="0" w:color="auto"/>
              <w:bottom w:val="single" w:sz="4" w:space="0" w:color="auto"/>
              <w:right w:val="double" w:sz="4" w:space="0" w:color="auto"/>
            </w:tcBorders>
            <w:vAlign w:val="center"/>
          </w:tcPr>
          <w:p w14:paraId="1541FE3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-1.808</w:t>
            </w:r>
          </w:p>
        </w:tc>
      </w:tr>
      <w:tr w:rsidR="00F56C71" w:rsidRPr="00711BA0" w14:paraId="44B5BE97" w14:textId="77777777" w:rsidTr="00C00AF7">
        <w:trPr>
          <w:trHeight w:val="29"/>
        </w:trPr>
        <w:tc>
          <w:tcPr>
            <w:tcW w:w="3536" w:type="pct"/>
            <w:tcBorders>
              <w:top w:val="single" w:sz="4" w:space="0" w:color="auto"/>
              <w:left w:val="double" w:sz="4" w:space="0" w:color="auto"/>
              <w:bottom w:val="single" w:sz="4" w:space="0" w:color="auto"/>
            </w:tcBorders>
            <w:vAlign w:val="center"/>
          </w:tcPr>
          <w:p w14:paraId="0A604B2C" w14:textId="6D63DAE4"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No of traffic signal</w:t>
            </w:r>
            <w:r w:rsidR="00590935">
              <w:rPr>
                <w:rFonts w:ascii="Times New Roman" w:eastAsia="Calibri" w:hAnsi="Times New Roman" w:cs="Times New Roman"/>
                <w:color w:val="000000"/>
                <w:sz w:val="20"/>
                <w:szCs w:val="20"/>
              </w:rPr>
              <w:t>s</w:t>
            </w:r>
            <w:r w:rsidRPr="00711BA0">
              <w:rPr>
                <w:rFonts w:ascii="Times New Roman" w:eastAsia="Calibri" w:hAnsi="Times New Roman" w:cs="Times New Roman"/>
                <w:color w:val="000000"/>
                <w:sz w:val="20"/>
                <w:szCs w:val="20"/>
              </w:rPr>
              <w:t xml:space="preserve"> per unit segment length</w:t>
            </w:r>
          </w:p>
        </w:tc>
        <w:tc>
          <w:tcPr>
            <w:tcW w:w="716" w:type="pct"/>
            <w:tcBorders>
              <w:top w:val="single" w:sz="4" w:space="0" w:color="auto"/>
              <w:bottom w:val="single" w:sz="4" w:space="0" w:color="auto"/>
            </w:tcBorders>
            <w:vAlign w:val="center"/>
          </w:tcPr>
          <w:p w14:paraId="2B3091F4"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0.025</w:t>
            </w:r>
          </w:p>
        </w:tc>
        <w:tc>
          <w:tcPr>
            <w:tcW w:w="748" w:type="pct"/>
            <w:tcBorders>
              <w:top w:val="single" w:sz="4" w:space="0" w:color="auto"/>
              <w:bottom w:val="single" w:sz="4" w:space="0" w:color="auto"/>
              <w:right w:val="double" w:sz="4" w:space="0" w:color="auto"/>
            </w:tcBorders>
            <w:vAlign w:val="center"/>
          </w:tcPr>
          <w:p w14:paraId="015C159C"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4.24</w:t>
            </w:r>
          </w:p>
        </w:tc>
      </w:tr>
      <w:tr w:rsidR="00F56C71" w:rsidRPr="00711BA0" w14:paraId="478EC67C" w14:textId="77777777" w:rsidTr="00C00AF7">
        <w:trPr>
          <w:trHeight w:val="29"/>
        </w:trPr>
        <w:tc>
          <w:tcPr>
            <w:tcW w:w="3536" w:type="pct"/>
            <w:tcBorders>
              <w:top w:val="single" w:sz="4" w:space="0" w:color="auto"/>
              <w:left w:val="double" w:sz="4" w:space="0" w:color="auto"/>
              <w:bottom w:val="single" w:sz="4" w:space="0" w:color="auto"/>
            </w:tcBorders>
            <w:vAlign w:val="center"/>
          </w:tcPr>
          <w:p w14:paraId="0B5D7430" w14:textId="77777777" w:rsidR="00F56C71" w:rsidRPr="00711BA0" w:rsidRDefault="00F56C71" w:rsidP="005A7CE8">
            <w:pPr>
              <w:rPr>
                <w:rFonts w:ascii="Times New Roman" w:eastAsia="Calibri" w:hAnsi="Times New Roman" w:cs="Times New Roman"/>
                <w:color w:val="000000"/>
                <w:sz w:val="20"/>
                <w:szCs w:val="20"/>
              </w:rPr>
            </w:pPr>
            <w:r w:rsidRPr="00711BA0">
              <w:rPr>
                <w:rFonts w:ascii="Times New Roman" w:eastAsia="Calibri" w:hAnsi="Times New Roman" w:cs="Times New Roman"/>
                <w:sz w:val="20"/>
                <w:szCs w:val="20"/>
              </w:rPr>
              <w:t>AADT</w:t>
            </w:r>
          </w:p>
        </w:tc>
        <w:tc>
          <w:tcPr>
            <w:tcW w:w="716" w:type="pct"/>
            <w:tcBorders>
              <w:top w:val="single" w:sz="4" w:space="0" w:color="auto"/>
              <w:bottom w:val="single" w:sz="4" w:space="0" w:color="auto"/>
            </w:tcBorders>
            <w:vAlign w:val="center"/>
          </w:tcPr>
          <w:p w14:paraId="1B3EFF66"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0.306</w:t>
            </w:r>
          </w:p>
        </w:tc>
        <w:tc>
          <w:tcPr>
            <w:tcW w:w="748" w:type="pct"/>
            <w:tcBorders>
              <w:top w:val="single" w:sz="4" w:space="0" w:color="auto"/>
              <w:bottom w:val="single" w:sz="4" w:space="0" w:color="auto"/>
              <w:right w:val="double" w:sz="4" w:space="0" w:color="auto"/>
            </w:tcBorders>
            <w:vAlign w:val="center"/>
          </w:tcPr>
          <w:p w14:paraId="5AD8BB1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4.838</w:t>
            </w:r>
          </w:p>
        </w:tc>
      </w:tr>
      <w:tr w:rsidR="00F56C71" w:rsidRPr="00711BA0" w14:paraId="167FB38F" w14:textId="77777777" w:rsidTr="00C00AF7">
        <w:trPr>
          <w:trHeight w:val="29"/>
        </w:trPr>
        <w:tc>
          <w:tcPr>
            <w:tcW w:w="3536" w:type="pct"/>
            <w:tcBorders>
              <w:top w:val="single" w:sz="4" w:space="0" w:color="auto"/>
              <w:left w:val="double" w:sz="4" w:space="0" w:color="auto"/>
              <w:bottom w:val="single" w:sz="4" w:space="0" w:color="auto"/>
            </w:tcBorders>
            <w:vAlign w:val="center"/>
          </w:tcPr>
          <w:p w14:paraId="4B616E6B"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Land-use mix</w:t>
            </w:r>
          </w:p>
        </w:tc>
        <w:tc>
          <w:tcPr>
            <w:tcW w:w="716" w:type="pct"/>
            <w:tcBorders>
              <w:top w:val="single" w:sz="4" w:space="0" w:color="auto"/>
              <w:bottom w:val="single" w:sz="4" w:space="0" w:color="auto"/>
            </w:tcBorders>
            <w:vAlign w:val="center"/>
          </w:tcPr>
          <w:p w14:paraId="73D5E3DF"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-0.818</w:t>
            </w:r>
          </w:p>
        </w:tc>
        <w:tc>
          <w:tcPr>
            <w:tcW w:w="748" w:type="pct"/>
            <w:tcBorders>
              <w:top w:val="single" w:sz="4" w:space="0" w:color="auto"/>
              <w:bottom w:val="single" w:sz="4" w:space="0" w:color="auto"/>
              <w:right w:val="double" w:sz="4" w:space="0" w:color="auto"/>
            </w:tcBorders>
            <w:vAlign w:val="center"/>
          </w:tcPr>
          <w:p w14:paraId="6F93DC84"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-3.191</w:t>
            </w:r>
          </w:p>
        </w:tc>
      </w:tr>
      <w:tr w:rsidR="00F56C71" w:rsidRPr="00711BA0" w14:paraId="0758109C" w14:textId="77777777" w:rsidTr="00C00AF7">
        <w:trPr>
          <w:trHeight w:val="29"/>
        </w:trPr>
        <w:tc>
          <w:tcPr>
            <w:tcW w:w="3536" w:type="pct"/>
            <w:tcBorders>
              <w:top w:val="single" w:sz="4" w:space="0" w:color="auto"/>
              <w:left w:val="double" w:sz="4" w:space="0" w:color="auto"/>
              <w:bottom w:val="single" w:sz="4" w:space="0" w:color="auto"/>
            </w:tcBorders>
            <w:vAlign w:val="center"/>
          </w:tcPr>
          <w:p w14:paraId="3C183550"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Over-dispersion parameter</w:t>
            </w:r>
          </w:p>
        </w:tc>
        <w:tc>
          <w:tcPr>
            <w:tcW w:w="716" w:type="pct"/>
            <w:tcBorders>
              <w:top w:val="single" w:sz="4" w:space="0" w:color="auto"/>
              <w:bottom w:val="single" w:sz="4" w:space="0" w:color="auto"/>
            </w:tcBorders>
            <w:vAlign w:val="center"/>
          </w:tcPr>
          <w:p w14:paraId="07C21907"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2.189</w:t>
            </w:r>
          </w:p>
        </w:tc>
        <w:tc>
          <w:tcPr>
            <w:tcW w:w="748" w:type="pct"/>
            <w:tcBorders>
              <w:top w:val="single" w:sz="4" w:space="0" w:color="auto"/>
              <w:bottom w:val="single" w:sz="4" w:space="0" w:color="auto"/>
              <w:right w:val="double" w:sz="4" w:space="0" w:color="auto"/>
            </w:tcBorders>
            <w:vAlign w:val="center"/>
          </w:tcPr>
          <w:p w14:paraId="3C46E8A7"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11.727</w:t>
            </w:r>
          </w:p>
        </w:tc>
      </w:tr>
      <w:tr w:rsidR="00F56C71" w:rsidRPr="00711BA0" w14:paraId="093461D4" w14:textId="77777777" w:rsidTr="00C00AF7">
        <w:trPr>
          <w:trHeight w:val="29"/>
        </w:trPr>
        <w:tc>
          <w:tcPr>
            <w:tcW w:w="5000" w:type="pct"/>
            <w:gridSpan w:val="3"/>
            <w:tcBorders>
              <w:top w:val="single" w:sz="4" w:space="0" w:color="auto"/>
              <w:left w:val="double" w:sz="4" w:space="0" w:color="auto"/>
              <w:bottom w:val="double" w:sz="4" w:space="0" w:color="auto"/>
              <w:right w:val="double" w:sz="4" w:space="0" w:color="auto"/>
            </w:tcBorders>
            <w:vAlign w:val="center"/>
          </w:tcPr>
          <w:p w14:paraId="5881DE27" w14:textId="77777777" w:rsidR="00F56C71" w:rsidRPr="00711BA0" w:rsidRDefault="00F56C71" w:rsidP="005A7CE8">
            <w:pPr>
              <w:rPr>
                <w:rFonts w:ascii="Times New Roman" w:eastAsia="Calibri" w:hAnsi="Times New Roman" w:cs="Times New Roman"/>
                <w:color w:val="000000"/>
                <w:sz w:val="20"/>
                <w:szCs w:val="20"/>
              </w:rPr>
            </w:pPr>
            <w:r w:rsidRPr="00711BA0">
              <w:rPr>
                <w:rFonts w:ascii="Times New Roman" w:eastAsia="Calibri" w:hAnsi="Times New Roman" w:cs="Times New Roman"/>
                <w:sz w:val="20"/>
                <w:szCs w:val="20"/>
              </w:rPr>
              <w:t>Log-likelihood: -4,238.812; BIC: 8,545.174</w:t>
            </w:r>
          </w:p>
        </w:tc>
      </w:tr>
      <w:tr w:rsidR="00F56C71" w:rsidRPr="00711BA0" w14:paraId="566D501F" w14:textId="77777777" w:rsidTr="00C00AF7">
        <w:trPr>
          <w:trHeight w:val="29"/>
        </w:trPr>
        <w:tc>
          <w:tcPr>
            <w:tcW w:w="5000" w:type="pct"/>
            <w:gridSpan w:val="3"/>
            <w:tcBorders>
              <w:top w:val="double" w:sz="4" w:space="0" w:color="auto"/>
              <w:left w:val="double" w:sz="4" w:space="0" w:color="auto"/>
              <w:bottom w:val="single" w:sz="4" w:space="0" w:color="auto"/>
              <w:right w:val="double" w:sz="4" w:space="0" w:color="auto"/>
            </w:tcBorders>
            <w:vAlign w:val="center"/>
          </w:tcPr>
          <w:p w14:paraId="3999A575" w14:textId="77777777" w:rsidR="00F56C71" w:rsidRPr="00711BA0" w:rsidRDefault="00F56C71" w:rsidP="005A7CE8">
            <w:pPr>
              <w:rPr>
                <w:rFonts w:ascii="Times New Roman" w:eastAsia="Calibri" w:hAnsi="Times New Roman" w:cs="Times New Roman"/>
                <w:b/>
                <w:bCs/>
                <w:i/>
                <w:iCs/>
                <w:sz w:val="20"/>
                <w:szCs w:val="20"/>
              </w:rPr>
            </w:pPr>
            <w:r w:rsidRPr="00711BA0">
              <w:rPr>
                <w:rFonts w:ascii="Times New Roman" w:eastAsia="Calibri" w:hAnsi="Times New Roman" w:cs="Times New Roman"/>
                <w:b/>
                <w:bCs/>
                <w:i/>
                <w:iCs/>
                <w:sz w:val="20"/>
                <w:szCs w:val="20"/>
              </w:rPr>
              <w:t>Non-Integrated Intersection level (micro)</w:t>
            </w:r>
          </w:p>
        </w:tc>
      </w:tr>
      <w:tr w:rsidR="00F56C71" w:rsidRPr="00711BA0" w14:paraId="661994AC" w14:textId="77777777" w:rsidTr="00C00AF7">
        <w:trPr>
          <w:trHeight w:val="29"/>
        </w:trPr>
        <w:tc>
          <w:tcPr>
            <w:tcW w:w="3536" w:type="pct"/>
            <w:tcBorders>
              <w:top w:val="single" w:sz="4" w:space="0" w:color="auto"/>
              <w:left w:val="double" w:sz="4" w:space="0" w:color="auto"/>
              <w:bottom w:val="single" w:sz="4" w:space="0" w:color="auto"/>
            </w:tcBorders>
            <w:vAlign w:val="center"/>
          </w:tcPr>
          <w:p w14:paraId="3AA78E34"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Constant</w:t>
            </w:r>
          </w:p>
        </w:tc>
        <w:tc>
          <w:tcPr>
            <w:tcW w:w="716" w:type="pct"/>
            <w:tcBorders>
              <w:top w:val="single" w:sz="4" w:space="0" w:color="auto"/>
              <w:bottom w:val="single" w:sz="4" w:space="0" w:color="auto"/>
            </w:tcBorders>
            <w:vAlign w:val="center"/>
          </w:tcPr>
          <w:p w14:paraId="49072BAB"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0.922</w:t>
            </w:r>
          </w:p>
        </w:tc>
        <w:tc>
          <w:tcPr>
            <w:tcW w:w="748" w:type="pct"/>
            <w:tcBorders>
              <w:top w:val="single" w:sz="4" w:space="0" w:color="auto"/>
              <w:bottom w:val="single" w:sz="4" w:space="0" w:color="auto"/>
              <w:right w:val="double" w:sz="4" w:space="0" w:color="auto"/>
            </w:tcBorders>
            <w:vAlign w:val="center"/>
          </w:tcPr>
          <w:p w14:paraId="3323239A"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3.964</w:t>
            </w:r>
          </w:p>
        </w:tc>
      </w:tr>
      <w:tr w:rsidR="00F56C71" w:rsidRPr="00711BA0" w14:paraId="11219535" w14:textId="77777777" w:rsidTr="00C00AF7">
        <w:trPr>
          <w:trHeight w:val="29"/>
        </w:trPr>
        <w:tc>
          <w:tcPr>
            <w:tcW w:w="3536" w:type="pct"/>
            <w:tcBorders>
              <w:top w:val="single" w:sz="4" w:space="0" w:color="auto"/>
              <w:left w:val="double" w:sz="4" w:space="0" w:color="auto"/>
              <w:bottom w:val="single" w:sz="4" w:space="0" w:color="auto"/>
            </w:tcBorders>
            <w:vAlign w:val="center"/>
          </w:tcPr>
          <w:p w14:paraId="7E69807E"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Proportion of interstate and expressways</w:t>
            </w:r>
          </w:p>
        </w:tc>
        <w:tc>
          <w:tcPr>
            <w:tcW w:w="716" w:type="pct"/>
            <w:tcBorders>
              <w:top w:val="single" w:sz="4" w:space="0" w:color="auto"/>
              <w:bottom w:val="single" w:sz="4" w:space="0" w:color="auto"/>
            </w:tcBorders>
            <w:vAlign w:val="center"/>
          </w:tcPr>
          <w:p w14:paraId="30736533"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-0.400</w:t>
            </w:r>
          </w:p>
        </w:tc>
        <w:tc>
          <w:tcPr>
            <w:tcW w:w="748" w:type="pct"/>
            <w:tcBorders>
              <w:top w:val="single" w:sz="4" w:space="0" w:color="auto"/>
              <w:bottom w:val="single" w:sz="4" w:space="0" w:color="auto"/>
              <w:right w:val="double" w:sz="4" w:space="0" w:color="auto"/>
            </w:tcBorders>
            <w:vAlign w:val="center"/>
          </w:tcPr>
          <w:p w14:paraId="55FE2014"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-1.725</w:t>
            </w:r>
          </w:p>
        </w:tc>
      </w:tr>
      <w:tr w:rsidR="00F56C71" w:rsidRPr="00711BA0" w14:paraId="02DD8631" w14:textId="77777777" w:rsidTr="00C00AF7">
        <w:trPr>
          <w:trHeight w:val="29"/>
        </w:trPr>
        <w:tc>
          <w:tcPr>
            <w:tcW w:w="3536" w:type="pct"/>
            <w:tcBorders>
              <w:top w:val="single" w:sz="4" w:space="0" w:color="auto"/>
              <w:left w:val="double" w:sz="4" w:space="0" w:color="auto"/>
              <w:bottom w:val="single" w:sz="4" w:space="0" w:color="auto"/>
            </w:tcBorders>
            <w:vAlign w:val="center"/>
          </w:tcPr>
          <w:p w14:paraId="5065C1FC"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Average bike lane length</w:t>
            </w:r>
          </w:p>
        </w:tc>
        <w:tc>
          <w:tcPr>
            <w:tcW w:w="716" w:type="pct"/>
            <w:tcBorders>
              <w:top w:val="single" w:sz="4" w:space="0" w:color="auto"/>
              <w:bottom w:val="single" w:sz="4" w:space="0" w:color="auto"/>
            </w:tcBorders>
            <w:vAlign w:val="center"/>
          </w:tcPr>
          <w:p w14:paraId="6ACFAF12"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-3.263</w:t>
            </w:r>
          </w:p>
        </w:tc>
        <w:tc>
          <w:tcPr>
            <w:tcW w:w="748" w:type="pct"/>
            <w:tcBorders>
              <w:top w:val="single" w:sz="4" w:space="0" w:color="auto"/>
              <w:bottom w:val="single" w:sz="4" w:space="0" w:color="auto"/>
              <w:right w:val="double" w:sz="4" w:space="0" w:color="auto"/>
            </w:tcBorders>
            <w:vAlign w:val="center"/>
          </w:tcPr>
          <w:p w14:paraId="3C7C2D2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-2.362</w:t>
            </w:r>
          </w:p>
        </w:tc>
      </w:tr>
      <w:tr w:rsidR="00F56C71" w:rsidRPr="00711BA0" w14:paraId="0BD14849" w14:textId="77777777" w:rsidTr="00C00AF7">
        <w:trPr>
          <w:trHeight w:val="29"/>
        </w:trPr>
        <w:tc>
          <w:tcPr>
            <w:tcW w:w="3536" w:type="pct"/>
            <w:tcBorders>
              <w:top w:val="single" w:sz="4" w:space="0" w:color="auto"/>
              <w:left w:val="double" w:sz="4" w:space="0" w:color="auto"/>
              <w:bottom w:val="single" w:sz="4" w:space="0" w:color="auto"/>
            </w:tcBorders>
            <w:vAlign w:val="center"/>
          </w:tcPr>
          <w:p w14:paraId="0771C8CA" w14:textId="77777777" w:rsidR="00F56C71" w:rsidRPr="00711BA0" w:rsidRDefault="00F56C71" w:rsidP="005A7CE8">
            <w:pPr>
              <w:rPr>
                <w:rFonts w:ascii="Times New Roman" w:eastAsia="Calibri" w:hAnsi="Times New Roman" w:cs="Times New Roman"/>
                <w:color w:val="000000"/>
                <w:sz w:val="20"/>
                <w:szCs w:val="20"/>
              </w:rPr>
            </w:pPr>
            <w:r w:rsidRPr="00711BA0">
              <w:rPr>
                <w:rFonts w:ascii="Times New Roman" w:eastAsia="Calibri" w:hAnsi="Times New Roman" w:cs="Times New Roman"/>
                <w:sz w:val="20"/>
                <w:szCs w:val="20"/>
              </w:rPr>
              <w:t>AADT</w:t>
            </w:r>
          </w:p>
        </w:tc>
        <w:tc>
          <w:tcPr>
            <w:tcW w:w="716" w:type="pct"/>
            <w:tcBorders>
              <w:top w:val="single" w:sz="4" w:space="0" w:color="auto"/>
              <w:bottom w:val="single" w:sz="4" w:space="0" w:color="auto"/>
            </w:tcBorders>
            <w:vAlign w:val="center"/>
          </w:tcPr>
          <w:p w14:paraId="3330AFB3"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0.030</w:t>
            </w:r>
          </w:p>
        </w:tc>
        <w:tc>
          <w:tcPr>
            <w:tcW w:w="748" w:type="pct"/>
            <w:tcBorders>
              <w:top w:val="single" w:sz="4" w:space="0" w:color="auto"/>
              <w:bottom w:val="single" w:sz="4" w:space="0" w:color="auto"/>
              <w:right w:val="double" w:sz="4" w:space="0" w:color="auto"/>
            </w:tcBorders>
            <w:vAlign w:val="center"/>
          </w:tcPr>
          <w:p w14:paraId="6DD126F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1.992</w:t>
            </w:r>
          </w:p>
        </w:tc>
      </w:tr>
      <w:tr w:rsidR="00F56C71" w:rsidRPr="00711BA0" w14:paraId="11FA2388" w14:textId="77777777" w:rsidTr="00C00AF7">
        <w:trPr>
          <w:trHeight w:val="29"/>
        </w:trPr>
        <w:tc>
          <w:tcPr>
            <w:tcW w:w="3536" w:type="pct"/>
            <w:tcBorders>
              <w:top w:val="single" w:sz="4" w:space="0" w:color="auto"/>
              <w:left w:val="double" w:sz="4" w:space="0" w:color="auto"/>
              <w:bottom w:val="single" w:sz="4" w:space="0" w:color="auto"/>
            </w:tcBorders>
            <w:vAlign w:val="center"/>
          </w:tcPr>
          <w:p w14:paraId="76CED356"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Over-dispersion parameter</w:t>
            </w:r>
          </w:p>
        </w:tc>
        <w:tc>
          <w:tcPr>
            <w:tcW w:w="716" w:type="pct"/>
            <w:tcBorders>
              <w:top w:val="single" w:sz="4" w:space="0" w:color="auto"/>
              <w:bottom w:val="single" w:sz="4" w:space="0" w:color="auto"/>
            </w:tcBorders>
            <w:vAlign w:val="center"/>
          </w:tcPr>
          <w:p w14:paraId="778E7AA2"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3.000</w:t>
            </w:r>
          </w:p>
        </w:tc>
        <w:tc>
          <w:tcPr>
            <w:tcW w:w="748" w:type="pct"/>
            <w:tcBorders>
              <w:top w:val="single" w:sz="4" w:space="0" w:color="auto"/>
              <w:bottom w:val="single" w:sz="4" w:space="0" w:color="auto"/>
              <w:right w:val="double" w:sz="4" w:space="0" w:color="auto"/>
            </w:tcBorders>
            <w:vAlign w:val="center"/>
          </w:tcPr>
          <w:p w14:paraId="30038460" w14:textId="77777777" w:rsidR="00F56C71" w:rsidRPr="00711BA0" w:rsidRDefault="00F56C71" w:rsidP="005A7CE8">
            <w:pPr>
              <w:jc w:val="cente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39.23</w:t>
            </w:r>
          </w:p>
        </w:tc>
      </w:tr>
      <w:tr w:rsidR="00F56C71" w:rsidRPr="00711BA0" w14:paraId="445C1ACD" w14:textId="77777777" w:rsidTr="00C00AF7">
        <w:trPr>
          <w:trHeight w:val="29"/>
        </w:trPr>
        <w:tc>
          <w:tcPr>
            <w:tcW w:w="5000" w:type="pct"/>
            <w:gridSpan w:val="3"/>
            <w:tcBorders>
              <w:top w:val="single" w:sz="4" w:space="0" w:color="auto"/>
              <w:left w:val="double" w:sz="4" w:space="0" w:color="auto"/>
              <w:bottom w:val="double" w:sz="4" w:space="0" w:color="auto"/>
              <w:right w:val="double" w:sz="4" w:space="0" w:color="auto"/>
            </w:tcBorders>
            <w:vAlign w:val="center"/>
          </w:tcPr>
          <w:p w14:paraId="4431C4EA"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Log-likelihood: -11,617.002; BIC: 23,275.698</w:t>
            </w:r>
          </w:p>
        </w:tc>
      </w:tr>
      <w:tr w:rsidR="00F56C71" w:rsidRPr="00711BA0" w14:paraId="02FBA429" w14:textId="77777777" w:rsidTr="00C00AF7">
        <w:trPr>
          <w:trHeight w:val="29"/>
        </w:trPr>
        <w:tc>
          <w:tcPr>
            <w:tcW w:w="5000" w:type="pct"/>
            <w:gridSpan w:val="3"/>
            <w:tcBorders>
              <w:top w:val="double" w:sz="4" w:space="0" w:color="auto"/>
              <w:left w:val="double" w:sz="4" w:space="0" w:color="auto"/>
              <w:bottom w:val="single" w:sz="4" w:space="0" w:color="auto"/>
              <w:right w:val="double" w:sz="4" w:space="0" w:color="auto"/>
            </w:tcBorders>
            <w:vAlign w:val="center"/>
          </w:tcPr>
          <w:p w14:paraId="1C7D037D" w14:textId="77777777" w:rsidR="00F56C71" w:rsidRPr="00711BA0" w:rsidRDefault="00F56C71" w:rsidP="005A7CE8">
            <w:pPr>
              <w:rPr>
                <w:rFonts w:ascii="Times New Roman" w:eastAsia="Calibri" w:hAnsi="Times New Roman" w:cs="Times New Roman"/>
                <w:b/>
                <w:bCs/>
                <w:i/>
                <w:iCs/>
                <w:color w:val="000000"/>
                <w:sz w:val="20"/>
                <w:szCs w:val="20"/>
              </w:rPr>
            </w:pPr>
            <w:r w:rsidRPr="00711BA0">
              <w:rPr>
                <w:rFonts w:ascii="Times New Roman" w:eastAsia="Calibri" w:hAnsi="Times New Roman" w:cs="Times New Roman"/>
                <w:b/>
                <w:bCs/>
                <w:i/>
                <w:iCs/>
                <w:sz w:val="20"/>
                <w:szCs w:val="20"/>
              </w:rPr>
              <w:t xml:space="preserve">Non-Integrated </w:t>
            </w:r>
            <w:r w:rsidRPr="00711BA0">
              <w:rPr>
                <w:rFonts w:ascii="Times New Roman" w:eastAsia="Calibri" w:hAnsi="Times New Roman" w:cs="Times New Roman"/>
                <w:b/>
                <w:bCs/>
                <w:i/>
                <w:iCs/>
                <w:color w:val="000000"/>
                <w:sz w:val="20"/>
                <w:szCs w:val="20"/>
              </w:rPr>
              <w:t>TAZ level (macro)</w:t>
            </w:r>
          </w:p>
        </w:tc>
      </w:tr>
      <w:tr w:rsidR="00F56C71" w:rsidRPr="00711BA0" w14:paraId="31B0EF62" w14:textId="77777777" w:rsidTr="00C00AF7">
        <w:trPr>
          <w:trHeight w:val="29"/>
        </w:trPr>
        <w:tc>
          <w:tcPr>
            <w:tcW w:w="3536" w:type="pct"/>
            <w:tcBorders>
              <w:top w:val="single" w:sz="4" w:space="0" w:color="auto"/>
              <w:left w:val="double" w:sz="4" w:space="0" w:color="auto"/>
              <w:bottom w:val="single" w:sz="4" w:space="0" w:color="auto"/>
            </w:tcBorders>
            <w:vAlign w:val="center"/>
          </w:tcPr>
          <w:p w14:paraId="0AD572E5"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Constant</w:t>
            </w:r>
          </w:p>
        </w:tc>
        <w:tc>
          <w:tcPr>
            <w:tcW w:w="716" w:type="pct"/>
            <w:tcBorders>
              <w:top w:val="single" w:sz="4" w:space="0" w:color="auto"/>
              <w:bottom w:val="single" w:sz="4" w:space="0" w:color="auto"/>
            </w:tcBorders>
            <w:vAlign w:val="center"/>
          </w:tcPr>
          <w:p w14:paraId="39A55EEF"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-6.422</w:t>
            </w:r>
          </w:p>
        </w:tc>
        <w:tc>
          <w:tcPr>
            <w:tcW w:w="748" w:type="pct"/>
            <w:tcBorders>
              <w:top w:val="single" w:sz="4" w:space="0" w:color="auto"/>
              <w:bottom w:val="single" w:sz="4" w:space="0" w:color="auto"/>
              <w:right w:val="double" w:sz="4" w:space="0" w:color="auto"/>
            </w:tcBorders>
            <w:vAlign w:val="center"/>
          </w:tcPr>
          <w:p w14:paraId="1837D9F3"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-9.476</w:t>
            </w:r>
          </w:p>
        </w:tc>
      </w:tr>
      <w:tr w:rsidR="00F56C71" w:rsidRPr="00711BA0" w14:paraId="09D049BD" w14:textId="77777777" w:rsidTr="00C00AF7">
        <w:trPr>
          <w:trHeight w:val="29"/>
        </w:trPr>
        <w:tc>
          <w:tcPr>
            <w:tcW w:w="3536" w:type="pct"/>
            <w:tcBorders>
              <w:top w:val="single" w:sz="4" w:space="0" w:color="auto"/>
              <w:left w:val="double" w:sz="4" w:space="0" w:color="auto"/>
              <w:bottom w:val="single" w:sz="4" w:space="0" w:color="auto"/>
            </w:tcBorders>
            <w:vAlign w:val="center"/>
          </w:tcPr>
          <w:p w14:paraId="6BDC4D9A"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Proportion of interstate and expressways</w:t>
            </w:r>
          </w:p>
        </w:tc>
        <w:tc>
          <w:tcPr>
            <w:tcW w:w="716" w:type="pct"/>
            <w:tcBorders>
              <w:top w:val="single" w:sz="4" w:space="0" w:color="auto"/>
              <w:bottom w:val="single" w:sz="4" w:space="0" w:color="auto"/>
            </w:tcBorders>
            <w:vAlign w:val="center"/>
          </w:tcPr>
          <w:p w14:paraId="7D9A0653"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-0.524</w:t>
            </w:r>
          </w:p>
        </w:tc>
        <w:tc>
          <w:tcPr>
            <w:tcW w:w="748" w:type="pct"/>
            <w:tcBorders>
              <w:top w:val="single" w:sz="4" w:space="0" w:color="auto"/>
              <w:bottom w:val="single" w:sz="4" w:space="0" w:color="auto"/>
              <w:right w:val="double" w:sz="4" w:space="0" w:color="auto"/>
            </w:tcBorders>
            <w:vAlign w:val="center"/>
          </w:tcPr>
          <w:p w14:paraId="18F1A83F"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-2.716</w:t>
            </w:r>
          </w:p>
        </w:tc>
      </w:tr>
      <w:tr w:rsidR="00F56C71" w:rsidRPr="00711BA0" w14:paraId="7D8BBA45" w14:textId="77777777" w:rsidTr="00C00AF7">
        <w:trPr>
          <w:trHeight w:val="29"/>
        </w:trPr>
        <w:tc>
          <w:tcPr>
            <w:tcW w:w="3536" w:type="pct"/>
            <w:tcBorders>
              <w:top w:val="single" w:sz="4" w:space="0" w:color="auto"/>
              <w:left w:val="double" w:sz="4" w:space="0" w:color="auto"/>
              <w:bottom w:val="single" w:sz="4" w:space="0" w:color="auto"/>
            </w:tcBorders>
            <w:vAlign w:val="center"/>
          </w:tcPr>
          <w:p w14:paraId="16A98AC4" w14:textId="7EEA9D32"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Proportion of divided road</w:t>
            </w:r>
          </w:p>
        </w:tc>
        <w:tc>
          <w:tcPr>
            <w:tcW w:w="716" w:type="pct"/>
            <w:tcBorders>
              <w:top w:val="single" w:sz="4" w:space="0" w:color="auto"/>
              <w:bottom w:val="single" w:sz="4" w:space="0" w:color="auto"/>
            </w:tcBorders>
            <w:vAlign w:val="center"/>
          </w:tcPr>
          <w:p w14:paraId="013D300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0.457</w:t>
            </w:r>
          </w:p>
        </w:tc>
        <w:tc>
          <w:tcPr>
            <w:tcW w:w="748" w:type="pct"/>
            <w:tcBorders>
              <w:top w:val="single" w:sz="4" w:space="0" w:color="auto"/>
              <w:bottom w:val="single" w:sz="4" w:space="0" w:color="auto"/>
              <w:right w:val="double" w:sz="4" w:space="0" w:color="auto"/>
            </w:tcBorders>
            <w:vAlign w:val="center"/>
          </w:tcPr>
          <w:p w14:paraId="236890E7"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3.286</w:t>
            </w:r>
          </w:p>
        </w:tc>
      </w:tr>
      <w:tr w:rsidR="00F56C71" w:rsidRPr="00711BA0" w14:paraId="2E622F9A" w14:textId="77777777" w:rsidTr="00C00AF7">
        <w:trPr>
          <w:trHeight w:val="29"/>
        </w:trPr>
        <w:tc>
          <w:tcPr>
            <w:tcW w:w="3536" w:type="pct"/>
            <w:tcBorders>
              <w:top w:val="single" w:sz="4" w:space="0" w:color="auto"/>
              <w:left w:val="double" w:sz="4" w:space="0" w:color="auto"/>
              <w:bottom w:val="single" w:sz="4" w:space="0" w:color="auto"/>
            </w:tcBorders>
            <w:vAlign w:val="center"/>
          </w:tcPr>
          <w:p w14:paraId="7475D1ED"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Average speed limit</w:t>
            </w:r>
          </w:p>
        </w:tc>
        <w:tc>
          <w:tcPr>
            <w:tcW w:w="716" w:type="pct"/>
            <w:tcBorders>
              <w:top w:val="single" w:sz="4" w:space="0" w:color="auto"/>
              <w:bottom w:val="single" w:sz="4" w:space="0" w:color="auto"/>
            </w:tcBorders>
            <w:vAlign w:val="center"/>
          </w:tcPr>
          <w:p w14:paraId="6703660F"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0.026</w:t>
            </w:r>
          </w:p>
        </w:tc>
        <w:tc>
          <w:tcPr>
            <w:tcW w:w="748" w:type="pct"/>
            <w:tcBorders>
              <w:top w:val="single" w:sz="4" w:space="0" w:color="auto"/>
              <w:bottom w:val="single" w:sz="4" w:space="0" w:color="auto"/>
              <w:right w:val="double" w:sz="4" w:space="0" w:color="auto"/>
            </w:tcBorders>
            <w:vAlign w:val="center"/>
          </w:tcPr>
          <w:p w14:paraId="086F3C1F"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2.575</w:t>
            </w:r>
          </w:p>
        </w:tc>
      </w:tr>
      <w:tr w:rsidR="00F56C71" w:rsidRPr="00711BA0" w14:paraId="6A765480" w14:textId="77777777" w:rsidTr="00C00AF7">
        <w:trPr>
          <w:trHeight w:val="29"/>
        </w:trPr>
        <w:tc>
          <w:tcPr>
            <w:tcW w:w="3536" w:type="pct"/>
            <w:tcBorders>
              <w:top w:val="single" w:sz="4" w:space="0" w:color="auto"/>
              <w:left w:val="double" w:sz="4" w:space="0" w:color="auto"/>
              <w:bottom w:val="single" w:sz="4" w:space="0" w:color="auto"/>
            </w:tcBorders>
            <w:vAlign w:val="center"/>
          </w:tcPr>
          <w:p w14:paraId="07C90595"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Average sidewalk width</w:t>
            </w:r>
          </w:p>
        </w:tc>
        <w:tc>
          <w:tcPr>
            <w:tcW w:w="716" w:type="pct"/>
            <w:tcBorders>
              <w:top w:val="single" w:sz="4" w:space="0" w:color="auto"/>
              <w:bottom w:val="single" w:sz="4" w:space="0" w:color="auto"/>
            </w:tcBorders>
            <w:vAlign w:val="center"/>
          </w:tcPr>
          <w:p w14:paraId="45E7E86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0.256</w:t>
            </w:r>
          </w:p>
        </w:tc>
        <w:tc>
          <w:tcPr>
            <w:tcW w:w="748" w:type="pct"/>
            <w:tcBorders>
              <w:top w:val="single" w:sz="4" w:space="0" w:color="auto"/>
              <w:bottom w:val="single" w:sz="4" w:space="0" w:color="auto"/>
              <w:right w:val="double" w:sz="4" w:space="0" w:color="auto"/>
            </w:tcBorders>
            <w:vAlign w:val="center"/>
          </w:tcPr>
          <w:p w14:paraId="6CCC08B1"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1.758</w:t>
            </w:r>
          </w:p>
        </w:tc>
      </w:tr>
      <w:tr w:rsidR="00F56C71" w:rsidRPr="00711BA0" w14:paraId="5E167FF9" w14:textId="77777777" w:rsidTr="00C00AF7">
        <w:trPr>
          <w:trHeight w:val="29"/>
        </w:trPr>
        <w:tc>
          <w:tcPr>
            <w:tcW w:w="3536" w:type="pct"/>
            <w:tcBorders>
              <w:top w:val="single" w:sz="4" w:space="0" w:color="auto"/>
              <w:left w:val="double" w:sz="4" w:space="0" w:color="auto"/>
              <w:bottom w:val="single" w:sz="4" w:space="0" w:color="auto"/>
            </w:tcBorders>
            <w:vAlign w:val="center"/>
          </w:tcPr>
          <w:p w14:paraId="5894A969"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Intersection density</w:t>
            </w:r>
          </w:p>
        </w:tc>
        <w:tc>
          <w:tcPr>
            <w:tcW w:w="716" w:type="pct"/>
            <w:tcBorders>
              <w:top w:val="single" w:sz="4" w:space="0" w:color="auto"/>
              <w:bottom w:val="single" w:sz="4" w:space="0" w:color="auto"/>
            </w:tcBorders>
            <w:vAlign w:val="center"/>
          </w:tcPr>
          <w:p w14:paraId="5A340519"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1.709</w:t>
            </w:r>
          </w:p>
        </w:tc>
        <w:tc>
          <w:tcPr>
            <w:tcW w:w="748" w:type="pct"/>
            <w:tcBorders>
              <w:top w:val="single" w:sz="4" w:space="0" w:color="auto"/>
              <w:bottom w:val="single" w:sz="4" w:space="0" w:color="auto"/>
              <w:right w:val="double" w:sz="4" w:space="0" w:color="auto"/>
            </w:tcBorders>
            <w:vAlign w:val="center"/>
          </w:tcPr>
          <w:p w14:paraId="18B475C3"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3.347</w:t>
            </w:r>
          </w:p>
        </w:tc>
      </w:tr>
      <w:tr w:rsidR="00F56C71" w:rsidRPr="00711BA0" w14:paraId="53B09FB5" w14:textId="77777777" w:rsidTr="00C00AF7">
        <w:trPr>
          <w:trHeight w:val="29"/>
        </w:trPr>
        <w:tc>
          <w:tcPr>
            <w:tcW w:w="3536" w:type="pct"/>
            <w:tcBorders>
              <w:top w:val="single" w:sz="4" w:space="0" w:color="auto"/>
              <w:left w:val="double" w:sz="4" w:space="0" w:color="auto"/>
              <w:bottom w:val="single" w:sz="4" w:space="0" w:color="auto"/>
            </w:tcBorders>
            <w:vAlign w:val="center"/>
          </w:tcPr>
          <w:p w14:paraId="20384DE6"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Traffic signal per intersection</w:t>
            </w:r>
          </w:p>
        </w:tc>
        <w:tc>
          <w:tcPr>
            <w:tcW w:w="716" w:type="pct"/>
            <w:tcBorders>
              <w:top w:val="single" w:sz="4" w:space="0" w:color="auto"/>
              <w:bottom w:val="single" w:sz="4" w:space="0" w:color="auto"/>
            </w:tcBorders>
            <w:vAlign w:val="center"/>
          </w:tcPr>
          <w:p w14:paraId="2B112D40"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0.623</w:t>
            </w:r>
          </w:p>
        </w:tc>
        <w:tc>
          <w:tcPr>
            <w:tcW w:w="748" w:type="pct"/>
            <w:tcBorders>
              <w:top w:val="single" w:sz="4" w:space="0" w:color="auto"/>
              <w:bottom w:val="single" w:sz="4" w:space="0" w:color="auto"/>
              <w:right w:val="double" w:sz="4" w:space="0" w:color="auto"/>
            </w:tcBorders>
            <w:vAlign w:val="center"/>
          </w:tcPr>
          <w:p w14:paraId="4D01A8AC"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2.213</w:t>
            </w:r>
          </w:p>
        </w:tc>
      </w:tr>
      <w:tr w:rsidR="00F56C71" w:rsidRPr="00711BA0" w14:paraId="08E66007" w14:textId="77777777" w:rsidTr="00C00AF7">
        <w:trPr>
          <w:trHeight w:val="29"/>
        </w:trPr>
        <w:tc>
          <w:tcPr>
            <w:tcW w:w="3536" w:type="pct"/>
            <w:tcBorders>
              <w:top w:val="single" w:sz="4" w:space="0" w:color="auto"/>
              <w:left w:val="double" w:sz="4" w:space="0" w:color="auto"/>
              <w:bottom w:val="single" w:sz="4" w:space="0" w:color="auto"/>
            </w:tcBorders>
            <w:vAlign w:val="center"/>
          </w:tcPr>
          <w:p w14:paraId="39EBB8B3" w14:textId="77777777" w:rsidR="00F56C71" w:rsidRPr="00711BA0" w:rsidRDefault="00F56C71" w:rsidP="005A7CE8">
            <w:pPr>
              <w:rPr>
                <w:rFonts w:ascii="Times New Roman" w:eastAsia="Calibri" w:hAnsi="Times New Roman" w:cs="Times New Roman"/>
                <w:color w:val="000000"/>
                <w:sz w:val="20"/>
                <w:szCs w:val="20"/>
              </w:rPr>
            </w:pPr>
            <w:r w:rsidRPr="00711BA0">
              <w:rPr>
                <w:rFonts w:ascii="Times New Roman" w:eastAsia="Calibri" w:hAnsi="Times New Roman" w:cs="Times New Roman"/>
                <w:sz w:val="20"/>
                <w:szCs w:val="20"/>
              </w:rPr>
              <w:t>AADT</w:t>
            </w:r>
          </w:p>
        </w:tc>
        <w:tc>
          <w:tcPr>
            <w:tcW w:w="716" w:type="pct"/>
            <w:tcBorders>
              <w:top w:val="single" w:sz="4" w:space="0" w:color="auto"/>
              <w:bottom w:val="single" w:sz="4" w:space="0" w:color="auto"/>
            </w:tcBorders>
            <w:vAlign w:val="center"/>
          </w:tcPr>
          <w:p w14:paraId="23196B9E"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0.696</w:t>
            </w:r>
          </w:p>
        </w:tc>
        <w:tc>
          <w:tcPr>
            <w:tcW w:w="748" w:type="pct"/>
            <w:tcBorders>
              <w:top w:val="single" w:sz="4" w:space="0" w:color="auto"/>
              <w:bottom w:val="single" w:sz="4" w:space="0" w:color="auto"/>
              <w:right w:val="double" w:sz="4" w:space="0" w:color="auto"/>
            </w:tcBorders>
            <w:vAlign w:val="center"/>
          </w:tcPr>
          <w:p w14:paraId="214255E8"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12.138</w:t>
            </w:r>
          </w:p>
        </w:tc>
      </w:tr>
      <w:tr w:rsidR="00F56C71" w:rsidRPr="00711BA0" w14:paraId="3E4A6DE0" w14:textId="77777777" w:rsidTr="00C00AF7">
        <w:trPr>
          <w:trHeight w:val="29"/>
        </w:trPr>
        <w:tc>
          <w:tcPr>
            <w:tcW w:w="3536" w:type="pct"/>
            <w:tcBorders>
              <w:top w:val="single" w:sz="4" w:space="0" w:color="auto"/>
              <w:left w:val="double" w:sz="4" w:space="0" w:color="auto"/>
              <w:bottom w:val="single" w:sz="4" w:space="0" w:color="auto"/>
            </w:tcBorders>
            <w:vAlign w:val="center"/>
          </w:tcPr>
          <w:p w14:paraId="08FEAF9C" w14:textId="2AD1437C" w:rsidR="00F56C71" w:rsidRPr="00711BA0" w:rsidRDefault="00F56C71" w:rsidP="005A7CE8">
            <w:pP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Proportion of heavy vehicle</w:t>
            </w:r>
          </w:p>
        </w:tc>
        <w:tc>
          <w:tcPr>
            <w:tcW w:w="716" w:type="pct"/>
            <w:tcBorders>
              <w:top w:val="single" w:sz="4" w:space="0" w:color="auto"/>
              <w:bottom w:val="single" w:sz="4" w:space="0" w:color="auto"/>
            </w:tcBorders>
            <w:vAlign w:val="center"/>
          </w:tcPr>
          <w:p w14:paraId="2DA39697"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2.655</w:t>
            </w:r>
          </w:p>
        </w:tc>
        <w:tc>
          <w:tcPr>
            <w:tcW w:w="748" w:type="pct"/>
            <w:tcBorders>
              <w:top w:val="single" w:sz="4" w:space="0" w:color="auto"/>
              <w:bottom w:val="single" w:sz="4" w:space="0" w:color="auto"/>
              <w:right w:val="double" w:sz="4" w:space="0" w:color="auto"/>
            </w:tcBorders>
            <w:vAlign w:val="center"/>
          </w:tcPr>
          <w:p w14:paraId="77D4EB0E"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1.743</w:t>
            </w:r>
          </w:p>
        </w:tc>
      </w:tr>
      <w:tr w:rsidR="00F56C71" w:rsidRPr="00711BA0" w14:paraId="767158D2" w14:textId="77777777" w:rsidTr="00C00AF7">
        <w:trPr>
          <w:trHeight w:val="29"/>
        </w:trPr>
        <w:tc>
          <w:tcPr>
            <w:tcW w:w="3536" w:type="pct"/>
            <w:tcBorders>
              <w:top w:val="single" w:sz="4" w:space="0" w:color="auto"/>
              <w:left w:val="double" w:sz="4" w:space="0" w:color="auto"/>
              <w:bottom w:val="single" w:sz="4" w:space="0" w:color="auto"/>
            </w:tcBorders>
            <w:vAlign w:val="center"/>
          </w:tcPr>
          <w:p w14:paraId="4865F288"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Proportion of residential area</w:t>
            </w:r>
          </w:p>
        </w:tc>
        <w:tc>
          <w:tcPr>
            <w:tcW w:w="716" w:type="pct"/>
            <w:tcBorders>
              <w:top w:val="single" w:sz="4" w:space="0" w:color="auto"/>
              <w:bottom w:val="single" w:sz="4" w:space="0" w:color="auto"/>
            </w:tcBorders>
            <w:vAlign w:val="center"/>
          </w:tcPr>
          <w:p w14:paraId="0A16222D"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0.248</w:t>
            </w:r>
          </w:p>
        </w:tc>
        <w:tc>
          <w:tcPr>
            <w:tcW w:w="748" w:type="pct"/>
            <w:tcBorders>
              <w:top w:val="single" w:sz="4" w:space="0" w:color="auto"/>
              <w:bottom w:val="single" w:sz="4" w:space="0" w:color="auto"/>
              <w:right w:val="double" w:sz="4" w:space="0" w:color="auto"/>
            </w:tcBorders>
            <w:vAlign w:val="center"/>
          </w:tcPr>
          <w:p w14:paraId="0E29D8DD"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1.954</w:t>
            </w:r>
          </w:p>
        </w:tc>
      </w:tr>
      <w:tr w:rsidR="00F56C71" w:rsidRPr="00711BA0" w14:paraId="6BF15ED3" w14:textId="77777777" w:rsidTr="00C00AF7">
        <w:trPr>
          <w:trHeight w:val="29"/>
        </w:trPr>
        <w:tc>
          <w:tcPr>
            <w:tcW w:w="3536" w:type="pct"/>
            <w:tcBorders>
              <w:top w:val="single" w:sz="4" w:space="0" w:color="auto"/>
              <w:left w:val="double" w:sz="4" w:space="0" w:color="auto"/>
              <w:bottom w:val="single" w:sz="4" w:space="0" w:color="auto"/>
            </w:tcBorders>
            <w:vAlign w:val="center"/>
          </w:tcPr>
          <w:p w14:paraId="75695584" w14:textId="3916B0C2"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No of restaurant</w:t>
            </w:r>
            <w:r w:rsidR="00590935">
              <w:rPr>
                <w:rFonts w:ascii="Times New Roman" w:eastAsia="Calibri" w:hAnsi="Times New Roman" w:cs="Times New Roman"/>
                <w:color w:val="000000"/>
                <w:sz w:val="20"/>
                <w:szCs w:val="20"/>
              </w:rPr>
              <w:t>s</w:t>
            </w:r>
          </w:p>
        </w:tc>
        <w:tc>
          <w:tcPr>
            <w:tcW w:w="716" w:type="pct"/>
            <w:tcBorders>
              <w:top w:val="single" w:sz="4" w:space="0" w:color="auto"/>
              <w:bottom w:val="single" w:sz="4" w:space="0" w:color="auto"/>
            </w:tcBorders>
            <w:vAlign w:val="center"/>
          </w:tcPr>
          <w:p w14:paraId="65029213"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0.273</w:t>
            </w:r>
          </w:p>
        </w:tc>
        <w:tc>
          <w:tcPr>
            <w:tcW w:w="748" w:type="pct"/>
            <w:tcBorders>
              <w:top w:val="single" w:sz="4" w:space="0" w:color="auto"/>
              <w:bottom w:val="single" w:sz="4" w:space="0" w:color="auto"/>
              <w:right w:val="double" w:sz="4" w:space="0" w:color="auto"/>
            </w:tcBorders>
            <w:vAlign w:val="center"/>
          </w:tcPr>
          <w:p w14:paraId="2EAADD1D"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5.788</w:t>
            </w:r>
          </w:p>
        </w:tc>
      </w:tr>
      <w:tr w:rsidR="00F56C71" w:rsidRPr="00711BA0" w14:paraId="16038A61" w14:textId="77777777" w:rsidTr="00C00AF7">
        <w:trPr>
          <w:trHeight w:val="29"/>
        </w:trPr>
        <w:tc>
          <w:tcPr>
            <w:tcW w:w="3536" w:type="pct"/>
            <w:tcBorders>
              <w:top w:val="single" w:sz="4" w:space="0" w:color="auto"/>
              <w:left w:val="double" w:sz="4" w:space="0" w:color="auto"/>
              <w:bottom w:val="single" w:sz="4" w:space="0" w:color="auto"/>
            </w:tcBorders>
            <w:vAlign w:val="center"/>
          </w:tcPr>
          <w:p w14:paraId="25CFB4D2" w14:textId="3687CB9C"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No of educational center</w:t>
            </w:r>
            <w:r w:rsidR="00590935">
              <w:rPr>
                <w:rFonts w:ascii="Times New Roman" w:eastAsia="Calibri" w:hAnsi="Times New Roman" w:cs="Times New Roman"/>
                <w:color w:val="000000"/>
                <w:sz w:val="20"/>
                <w:szCs w:val="20"/>
              </w:rPr>
              <w:t>s</w:t>
            </w:r>
          </w:p>
        </w:tc>
        <w:tc>
          <w:tcPr>
            <w:tcW w:w="716" w:type="pct"/>
            <w:tcBorders>
              <w:top w:val="single" w:sz="4" w:space="0" w:color="auto"/>
              <w:bottom w:val="single" w:sz="4" w:space="0" w:color="auto"/>
            </w:tcBorders>
            <w:vAlign w:val="center"/>
          </w:tcPr>
          <w:p w14:paraId="2C58B2FC"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0.123</w:t>
            </w:r>
          </w:p>
        </w:tc>
        <w:tc>
          <w:tcPr>
            <w:tcW w:w="748" w:type="pct"/>
            <w:tcBorders>
              <w:top w:val="single" w:sz="4" w:space="0" w:color="auto"/>
              <w:bottom w:val="single" w:sz="4" w:space="0" w:color="auto"/>
              <w:right w:val="double" w:sz="4" w:space="0" w:color="auto"/>
            </w:tcBorders>
            <w:vAlign w:val="center"/>
          </w:tcPr>
          <w:p w14:paraId="61D72717"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3.301</w:t>
            </w:r>
          </w:p>
        </w:tc>
      </w:tr>
      <w:tr w:rsidR="00F56C71" w:rsidRPr="00711BA0" w14:paraId="4E351AFB" w14:textId="77777777" w:rsidTr="00C00AF7">
        <w:trPr>
          <w:trHeight w:val="29"/>
        </w:trPr>
        <w:tc>
          <w:tcPr>
            <w:tcW w:w="3536" w:type="pct"/>
            <w:tcBorders>
              <w:top w:val="single" w:sz="4" w:space="0" w:color="auto"/>
              <w:left w:val="double" w:sz="4" w:space="0" w:color="auto"/>
              <w:bottom w:val="single" w:sz="4" w:space="0" w:color="auto"/>
            </w:tcBorders>
            <w:vAlign w:val="center"/>
          </w:tcPr>
          <w:p w14:paraId="20E069BB"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Non-motorized means of transport</w:t>
            </w:r>
          </w:p>
        </w:tc>
        <w:tc>
          <w:tcPr>
            <w:tcW w:w="716" w:type="pct"/>
            <w:tcBorders>
              <w:top w:val="single" w:sz="4" w:space="0" w:color="auto"/>
              <w:bottom w:val="single" w:sz="4" w:space="0" w:color="auto"/>
            </w:tcBorders>
            <w:vAlign w:val="center"/>
          </w:tcPr>
          <w:p w14:paraId="5C44F124"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0.085</w:t>
            </w:r>
          </w:p>
        </w:tc>
        <w:tc>
          <w:tcPr>
            <w:tcW w:w="748" w:type="pct"/>
            <w:tcBorders>
              <w:top w:val="single" w:sz="4" w:space="0" w:color="auto"/>
              <w:bottom w:val="single" w:sz="4" w:space="0" w:color="auto"/>
              <w:right w:val="double" w:sz="4" w:space="0" w:color="auto"/>
            </w:tcBorders>
            <w:vAlign w:val="center"/>
          </w:tcPr>
          <w:p w14:paraId="5BE3D37C"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2.758</w:t>
            </w:r>
          </w:p>
        </w:tc>
      </w:tr>
      <w:tr w:rsidR="00F56C71" w:rsidRPr="00711BA0" w14:paraId="0E12B71E" w14:textId="77777777" w:rsidTr="00C00AF7">
        <w:trPr>
          <w:trHeight w:val="29"/>
        </w:trPr>
        <w:tc>
          <w:tcPr>
            <w:tcW w:w="3536" w:type="pct"/>
            <w:tcBorders>
              <w:top w:val="single" w:sz="4" w:space="0" w:color="auto"/>
              <w:left w:val="double" w:sz="4" w:space="0" w:color="auto"/>
              <w:bottom w:val="single" w:sz="4" w:space="0" w:color="auto"/>
            </w:tcBorders>
            <w:vAlign w:val="center"/>
          </w:tcPr>
          <w:p w14:paraId="6658EE57"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color w:val="000000"/>
                <w:sz w:val="20"/>
                <w:szCs w:val="20"/>
              </w:rPr>
              <w:t>Proportion of African American population</w:t>
            </w:r>
          </w:p>
        </w:tc>
        <w:tc>
          <w:tcPr>
            <w:tcW w:w="716" w:type="pct"/>
            <w:tcBorders>
              <w:top w:val="single" w:sz="4" w:space="0" w:color="auto"/>
              <w:bottom w:val="single" w:sz="4" w:space="0" w:color="auto"/>
            </w:tcBorders>
            <w:vAlign w:val="center"/>
          </w:tcPr>
          <w:p w14:paraId="7CBC73A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0.447</w:t>
            </w:r>
          </w:p>
        </w:tc>
        <w:tc>
          <w:tcPr>
            <w:tcW w:w="748" w:type="pct"/>
            <w:tcBorders>
              <w:top w:val="single" w:sz="4" w:space="0" w:color="auto"/>
              <w:bottom w:val="single" w:sz="4" w:space="0" w:color="auto"/>
              <w:right w:val="double" w:sz="4" w:space="0" w:color="auto"/>
            </w:tcBorders>
            <w:vAlign w:val="center"/>
          </w:tcPr>
          <w:p w14:paraId="64AE4ED2"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3.498</w:t>
            </w:r>
          </w:p>
        </w:tc>
      </w:tr>
      <w:tr w:rsidR="00F56C71" w:rsidRPr="00711BA0" w14:paraId="797FFA4E" w14:textId="77777777" w:rsidTr="00C00AF7">
        <w:trPr>
          <w:trHeight w:val="29"/>
        </w:trPr>
        <w:tc>
          <w:tcPr>
            <w:tcW w:w="3536" w:type="pct"/>
            <w:tcBorders>
              <w:top w:val="single" w:sz="4" w:space="0" w:color="auto"/>
              <w:left w:val="double" w:sz="4" w:space="0" w:color="auto"/>
              <w:bottom w:val="single" w:sz="4" w:space="0" w:color="auto"/>
            </w:tcBorders>
            <w:vAlign w:val="center"/>
          </w:tcPr>
          <w:p w14:paraId="7F07B1CB"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Over-dispersion parameter</w:t>
            </w:r>
          </w:p>
        </w:tc>
        <w:tc>
          <w:tcPr>
            <w:tcW w:w="716" w:type="pct"/>
            <w:tcBorders>
              <w:top w:val="single" w:sz="4" w:space="0" w:color="auto"/>
              <w:bottom w:val="single" w:sz="4" w:space="0" w:color="auto"/>
            </w:tcBorders>
            <w:vAlign w:val="center"/>
          </w:tcPr>
          <w:p w14:paraId="653CA5EA"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3.019</w:t>
            </w:r>
          </w:p>
        </w:tc>
        <w:tc>
          <w:tcPr>
            <w:tcW w:w="748" w:type="pct"/>
            <w:tcBorders>
              <w:top w:val="single" w:sz="4" w:space="0" w:color="auto"/>
              <w:bottom w:val="single" w:sz="4" w:space="0" w:color="auto"/>
              <w:right w:val="double" w:sz="4" w:space="0" w:color="auto"/>
            </w:tcBorders>
            <w:vAlign w:val="center"/>
          </w:tcPr>
          <w:p w14:paraId="62B5F4DF" w14:textId="77777777" w:rsidR="00F56C71" w:rsidRPr="00711BA0" w:rsidRDefault="00F56C71" w:rsidP="005A7CE8">
            <w:pPr>
              <w:jc w:val="center"/>
              <w:rPr>
                <w:rFonts w:ascii="Times New Roman" w:eastAsia="Calibri" w:hAnsi="Times New Roman" w:cs="Times New Roman"/>
                <w:color w:val="000000"/>
                <w:sz w:val="20"/>
                <w:szCs w:val="20"/>
              </w:rPr>
            </w:pPr>
            <w:r w:rsidRPr="00711BA0">
              <w:rPr>
                <w:rFonts w:ascii="Times New Roman" w:eastAsia="Calibri" w:hAnsi="Times New Roman" w:cs="Times New Roman"/>
                <w:color w:val="000000"/>
                <w:sz w:val="20"/>
                <w:szCs w:val="20"/>
              </w:rPr>
              <w:t>15.261</w:t>
            </w:r>
          </w:p>
        </w:tc>
      </w:tr>
      <w:tr w:rsidR="00F56C71" w:rsidRPr="00711BA0" w14:paraId="04E7B2A4" w14:textId="77777777" w:rsidTr="00C00AF7">
        <w:trPr>
          <w:trHeight w:val="29"/>
        </w:trPr>
        <w:tc>
          <w:tcPr>
            <w:tcW w:w="5000" w:type="pct"/>
            <w:gridSpan w:val="3"/>
            <w:tcBorders>
              <w:top w:val="single" w:sz="4" w:space="0" w:color="auto"/>
              <w:left w:val="double" w:sz="4" w:space="0" w:color="auto"/>
              <w:bottom w:val="double" w:sz="4" w:space="0" w:color="auto"/>
              <w:right w:val="double" w:sz="4" w:space="0" w:color="auto"/>
            </w:tcBorders>
            <w:vAlign w:val="center"/>
          </w:tcPr>
          <w:p w14:paraId="3DB286BC" w14:textId="77777777" w:rsidR="00F56C71" w:rsidRPr="00C00AF7"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Log-likelihood: -1,460.505; BIC: 3,006.567</w:t>
            </w:r>
          </w:p>
        </w:tc>
      </w:tr>
      <w:tr w:rsidR="00F56C71" w:rsidRPr="00711BA0" w14:paraId="375B8D8B" w14:textId="77777777" w:rsidTr="00C00AF7">
        <w:trPr>
          <w:trHeight w:val="29"/>
        </w:trPr>
        <w:tc>
          <w:tcPr>
            <w:tcW w:w="5000" w:type="pct"/>
            <w:gridSpan w:val="3"/>
            <w:tcBorders>
              <w:top w:val="double" w:sz="4" w:space="0" w:color="auto"/>
              <w:left w:val="double" w:sz="4" w:space="0" w:color="auto"/>
              <w:bottom w:val="double" w:sz="4" w:space="0" w:color="auto"/>
              <w:right w:val="double" w:sz="4" w:space="0" w:color="auto"/>
            </w:tcBorders>
            <w:vAlign w:val="center"/>
          </w:tcPr>
          <w:p w14:paraId="47BCF6F9" w14:textId="77777777" w:rsidR="00F56C71" w:rsidRPr="00711BA0" w:rsidRDefault="00F56C71" w:rsidP="005A7CE8">
            <w:pPr>
              <w:rPr>
                <w:rFonts w:ascii="Times New Roman" w:eastAsia="Calibri" w:hAnsi="Times New Roman" w:cs="Times New Roman"/>
                <w:sz w:val="20"/>
                <w:szCs w:val="20"/>
              </w:rPr>
            </w:pPr>
            <w:r w:rsidRPr="00711BA0">
              <w:rPr>
                <w:rFonts w:ascii="Times New Roman" w:eastAsia="Calibri" w:hAnsi="Times New Roman" w:cs="Times New Roman"/>
                <w:sz w:val="20"/>
                <w:szCs w:val="20"/>
              </w:rPr>
              <w:t>Non-integrated (combining micro and macro) models: Log-likelihood: -17,316.319; BIC: 34,798.048</w:t>
            </w:r>
          </w:p>
        </w:tc>
      </w:tr>
    </w:tbl>
    <w:p w14:paraId="4E51D43A" w14:textId="77777777" w:rsidR="00F56C71" w:rsidRPr="00711BA0" w:rsidRDefault="00F56C71" w:rsidP="00F56C71">
      <w:pPr>
        <w:rPr>
          <w:rFonts w:ascii="Cambria" w:eastAsia="Calibri" w:hAnsi="Cambria" w:cs="Cambria"/>
          <w:szCs w:val="24"/>
        </w:rPr>
      </w:pPr>
    </w:p>
    <w:p w14:paraId="3447A0E5" w14:textId="77777777" w:rsidR="00F56C71" w:rsidRDefault="00F56C71" w:rsidP="00F56C71">
      <w:pPr>
        <w:rPr>
          <w:rFonts w:cs="Times New Roman"/>
          <w:sz w:val="20"/>
          <w:szCs w:val="20"/>
        </w:rPr>
      </w:pPr>
    </w:p>
    <w:p w14:paraId="3AF43347" w14:textId="77777777" w:rsidR="00F56C71" w:rsidRDefault="00F56C71" w:rsidP="00F56C71">
      <w:pPr>
        <w:rPr>
          <w:rFonts w:cs="Times New Roman"/>
          <w:sz w:val="20"/>
          <w:szCs w:val="20"/>
        </w:rPr>
      </w:pPr>
    </w:p>
    <w:p w14:paraId="45600C93" w14:textId="77777777" w:rsidR="00F56C71" w:rsidRDefault="00F56C71" w:rsidP="00F56C71">
      <w:pPr>
        <w:rPr>
          <w:rFonts w:cs="Times New Roman"/>
          <w:sz w:val="20"/>
          <w:szCs w:val="20"/>
        </w:rPr>
      </w:pPr>
    </w:p>
    <w:p w14:paraId="10CF3ED1" w14:textId="77777777" w:rsidR="00F56C71" w:rsidRDefault="00F56C71" w:rsidP="00F56C71">
      <w:pPr>
        <w:rPr>
          <w:rFonts w:cs="Times New Roman"/>
          <w:sz w:val="20"/>
          <w:szCs w:val="20"/>
        </w:rPr>
      </w:pPr>
    </w:p>
    <w:p w14:paraId="79A9A27A" w14:textId="77777777" w:rsidR="00F56C71" w:rsidRDefault="00F56C71" w:rsidP="00F56C71">
      <w:pPr>
        <w:rPr>
          <w:rFonts w:cs="Times New Roman"/>
          <w:sz w:val="20"/>
          <w:szCs w:val="20"/>
        </w:rPr>
      </w:pPr>
    </w:p>
    <w:p w14:paraId="7BCB1841" w14:textId="77777777" w:rsidR="00F56C71" w:rsidRPr="00F824F1" w:rsidRDefault="00F56C71" w:rsidP="00F56C71">
      <w:pPr>
        <w:rPr>
          <w:rFonts w:cs="Times New Roman"/>
          <w:sz w:val="20"/>
          <w:szCs w:val="20"/>
        </w:rPr>
      </w:pPr>
    </w:p>
    <w:p w14:paraId="7126AD09" w14:textId="77777777" w:rsidR="00E67E06" w:rsidRDefault="00E67E06" w:rsidP="005E0487">
      <w:pPr>
        <w:rPr>
          <w:rFonts w:asciiTheme="majorHAnsi" w:hAnsiTheme="majorHAnsi" w:cstheme="majorHAnsi"/>
          <w:szCs w:val="24"/>
          <w:lang w:val="en-GB" w:eastAsia="en-GB"/>
        </w:rPr>
      </w:pPr>
    </w:p>
    <w:p w14:paraId="6D922555" w14:textId="77777777" w:rsidR="00242782" w:rsidRPr="00242782" w:rsidRDefault="00242782" w:rsidP="00242782">
      <w:pPr>
        <w:rPr>
          <w:lang w:val="en-GB"/>
        </w:rPr>
      </w:pPr>
    </w:p>
    <w:sectPr w:rsidR="00242782" w:rsidRPr="00242782" w:rsidSect="005E0487">
      <w:footerReference w:type="default" r:id="rId13"/>
      <w:type w:val="continuous"/>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01B2D" w14:textId="77777777" w:rsidR="00C07222" w:rsidRDefault="00C07222" w:rsidP="00A13DAE">
      <w:r>
        <w:separator/>
      </w:r>
    </w:p>
  </w:endnote>
  <w:endnote w:type="continuationSeparator" w:id="0">
    <w:p w14:paraId="178EB0A1" w14:textId="77777777" w:rsidR="00C07222" w:rsidRDefault="00C07222"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SIL">
    <w:altName w:val="Yu Gothic"/>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918413"/>
      <w:docPartObj>
        <w:docPartGallery w:val="Page Numbers (Bottom of Page)"/>
        <w:docPartUnique/>
      </w:docPartObj>
    </w:sdtPr>
    <w:sdtEndPr>
      <w:rPr>
        <w:noProof/>
      </w:rPr>
    </w:sdtEndPr>
    <w:sdtContent>
      <w:p w14:paraId="5B513FC1" w14:textId="609AF441" w:rsidR="001A575E" w:rsidRDefault="001A57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9A852" w14:textId="77777777" w:rsidR="001A575E" w:rsidRDefault="001A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185AB" w14:textId="77777777" w:rsidR="00C07222" w:rsidRDefault="00C07222" w:rsidP="00A13DAE">
      <w:r>
        <w:separator/>
      </w:r>
    </w:p>
  </w:footnote>
  <w:footnote w:type="continuationSeparator" w:id="0">
    <w:p w14:paraId="5668ECD4" w14:textId="77777777" w:rsidR="00C07222" w:rsidRDefault="00C07222" w:rsidP="00A13DAE">
      <w:r>
        <w:continuationSeparator/>
      </w:r>
    </w:p>
  </w:footnote>
  <w:footnote w:id="1">
    <w:p w14:paraId="667EC389" w14:textId="4CA89E44" w:rsidR="0065131C" w:rsidRPr="005E68D0" w:rsidRDefault="0065131C">
      <w:pPr>
        <w:pStyle w:val="FootnoteText"/>
        <w:rPr>
          <w:lang w:val="en-US"/>
        </w:rPr>
      </w:pPr>
      <w:r w:rsidRPr="005E68D0">
        <w:rPr>
          <w:rStyle w:val="FootnoteReference"/>
        </w:rPr>
        <w:footnoteRef/>
      </w:r>
      <w:r w:rsidRPr="005E68D0">
        <w:t xml:space="preserve"> </w:t>
      </w:r>
      <w:r w:rsidR="002432FE" w:rsidRPr="005E68D0">
        <w:rPr>
          <w:lang w:val="en-US"/>
        </w:rPr>
        <w:t xml:space="preserve"> The reader would note that an exhaustive estimation process was implemented to test for parameter stability across 2018 and 2019. In this estimation process, information for traffic, land-use and sociodemographic factors were considered separately for each year. However, the information o</w:t>
      </w:r>
      <w:r w:rsidR="002B23FE" w:rsidRPr="005E68D0">
        <w:rPr>
          <w:lang w:val="en-US"/>
        </w:rPr>
        <w:t>n</w:t>
      </w:r>
      <w:r w:rsidR="002432FE" w:rsidRPr="005E68D0">
        <w:rPr>
          <w:lang w:val="en-US"/>
        </w:rPr>
        <w:t xml:space="preserve"> the roadway and built environment factors were considered from 2019 data only as this information was not available for 2018. The estimation steps considered included: (1) estimating two separate model systems for 2018 and 2019 and comparing their performance relative to the performance of the pooled model system (combining 2018 and 2019), (2) considering for the influence of unobserved heterogeneity specific to the year indicator variable in the pooled dataset and (3) various systematic interactions of the independent variables with the year indicator variable. The results from these efforts indicated that temporal instability was not detected for our dataset. While this was a surprising finding, it is possible that the time frame of 2 years might is too small to affect parameter stability in our context. The documentation of the temporal parameter stability is summarized in the Supplemental Documentation (Table S1). It would be interesting to explore the temporal stability finding using data from additional years as a specific direction of future research. Given this finding, for ease of model estimation, the models were considered as a single observation for each spatial unit across the two years for our analysis (while considering a year offset variable of 2).</w:t>
      </w:r>
    </w:p>
    <w:p w14:paraId="27E383A2" w14:textId="77777777" w:rsidR="002432FE" w:rsidRPr="0000495F" w:rsidRDefault="002432FE">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87B23"/>
    <w:multiLevelType w:val="hybridMultilevel"/>
    <w:tmpl w:val="7C9839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C324BB"/>
    <w:multiLevelType w:val="hybridMultilevel"/>
    <w:tmpl w:val="80C6C232"/>
    <w:lvl w:ilvl="0" w:tplc="ACF0F4FE">
      <w:start w:val="1"/>
      <w:numFmt w:val="decimal"/>
      <w:lvlText w:val="(%1)"/>
      <w:lvlJc w:val="right"/>
      <w:pPr>
        <w:ind w:left="1260" w:hanging="360"/>
      </w:pPr>
      <w:rPr>
        <w:rFonts w:ascii="Times New Roman" w:hAnsi="Times New Roman" w:cs="Times New Roman" w:hint="default"/>
        <w:b w:val="0"/>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9C7311"/>
    <w:multiLevelType w:val="multilevel"/>
    <w:tmpl w:val="5262DED8"/>
    <w:lvl w:ilvl="0">
      <w:start w:val="1"/>
      <w:numFmt w:val="decimal"/>
      <w:pStyle w:val="Heading1"/>
      <w:lvlText w:val="%1"/>
      <w:lvlJc w:val="left"/>
      <w:pPr>
        <w:ind w:left="1422" w:hanging="432"/>
      </w:pPr>
      <w:rPr>
        <w:rFonts w:hint="default"/>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C291413"/>
    <w:multiLevelType w:val="hybridMultilevel"/>
    <w:tmpl w:val="C804CAE8"/>
    <w:lvl w:ilvl="0" w:tplc="BB0EB802">
      <w:start w:val="1"/>
      <w:numFmt w:val="decimal"/>
      <w:lvlText w:val="(%1)"/>
      <w:lvlJc w:val="right"/>
      <w:pPr>
        <w:ind w:left="126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1276401">
    <w:abstractNumId w:val="2"/>
  </w:num>
  <w:num w:numId="2" w16cid:durableId="1210995268">
    <w:abstractNumId w:val="1"/>
  </w:num>
  <w:num w:numId="3" w16cid:durableId="105738037">
    <w:abstractNumId w:val="3"/>
  </w:num>
  <w:num w:numId="4" w16cid:durableId="549616513">
    <w:abstractNumId w:val="2"/>
  </w:num>
  <w:num w:numId="5" w16cid:durableId="99853744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s-MX"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es-MX"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3MDExNTIwtzC1NDBW0lEKTi0uzszPAykwNDeoBQCoNhNcLgAAAA=="/>
  </w:docVars>
  <w:rsids>
    <w:rsidRoot w:val="00356193"/>
    <w:rsid w:val="0000009B"/>
    <w:rsid w:val="000005CC"/>
    <w:rsid w:val="0000104A"/>
    <w:rsid w:val="0000123E"/>
    <w:rsid w:val="000013B6"/>
    <w:rsid w:val="000021B0"/>
    <w:rsid w:val="00002298"/>
    <w:rsid w:val="000023E5"/>
    <w:rsid w:val="00002743"/>
    <w:rsid w:val="000028A9"/>
    <w:rsid w:val="00003224"/>
    <w:rsid w:val="0000341A"/>
    <w:rsid w:val="000034BE"/>
    <w:rsid w:val="00003D3C"/>
    <w:rsid w:val="00003F35"/>
    <w:rsid w:val="00004063"/>
    <w:rsid w:val="000047C1"/>
    <w:rsid w:val="0000495F"/>
    <w:rsid w:val="00004F85"/>
    <w:rsid w:val="000051C1"/>
    <w:rsid w:val="0000523E"/>
    <w:rsid w:val="000053D8"/>
    <w:rsid w:val="000053F6"/>
    <w:rsid w:val="00005416"/>
    <w:rsid w:val="0000575A"/>
    <w:rsid w:val="00006393"/>
    <w:rsid w:val="00006617"/>
    <w:rsid w:val="00006735"/>
    <w:rsid w:val="00006BFA"/>
    <w:rsid w:val="0000714B"/>
    <w:rsid w:val="000076FD"/>
    <w:rsid w:val="000078D8"/>
    <w:rsid w:val="00007C84"/>
    <w:rsid w:val="000100DC"/>
    <w:rsid w:val="000109D3"/>
    <w:rsid w:val="00010EAF"/>
    <w:rsid w:val="00011961"/>
    <w:rsid w:val="00011CD8"/>
    <w:rsid w:val="0001207D"/>
    <w:rsid w:val="000121ED"/>
    <w:rsid w:val="00012D6C"/>
    <w:rsid w:val="0001348B"/>
    <w:rsid w:val="00013A17"/>
    <w:rsid w:val="00013A7F"/>
    <w:rsid w:val="000144E1"/>
    <w:rsid w:val="00014617"/>
    <w:rsid w:val="00014779"/>
    <w:rsid w:val="000147A2"/>
    <w:rsid w:val="0001483D"/>
    <w:rsid w:val="000148D0"/>
    <w:rsid w:val="00015586"/>
    <w:rsid w:val="00015C4E"/>
    <w:rsid w:val="00015DBB"/>
    <w:rsid w:val="000163B8"/>
    <w:rsid w:val="00016D79"/>
    <w:rsid w:val="00016E98"/>
    <w:rsid w:val="00017435"/>
    <w:rsid w:val="0001744B"/>
    <w:rsid w:val="00017D66"/>
    <w:rsid w:val="00017E82"/>
    <w:rsid w:val="00020600"/>
    <w:rsid w:val="00020B7D"/>
    <w:rsid w:val="000215DA"/>
    <w:rsid w:val="000221FB"/>
    <w:rsid w:val="000229E2"/>
    <w:rsid w:val="00022FEC"/>
    <w:rsid w:val="00023075"/>
    <w:rsid w:val="000239CB"/>
    <w:rsid w:val="00023B99"/>
    <w:rsid w:val="00023C77"/>
    <w:rsid w:val="00023E19"/>
    <w:rsid w:val="00023E9E"/>
    <w:rsid w:val="00024229"/>
    <w:rsid w:val="000243A3"/>
    <w:rsid w:val="0002492E"/>
    <w:rsid w:val="00025235"/>
    <w:rsid w:val="00025C96"/>
    <w:rsid w:val="00025F32"/>
    <w:rsid w:val="00025F6E"/>
    <w:rsid w:val="000260E1"/>
    <w:rsid w:val="000263D5"/>
    <w:rsid w:val="00026698"/>
    <w:rsid w:val="0002705F"/>
    <w:rsid w:val="00030016"/>
    <w:rsid w:val="00030246"/>
    <w:rsid w:val="0003099A"/>
    <w:rsid w:val="00030C44"/>
    <w:rsid w:val="00031071"/>
    <w:rsid w:val="0003133A"/>
    <w:rsid w:val="00031AA2"/>
    <w:rsid w:val="00032484"/>
    <w:rsid w:val="00032487"/>
    <w:rsid w:val="000324C7"/>
    <w:rsid w:val="000329E3"/>
    <w:rsid w:val="00032A91"/>
    <w:rsid w:val="00032CFF"/>
    <w:rsid w:val="00033069"/>
    <w:rsid w:val="00033A0F"/>
    <w:rsid w:val="000342E7"/>
    <w:rsid w:val="000343C0"/>
    <w:rsid w:val="00034B29"/>
    <w:rsid w:val="00034C15"/>
    <w:rsid w:val="000354A1"/>
    <w:rsid w:val="00035E5D"/>
    <w:rsid w:val="00036345"/>
    <w:rsid w:val="000365F6"/>
    <w:rsid w:val="000368BC"/>
    <w:rsid w:val="00037171"/>
    <w:rsid w:val="000374D3"/>
    <w:rsid w:val="000375BF"/>
    <w:rsid w:val="00037A5E"/>
    <w:rsid w:val="00040433"/>
    <w:rsid w:val="000408FD"/>
    <w:rsid w:val="00040F97"/>
    <w:rsid w:val="000412B2"/>
    <w:rsid w:val="00041C26"/>
    <w:rsid w:val="000420B7"/>
    <w:rsid w:val="00042191"/>
    <w:rsid w:val="000423B7"/>
    <w:rsid w:val="0004293B"/>
    <w:rsid w:val="00042C87"/>
    <w:rsid w:val="00042CFF"/>
    <w:rsid w:val="00042FC1"/>
    <w:rsid w:val="000432D5"/>
    <w:rsid w:val="000434E1"/>
    <w:rsid w:val="000436D5"/>
    <w:rsid w:val="00043A51"/>
    <w:rsid w:val="00043C75"/>
    <w:rsid w:val="00043F9A"/>
    <w:rsid w:val="0004478E"/>
    <w:rsid w:val="00044D54"/>
    <w:rsid w:val="00045120"/>
    <w:rsid w:val="0004517E"/>
    <w:rsid w:val="00045318"/>
    <w:rsid w:val="0004561C"/>
    <w:rsid w:val="0004566C"/>
    <w:rsid w:val="000460A1"/>
    <w:rsid w:val="000461A1"/>
    <w:rsid w:val="00046502"/>
    <w:rsid w:val="0004670B"/>
    <w:rsid w:val="00046957"/>
    <w:rsid w:val="00047280"/>
    <w:rsid w:val="000474D7"/>
    <w:rsid w:val="000479DB"/>
    <w:rsid w:val="00047A6D"/>
    <w:rsid w:val="00047ABB"/>
    <w:rsid w:val="00047B60"/>
    <w:rsid w:val="0005047C"/>
    <w:rsid w:val="000514AE"/>
    <w:rsid w:val="00051503"/>
    <w:rsid w:val="00051540"/>
    <w:rsid w:val="00051761"/>
    <w:rsid w:val="00051768"/>
    <w:rsid w:val="00051769"/>
    <w:rsid w:val="00051D65"/>
    <w:rsid w:val="00051F53"/>
    <w:rsid w:val="00052031"/>
    <w:rsid w:val="000520D2"/>
    <w:rsid w:val="0005292E"/>
    <w:rsid w:val="00052E98"/>
    <w:rsid w:val="0005394B"/>
    <w:rsid w:val="00053A66"/>
    <w:rsid w:val="00053E6A"/>
    <w:rsid w:val="000541AE"/>
    <w:rsid w:val="00054930"/>
    <w:rsid w:val="000549DA"/>
    <w:rsid w:val="00054E13"/>
    <w:rsid w:val="00055640"/>
    <w:rsid w:val="000560CF"/>
    <w:rsid w:val="000561BB"/>
    <w:rsid w:val="0005668C"/>
    <w:rsid w:val="0005674F"/>
    <w:rsid w:val="00056B7D"/>
    <w:rsid w:val="00056EC7"/>
    <w:rsid w:val="00057920"/>
    <w:rsid w:val="000579EB"/>
    <w:rsid w:val="00057C8D"/>
    <w:rsid w:val="00060C7D"/>
    <w:rsid w:val="00061807"/>
    <w:rsid w:val="00061A70"/>
    <w:rsid w:val="0006215A"/>
    <w:rsid w:val="000626B7"/>
    <w:rsid w:val="00063F1D"/>
    <w:rsid w:val="000642BB"/>
    <w:rsid w:val="00064724"/>
    <w:rsid w:val="00064DC7"/>
    <w:rsid w:val="000656CE"/>
    <w:rsid w:val="00065A49"/>
    <w:rsid w:val="00065BE8"/>
    <w:rsid w:val="00066176"/>
    <w:rsid w:val="000662E9"/>
    <w:rsid w:val="000664CC"/>
    <w:rsid w:val="00066DF8"/>
    <w:rsid w:val="00067069"/>
    <w:rsid w:val="00070838"/>
    <w:rsid w:val="000713A2"/>
    <w:rsid w:val="000713BA"/>
    <w:rsid w:val="00071FBF"/>
    <w:rsid w:val="0007234E"/>
    <w:rsid w:val="00072A5E"/>
    <w:rsid w:val="00072E4E"/>
    <w:rsid w:val="00072F78"/>
    <w:rsid w:val="000738D9"/>
    <w:rsid w:val="00073BB7"/>
    <w:rsid w:val="00073BCB"/>
    <w:rsid w:val="000748F4"/>
    <w:rsid w:val="00075198"/>
    <w:rsid w:val="00075A75"/>
    <w:rsid w:val="00075CB5"/>
    <w:rsid w:val="000760E4"/>
    <w:rsid w:val="00076301"/>
    <w:rsid w:val="00076969"/>
    <w:rsid w:val="0007799E"/>
    <w:rsid w:val="000805CB"/>
    <w:rsid w:val="000806E4"/>
    <w:rsid w:val="00080846"/>
    <w:rsid w:val="00080B03"/>
    <w:rsid w:val="000817DD"/>
    <w:rsid w:val="00081B28"/>
    <w:rsid w:val="00081BDA"/>
    <w:rsid w:val="0008272B"/>
    <w:rsid w:val="00082CB8"/>
    <w:rsid w:val="00083382"/>
    <w:rsid w:val="000839B5"/>
    <w:rsid w:val="000839F2"/>
    <w:rsid w:val="00083E00"/>
    <w:rsid w:val="00084085"/>
    <w:rsid w:val="0008426E"/>
    <w:rsid w:val="00084421"/>
    <w:rsid w:val="00084675"/>
    <w:rsid w:val="00085B97"/>
    <w:rsid w:val="000862DE"/>
    <w:rsid w:val="00086E0E"/>
    <w:rsid w:val="00087B08"/>
    <w:rsid w:val="00087C94"/>
    <w:rsid w:val="0009035D"/>
    <w:rsid w:val="00090753"/>
    <w:rsid w:val="00090B00"/>
    <w:rsid w:val="00090D84"/>
    <w:rsid w:val="000912CC"/>
    <w:rsid w:val="00091CDA"/>
    <w:rsid w:val="000921AD"/>
    <w:rsid w:val="00092BE6"/>
    <w:rsid w:val="000935C5"/>
    <w:rsid w:val="0009395A"/>
    <w:rsid w:val="00094983"/>
    <w:rsid w:val="00094D97"/>
    <w:rsid w:val="00094EC8"/>
    <w:rsid w:val="000957B9"/>
    <w:rsid w:val="00095914"/>
    <w:rsid w:val="00095BB1"/>
    <w:rsid w:val="00096C53"/>
    <w:rsid w:val="00096FFB"/>
    <w:rsid w:val="000972F3"/>
    <w:rsid w:val="00097A1C"/>
    <w:rsid w:val="00097BA5"/>
    <w:rsid w:val="000A0443"/>
    <w:rsid w:val="000A06CB"/>
    <w:rsid w:val="000A0DAA"/>
    <w:rsid w:val="000A1838"/>
    <w:rsid w:val="000A1E3E"/>
    <w:rsid w:val="000A2826"/>
    <w:rsid w:val="000A288F"/>
    <w:rsid w:val="000A296E"/>
    <w:rsid w:val="000A364A"/>
    <w:rsid w:val="000A37EA"/>
    <w:rsid w:val="000A3CD2"/>
    <w:rsid w:val="000A4D67"/>
    <w:rsid w:val="000A4F2B"/>
    <w:rsid w:val="000A55A1"/>
    <w:rsid w:val="000A5C8B"/>
    <w:rsid w:val="000A5FFD"/>
    <w:rsid w:val="000A6113"/>
    <w:rsid w:val="000A6202"/>
    <w:rsid w:val="000A6367"/>
    <w:rsid w:val="000A661A"/>
    <w:rsid w:val="000A6824"/>
    <w:rsid w:val="000A75BA"/>
    <w:rsid w:val="000A75D5"/>
    <w:rsid w:val="000B0E6F"/>
    <w:rsid w:val="000B10F4"/>
    <w:rsid w:val="000B11F9"/>
    <w:rsid w:val="000B12DC"/>
    <w:rsid w:val="000B2380"/>
    <w:rsid w:val="000B2ABD"/>
    <w:rsid w:val="000B394C"/>
    <w:rsid w:val="000B3C81"/>
    <w:rsid w:val="000B3E08"/>
    <w:rsid w:val="000B47D6"/>
    <w:rsid w:val="000B4E4A"/>
    <w:rsid w:val="000B50BC"/>
    <w:rsid w:val="000B713D"/>
    <w:rsid w:val="000B747E"/>
    <w:rsid w:val="000B7A6B"/>
    <w:rsid w:val="000B7D85"/>
    <w:rsid w:val="000C0025"/>
    <w:rsid w:val="000C098D"/>
    <w:rsid w:val="000C0FFE"/>
    <w:rsid w:val="000C11FB"/>
    <w:rsid w:val="000C1529"/>
    <w:rsid w:val="000C1BD3"/>
    <w:rsid w:val="000C1E11"/>
    <w:rsid w:val="000C2248"/>
    <w:rsid w:val="000C2B5F"/>
    <w:rsid w:val="000C2F4D"/>
    <w:rsid w:val="000C36C2"/>
    <w:rsid w:val="000C382C"/>
    <w:rsid w:val="000C403C"/>
    <w:rsid w:val="000C4379"/>
    <w:rsid w:val="000C5172"/>
    <w:rsid w:val="000C5C5C"/>
    <w:rsid w:val="000C5C77"/>
    <w:rsid w:val="000C5CCD"/>
    <w:rsid w:val="000C6491"/>
    <w:rsid w:val="000C689F"/>
    <w:rsid w:val="000C6A2D"/>
    <w:rsid w:val="000C79EE"/>
    <w:rsid w:val="000C7CFC"/>
    <w:rsid w:val="000D0D99"/>
    <w:rsid w:val="000D122A"/>
    <w:rsid w:val="000D1746"/>
    <w:rsid w:val="000D202E"/>
    <w:rsid w:val="000D2279"/>
    <w:rsid w:val="000D2723"/>
    <w:rsid w:val="000D2EB0"/>
    <w:rsid w:val="000D30D9"/>
    <w:rsid w:val="000D35F3"/>
    <w:rsid w:val="000D37C8"/>
    <w:rsid w:val="000D3C54"/>
    <w:rsid w:val="000D5901"/>
    <w:rsid w:val="000D5CF5"/>
    <w:rsid w:val="000D647F"/>
    <w:rsid w:val="000D65BA"/>
    <w:rsid w:val="000D67E3"/>
    <w:rsid w:val="000D6CC7"/>
    <w:rsid w:val="000D73CA"/>
    <w:rsid w:val="000D7431"/>
    <w:rsid w:val="000D7658"/>
    <w:rsid w:val="000D7D42"/>
    <w:rsid w:val="000E0437"/>
    <w:rsid w:val="000E06C4"/>
    <w:rsid w:val="000E0B05"/>
    <w:rsid w:val="000E0C5B"/>
    <w:rsid w:val="000E0FCD"/>
    <w:rsid w:val="000E145D"/>
    <w:rsid w:val="000E1493"/>
    <w:rsid w:val="000E25F8"/>
    <w:rsid w:val="000E29D7"/>
    <w:rsid w:val="000E2E80"/>
    <w:rsid w:val="000E3977"/>
    <w:rsid w:val="000E3ABA"/>
    <w:rsid w:val="000E40C2"/>
    <w:rsid w:val="000E44CB"/>
    <w:rsid w:val="000E4D98"/>
    <w:rsid w:val="000E5088"/>
    <w:rsid w:val="000E5DEC"/>
    <w:rsid w:val="000E5F4F"/>
    <w:rsid w:val="000E6717"/>
    <w:rsid w:val="000E6E12"/>
    <w:rsid w:val="000E6E35"/>
    <w:rsid w:val="000E715C"/>
    <w:rsid w:val="000E7288"/>
    <w:rsid w:val="000E73E0"/>
    <w:rsid w:val="000E7710"/>
    <w:rsid w:val="000E7E0D"/>
    <w:rsid w:val="000F009D"/>
    <w:rsid w:val="000F00CD"/>
    <w:rsid w:val="000F02AF"/>
    <w:rsid w:val="000F0436"/>
    <w:rsid w:val="000F0CAE"/>
    <w:rsid w:val="000F0F1D"/>
    <w:rsid w:val="000F1122"/>
    <w:rsid w:val="000F1DD8"/>
    <w:rsid w:val="000F1DE2"/>
    <w:rsid w:val="000F2371"/>
    <w:rsid w:val="000F2410"/>
    <w:rsid w:val="000F2419"/>
    <w:rsid w:val="000F2A92"/>
    <w:rsid w:val="000F30AD"/>
    <w:rsid w:val="000F35A3"/>
    <w:rsid w:val="000F35FD"/>
    <w:rsid w:val="000F361D"/>
    <w:rsid w:val="000F37BF"/>
    <w:rsid w:val="000F39ED"/>
    <w:rsid w:val="000F3A33"/>
    <w:rsid w:val="000F3B65"/>
    <w:rsid w:val="000F4A34"/>
    <w:rsid w:val="000F52AA"/>
    <w:rsid w:val="000F5AD4"/>
    <w:rsid w:val="000F5F46"/>
    <w:rsid w:val="000F646B"/>
    <w:rsid w:val="000F6A0F"/>
    <w:rsid w:val="000F6AC7"/>
    <w:rsid w:val="000F70D3"/>
    <w:rsid w:val="000F77A8"/>
    <w:rsid w:val="000F7C6C"/>
    <w:rsid w:val="000F7DAA"/>
    <w:rsid w:val="00100108"/>
    <w:rsid w:val="0010082C"/>
    <w:rsid w:val="00100870"/>
    <w:rsid w:val="001013AB"/>
    <w:rsid w:val="0010197A"/>
    <w:rsid w:val="001020F3"/>
    <w:rsid w:val="00102385"/>
    <w:rsid w:val="001043C6"/>
    <w:rsid w:val="00104444"/>
    <w:rsid w:val="00105034"/>
    <w:rsid w:val="00105862"/>
    <w:rsid w:val="0010632C"/>
    <w:rsid w:val="00106873"/>
    <w:rsid w:val="00106A56"/>
    <w:rsid w:val="0011085E"/>
    <w:rsid w:val="001108F0"/>
    <w:rsid w:val="00110B0C"/>
    <w:rsid w:val="00111902"/>
    <w:rsid w:val="00111D35"/>
    <w:rsid w:val="00111F88"/>
    <w:rsid w:val="00112051"/>
    <w:rsid w:val="0011226E"/>
    <w:rsid w:val="00112B63"/>
    <w:rsid w:val="00112D5C"/>
    <w:rsid w:val="00112DE9"/>
    <w:rsid w:val="00113919"/>
    <w:rsid w:val="00113CFE"/>
    <w:rsid w:val="0011427A"/>
    <w:rsid w:val="001145C9"/>
    <w:rsid w:val="001146D8"/>
    <w:rsid w:val="00114A28"/>
    <w:rsid w:val="00114D5A"/>
    <w:rsid w:val="00114DB6"/>
    <w:rsid w:val="0011502B"/>
    <w:rsid w:val="00115190"/>
    <w:rsid w:val="0011591C"/>
    <w:rsid w:val="001159A9"/>
    <w:rsid w:val="00115FBF"/>
    <w:rsid w:val="001161C6"/>
    <w:rsid w:val="0011649D"/>
    <w:rsid w:val="00116778"/>
    <w:rsid w:val="00116E46"/>
    <w:rsid w:val="001176FC"/>
    <w:rsid w:val="00120F27"/>
    <w:rsid w:val="0012146A"/>
    <w:rsid w:val="00121675"/>
    <w:rsid w:val="00121EEE"/>
    <w:rsid w:val="00121FE2"/>
    <w:rsid w:val="00122239"/>
    <w:rsid w:val="0012237E"/>
    <w:rsid w:val="001229C7"/>
    <w:rsid w:val="0012345B"/>
    <w:rsid w:val="00124315"/>
    <w:rsid w:val="0012447C"/>
    <w:rsid w:val="00124DA2"/>
    <w:rsid w:val="00124F4E"/>
    <w:rsid w:val="00125273"/>
    <w:rsid w:val="00125831"/>
    <w:rsid w:val="00125A01"/>
    <w:rsid w:val="00126C13"/>
    <w:rsid w:val="001272CC"/>
    <w:rsid w:val="001301CE"/>
    <w:rsid w:val="0013081A"/>
    <w:rsid w:val="00131557"/>
    <w:rsid w:val="00131AEE"/>
    <w:rsid w:val="001322A6"/>
    <w:rsid w:val="00132317"/>
    <w:rsid w:val="001324B8"/>
    <w:rsid w:val="0013317F"/>
    <w:rsid w:val="00133643"/>
    <w:rsid w:val="00133847"/>
    <w:rsid w:val="00133ED8"/>
    <w:rsid w:val="00133FAB"/>
    <w:rsid w:val="00134029"/>
    <w:rsid w:val="0013437F"/>
    <w:rsid w:val="00134E9A"/>
    <w:rsid w:val="0013534F"/>
    <w:rsid w:val="00135380"/>
    <w:rsid w:val="0013565B"/>
    <w:rsid w:val="00135995"/>
    <w:rsid w:val="00135BDA"/>
    <w:rsid w:val="00135C3E"/>
    <w:rsid w:val="00135ED4"/>
    <w:rsid w:val="00136B37"/>
    <w:rsid w:val="00137342"/>
    <w:rsid w:val="001400B8"/>
    <w:rsid w:val="00140591"/>
    <w:rsid w:val="001407A8"/>
    <w:rsid w:val="00140C6F"/>
    <w:rsid w:val="001410F7"/>
    <w:rsid w:val="00141585"/>
    <w:rsid w:val="0014176C"/>
    <w:rsid w:val="00141C00"/>
    <w:rsid w:val="001420C4"/>
    <w:rsid w:val="00142D81"/>
    <w:rsid w:val="001431F4"/>
    <w:rsid w:val="00143B11"/>
    <w:rsid w:val="0014402A"/>
    <w:rsid w:val="00144560"/>
    <w:rsid w:val="00144E5C"/>
    <w:rsid w:val="0014512B"/>
    <w:rsid w:val="001454EB"/>
    <w:rsid w:val="00145635"/>
    <w:rsid w:val="00146154"/>
    <w:rsid w:val="001462CC"/>
    <w:rsid w:val="0014684F"/>
    <w:rsid w:val="00146B16"/>
    <w:rsid w:val="00146CAE"/>
    <w:rsid w:val="00146D56"/>
    <w:rsid w:val="001470C2"/>
    <w:rsid w:val="0014759B"/>
    <w:rsid w:val="00147E93"/>
    <w:rsid w:val="001507A5"/>
    <w:rsid w:val="001517A8"/>
    <w:rsid w:val="0015190B"/>
    <w:rsid w:val="001519E2"/>
    <w:rsid w:val="00151DB2"/>
    <w:rsid w:val="0015259A"/>
    <w:rsid w:val="001527F6"/>
    <w:rsid w:val="001528A8"/>
    <w:rsid w:val="001528D3"/>
    <w:rsid w:val="00153188"/>
    <w:rsid w:val="00153ADF"/>
    <w:rsid w:val="00153AF2"/>
    <w:rsid w:val="00153D0B"/>
    <w:rsid w:val="0015442E"/>
    <w:rsid w:val="00155049"/>
    <w:rsid w:val="001551E9"/>
    <w:rsid w:val="001554A0"/>
    <w:rsid w:val="001560F3"/>
    <w:rsid w:val="0015614F"/>
    <w:rsid w:val="001564CC"/>
    <w:rsid w:val="00156998"/>
    <w:rsid w:val="00156D68"/>
    <w:rsid w:val="00156F65"/>
    <w:rsid w:val="00157421"/>
    <w:rsid w:val="00160830"/>
    <w:rsid w:val="00160F4F"/>
    <w:rsid w:val="001611BC"/>
    <w:rsid w:val="0016126C"/>
    <w:rsid w:val="00161C79"/>
    <w:rsid w:val="00161EB5"/>
    <w:rsid w:val="00161F61"/>
    <w:rsid w:val="00162138"/>
    <w:rsid w:val="001628C1"/>
    <w:rsid w:val="00162E03"/>
    <w:rsid w:val="00162F17"/>
    <w:rsid w:val="00163486"/>
    <w:rsid w:val="00164027"/>
    <w:rsid w:val="00164933"/>
    <w:rsid w:val="00164B40"/>
    <w:rsid w:val="00164D9E"/>
    <w:rsid w:val="00165183"/>
    <w:rsid w:val="0016563A"/>
    <w:rsid w:val="00166099"/>
    <w:rsid w:val="00166154"/>
    <w:rsid w:val="00166190"/>
    <w:rsid w:val="001665E6"/>
    <w:rsid w:val="00166A2B"/>
    <w:rsid w:val="00167027"/>
    <w:rsid w:val="00167983"/>
    <w:rsid w:val="00167A11"/>
    <w:rsid w:val="00167C00"/>
    <w:rsid w:val="00167DA3"/>
    <w:rsid w:val="00167EE2"/>
    <w:rsid w:val="00170589"/>
    <w:rsid w:val="00170813"/>
    <w:rsid w:val="00170FB0"/>
    <w:rsid w:val="001715EA"/>
    <w:rsid w:val="00171858"/>
    <w:rsid w:val="001719C5"/>
    <w:rsid w:val="00171FD9"/>
    <w:rsid w:val="001728B7"/>
    <w:rsid w:val="00172B3C"/>
    <w:rsid w:val="00172FA9"/>
    <w:rsid w:val="00173674"/>
    <w:rsid w:val="00173AC4"/>
    <w:rsid w:val="00173CC8"/>
    <w:rsid w:val="001740CE"/>
    <w:rsid w:val="001741EC"/>
    <w:rsid w:val="001743A8"/>
    <w:rsid w:val="00174560"/>
    <w:rsid w:val="0017483D"/>
    <w:rsid w:val="00174922"/>
    <w:rsid w:val="001753F1"/>
    <w:rsid w:val="001759A2"/>
    <w:rsid w:val="00175B31"/>
    <w:rsid w:val="00175BAB"/>
    <w:rsid w:val="001761BD"/>
    <w:rsid w:val="00176736"/>
    <w:rsid w:val="00176A08"/>
    <w:rsid w:val="00176C4B"/>
    <w:rsid w:val="001775D0"/>
    <w:rsid w:val="00177912"/>
    <w:rsid w:val="00177A6B"/>
    <w:rsid w:val="00177A8F"/>
    <w:rsid w:val="00177A9E"/>
    <w:rsid w:val="00180ED3"/>
    <w:rsid w:val="00181243"/>
    <w:rsid w:val="00181D53"/>
    <w:rsid w:val="00181ED0"/>
    <w:rsid w:val="00182135"/>
    <w:rsid w:val="00182152"/>
    <w:rsid w:val="00182A60"/>
    <w:rsid w:val="00182E31"/>
    <w:rsid w:val="00182FC1"/>
    <w:rsid w:val="0018312F"/>
    <w:rsid w:val="00183536"/>
    <w:rsid w:val="001836A2"/>
    <w:rsid w:val="00183BD6"/>
    <w:rsid w:val="0018443E"/>
    <w:rsid w:val="001846F7"/>
    <w:rsid w:val="00184E9E"/>
    <w:rsid w:val="00184F8A"/>
    <w:rsid w:val="00185097"/>
    <w:rsid w:val="00185B5D"/>
    <w:rsid w:val="00185BD4"/>
    <w:rsid w:val="00186120"/>
    <w:rsid w:val="0018656A"/>
    <w:rsid w:val="001871FF"/>
    <w:rsid w:val="001903E7"/>
    <w:rsid w:val="0019063D"/>
    <w:rsid w:val="00190B8F"/>
    <w:rsid w:val="00190F68"/>
    <w:rsid w:val="001915D3"/>
    <w:rsid w:val="00192223"/>
    <w:rsid w:val="00192496"/>
    <w:rsid w:val="001926D3"/>
    <w:rsid w:val="0019279A"/>
    <w:rsid w:val="00192CE4"/>
    <w:rsid w:val="001937ED"/>
    <w:rsid w:val="001939A1"/>
    <w:rsid w:val="00193B5A"/>
    <w:rsid w:val="00193BE1"/>
    <w:rsid w:val="001948A6"/>
    <w:rsid w:val="00194AB9"/>
    <w:rsid w:val="00194FC5"/>
    <w:rsid w:val="00195D10"/>
    <w:rsid w:val="00195E68"/>
    <w:rsid w:val="0019624C"/>
    <w:rsid w:val="001962B8"/>
    <w:rsid w:val="001972A3"/>
    <w:rsid w:val="0019741A"/>
    <w:rsid w:val="001978CA"/>
    <w:rsid w:val="00197A4A"/>
    <w:rsid w:val="00197F33"/>
    <w:rsid w:val="001A069D"/>
    <w:rsid w:val="001A0997"/>
    <w:rsid w:val="001A10EB"/>
    <w:rsid w:val="001A137F"/>
    <w:rsid w:val="001A1874"/>
    <w:rsid w:val="001A2DDC"/>
    <w:rsid w:val="001A33CB"/>
    <w:rsid w:val="001A3DC1"/>
    <w:rsid w:val="001A4586"/>
    <w:rsid w:val="001A47AA"/>
    <w:rsid w:val="001A4DD9"/>
    <w:rsid w:val="001A575E"/>
    <w:rsid w:val="001A57C4"/>
    <w:rsid w:val="001A584B"/>
    <w:rsid w:val="001A5C1A"/>
    <w:rsid w:val="001A5F23"/>
    <w:rsid w:val="001A6B9A"/>
    <w:rsid w:val="001A79A8"/>
    <w:rsid w:val="001A7B9A"/>
    <w:rsid w:val="001B0BBC"/>
    <w:rsid w:val="001B2C97"/>
    <w:rsid w:val="001B2DA8"/>
    <w:rsid w:val="001B367E"/>
    <w:rsid w:val="001B3F1F"/>
    <w:rsid w:val="001B3F3C"/>
    <w:rsid w:val="001B3FB5"/>
    <w:rsid w:val="001B48A0"/>
    <w:rsid w:val="001B5446"/>
    <w:rsid w:val="001B588A"/>
    <w:rsid w:val="001B5D04"/>
    <w:rsid w:val="001B5FF9"/>
    <w:rsid w:val="001B64FA"/>
    <w:rsid w:val="001B6554"/>
    <w:rsid w:val="001B66B1"/>
    <w:rsid w:val="001B68E4"/>
    <w:rsid w:val="001B6D45"/>
    <w:rsid w:val="001B72B1"/>
    <w:rsid w:val="001B7ED1"/>
    <w:rsid w:val="001C0309"/>
    <w:rsid w:val="001C12FB"/>
    <w:rsid w:val="001C143C"/>
    <w:rsid w:val="001C1457"/>
    <w:rsid w:val="001C1D9C"/>
    <w:rsid w:val="001C217B"/>
    <w:rsid w:val="001C21BF"/>
    <w:rsid w:val="001C2AC9"/>
    <w:rsid w:val="001C2B0D"/>
    <w:rsid w:val="001C3404"/>
    <w:rsid w:val="001C35C7"/>
    <w:rsid w:val="001C3605"/>
    <w:rsid w:val="001C3734"/>
    <w:rsid w:val="001C3A38"/>
    <w:rsid w:val="001C4573"/>
    <w:rsid w:val="001C4AA8"/>
    <w:rsid w:val="001C4B3F"/>
    <w:rsid w:val="001C50F2"/>
    <w:rsid w:val="001C56A8"/>
    <w:rsid w:val="001C59BE"/>
    <w:rsid w:val="001C5D07"/>
    <w:rsid w:val="001C65D5"/>
    <w:rsid w:val="001C715D"/>
    <w:rsid w:val="001C7528"/>
    <w:rsid w:val="001D0163"/>
    <w:rsid w:val="001D053B"/>
    <w:rsid w:val="001D0561"/>
    <w:rsid w:val="001D0F87"/>
    <w:rsid w:val="001D1740"/>
    <w:rsid w:val="001D227A"/>
    <w:rsid w:val="001D25AE"/>
    <w:rsid w:val="001D2885"/>
    <w:rsid w:val="001D2C8A"/>
    <w:rsid w:val="001D2E20"/>
    <w:rsid w:val="001D34B1"/>
    <w:rsid w:val="001D3651"/>
    <w:rsid w:val="001D463A"/>
    <w:rsid w:val="001D476A"/>
    <w:rsid w:val="001D48C1"/>
    <w:rsid w:val="001D4D66"/>
    <w:rsid w:val="001D4DE0"/>
    <w:rsid w:val="001D5B3E"/>
    <w:rsid w:val="001D5BE1"/>
    <w:rsid w:val="001D5D3E"/>
    <w:rsid w:val="001D5FA3"/>
    <w:rsid w:val="001D63ED"/>
    <w:rsid w:val="001D6942"/>
    <w:rsid w:val="001D69AB"/>
    <w:rsid w:val="001D6C1B"/>
    <w:rsid w:val="001D6DA9"/>
    <w:rsid w:val="001D6FD2"/>
    <w:rsid w:val="001D79A8"/>
    <w:rsid w:val="001D7EA6"/>
    <w:rsid w:val="001E04A8"/>
    <w:rsid w:val="001E0582"/>
    <w:rsid w:val="001E0611"/>
    <w:rsid w:val="001E09CB"/>
    <w:rsid w:val="001E156B"/>
    <w:rsid w:val="001E1FA4"/>
    <w:rsid w:val="001E20ED"/>
    <w:rsid w:val="001E250B"/>
    <w:rsid w:val="001E28E2"/>
    <w:rsid w:val="001E2A84"/>
    <w:rsid w:val="001E2CC3"/>
    <w:rsid w:val="001E2FCA"/>
    <w:rsid w:val="001E38F2"/>
    <w:rsid w:val="001E3FB2"/>
    <w:rsid w:val="001E4B80"/>
    <w:rsid w:val="001E4C4E"/>
    <w:rsid w:val="001E5620"/>
    <w:rsid w:val="001E5AC9"/>
    <w:rsid w:val="001E5C1E"/>
    <w:rsid w:val="001E5C7D"/>
    <w:rsid w:val="001E5FBD"/>
    <w:rsid w:val="001E6148"/>
    <w:rsid w:val="001E67FF"/>
    <w:rsid w:val="001E69C6"/>
    <w:rsid w:val="001E6F26"/>
    <w:rsid w:val="001E7339"/>
    <w:rsid w:val="001E7722"/>
    <w:rsid w:val="001E7FFC"/>
    <w:rsid w:val="001F009A"/>
    <w:rsid w:val="001F0483"/>
    <w:rsid w:val="001F0FA0"/>
    <w:rsid w:val="001F1174"/>
    <w:rsid w:val="001F12CD"/>
    <w:rsid w:val="001F2737"/>
    <w:rsid w:val="001F28B9"/>
    <w:rsid w:val="001F297E"/>
    <w:rsid w:val="001F2C3E"/>
    <w:rsid w:val="001F34C9"/>
    <w:rsid w:val="001F3CB1"/>
    <w:rsid w:val="001F4054"/>
    <w:rsid w:val="001F41D7"/>
    <w:rsid w:val="001F44D3"/>
    <w:rsid w:val="001F4B45"/>
    <w:rsid w:val="001F4DE2"/>
    <w:rsid w:val="001F4F89"/>
    <w:rsid w:val="001F52C6"/>
    <w:rsid w:val="001F5369"/>
    <w:rsid w:val="001F54FA"/>
    <w:rsid w:val="001F5A0E"/>
    <w:rsid w:val="001F5A88"/>
    <w:rsid w:val="001F5E50"/>
    <w:rsid w:val="001F6402"/>
    <w:rsid w:val="001F6803"/>
    <w:rsid w:val="001F6A9C"/>
    <w:rsid w:val="001F6DA2"/>
    <w:rsid w:val="001F7615"/>
    <w:rsid w:val="001F7AEF"/>
    <w:rsid w:val="001F7C27"/>
    <w:rsid w:val="001F7CAA"/>
    <w:rsid w:val="001F7FE3"/>
    <w:rsid w:val="002003FA"/>
    <w:rsid w:val="00200722"/>
    <w:rsid w:val="00200DE0"/>
    <w:rsid w:val="0020162E"/>
    <w:rsid w:val="00201FAD"/>
    <w:rsid w:val="00202270"/>
    <w:rsid w:val="00203233"/>
    <w:rsid w:val="00203349"/>
    <w:rsid w:val="00203C4B"/>
    <w:rsid w:val="00203D6A"/>
    <w:rsid w:val="00203E81"/>
    <w:rsid w:val="002045BD"/>
    <w:rsid w:val="002045E4"/>
    <w:rsid w:val="00204613"/>
    <w:rsid w:val="0020469B"/>
    <w:rsid w:val="00204F64"/>
    <w:rsid w:val="00205186"/>
    <w:rsid w:val="00205DE4"/>
    <w:rsid w:val="00206CA7"/>
    <w:rsid w:val="00206E8A"/>
    <w:rsid w:val="00207266"/>
    <w:rsid w:val="0021034E"/>
    <w:rsid w:val="002106FE"/>
    <w:rsid w:val="00211033"/>
    <w:rsid w:val="0021111A"/>
    <w:rsid w:val="002114B7"/>
    <w:rsid w:val="00211C32"/>
    <w:rsid w:val="00211CDE"/>
    <w:rsid w:val="00212747"/>
    <w:rsid w:val="0021274C"/>
    <w:rsid w:val="00212926"/>
    <w:rsid w:val="0021337A"/>
    <w:rsid w:val="0021362C"/>
    <w:rsid w:val="00213740"/>
    <w:rsid w:val="00214618"/>
    <w:rsid w:val="00214A10"/>
    <w:rsid w:val="00215953"/>
    <w:rsid w:val="002159AD"/>
    <w:rsid w:val="00215A2D"/>
    <w:rsid w:val="00215E19"/>
    <w:rsid w:val="00215E8F"/>
    <w:rsid w:val="00216791"/>
    <w:rsid w:val="00216AF2"/>
    <w:rsid w:val="00216B39"/>
    <w:rsid w:val="002173E9"/>
    <w:rsid w:val="00217763"/>
    <w:rsid w:val="00217E87"/>
    <w:rsid w:val="0022012D"/>
    <w:rsid w:val="002205C1"/>
    <w:rsid w:val="00220822"/>
    <w:rsid w:val="00220991"/>
    <w:rsid w:val="00220AD8"/>
    <w:rsid w:val="00220BBB"/>
    <w:rsid w:val="00220D52"/>
    <w:rsid w:val="00221361"/>
    <w:rsid w:val="0022140D"/>
    <w:rsid w:val="002219D5"/>
    <w:rsid w:val="0022258A"/>
    <w:rsid w:val="0022267E"/>
    <w:rsid w:val="00222788"/>
    <w:rsid w:val="00222BFF"/>
    <w:rsid w:val="0022319C"/>
    <w:rsid w:val="00223337"/>
    <w:rsid w:val="0022405C"/>
    <w:rsid w:val="00224426"/>
    <w:rsid w:val="0022494B"/>
    <w:rsid w:val="00224F3B"/>
    <w:rsid w:val="00224F97"/>
    <w:rsid w:val="00225CC4"/>
    <w:rsid w:val="00225D65"/>
    <w:rsid w:val="00225D86"/>
    <w:rsid w:val="00226749"/>
    <w:rsid w:val="00226CA5"/>
    <w:rsid w:val="00226EE9"/>
    <w:rsid w:val="00227602"/>
    <w:rsid w:val="002278F2"/>
    <w:rsid w:val="00227FEB"/>
    <w:rsid w:val="00230199"/>
    <w:rsid w:val="002308CB"/>
    <w:rsid w:val="002309BE"/>
    <w:rsid w:val="00230B1A"/>
    <w:rsid w:val="002345B8"/>
    <w:rsid w:val="00234EBD"/>
    <w:rsid w:val="002355A8"/>
    <w:rsid w:val="00235992"/>
    <w:rsid w:val="00235E2B"/>
    <w:rsid w:val="00236B4A"/>
    <w:rsid w:val="00236DF0"/>
    <w:rsid w:val="002370DC"/>
    <w:rsid w:val="002371A3"/>
    <w:rsid w:val="00237972"/>
    <w:rsid w:val="00237D55"/>
    <w:rsid w:val="00240187"/>
    <w:rsid w:val="00240C91"/>
    <w:rsid w:val="00240CE2"/>
    <w:rsid w:val="002413E4"/>
    <w:rsid w:val="002418AF"/>
    <w:rsid w:val="00241E98"/>
    <w:rsid w:val="0024220F"/>
    <w:rsid w:val="0024271D"/>
    <w:rsid w:val="00242782"/>
    <w:rsid w:val="00242F2D"/>
    <w:rsid w:val="00242F6A"/>
    <w:rsid w:val="00242F88"/>
    <w:rsid w:val="00243154"/>
    <w:rsid w:val="00243291"/>
    <w:rsid w:val="002432FE"/>
    <w:rsid w:val="0024338B"/>
    <w:rsid w:val="0024371F"/>
    <w:rsid w:val="00243739"/>
    <w:rsid w:val="00243908"/>
    <w:rsid w:val="00244019"/>
    <w:rsid w:val="00244935"/>
    <w:rsid w:val="00244AA2"/>
    <w:rsid w:val="00244C15"/>
    <w:rsid w:val="0024536B"/>
    <w:rsid w:val="002454EB"/>
    <w:rsid w:val="00245875"/>
    <w:rsid w:val="002458BA"/>
    <w:rsid w:val="002460EF"/>
    <w:rsid w:val="0024652C"/>
    <w:rsid w:val="002465E6"/>
    <w:rsid w:val="00246B70"/>
    <w:rsid w:val="00247341"/>
    <w:rsid w:val="0024745D"/>
    <w:rsid w:val="00247714"/>
    <w:rsid w:val="0025051E"/>
    <w:rsid w:val="00250C15"/>
    <w:rsid w:val="00250EBE"/>
    <w:rsid w:val="002510DE"/>
    <w:rsid w:val="002516F6"/>
    <w:rsid w:val="00252A19"/>
    <w:rsid w:val="00252DCA"/>
    <w:rsid w:val="00253358"/>
    <w:rsid w:val="0025380A"/>
    <w:rsid w:val="00253E66"/>
    <w:rsid w:val="002549D7"/>
    <w:rsid w:val="00254F92"/>
    <w:rsid w:val="0025572C"/>
    <w:rsid w:val="00255DA8"/>
    <w:rsid w:val="0025653D"/>
    <w:rsid w:val="00256B35"/>
    <w:rsid w:val="00256EA0"/>
    <w:rsid w:val="00256F93"/>
    <w:rsid w:val="002578A1"/>
    <w:rsid w:val="00257DE9"/>
    <w:rsid w:val="002604AE"/>
    <w:rsid w:val="00260560"/>
    <w:rsid w:val="00260EF6"/>
    <w:rsid w:val="00262584"/>
    <w:rsid w:val="00262B1F"/>
    <w:rsid w:val="00262CBB"/>
    <w:rsid w:val="00262DAE"/>
    <w:rsid w:val="002636A1"/>
    <w:rsid w:val="00263D28"/>
    <w:rsid w:val="00263F00"/>
    <w:rsid w:val="00264411"/>
    <w:rsid w:val="002644A1"/>
    <w:rsid w:val="00264E03"/>
    <w:rsid w:val="00265F96"/>
    <w:rsid w:val="002660B3"/>
    <w:rsid w:val="002661C6"/>
    <w:rsid w:val="00267464"/>
    <w:rsid w:val="00267636"/>
    <w:rsid w:val="002704D7"/>
    <w:rsid w:val="00270674"/>
    <w:rsid w:val="00270965"/>
    <w:rsid w:val="00270AAC"/>
    <w:rsid w:val="00270B29"/>
    <w:rsid w:val="00270B85"/>
    <w:rsid w:val="00270C30"/>
    <w:rsid w:val="00270ECE"/>
    <w:rsid w:val="00270F6B"/>
    <w:rsid w:val="00271111"/>
    <w:rsid w:val="002714E1"/>
    <w:rsid w:val="00271695"/>
    <w:rsid w:val="00271AB5"/>
    <w:rsid w:val="00271C9C"/>
    <w:rsid w:val="00271FFB"/>
    <w:rsid w:val="00272100"/>
    <w:rsid w:val="00272B40"/>
    <w:rsid w:val="00273B7B"/>
    <w:rsid w:val="00273B9D"/>
    <w:rsid w:val="002749C6"/>
    <w:rsid w:val="00276102"/>
    <w:rsid w:val="00276319"/>
    <w:rsid w:val="0027635E"/>
    <w:rsid w:val="00276984"/>
    <w:rsid w:val="00276A92"/>
    <w:rsid w:val="00276DA9"/>
    <w:rsid w:val="00277322"/>
    <w:rsid w:val="0028020A"/>
    <w:rsid w:val="00280823"/>
    <w:rsid w:val="0028088A"/>
    <w:rsid w:val="002809CE"/>
    <w:rsid w:val="00280ACB"/>
    <w:rsid w:val="00280B16"/>
    <w:rsid w:val="00280F24"/>
    <w:rsid w:val="002822F5"/>
    <w:rsid w:val="00282CF1"/>
    <w:rsid w:val="00282DBA"/>
    <w:rsid w:val="002836E6"/>
    <w:rsid w:val="002838F5"/>
    <w:rsid w:val="00283F63"/>
    <w:rsid w:val="0028447D"/>
    <w:rsid w:val="00284940"/>
    <w:rsid w:val="00284C97"/>
    <w:rsid w:val="00284D24"/>
    <w:rsid w:val="00284F97"/>
    <w:rsid w:val="00285464"/>
    <w:rsid w:val="00285B6B"/>
    <w:rsid w:val="00285F72"/>
    <w:rsid w:val="00285FF1"/>
    <w:rsid w:val="00286258"/>
    <w:rsid w:val="002868B6"/>
    <w:rsid w:val="00286AE4"/>
    <w:rsid w:val="00286B41"/>
    <w:rsid w:val="00286DA4"/>
    <w:rsid w:val="00286F62"/>
    <w:rsid w:val="002872F9"/>
    <w:rsid w:val="002874B3"/>
    <w:rsid w:val="002879BD"/>
    <w:rsid w:val="00287D2B"/>
    <w:rsid w:val="00287ED9"/>
    <w:rsid w:val="00290600"/>
    <w:rsid w:val="002907FE"/>
    <w:rsid w:val="00290AB8"/>
    <w:rsid w:val="00290BF7"/>
    <w:rsid w:val="0029188A"/>
    <w:rsid w:val="00291B9B"/>
    <w:rsid w:val="00291C9B"/>
    <w:rsid w:val="0029265C"/>
    <w:rsid w:val="00293199"/>
    <w:rsid w:val="002931D9"/>
    <w:rsid w:val="002939B6"/>
    <w:rsid w:val="00293E99"/>
    <w:rsid w:val="0029446B"/>
    <w:rsid w:val="00294609"/>
    <w:rsid w:val="00294677"/>
    <w:rsid w:val="002949F7"/>
    <w:rsid w:val="0029510D"/>
    <w:rsid w:val="002951A1"/>
    <w:rsid w:val="00295446"/>
    <w:rsid w:val="00295607"/>
    <w:rsid w:val="00295E09"/>
    <w:rsid w:val="00296089"/>
    <w:rsid w:val="002968A6"/>
    <w:rsid w:val="00296F3B"/>
    <w:rsid w:val="00296F4E"/>
    <w:rsid w:val="0029748C"/>
    <w:rsid w:val="00297694"/>
    <w:rsid w:val="002976E0"/>
    <w:rsid w:val="00297900"/>
    <w:rsid w:val="00297A26"/>
    <w:rsid w:val="00297CE9"/>
    <w:rsid w:val="002A0238"/>
    <w:rsid w:val="002A0331"/>
    <w:rsid w:val="002A0838"/>
    <w:rsid w:val="002A0DF5"/>
    <w:rsid w:val="002A0ED7"/>
    <w:rsid w:val="002A17DA"/>
    <w:rsid w:val="002A1C89"/>
    <w:rsid w:val="002A2FF3"/>
    <w:rsid w:val="002A30BD"/>
    <w:rsid w:val="002A3D74"/>
    <w:rsid w:val="002A3E8B"/>
    <w:rsid w:val="002A4851"/>
    <w:rsid w:val="002A4A51"/>
    <w:rsid w:val="002A5622"/>
    <w:rsid w:val="002A576D"/>
    <w:rsid w:val="002A65CB"/>
    <w:rsid w:val="002A67B5"/>
    <w:rsid w:val="002A692A"/>
    <w:rsid w:val="002A6F03"/>
    <w:rsid w:val="002A6F4E"/>
    <w:rsid w:val="002A727D"/>
    <w:rsid w:val="002B0079"/>
    <w:rsid w:val="002B0C4E"/>
    <w:rsid w:val="002B104F"/>
    <w:rsid w:val="002B1B89"/>
    <w:rsid w:val="002B1DC6"/>
    <w:rsid w:val="002B2006"/>
    <w:rsid w:val="002B213A"/>
    <w:rsid w:val="002B21BA"/>
    <w:rsid w:val="002B23FE"/>
    <w:rsid w:val="002B26B7"/>
    <w:rsid w:val="002B299E"/>
    <w:rsid w:val="002B2A17"/>
    <w:rsid w:val="002B2BA3"/>
    <w:rsid w:val="002B2F75"/>
    <w:rsid w:val="002B3BAA"/>
    <w:rsid w:val="002B3D46"/>
    <w:rsid w:val="002B40A6"/>
    <w:rsid w:val="002B465E"/>
    <w:rsid w:val="002B55A6"/>
    <w:rsid w:val="002B5911"/>
    <w:rsid w:val="002B5E63"/>
    <w:rsid w:val="002B6482"/>
    <w:rsid w:val="002B6B62"/>
    <w:rsid w:val="002B7CF7"/>
    <w:rsid w:val="002B7ECC"/>
    <w:rsid w:val="002C01DB"/>
    <w:rsid w:val="002C08DE"/>
    <w:rsid w:val="002C1646"/>
    <w:rsid w:val="002C17AF"/>
    <w:rsid w:val="002C1F1B"/>
    <w:rsid w:val="002C1F4D"/>
    <w:rsid w:val="002C2309"/>
    <w:rsid w:val="002C2CD8"/>
    <w:rsid w:val="002C2DDE"/>
    <w:rsid w:val="002C3166"/>
    <w:rsid w:val="002C32A4"/>
    <w:rsid w:val="002C361C"/>
    <w:rsid w:val="002C3684"/>
    <w:rsid w:val="002C3787"/>
    <w:rsid w:val="002C38B3"/>
    <w:rsid w:val="002C3A34"/>
    <w:rsid w:val="002C4459"/>
    <w:rsid w:val="002C4E91"/>
    <w:rsid w:val="002C4F9D"/>
    <w:rsid w:val="002C52FF"/>
    <w:rsid w:val="002C579D"/>
    <w:rsid w:val="002C5CA4"/>
    <w:rsid w:val="002C606F"/>
    <w:rsid w:val="002C613F"/>
    <w:rsid w:val="002C6204"/>
    <w:rsid w:val="002C651A"/>
    <w:rsid w:val="002C677D"/>
    <w:rsid w:val="002C6C28"/>
    <w:rsid w:val="002C6DB2"/>
    <w:rsid w:val="002C70FC"/>
    <w:rsid w:val="002C7288"/>
    <w:rsid w:val="002C7381"/>
    <w:rsid w:val="002C7499"/>
    <w:rsid w:val="002C77F2"/>
    <w:rsid w:val="002C7B63"/>
    <w:rsid w:val="002C7E1D"/>
    <w:rsid w:val="002D0BFF"/>
    <w:rsid w:val="002D0DE2"/>
    <w:rsid w:val="002D0ECA"/>
    <w:rsid w:val="002D220C"/>
    <w:rsid w:val="002D2ED3"/>
    <w:rsid w:val="002D2EDE"/>
    <w:rsid w:val="002D35AA"/>
    <w:rsid w:val="002D3B85"/>
    <w:rsid w:val="002D3C0D"/>
    <w:rsid w:val="002D4145"/>
    <w:rsid w:val="002D511E"/>
    <w:rsid w:val="002D54E0"/>
    <w:rsid w:val="002D5930"/>
    <w:rsid w:val="002D6A56"/>
    <w:rsid w:val="002D6C2C"/>
    <w:rsid w:val="002D72E1"/>
    <w:rsid w:val="002D73BD"/>
    <w:rsid w:val="002D7491"/>
    <w:rsid w:val="002D7B5E"/>
    <w:rsid w:val="002D7BF8"/>
    <w:rsid w:val="002D7C20"/>
    <w:rsid w:val="002D7CDF"/>
    <w:rsid w:val="002E00ED"/>
    <w:rsid w:val="002E02A3"/>
    <w:rsid w:val="002E1588"/>
    <w:rsid w:val="002E1D22"/>
    <w:rsid w:val="002E1E0B"/>
    <w:rsid w:val="002E1E7E"/>
    <w:rsid w:val="002E2BA4"/>
    <w:rsid w:val="002E2CDC"/>
    <w:rsid w:val="002E32EF"/>
    <w:rsid w:val="002E3978"/>
    <w:rsid w:val="002E3A97"/>
    <w:rsid w:val="002E404D"/>
    <w:rsid w:val="002E41BE"/>
    <w:rsid w:val="002E4E05"/>
    <w:rsid w:val="002E514F"/>
    <w:rsid w:val="002E53E6"/>
    <w:rsid w:val="002E54DF"/>
    <w:rsid w:val="002E5992"/>
    <w:rsid w:val="002E59E2"/>
    <w:rsid w:val="002E6B16"/>
    <w:rsid w:val="002F0A70"/>
    <w:rsid w:val="002F0CC2"/>
    <w:rsid w:val="002F0F1F"/>
    <w:rsid w:val="002F12DE"/>
    <w:rsid w:val="002F16C6"/>
    <w:rsid w:val="002F1D78"/>
    <w:rsid w:val="002F1ECF"/>
    <w:rsid w:val="002F22A9"/>
    <w:rsid w:val="002F2939"/>
    <w:rsid w:val="002F2CDE"/>
    <w:rsid w:val="002F2D19"/>
    <w:rsid w:val="002F2F13"/>
    <w:rsid w:val="002F3606"/>
    <w:rsid w:val="002F3E1D"/>
    <w:rsid w:val="002F3E98"/>
    <w:rsid w:val="002F46D8"/>
    <w:rsid w:val="002F485D"/>
    <w:rsid w:val="002F4ACA"/>
    <w:rsid w:val="002F524A"/>
    <w:rsid w:val="002F535B"/>
    <w:rsid w:val="002F5559"/>
    <w:rsid w:val="002F5EC8"/>
    <w:rsid w:val="002F66F5"/>
    <w:rsid w:val="002F6876"/>
    <w:rsid w:val="002F6ABE"/>
    <w:rsid w:val="002F6D8F"/>
    <w:rsid w:val="002F747B"/>
    <w:rsid w:val="002F7D85"/>
    <w:rsid w:val="002F7E1D"/>
    <w:rsid w:val="002F7FB3"/>
    <w:rsid w:val="00300056"/>
    <w:rsid w:val="0030054D"/>
    <w:rsid w:val="0030083E"/>
    <w:rsid w:val="003015D5"/>
    <w:rsid w:val="00301AEE"/>
    <w:rsid w:val="00301D67"/>
    <w:rsid w:val="00302261"/>
    <w:rsid w:val="0030244A"/>
    <w:rsid w:val="00302821"/>
    <w:rsid w:val="0030320E"/>
    <w:rsid w:val="00303536"/>
    <w:rsid w:val="00303785"/>
    <w:rsid w:val="00303883"/>
    <w:rsid w:val="00303AED"/>
    <w:rsid w:val="00303C09"/>
    <w:rsid w:val="00303C8B"/>
    <w:rsid w:val="0030488C"/>
    <w:rsid w:val="0030512D"/>
    <w:rsid w:val="003057FF"/>
    <w:rsid w:val="003058DF"/>
    <w:rsid w:val="00305AFE"/>
    <w:rsid w:val="00305D36"/>
    <w:rsid w:val="00306C62"/>
    <w:rsid w:val="00306C9C"/>
    <w:rsid w:val="00306E98"/>
    <w:rsid w:val="00307016"/>
    <w:rsid w:val="0030718F"/>
    <w:rsid w:val="00307272"/>
    <w:rsid w:val="00307547"/>
    <w:rsid w:val="00311463"/>
    <w:rsid w:val="00311A55"/>
    <w:rsid w:val="00311BD7"/>
    <w:rsid w:val="00311C34"/>
    <w:rsid w:val="00311C93"/>
    <w:rsid w:val="0031207E"/>
    <w:rsid w:val="00312A9B"/>
    <w:rsid w:val="00313147"/>
    <w:rsid w:val="00313298"/>
    <w:rsid w:val="0031338A"/>
    <w:rsid w:val="00313461"/>
    <w:rsid w:val="003137BB"/>
    <w:rsid w:val="003138A1"/>
    <w:rsid w:val="003139B8"/>
    <w:rsid w:val="00313CF9"/>
    <w:rsid w:val="00313DE1"/>
    <w:rsid w:val="00313EC9"/>
    <w:rsid w:val="0031414A"/>
    <w:rsid w:val="003143F5"/>
    <w:rsid w:val="00315631"/>
    <w:rsid w:val="0031578C"/>
    <w:rsid w:val="00315E47"/>
    <w:rsid w:val="0031677F"/>
    <w:rsid w:val="00316D06"/>
    <w:rsid w:val="00317424"/>
    <w:rsid w:val="003200F7"/>
    <w:rsid w:val="003201D1"/>
    <w:rsid w:val="0032097A"/>
    <w:rsid w:val="003211B0"/>
    <w:rsid w:val="0032169C"/>
    <w:rsid w:val="003217C6"/>
    <w:rsid w:val="00321B0E"/>
    <w:rsid w:val="00322A3E"/>
    <w:rsid w:val="00322C67"/>
    <w:rsid w:val="003236D5"/>
    <w:rsid w:val="00323F15"/>
    <w:rsid w:val="00323FAE"/>
    <w:rsid w:val="0032436C"/>
    <w:rsid w:val="003244A6"/>
    <w:rsid w:val="00324712"/>
    <w:rsid w:val="00324A21"/>
    <w:rsid w:val="0032670F"/>
    <w:rsid w:val="00326D15"/>
    <w:rsid w:val="00326F16"/>
    <w:rsid w:val="00327014"/>
    <w:rsid w:val="00327253"/>
    <w:rsid w:val="00327276"/>
    <w:rsid w:val="00327402"/>
    <w:rsid w:val="00327B84"/>
    <w:rsid w:val="00327F8A"/>
    <w:rsid w:val="00330497"/>
    <w:rsid w:val="0033061E"/>
    <w:rsid w:val="0033073C"/>
    <w:rsid w:val="003307F0"/>
    <w:rsid w:val="003312EF"/>
    <w:rsid w:val="00331340"/>
    <w:rsid w:val="003316D9"/>
    <w:rsid w:val="00331A54"/>
    <w:rsid w:val="00332FC5"/>
    <w:rsid w:val="0033300B"/>
    <w:rsid w:val="0033368A"/>
    <w:rsid w:val="00333CE2"/>
    <w:rsid w:val="003340B9"/>
    <w:rsid w:val="003349A5"/>
    <w:rsid w:val="003357B2"/>
    <w:rsid w:val="0033582B"/>
    <w:rsid w:val="0033593B"/>
    <w:rsid w:val="00335F8F"/>
    <w:rsid w:val="003369AB"/>
    <w:rsid w:val="00336C77"/>
    <w:rsid w:val="003371D4"/>
    <w:rsid w:val="00337829"/>
    <w:rsid w:val="003405D1"/>
    <w:rsid w:val="00340889"/>
    <w:rsid w:val="00340943"/>
    <w:rsid w:val="0034095B"/>
    <w:rsid w:val="003415BB"/>
    <w:rsid w:val="003416C9"/>
    <w:rsid w:val="00341A3E"/>
    <w:rsid w:val="00341D76"/>
    <w:rsid w:val="00342C3F"/>
    <w:rsid w:val="003433E6"/>
    <w:rsid w:val="00343C6A"/>
    <w:rsid w:val="00343C7E"/>
    <w:rsid w:val="00343EE7"/>
    <w:rsid w:val="003443C8"/>
    <w:rsid w:val="00344508"/>
    <w:rsid w:val="00344687"/>
    <w:rsid w:val="00344B57"/>
    <w:rsid w:val="00344C46"/>
    <w:rsid w:val="003450FC"/>
    <w:rsid w:val="00346510"/>
    <w:rsid w:val="003466E4"/>
    <w:rsid w:val="00346A97"/>
    <w:rsid w:val="00346B78"/>
    <w:rsid w:val="0034765F"/>
    <w:rsid w:val="0035006F"/>
    <w:rsid w:val="003502B1"/>
    <w:rsid w:val="00350584"/>
    <w:rsid w:val="00350635"/>
    <w:rsid w:val="003507C7"/>
    <w:rsid w:val="00350E6E"/>
    <w:rsid w:val="00350F48"/>
    <w:rsid w:val="00351845"/>
    <w:rsid w:val="00351FE2"/>
    <w:rsid w:val="00352287"/>
    <w:rsid w:val="003529D0"/>
    <w:rsid w:val="00352FE7"/>
    <w:rsid w:val="00352FE8"/>
    <w:rsid w:val="003537B0"/>
    <w:rsid w:val="003538BC"/>
    <w:rsid w:val="00353BB2"/>
    <w:rsid w:val="00354AD2"/>
    <w:rsid w:val="00355261"/>
    <w:rsid w:val="003556A5"/>
    <w:rsid w:val="0035604F"/>
    <w:rsid w:val="00356073"/>
    <w:rsid w:val="00356193"/>
    <w:rsid w:val="00356B28"/>
    <w:rsid w:val="00356F9B"/>
    <w:rsid w:val="0035702B"/>
    <w:rsid w:val="0035716B"/>
    <w:rsid w:val="0035732A"/>
    <w:rsid w:val="00357436"/>
    <w:rsid w:val="003576B5"/>
    <w:rsid w:val="00357748"/>
    <w:rsid w:val="003579E7"/>
    <w:rsid w:val="00360045"/>
    <w:rsid w:val="00360121"/>
    <w:rsid w:val="0036019D"/>
    <w:rsid w:val="00360278"/>
    <w:rsid w:val="003606D0"/>
    <w:rsid w:val="00360BF0"/>
    <w:rsid w:val="00360D78"/>
    <w:rsid w:val="00360E26"/>
    <w:rsid w:val="00360F4B"/>
    <w:rsid w:val="00361D21"/>
    <w:rsid w:val="00361E4F"/>
    <w:rsid w:val="0036228C"/>
    <w:rsid w:val="003622CA"/>
    <w:rsid w:val="003624BB"/>
    <w:rsid w:val="00362904"/>
    <w:rsid w:val="003633AB"/>
    <w:rsid w:val="0036391D"/>
    <w:rsid w:val="00364044"/>
    <w:rsid w:val="003642E1"/>
    <w:rsid w:val="00364697"/>
    <w:rsid w:val="00364A1B"/>
    <w:rsid w:val="00364C2E"/>
    <w:rsid w:val="003653E9"/>
    <w:rsid w:val="00365420"/>
    <w:rsid w:val="00365D17"/>
    <w:rsid w:val="00366314"/>
    <w:rsid w:val="00366882"/>
    <w:rsid w:val="00366BA6"/>
    <w:rsid w:val="00366D9E"/>
    <w:rsid w:val="00367606"/>
    <w:rsid w:val="00367C84"/>
    <w:rsid w:val="00370063"/>
    <w:rsid w:val="0037074D"/>
    <w:rsid w:val="00370DFB"/>
    <w:rsid w:val="00371A9A"/>
    <w:rsid w:val="00372800"/>
    <w:rsid w:val="00374637"/>
    <w:rsid w:val="0037467A"/>
    <w:rsid w:val="00375BBC"/>
    <w:rsid w:val="00376B93"/>
    <w:rsid w:val="00376D14"/>
    <w:rsid w:val="00376E87"/>
    <w:rsid w:val="0037709F"/>
    <w:rsid w:val="0037734F"/>
    <w:rsid w:val="0037782D"/>
    <w:rsid w:val="00377A7F"/>
    <w:rsid w:val="00377CC0"/>
    <w:rsid w:val="00377EFC"/>
    <w:rsid w:val="003805A0"/>
    <w:rsid w:val="00380A6B"/>
    <w:rsid w:val="003810CA"/>
    <w:rsid w:val="003813FA"/>
    <w:rsid w:val="00381CEC"/>
    <w:rsid w:val="00381F16"/>
    <w:rsid w:val="00382003"/>
    <w:rsid w:val="00382115"/>
    <w:rsid w:val="00382C58"/>
    <w:rsid w:val="00382FD6"/>
    <w:rsid w:val="0038359E"/>
    <w:rsid w:val="003835CE"/>
    <w:rsid w:val="00383C5D"/>
    <w:rsid w:val="00384231"/>
    <w:rsid w:val="003843B6"/>
    <w:rsid w:val="003845DC"/>
    <w:rsid w:val="003847A8"/>
    <w:rsid w:val="00384F65"/>
    <w:rsid w:val="00384FC7"/>
    <w:rsid w:val="00385132"/>
    <w:rsid w:val="003855D2"/>
    <w:rsid w:val="0038590D"/>
    <w:rsid w:val="00386135"/>
    <w:rsid w:val="0038624B"/>
    <w:rsid w:val="003865AB"/>
    <w:rsid w:val="0038701D"/>
    <w:rsid w:val="003876E3"/>
    <w:rsid w:val="00387B49"/>
    <w:rsid w:val="00387D94"/>
    <w:rsid w:val="00387EDF"/>
    <w:rsid w:val="00390AE4"/>
    <w:rsid w:val="00390E93"/>
    <w:rsid w:val="00391455"/>
    <w:rsid w:val="00391955"/>
    <w:rsid w:val="00392041"/>
    <w:rsid w:val="0039285E"/>
    <w:rsid w:val="00392FB9"/>
    <w:rsid w:val="00393DE2"/>
    <w:rsid w:val="00393F99"/>
    <w:rsid w:val="003948BD"/>
    <w:rsid w:val="00394E02"/>
    <w:rsid w:val="00395053"/>
    <w:rsid w:val="0039541F"/>
    <w:rsid w:val="003955BD"/>
    <w:rsid w:val="00395AE1"/>
    <w:rsid w:val="00396232"/>
    <w:rsid w:val="00396584"/>
    <w:rsid w:val="003979D0"/>
    <w:rsid w:val="00397B26"/>
    <w:rsid w:val="00397E43"/>
    <w:rsid w:val="003A03B9"/>
    <w:rsid w:val="003A0D61"/>
    <w:rsid w:val="003A1164"/>
    <w:rsid w:val="003A13F7"/>
    <w:rsid w:val="003A22A4"/>
    <w:rsid w:val="003A28E7"/>
    <w:rsid w:val="003A2C01"/>
    <w:rsid w:val="003A2EC9"/>
    <w:rsid w:val="003A3108"/>
    <w:rsid w:val="003A3FB1"/>
    <w:rsid w:val="003A4279"/>
    <w:rsid w:val="003A45F6"/>
    <w:rsid w:val="003A4BBB"/>
    <w:rsid w:val="003A4EDC"/>
    <w:rsid w:val="003A4F32"/>
    <w:rsid w:val="003A5123"/>
    <w:rsid w:val="003A556A"/>
    <w:rsid w:val="003A5577"/>
    <w:rsid w:val="003A6063"/>
    <w:rsid w:val="003A6443"/>
    <w:rsid w:val="003A66EC"/>
    <w:rsid w:val="003A7260"/>
    <w:rsid w:val="003A7504"/>
    <w:rsid w:val="003A79E7"/>
    <w:rsid w:val="003A7E33"/>
    <w:rsid w:val="003B03D9"/>
    <w:rsid w:val="003B066E"/>
    <w:rsid w:val="003B09B9"/>
    <w:rsid w:val="003B1002"/>
    <w:rsid w:val="003B1163"/>
    <w:rsid w:val="003B11C2"/>
    <w:rsid w:val="003B24A6"/>
    <w:rsid w:val="003B2A16"/>
    <w:rsid w:val="003B2ACA"/>
    <w:rsid w:val="003B2C54"/>
    <w:rsid w:val="003B35F5"/>
    <w:rsid w:val="003B3628"/>
    <w:rsid w:val="003B3639"/>
    <w:rsid w:val="003B3FB0"/>
    <w:rsid w:val="003B4981"/>
    <w:rsid w:val="003B4C78"/>
    <w:rsid w:val="003B4ED1"/>
    <w:rsid w:val="003B559C"/>
    <w:rsid w:val="003B5C74"/>
    <w:rsid w:val="003B6192"/>
    <w:rsid w:val="003B6284"/>
    <w:rsid w:val="003B6F11"/>
    <w:rsid w:val="003B7213"/>
    <w:rsid w:val="003B7A9D"/>
    <w:rsid w:val="003B7D91"/>
    <w:rsid w:val="003B7E45"/>
    <w:rsid w:val="003C0980"/>
    <w:rsid w:val="003C09FE"/>
    <w:rsid w:val="003C0AD2"/>
    <w:rsid w:val="003C13CA"/>
    <w:rsid w:val="003C25B6"/>
    <w:rsid w:val="003C27E4"/>
    <w:rsid w:val="003C27EB"/>
    <w:rsid w:val="003C2903"/>
    <w:rsid w:val="003C292A"/>
    <w:rsid w:val="003C2CE0"/>
    <w:rsid w:val="003C2F8C"/>
    <w:rsid w:val="003C3282"/>
    <w:rsid w:val="003C38F9"/>
    <w:rsid w:val="003C3D7A"/>
    <w:rsid w:val="003C47D0"/>
    <w:rsid w:val="003C497D"/>
    <w:rsid w:val="003C4BE9"/>
    <w:rsid w:val="003C539A"/>
    <w:rsid w:val="003C5E12"/>
    <w:rsid w:val="003C5F85"/>
    <w:rsid w:val="003C6AE3"/>
    <w:rsid w:val="003C6C7E"/>
    <w:rsid w:val="003C71B4"/>
    <w:rsid w:val="003C7337"/>
    <w:rsid w:val="003C7707"/>
    <w:rsid w:val="003C7C33"/>
    <w:rsid w:val="003C7DA9"/>
    <w:rsid w:val="003C7F37"/>
    <w:rsid w:val="003D045E"/>
    <w:rsid w:val="003D0557"/>
    <w:rsid w:val="003D0823"/>
    <w:rsid w:val="003D0B63"/>
    <w:rsid w:val="003D151A"/>
    <w:rsid w:val="003D189E"/>
    <w:rsid w:val="003D20F0"/>
    <w:rsid w:val="003D2624"/>
    <w:rsid w:val="003D287E"/>
    <w:rsid w:val="003D3834"/>
    <w:rsid w:val="003D3F12"/>
    <w:rsid w:val="003D50CE"/>
    <w:rsid w:val="003D556F"/>
    <w:rsid w:val="003D5972"/>
    <w:rsid w:val="003D59DB"/>
    <w:rsid w:val="003D6160"/>
    <w:rsid w:val="003D6458"/>
    <w:rsid w:val="003D64F5"/>
    <w:rsid w:val="003D653D"/>
    <w:rsid w:val="003D68F3"/>
    <w:rsid w:val="003D69E9"/>
    <w:rsid w:val="003D6B89"/>
    <w:rsid w:val="003D6D0D"/>
    <w:rsid w:val="003D7BEF"/>
    <w:rsid w:val="003D7E37"/>
    <w:rsid w:val="003E1244"/>
    <w:rsid w:val="003E13A7"/>
    <w:rsid w:val="003E1419"/>
    <w:rsid w:val="003E146B"/>
    <w:rsid w:val="003E153C"/>
    <w:rsid w:val="003E19F2"/>
    <w:rsid w:val="003E1F76"/>
    <w:rsid w:val="003E1FA8"/>
    <w:rsid w:val="003E232B"/>
    <w:rsid w:val="003E26D8"/>
    <w:rsid w:val="003E272C"/>
    <w:rsid w:val="003E2C9B"/>
    <w:rsid w:val="003E343A"/>
    <w:rsid w:val="003E363E"/>
    <w:rsid w:val="003E36DF"/>
    <w:rsid w:val="003E3979"/>
    <w:rsid w:val="003E4478"/>
    <w:rsid w:val="003E47CC"/>
    <w:rsid w:val="003E4FF9"/>
    <w:rsid w:val="003E65CE"/>
    <w:rsid w:val="003E6B38"/>
    <w:rsid w:val="003E6F1E"/>
    <w:rsid w:val="003E795D"/>
    <w:rsid w:val="003F0372"/>
    <w:rsid w:val="003F0422"/>
    <w:rsid w:val="003F0D85"/>
    <w:rsid w:val="003F18F7"/>
    <w:rsid w:val="003F1FEA"/>
    <w:rsid w:val="003F24FE"/>
    <w:rsid w:val="003F2825"/>
    <w:rsid w:val="003F3163"/>
    <w:rsid w:val="003F32DB"/>
    <w:rsid w:val="003F33F0"/>
    <w:rsid w:val="003F37F3"/>
    <w:rsid w:val="003F3AF4"/>
    <w:rsid w:val="003F48B6"/>
    <w:rsid w:val="003F58B8"/>
    <w:rsid w:val="003F593B"/>
    <w:rsid w:val="003F6C3C"/>
    <w:rsid w:val="003F6EF8"/>
    <w:rsid w:val="003F7548"/>
    <w:rsid w:val="003F7E83"/>
    <w:rsid w:val="0040046E"/>
    <w:rsid w:val="0040048C"/>
    <w:rsid w:val="00400A53"/>
    <w:rsid w:val="00401175"/>
    <w:rsid w:val="00401470"/>
    <w:rsid w:val="00401630"/>
    <w:rsid w:val="00401663"/>
    <w:rsid w:val="0040181A"/>
    <w:rsid w:val="0040184D"/>
    <w:rsid w:val="0040207A"/>
    <w:rsid w:val="004025EA"/>
    <w:rsid w:val="00402A16"/>
    <w:rsid w:val="00402A4C"/>
    <w:rsid w:val="00403837"/>
    <w:rsid w:val="00403D3B"/>
    <w:rsid w:val="00403FEB"/>
    <w:rsid w:val="00404047"/>
    <w:rsid w:val="00404242"/>
    <w:rsid w:val="004048CB"/>
    <w:rsid w:val="00404D2B"/>
    <w:rsid w:val="0040592B"/>
    <w:rsid w:val="0040599A"/>
    <w:rsid w:val="004063EA"/>
    <w:rsid w:val="00406623"/>
    <w:rsid w:val="00406B9E"/>
    <w:rsid w:val="0040719B"/>
    <w:rsid w:val="00407235"/>
    <w:rsid w:val="004102F5"/>
    <w:rsid w:val="004107A2"/>
    <w:rsid w:val="00410D59"/>
    <w:rsid w:val="00410F5A"/>
    <w:rsid w:val="00410FC0"/>
    <w:rsid w:val="00411A1A"/>
    <w:rsid w:val="004123D0"/>
    <w:rsid w:val="00412877"/>
    <w:rsid w:val="00412C64"/>
    <w:rsid w:val="00413AAC"/>
    <w:rsid w:val="00413C64"/>
    <w:rsid w:val="004149F0"/>
    <w:rsid w:val="00414EF2"/>
    <w:rsid w:val="00416396"/>
    <w:rsid w:val="00416545"/>
    <w:rsid w:val="00416775"/>
    <w:rsid w:val="0041699E"/>
    <w:rsid w:val="00416A20"/>
    <w:rsid w:val="00416BC0"/>
    <w:rsid w:val="00416C13"/>
    <w:rsid w:val="00417147"/>
    <w:rsid w:val="00417859"/>
    <w:rsid w:val="00417D25"/>
    <w:rsid w:val="004204B7"/>
    <w:rsid w:val="004212CA"/>
    <w:rsid w:val="00421495"/>
    <w:rsid w:val="0042198D"/>
    <w:rsid w:val="00421AE1"/>
    <w:rsid w:val="00421D18"/>
    <w:rsid w:val="00422104"/>
    <w:rsid w:val="00422492"/>
    <w:rsid w:val="00422549"/>
    <w:rsid w:val="0042296C"/>
    <w:rsid w:val="00422BCB"/>
    <w:rsid w:val="00424715"/>
    <w:rsid w:val="00424D6D"/>
    <w:rsid w:val="004254F5"/>
    <w:rsid w:val="004257A6"/>
    <w:rsid w:val="00425CDB"/>
    <w:rsid w:val="00425DFA"/>
    <w:rsid w:val="00425F9D"/>
    <w:rsid w:val="004260B0"/>
    <w:rsid w:val="0042630F"/>
    <w:rsid w:val="00426906"/>
    <w:rsid w:val="004271EA"/>
    <w:rsid w:val="0042724C"/>
    <w:rsid w:val="004274FF"/>
    <w:rsid w:val="00427E99"/>
    <w:rsid w:val="00430342"/>
    <w:rsid w:val="00430808"/>
    <w:rsid w:val="00430A87"/>
    <w:rsid w:val="00430F08"/>
    <w:rsid w:val="00430F99"/>
    <w:rsid w:val="00431D6A"/>
    <w:rsid w:val="00433559"/>
    <w:rsid w:val="00433860"/>
    <w:rsid w:val="00433A7D"/>
    <w:rsid w:val="00433EF6"/>
    <w:rsid w:val="00434074"/>
    <w:rsid w:val="00434497"/>
    <w:rsid w:val="00434D5D"/>
    <w:rsid w:val="004353DF"/>
    <w:rsid w:val="0043647E"/>
    <w:rsid w:val="00436542"/>
    <w:rsid w:val="004365D3"/>
    <w:rsid w:val="00436CF8"/>
    <w:rsid w:val="004374FA"/>
    <w:rsid w:val="004378E7"/>
    <w:rsid w:val="00437A8B"/>
    <w:rsid w:val="0044082A"/>
    <w:rsid w:val="00440B2B"/>
    <w:rsid w:val="00441583"/>
    <w:rsid w:val="004416D6"/>
    <w:rsid w:val="00441946"/>
    <w:rsid w:val="00441DE4"/>
    <w:rsid w:val="004420BD"/>
    <w:rsid w:val="00442799"/>
    <w:rsid w:val="0044287D"/>
    <w:rsid w:val="00443D0F"/>
    <w:rsid w:val="004445EE"/>
    <w:rsid w:val="00444B05"/>
    <w:rsid w:val="00444C38"/>
    <w:rsid w:val="00444D50"/>
    <w:rsid w:val="00444F89"/>
    <w:rsid w:val="0044561B"/>
    <w:rsid w:val="00445DF4"/>
    <w:rsid w:val="00445EB4"/>
    <w:rsid w:val="00445F85"/>
    <w:rsid w:val="004461A2"/>
    <w:rsid w:val="0044628B"/>
    <w:rsid w:val="00446320"/>
    <w:rsid w:val="0044670C"/>
    <w:rsid w:val="00446F20"/>
    <w:rsid w:val="004472EA"/>
    <w:rsid w:val="00447357"/>
    <w:rsid w:val="004477D2"/>
    <w:rsid w:val="004478EB"/>
    <w:rsid w:val="00447C78"/>
    <w:rsid w:val="00447CBC"/>
    <w:rsid w:val="00447CFC"/>
    <w:rsid w:val="00447DC1"/>
    <w:rsid w:val="004502A7"/>
    <w:rsid w:val="00451585"/>
    <w:rsid w:val="00451C39"/>
    <w:rsid w:val="00452771"/>
    <w:rsid w:val="004528D6"/>
    <w:rsid w:val="00452C34"/>
    <w:rsid w:val="00453313"/>
    <w:rsid w:val="004536FA"/>
    <w:rsid w:val="00453707"/>
    <w:rsid w:val="00453A9E"/>
    <w:rsid w:val="00453E56"/>
    <w:rsid w:val="00454092"/>
    <w:rsid w:val="004542A8"/>
    <w:rsid w:val="0045434C"/>
    <w:rsid w:val="004543B2"/>
    <w:rsid w:val="00454E8F"/>
    <w:rsid w:val="00454EBF"/>
    <w:rsid w:val="00455CAE"/>
    <w:rsid w:val="00455D6D"/>
    <w:rsid w:val="00456324"/>
    <w:rsid w:val="004571FB"/>
    <w:rsid w:val="00457814"/>
    <w:rsid w:val="00460015"/>
    <w:rsid w:val="00460902"/>
    <w:rsid w:val="00460D97"/>
    <w:rsid w:val="00461FB2"/>
    <w:rsid w:val="00462402"/>
    <w:rsid w:val="0046295C"/>
    <w:rsid w:val="00462A09"/>
    <w:rsid w:val="00462E2D"/>
    <w:rsid w:val="004639A2"/>
    <w:rsid w:val="00463B6F"/>
    <w:rsid w:val="0046434D"/>
    <w:rsid w:val="004647E8"/>
    <w:rsid w:val="00464862"/>
    <w:rsid w:val="00464F22"/>
    <w:rsid w:val="004654E6"/>
    <w:rsid w:val="004655C9"/>
    <w:rsid w:val="0046567F"/>
    <w:rsid w:val="00465D14"/>
    <w:rsid w:val="00465EA8"/>
    <w:rsid w:val="00466467"/>
    <w:rsid w:val="004667DA"/>
    <w:rsid w:val="00466BD6"/>
    <w:rsid w:val="004677C5"/>
    <w:rsid w:val="00470239"/>
    <w:rsid w:val="00470469"/>
    <w:rsid w:val="0047053E"/>
    <w:rsid w:val="004705B2"/>
    <w:rsid w:val="004707A1"/>
    <w:rsid w:val="00470F76"/>
    <w:rsid w:val="00471094"/>
    <w:rsid w:val="00471BF0"/>
    <w:rsid w:val="00471DB8"/>
    <w:rsid w:val="00471E41"/>
    <w:rsid w:val="00471EF9"/>
    <w:rsid w:val="004737F1"/>
    <w:rsid w:val="00473B14"/>
    <w:rsid w:val="00473D78"/>
    <w:rsid w:val="00474256"/>
    <w:rsid w:val="00474C85"/>
    <w:rsid w:val="00474DA3"/>
    <w:rsid w:val="00474FDA"/>
    <w:rsid w:val="004750DB"/>
    <w:rsid w:val="00476BD9"/>
    <w:rsid w:val="00476E9F"/>
    <w:rsid w:val="0047724D"/>
    <w:rsid w:val="004776AB"/>
    <w:rsid w:val="00480373"/>
    <w:rsid w:val="004804A5"/>
    <w:rsid w:val="004809A2"/>
    <w:rsid w:val="00480C0C"/>
    <w:rsid w:val="00480FD0"/>
    <w:rsid w:val="004813D4"/>
    <w:rsid w:val="00481906"/>
    <w:rsid w:val="0048196C"/>
    <w:rsid w:val="00481B5E"/>
    <w:rsid w:val="00481C93"/>
    <w:rsid w:val="004836D3"/>
    <w:rsid w:val="00483E2E"/>
    <w:rsid w:val="004841CD"/>
    <w:rsid w:val="004843F6"/>
    <w:rsid w:val="004846E9"/>
    <w:rsid w:val="00484B89"/>
    <w:rsid w:val="00484DAB"/>
    <w:rsid w:val="00485074"/>
    <w:rsid w:val="0048520A"/>
    <w:rsid w:val="00485638"/>
    <w:rsid w:val="00485A2D"/>
    <w:rsid w:val="0048641C"/>
    <w:rsid w:val="0048727F"/>
    <w:rsid w:val="00487A2B"/>
    <w:rsid w:val="00487C60"/>
    <w:rsid w:val="00490F93"/>
    <w:rsid w:val="004919D4"/>
    <w:rsid w:val="00491E43"/>
    <w:rsid w:val="0049247B"/>
    <w:rsid w:val="00492BA5"/>
    <w:rsid w:val="00493124"/>
    <w:rsid w:val="00493193"/>
    <w:rsid w:val="00493194"/>
    <w:rsid w:val="004931BF"/>
    <w:rsid w:val="00493332"/>
    <w:rsid w:val="00493A46"/>
    <w:rsid w:val="004946DB"/>
    <w:rsid w:val="00494B56"/>
    <w:rsid w:val="00495FD9"/>
    <w:rsid w:val="00495FE9"/>
    <w:rsid w:val="00496AF8"/>
    <w:rsid w:val="00496B7B"/>
    <w:rsid w:val="00496D4E"/>
    <w:rsid w:val="00496DFD"/>
    <w:rsid w:val="00497176"/>
    <w:rsid w:val="004971FA"/>
    <w:rsid w:val="0049729D"/>
    <w:rsid w:val="004978A1"/>
    <w:rsid w:val="00497B08"/>
    <w:rsid w:val="00497F88"/>
    <w:rsid w:val="004A01FA"/>
    <w:rsid w:val="004A02F9"/>
    <w:rsid w:val="004A060E"/>
    <w:rsid w:val="004A0DEF"/>
    <w:rsid w:val="004A13CD"/>
    <w:rsid w:val="004A1450"/>
    <w:rsid w:val="004A20E7"/>
    <w:rsid w:val="004A21C2"/>
    <w:rsid w:val="004A2981"/>
    <w:rsid w:val="004A2F56"/>
    <w:rsid w:val="004A302A"/>
    <w:rsid w:val="004A3168"/>
    <w:rsid w:val="004A34E5"/>
    <w:rsid w:val="004A4619"/>
    <w:rsid w:val="004A4C58"/>
    <w:rsid w:val="004A553F"/>
    <w:rsid w:val="004A57F1"/>
    <w:rsid w:val="004A5C6A"/>
    <w:rsid w:val="004A673F"/>
    <w:rsid w:val="004A727E"/>
    <w:rsid w:val="004A76C9"/>
    <w:rsid w:val="004A79D5"/>
    <w:rsid w:val="004B0478"/>
    <w:rsid w:val="004B0687"/>
    <w:rsid w:val="004B08A9"/>
    <w:rsid w:val="004B097E"/>
    <w:rsid w:val="004B11D4"/>
    <w:rsid w:val="004B19FD"/>
    <w:rsid w:val="004B1A6F"/>
    <w:rsid w:val="004B20FF"/>
    <w:rsid w:val="004B26F6"/>
    <w:rsid w:val="004B2D9D"/>
    <w:rsid w:val="004B3182"/>
    <w:rsid w:val="004B4555"/>
    <w:rsid w:val="004B4C4C"/>
    <w:rsid w:val="004B4CA9"/>
    <w:rsid w:val="004B50CF"/>
    <w:rsid w:val="004B556C"/>
    <w:rsid w:val="004B64D7"/>
    <w:rsid w:val="004B6E47"/>
    <w:rsid w:val="004B70A3"/>
    <w:rsid w:val="004B7424"/>
    <w:rsid w:val="004C0018"/>
    <w:rsid w:val="004C0410"/>
    <w:rsid w:val="004C0FAE"/>
    <w:rsid w:val="004C1F7F"/>
    <w:rsid w:val="004C2B92"/>
    <w:rsid w:val="004C2C1E"/>
    <w:rsid w:val="004C2E56"/>
    <w:rsid w:val="004C3157"/>
    <w:rsid w:val="004C3494"/>
    <w:rsid w:val="004C3714"/>
    <w:rsid w:val="004C3F52"/>
    <w:rsid w:val="004C4102"/>
    <w:rsid w:val="004C43F0"/>
    <w:rsid w:val="004C4D04"/>
    <w:rsid w:val="004C536A"/>
    <w:rsid w:val="004C540D"/>
    <w:rsid w:val="004C573E"/>
    <w:rsid w:val="004C5A15"/>
    <w:rsid w:val="004C67F9"/>
    <w:rsid w:val="004C75D8"/>
    <w:rsid w:val="004C79C3"/>
    <w:rsid w:val="004C7F7C"/>
    <w:rsid w:val="004D012A"/>
    <w:rsid w:val="004D037A"/>
    <w:rsid w:val="004D0989"/>
    <w:rsid w:val="004D0C9E"/>
    <w:rsid w:val="004D0CB3"/>
    <w:rsid w:val="004D0CE8"/>
    <w:rsid w:val="004D0D25"/>
    <w:rsid w:val="004D0E33"/>
    <w:rsid w:val="004D0FE2"/>
    <w:rsid w:val="004D1EBD"/>
    <w:rsid w:val="004D2B3D"/>
    <w:rsid w:val="004D340C"/>
    <w:rsid w:val="004D349B"/>
    <w:rsid w:val="004D365A"/>
    <w:rsid w:val="004D3FE9"/>
    <w:rsid w:val="004D401C"/>
    <w:rsid w:val="004D4FDA"/>
    <w:rsid w:val="004D509A"/>
    <w:rsid w:val="004D5773"/>
    <w:rsid w:val="004D5D40"/>
    <w:rsid w:val="004D5D5B"/>
    <w:rsid w:val="004D6753"/>
    <w:rsid w:val="004D6EA2"/>
    <w:rsid w:val="004D7989"/>
    <w:rsid w:val="004D7A10"/>
    <w:rsid w:val="004D7E70"/>
    <w:rsid w:val="004D7F8B"/>
    <w:rsid w:val="004E0654"/>
    <w:rsid w:val="004E157B"/>
    <w:rsid w:val="004E1E77"/>
    <w:rsid w:val="004E23DC"/>
    <w:rsid w:val="004E2C91"/>
    <w:rsid w:val="004E371C"/>
    <w:rsid w:val="004E3767"/>
    <w:rsid w:val="004E4395"/>
    <w:rsid w:val="004E447C"/>
    <w:rsid w:val="004E461C"/>
    <w:rsid w:val="004E5047"/>
    <w:rsid w:val="004E5269"/>
    <w:rsid w:val="004E553A"/>
    <w:rsid w:val="004E5840"/>
    <w:rsid w:val="004E6611"/>
    <w:rsid w:val="004E6662"/>
    <w:rsid w:val="004E66B8"/>
    <w:rsid w:val="004E73D2"/>
    <w:rsid w:val="004E7CFD"/>
    <w:rsid w:val="004E7E42"/>
    <w:rsid w:val="004F0566"/>
    <w:rsid w:val="004F071A"/>
    <w:rsid w:val="004F0819"/>
    <w:rsid w:val="004F1155"/>
    <w:rsid w:val="004F156D"/>
    <w:rsid w:val="004F224C"/>
    <w:rsid w:val="004F247D"/>
    <w:rsid w:val="004F2DD2"/>
    <w:rsid w:val="004F2E34"/>
    <w:rsid w:val="004F42D5"/>
    <w:rsid w:val="004F45F2"/>
    <w:rsid w:val="004F46FD"/>
    <w:rsid w:val="004F5675"/>
    <w:rsid w:val="004F5C45"/>
    <w:rsid w:val="004F5F1C"/>
    <w:rsid w:val="004F6105"/>
    <w:rsid w:val="004F63F8"/>
    <w:rsid w:val="004F67CE"/>
    <w:rsid w:val="004F6E48"/>
    <w:rsid w:val="004F6F0B"/>
    <w:rsid w:val="004F753B"/>
    <w:rsid w:val="004F7CE5"/>
    <w:rsid w:val="004F7E94"/>
    <w:rsid w:val="005004BA"/>
    <w:rsid w:val="00500594"/>
    <w:rsid w:val="00500BA1"/>
    <w:rsid w:val="0050144B"/>
    <w:rsid w:val="00501771"/>
    <w:rsid w:val="00501945"/>
    <w:rsid w:val="005019C3"/>
    <w:rsid w:val="00501D28"/>
    <w:rsid w:val="00501EC4"/>
    <w:rsid w:val="005020D3"/>
    <w:rsid w:val="005024C6"/>
    <w:rsid w:val="0050265C"/>
    <w:rsid w:val="005026C1"/>
    <w:rsid w:val="005028EF"/>
    <w:rsid w:val="005030C4"/>
    <w:rsid w:val="005031F2"/>
    <w:rsid w:val="005032F6"/>
    <w:rsid w:val="00503712"/>
    <w:rsid w:val="0050421C"/>
    <w:rsid w:val="00504A44"/>
    <w:rsid w:val="00504C7C"/>
    <w:rsid w:val="00504F2C"/>
    <w:rsid w:val="00505133"/>
    <w:rsid w:val="00505194"/>
    <w:rsid w:val="0050519E"/>
    <w:rsid w:val="00505602"/>
    <w:rsid w:val="00505794"/>
    <w:rsid w:val="00506404"/>
    <w:rsid w:val="00506846"/>
    <w:rsid w:val="00506B4E"/>
    <w:rsid w:val="00506C4F"/>
    <w:rsid w:val="00506F26"/>
    <w:rsid w:val="00507243"/>
    <w:rsid w:val="00507839"/>
    <w:rsid w:val="00507B14"/>
    <w:rsid w:val="005101AB"/>
    <w:rsid w:val="00510512"/>
    <w:rsid w:val="0051075E"/>
    <w:rsid w:val="00510E72"/>
    <w:rsid w:val="00511246"/>
    <w:rsid w:val="005116C2"/>
    <w:rsid w:val="00511877"/>
    <w:rsid w:val="00511CA8"/>
    <w:rsid w:val="0051213C"/>
    <w:rsid w:val="005128D7"/>
    <w:rsid w:val="00512B58"/>
    <w:rsid w:val="00512B5E"/>
    <w:rsid w:val="00512CEA"/>
    <w:rsid w:val="00512E2C"/>
    <w:rsid w:val="00513780"/>
    <w:rsid w:val="00513BC8"/>
    <w:rsid w:val="00514971"/>
    <w:rsid w:val="00514CAD"/>
    <w:rsid w:val="00514E93"/>
    <w:rsid w:val="0051624C"/>
    <w:rsid w:val="00516359"/>
    <w:rsid w:val="00516433"/>
    <w:rsid w:val="00516BB8"/>
    <w:rsid w:val="00516D7F"/>
    <w:rsid w:val="00517189"/>
    <w:rsid w:val="005171DA"/>
    <w:rsid w:val="00517920"/>
    <w:rsid w:val="00517C46"/>
    <w:rsid w:val="00520149"/>
    <w:rsid w:val="00520632"/>
    <w:rsid w:val="00520688"/>
    <w:rsid w:val="005208E9"/>
    <w:rsid w:val="00520AA5"/>
    <w:rsid w:val="0052143C"/>
    <w:rsid w:val="00521AC0"/>
    <w:rsid w:val="00521C7E"/>
    <w:rsid w:val="00521CF8"/>
    <w:rsid w:val="00522C2A"/>
    <w:rsid w:val="005234AD"/>
    <w:rsid w:val="0052354E"/>
    <w:rsid w:val="00523D5C"/>
    <w:rsid w:val="0052459F"/>
    <w:rsid w:val="005251D8"/>
    <w:rsid w:val="00525236"/>
    <w:rsid w:val="005253AE"/>
    <w:rsid w:val="005261DB"/>
    <w:rsid w:val="0052632D"/>
    <w:rsid w:val="00526438"/>
    <w:rsid w:val="005267E4"/>
    <w:rsid w:val="00526A06"/>
    <w:rsid w:val="00526CFB"/>
    <w:rsid w:val="00526F6D"/>
    <w:rsid w:val="00527318"/>
    <w:rsid w:val="005277DE"/>
    <w:rsid w:val="00527BA0"/>
    <w:rsid w:val="00527FC9"/>
    <w:rsid w:val="00530017"/>
    <w:rsid w:val="00530095"/>
    <w:rsid w:val="00530798"/>
    <w:rsid w:val="00530934"/>
    <w:rsid w:val="00530F4B"/>
    <w:rsid w:val="00531F4B"/>
    <w:rsid w:val="005323D9"/>
    <w:rsid w:val="0053287F"/>
    <w:rsid w:val="00532AD4"/>
    <w:rsid w:val="00532EBA"/>
    <w:rsid w:val="00533F7D"/>
    <w:rsid w:val="00534A86"/>
    <w:rsid w:val="00534DAD"/>
    <w:rsid w:val="0053579A"/>
    <w:rsid w:val="00535CE6"/>
    <w:rsid w:val="00535D48"/>
    <w:rsid w:val="00535E45"/>
    <w:rsid w:val="00536091"/>
    <w:rsid w:val="005369D3"/>
    <w:rsid w:val="00536EF7"/>
    <w:rsid w:val="00536FD6"/>
    <w:rsid w:val="00540530"/>
    <w:rsid w:val="0054069B"/>
    <w:rsid w:val="0054185C"/>
    <w:rsid w:val="0054202D"/>
    <w:rsid w:val="00542804"/>
    <w:rsid w:val="00542F7B"/>
    <w:rsid w:val="00543B28"/>
    <w:rsid w:val="00544060"/>
    <w:rsid w:val="005445B9"/>
    <w:rsid w:val="00544DF5"/>
    <w:rsid w:val="00545480"/>
    <w:rsid w:val="0054783A"/>
    <w:rsid w:val="00547B23"/>
    <w:rsid w:val="00547C37"/>
    <w:rsid w:val="005502E5"/>
    <w:rsid w:val="00550377"/>
    <w:rsid w:val="00550752"/>
    <w:rsid w:val="00550A9B"/>
    <w:rsid w:val="00550C9B"/>
    <w:rsid w:val="0055199A"/>
    <w:rsid w:val="005521F7"/>
    <w:rsid w:val="00552D2B"/>
    <w:rsid w:val="00552D6F"/>
    <w:rsid w:val="00553B2C"/>
    <w:rsid w:val="0055464A"/>
    <w:rsid w:val="00554B21"/>
    <w:rsid w:val="00554DEF"/>
    <w:rsid w:val="00554F9B"/>
    <w:rsid w:val="0055547E"/>
    <w:rsid w:val="0055595F"/>
    <w:rsid w:val="005559F2"/>
    <w:rsid w:val="00555C6C"/>
    <w:rsid w:val="0055669F"/>
    <w:rsid w:val="005579EB"/>
    <w:rsid w:val="00557C37"/>
    <w:rsid w:val="00560139"/>
    <w:rsid w:val="005603B9"/>
    <w:rsid w:val="00561375"/>
    <w:rsid w:val="0056143E"/>
    <w:rsid w:val="00561691"/>
    <w:rsid w:val="005617F8"/>
    <w:rsid w:val="005619CD"/>
    <w:rsid w:val="00561C0D"/>
    <w:rsid w:val="00561FA5"/>
    <w:rsid w:val="0056201E"/>
    <w:rsid w:val="00562370"/>
    <w:rsid w:val="00562724"/>
    <w:rsid w:val="00562EE8"/>
    <w:rsid w:val="00562F31"/>
    <w:rsid w:val="005635CE"/>
    <w:rsid w:val="0056414A"/>
    <w:rsid w:val="0056417B"/>
    <w:rsid w:val="005644D6"/>
    <w:rsid w:val="005645D7"/>
    <w:rsid w:val="00564E32"/>
    <w:rsid w:val="00564FE6"/>
    <w:rsid w:val="00565041"/>
    <w:rsid w:val="005650FD"/>
    <w:rsid w:val="00565830"/>
    <w:rsid w:val="00565866"/>
    <w:rsid w:val="00566189"/>
    <w:rsid w:val="005663E6"/>
    <w:rsid w:val="00566460"/>
    <w:rsid w:val="0056659E"/>
    <w:rsid w:val="00566CF0"/>
    <w:rsid w:val="005674EA"/>
    <w:rsid w:val="005676FF"/>
    <w:rsid w:val="00567A58"/>
    <w:rsid w:val="00570C47"/>
    <w:rsid w:val="005711B8"/>
    <w:rsid w:val="0057146F"/>
    <w:rsid w:val="005716F8"/>
    <w:rsid w:val="005717B0"/>
    <w:rsid w:val="005718DF"/>
    <w:rsid w:val="0057213F"/>
    <w:rsid w:val="00572D75"/>
    <w:rsid w:val="00573C99"/>
    <w:rsid w:val="005745CA"/>
    <w:rsid w:val="005745FB"/>
    <w:rsid w:val="00574869"/>
    <w:rsid w:val="00574A28"/>
    <w:rsid w:val="00574A94"/>
    <w:rsid w:val="00574C2B"/>
    <w:rsid w:val="00575D48"/>
    <w:rsid w:val="005763C3"/>
    <w:rsid w:val="00577206"/>
    <w:rsid w:val="00577C22"/>
    <w:rsid w:val="00580204"/>
    <w:rsid w:val="005802EC"/>
    <w:rsid w:val="0058095B"/>
    <w:rsid w:val="00580CD7"/>
    <w:rsid w:val="00581716"/>
    <w:rsid w:val="00581967"/>
    <w:rsid w:val="00581F7C"/>
    <w:rsid w:val="00582550"/>
    <w:rsid w:val="005838AB"/>
    <w:rsid w:val="00583907"/>
    <w:rsid w:val="00583DC2"/>
    <w:rsid w:val="005843D5"/>
    <w:rsid w:val="00584C13"/>
    <w:rsid w:val="00584CAE"/>
    <w:rsid w:val="00584E35"/>
    <w:rsid w:val="00584F5E"/>
    <w:rsid w:val="00584F64"/>
    <w:rsid w:val="005851EF"/>
    <w:rsid w:val="0058560B"/>
    <w:rsid w:val="005856BA"/>
    <w:rsid w:val="00585A17"/>
    <w:rsid w:val="00585E44"/>
    <w:rsid w:val="005860D5"/>
    <w:rsid w:val="00586EAE"/>
    <w:rsid w:val="00586FEC"/>
    <w:rsid w:val="005900CC"/>
    <w:rsid w:val="00590935"/>
    <w:rsid w:val="005927A6"/>
    <w:rsid w:val="005929AF"/>
    <w:rsid w:val="00592C87"/>
    <w:rsid w:val="0059301B"/>
    <w:rsid w:val="005938D6"/>
    <w:rsid w:val="00593E83"/>
    <w:rsid w:val="0059411D"/>
    <w:rsid w:val="005942F4"/>
    <w:rsid w:val="0059702A"/>
    <w:rsid w:val="005970A2"/>
    <w:rsid w:val="005970CE"/>
    <w:rsid w:val="00597181"/>
    <w:rsid w:val="0059768C"/>
    <w:rsid w:val="005A02DB"/>
    <w:rsid w:val="005A0803"/>
    <w:rsid w:val="005A0AF3"/>
    <w:rsid w:val="005A0CB5"/>
    <w:rsid w:val="005A16E9"/>
    <w:rsid w:val="005A1AA4"/>
    <w:rsid w:val="005A24A3"/>
    <w:rsid w:val="005A254A"/>
    <w:rsid w:val="005A2A73"/>
    <w:rsid w:val="005A3819"/>
    <w:rsid w:val="005A508B"/>
    <w:rsid w:val="005A51EF"/>
    <w:rsid w:val="005A52E6"/>
    <w:rsid w:val="005A5395"/>
    <w:rsid w:val="005A55AE"/>
    <w:rsid w:val="005A584C"/>
    <w:rsid w:val="005A5E0C"/>
    <w:rsid w:val="005A6985"/>
    <w:rsid w:val="005A71E0"/>
    <w:rsid w:val="005A7566"/>
    <w:rsid w:val="005A75EB"/>
    <w:rsid w:val="005A7869"/>
    <w:rsid w:val="005A7B09"/>
    <w:rsid w:val="005A7B71"/>
    <w:rsid w:val="005B0437"/>
    <w:rsid w:val="005B0454"/>
    <w:rsid w:val="005B0754"/>
    <w:rsid w:val="005B0D3D"/>
    <w:rsid w:val="005B1F5A"/>
    <w:rsid w:val="005B21AB"/>
    <w:rsid w:val="005B2735"/>
    <w:rsid w:val="005B286C"/>
    <w:rsid w:val="005B2DB7"/>
    <w:rsid w:val="005B34DE"/>
    <w:rsid w:val="005B3B3F"/>
    <w:rsid w:val="005B44D1"/>
    <w:rsid w:val="005B4690"/>
    <w:rsid w:val="005B46FF"/>
    <w:rsid w:val="005B470F"/>
    <w:rsid w:val="005B4A2A"/>
    <w:rsid w:val="005B550B"/>
    <w:rsid w:val="005B56CD"/>
    <w:rsid w:val="005B5DB3"/>
    <w:rsid w:val="005B5E3E"/>
    <w:rsid w:val="005B63C9"/>
    <w:rsid w:val="005B6607"/>
    <w:rsid w:val="005B68E5"/>
    <w:rsid w:val="005B697A"/>
    <w:rsid w:val="005B774D"/>
    <w:rsid w:val="005B7956"/>
    <w:rsid w:val="005B7A5F"/>
    <w:rsid w:val="005C0085"/>
    <w:rsid w:val="005C02C6"/>
    <w:rsid w:val="005C0470"/>
    <w:rsid w:val="005C063D"/>
    <w:rsid w:val="005C06EA"/>
    <w:rsid w:val="005C0832"/>
    <w:rsid w:val="005C0AD9"/>
    <w:rsid w:val="005C0F97"/>
    <w:rsid w:val="005C0FA3"/>
    <w:rsid w:val="005C119A"/>
    <w:rsid w:val="005C13C8"/>
    <w:rsid w:val="005C2039"/>
    <w:rsid w:val="005C20B7"/>
    <w:rsid w:val="005C2337"/>
    <w:rsid w:val="005C26AB"/>
    <w:rsid w:val="005C3CEC"/>
    <w:rsid w:val="005C3ED1"/>
    <w:rsid w:val="005C3FB3"/>
    <w:rsid w:val="005C4046"/>
    <w:rsid w:val="005C41B1"/>
    <w:rsid w:val="005C4816"/>
    <w:rsid w:val="005C52A7"/>
    <w:rsid w:val="005C5A8C"/>
    <w:rsid w:val="005C7007"/>
    <w:rsid w:val="005C75BD"/>
    <w:rsid w:val="005C77FE"/>
    <w:rsid w:val="005D070E"/>
    <w:rsid w:val="005D1155"/>
    <w:rsid w:val="005D2148"/>
    <w:rsid w:val="005D2594"/>
    <w:rsid w:val="005D30B7"/>
    <w:rsid w:val="005D3243"/>
    <w:rsid w:val="005D3939"/>
    <w:rsid w:val="005D4D2E"/>
    <w:rsid w:val="005D51B6"/>
    <w:rsid w:val="005D55A5"/>
    <w:rsid w:val="005D5861"/>
    <w:rsid w:val="005D5CAF"/>
    <w:rsid w:val="005D5D6B"/>
    <w:rsid w:val="005D5D96"/>
    <w:rsid w:val="005D6063"/>
    <w:rsid w:val="005D6C6F"/>
    <w:rsid w:val="005D7182"/>
    <w:rsid w:val="005D72D0"/>
    <w:rsid w:val="005D730D"/>
    <w:rsid w:val="005D7B1D"/>
    <w:rsid w:val="005D7C15"/>
    <w:rsid w:val="005D7DD6"/>
    <w:rsid w:val="005E0095"/>
    <w:rsid w:val="005E0487"/>
    <w:rsid w:val="005E0EA9"/>
    <w:rsid w:val="005E13CF"/>
    <w:rsid w:val="005E16AC"/>
    <w:rsid w:val="005E2C34"/>
    <w:rsid w:val="005E3089"/>
    <w:rsid w:val="005E3287"/>
    <w:rsid w:val="005E3612"/>
    <w:rsid w:val="005E3B4B"/>
    <w:rsid w:val="005E3DC2"/>
    <w:rsid w:val="005E411F"/>
    <w:rsid w:val="005E455D"/>
    <w:rsid w:val="005E4953"/>
    <w:rsid w:val="005E5232"/>
    <w:rsid w:val="005E52FB"/>
    <w:rsid w:val="005E5C8B"/>
    <w:rsid w:val="005E60FE"/>
    <w:rsid w:val="005E68D0"/>
    <w:rsid w:val="005E69A6"/>
    <w:rsid w:val="005E6FD0"/>
    <w:rsid w:val="005E772A"/>
    <w:rsid w:val="005E7A1E"/>
    <w:rsid w:val="005E7A24"/>
    <w:rsid w:val="005E7AD1"/>
    <w:rsid w:val="005F0300"/>
    <w:rsid w:val="005F07B5"/>
    <w:rsid w:val="005F099A"/>
    <w:rsid w:val="005F09C4"/>
    <w:rsid w:val="005F0C69"/>
    <w:rsid w:val="005F10D5"/>
    <w:rsid w:val="005F1421"/>
    <w:rsid w:val="005F1E5D"/>
    <w:rsid w:val="005F236C"/>
    <w:rsid w:val="005F2443"/>
    <w:rsid w:val="005F279E"/>
    <w:rsid w:val="005F2A09"/>
    <w:rsid w:val="005F2B0C"/>
    <w:rsid w:val="005F3509"/>
    <w:rsid w:val="005F3606"/>
    <w:rsid w:val="005F3C7B"/>
    <w:rsid w:val="005F3D5E"/>
    <w:rsid w:val="005F41D0"/>
    <w:rsid w:val="005F43F6"/>
    <w:rsid w:val="005F4573"/>
    <w:rsid w:val="005F47ED"/>
    <w:rsid w:val="005F511E"/>
    <w:rsid w:val="005F5191"/>
    <w:rsid w:val="005F5351"/>
    <w:rsid w:val="005F5CC2"/>
    <w:rsid w:val="005F6032"/>
    <w:rsid w:val="005F7057"/>
    <w:rsid w:val="005F7073"/>
    <w:rsid w:val="005F71BE"/>
    <w:rsid w:val="005F7649"/>
    <w:rsid w:val="005F7FC7"/>
    <w:rsid w:val="006000A0"/>
    <w:rsid w:val="00600142"/>
    <w:rsid w:val="006002D8"/>
    <w:rsid w:val="00600AD3"/>
    <w:rsid w:val="00600EAE"/>
    <w:rsid w:val="00601280"/>
    <w:rsid w:val="00601827"/>
    <w:rsid w:val="0060217A"/>
    <w:rsid w:val="006029F9"/>
    <w:rsid w:val="006030AB"/>
    <w:rsid w:val="00603A54"/>
    <w:rsid w:val="00603BBF"/>
    <w:rsid w:val="00603DE6"/>
    <w:rsid w:val="00603EB4"/>
    <w:rsid w:val="00607101"/>
    <w:rsid w:val="0060734F"/>
    <w:rsid w:val="00610533"/>
    <w:rsid w:val="00610574"/>
    <w:rsid w:val="00610956"/>
    <w:rsid w:val="0061099D"/>
    <w:rsid w:val="00610B71"/>
    <w:rsid w:val="00610D0B"/>
    <w:rsid w:val="0061100E"/>
    <w:rsid w:val="00611A9D"/>
    <w:rsid w:val="00611EB3"/>
    <w:rsid w:val="00612259"/>
    <w:rsid w:val="0061281C"/>
    <w:rsid w:val="00612C3C"/>
    <w:rsid w:val="00613246"/>
    <w:rsid w:val="006134E1"/>
    <w:rsid w:val="00613836"/>
    <w:rsid w:val="00613D87"/>
    <w:rsid w:val="006141E8"/>
    <w:rsid w:val="0061420B"/>
    <w:rsid w:val="00614343"/>
    <w:rsid w:val="00614927"/>
    <w:rsid w:val="00614981"/>
    <w:rsid w:val="00614D1B"/>
    <w:rsid w:val="0061504F"/>
    <w:rsid w:val="00615717"/>
    <w:rsid w:val="0061571B"/>
    <w:rsid w:val="006159CF"/>
    <w:rsid w:val="00615C19"/>
    <w:rsid w:val="0061609C"/>
    <w:rsid w:val="00616136"/>
    <w:rsid w:val="00616210"/>
    <w:rsid w:val="00616371"/>
    <w:rsid w:val="0061637C"/>
    <w:rsid w:val="0061674D"/>
    <w:rsid w:val="00616826"/>
    <w:rsid w:val="00616895"/>
    <w:rsid w:val="00616AE0"/>
    <w:rsid w:val="006174F6"/>
    <w:rsid w:val="0061759B"/>
    <w:rsid w:val="00617C02"/>
    <w:rsid w:val="00617D00"/>
    <w:rsid w:val="00617FBA"/>
    <w:rsid w:val="0062042C"/>
    <w:rsid w:val="00620F55"/>
    <w:rsid w:val="006210C2"/>
    <w:rsid w:val="006214D2"/>
    <w:rsid w:val="006216E5"/>
    <w:rsid w:val="00621929"/>
    <w:rsid w:val="00621FDF"/>
    <w:rsid w:val="006229A6"/>
    <w:rsid w:val="00622B2B"/>
    <w:rsid w:val="0062387F"/>
    <w:rsid w:val="00623AEF"/>
    <w:rsid w:val="00623F5C"/>
    <w:rsid w:val="006254E2"/>
    <w:rsid w:val="0062574C"/>
    <w:rsid w:val="006259D4"/>
    <w:rsid w:val="00625D10"/>
    <w:rsid w:val="00625F49"/>
    <w:rsid w:val="00625F8A"/>
    <w:rsid w:val="00626900"/>
    <w:rsid w:val="00626C73"/>
    <w:rsid w:val="00627827"/>
    <w:rsid w:val="00627AB6"/>
    <w:rsid w:val="006306B6"/>
    <w:rsid w:val="00631046"/>
    <w:rsid w:val="0063112B"/>
    <w:rsid w:val="0063112E"/>
    <w:rsid w:val="0063127A"/>
    <w:rsid w:val="006315FB"/>
    <w:rsid w:val="006316D1"/>
    <w:rsid w:val="006322E0"/>
    <w:rsid w:val="006328F7"/>
    <w:rsid w:val="00633A66"/>
    <w:rsid w:val="00633B2B"/>
    <w:rsid w:val="00633DF1"/>
    <w:rsid w:val="006346A6"/>
    <w:rsid w:val="0063499E"/>
    <w:rsid w:val="006358FB"/>
    <w:rsid w:val="00635C31"/>
    <w:rsid w:val="00635C3D"/>
    <w:rsid w:val="00635F80"/>
    <w:rsid w:val="00636278"/>
    <w:rsid w:val="0063637E"/>
    <w:rsid w:val="00636417"/>
    <w:rsid w:val="00637844"/>
    <w:rsid w:val="006378B1"/>
    <w:rsid w:val="006404FE"/>
    <w:rsid w:val="00640F4B"/>
    <w:rsid w:val="00641985"/>
    <w:rsid w:val="00641BB0"/>
    <w:rsid w:val="00642513"/>
    <w:rsid w:val="00642D93"/>
    <w:rsid w:val="006436DF"/>
    <w:rsid w:val="00643D9C"/>
    <w:rsid w:val="006440F6"/>
    <w:rsid w:val="00644BC1"/>
    <w:rsid w:val="00644BF7"/>
    <w:rsid w:val="00645CBA"/>
    <w:rsid w:val="0064688B"/>
    <w:rsid w:val="006469C5"/>
    <w:rsid w:val="00646E99"/>
    <w:rsid w:val="00650B37"/>
    <w:rsid w:val="0065131C"/>
    <w:rsid w:val="006513C7"/>
    <w:rsid w:val="00651BB1"/>
    <w:rsid w:val="00651D1D"/>
    <w:rsid w:val="00651ECC"/>
    <w:rsid w:val="00651FDF"/>
    <w:rsid w:val="006524F6"/>
    <w:rsid w:val="00652880"/>
    <w:rsid w:val="00652B6F"/>
    <w:rsid w:val="00652F3B"/>
    <w:rsid w:val="00653803"/>
    <w:rsid w:val="0065398F"/>
    <w:rsid w:val="00653E3C"/>
    <w:rsid w:val="00654062"/>
    <w:rsid w:val="006541CC"/>
    <w:rsid w:val="006542FB"/>
    <w:rsid w:val="00654B19"/>
    <w:rsid w:val="00655099"/>
    <w:rsid w:val="00655417"/>
    <w:rsid w:val="006557A8"/>
    <w:rsid w:val="006557CE"/>
    <w:rsid w:val="00655917"/>
    <w:rsid w:val="0065592D"/>
    <w:rsid w:val="00655B75"/>
    <w:rsid w:val="00656026"/>
    <w:rsid w:val="006562E8"/>
    <w:rsid w:val="00656580"/>
    <w:rsid w:val="0065694A"/>
    <w:rsid w:val="006569AE"/>
    <w:rsid w:val="00656D22"/>
    <w:rsid w:val="00656E86"/>
    <w:rsid w:val="00657381"/>
    <w:rsid w:val="006577E9"/>
    <w:rsid w:val="00660889"/>
    <w:rsid w:val="00660A5D"/>
    <w:rsid w:val="00660CB5"/>
    <w:rsid w:val="00661518"/>
    <w:rsid w:val="0066256F"/>
    <w:rsid w:val="0066280A"/>
    <w:rsid w:val="006632B1"/>
    <w:rsid w:val="006643FC"/>
    <w:rsid w:val="00664994"/>
    <w:rsid w:val="00664DA0"/>
    <w:rsid w:val="00665793"/>
    <w:rsid w:val="00665B8B"/>
    <w:rsid w:val="00665BEC"/>
    <w:rsid w:val="0066695F"/>
    <w:rsid w:val="00666ACF"/>
    <w:rsid w:val="00666DCF"/>
    <w:rsid w:val="00667A55"/>
    <w:rsid w:val="00667B15"/>
    <w:rsid w:val="00667B44"/>
    <w:rsid w:val="006705D8"/>
    <w:rsid w:val="006706E7"/>
    <w:rsid w:val="00670C83"/>
    <w:rsid w:val="00670F10"/>
    <w:rsid w:val="006713C9"/>
    <w:rsid w:val="006716A9"/>
    <w:rsid w:val="006716B3"/>
    <w:rsid w:val="0067220E"/>
    <w:rsid w:val="0067233B"/>
    <w:rsid w:val="006724BB"/>
    <w:rsid w:val="006727E9"/>
    <w:rsid w:val="00672A5F"/>
    <w:rsid w:val="00673AAF"/>
    <w:rsid w:val="00674187"/>
    <w:rsid w:val="006744A0"/>
    <w:rsid w:val="00674757"/>
    <w:rsid w:val="00674E34"/>
    <w:rsid w:val="00674F99"/>
    <w:rsid w:val="006755F0"/>
    <w:rsid w:val="006756DF"/>
    <w:rsid w:val="00675CA9"/>
    <w:rsid w:val="00676CD7"/>
    <w:rsid w:val="006772E2"/>
    <w:rsid w:val="0067739F"/>
    <w:rsid w:val="006778E2"/>
    <w:rsid w:val="00677D72"/>
    <w:rsid w:val="00680328"/>
    <w:rsid w:val="00680434"/>
    <w:rsid w:val="00680BF6"/>
    <w:rsid w:val="006818A2"/>
    <w:rsid w:val="00682DA0"/>
    <w:rsid w:val="00683249"/>
    <w:rsid w:val="006832B4"/>
    <w:rsid w:val="006842D8"/>
    <w:rsid w:val="00684445"/>
    <w:rsid w:val="00684B35"/>
    <w:rsid w:val="00684B96"/>
    <w:rsid w:val="00684C3D"/>
    <w:rsid w:val="00685910"/>
    <w:rsid w:val="006859CD"/>
    <w:rsid w:val="00685B18"/>
    <w:rsid w:val="00685C50"/>
    <w:rsid w:val="00686935"/>
    <w:rsid w:val="00686D63"/>
    <w:rsid w:val="00686E0A"/>
    <w:rsid w:val="00686F1A"/>
    <w:rsid w:val="0068701B"/>
    <w:rsid w:val="0068751A"/>
    <w:rsid w:val="00687700"/>
    <w:rsid w:val="00687A21"/>
    <w:rsid w:val="00687D72"/>
    <w:rsid w:val="00687D73"/>
    <w:rsid w:val="006901ED"/>
    <w:rsid w:val="006908CD"/>
    <w:rsid w:val="00691490"/>
    <w:rsid w:val="00691AC2"/>
    <w:rsid w:val="00691B3A"/>
    <w:rsid w:val="00691EE0"/>
    <w:rsid w:val="006925D6"/>
    <w:rsid w:val="006929C9"/>
    <w:rsid w:val="00692A05"/>
    <w:rsid w:val="00692EED"/>
    <w:rsid w:val="006931AB"/>
    <w:rsid w:val="006933D6"/>
    <w:rsid w:val="00693F80"/>
    <w:rsid w:val="006943CC"/>
    <w:rsid w:val="006946BD"/>
    <w:rsid w:val="00694731"/>
    <w:rsid w:val="006952AC"/>
    <w:rsid w:val="00696243"/>
    <w:rsid w:val="00696731"/>
    <w:rsid w:val="006968B8"/>
    <w:rsid w:val="00696AF0"/>
    <w:rsid w:val="00696C10"/>
    <w:rsid w:val="00696D98"/>
    <w:rsid w:val="006970E7"/>
    <w:rsid w:val="006979D0"/>
    <w:rsid w:val="00697C36"/>
    <w:rsid w:val="00697C99"/>
    <w:rsid w:val="006A051A"/>
    <w:rsid w:val="006A0E91"/>
    <w:rsid w:val="006A1477"/>
    <w:rsid w:val="006A14B2"/>
    <w:rsid w:val="006A1F2C"/>
    <w:rsid w:val="006A2F2B"/>
    <w:rsid w:val="006A32B1"/>
    <w:rsid w:val="006A4FC3"/>
    <w:rsid w:val="006A66C2"/>
    <w:rsid w:val="006A6AB8"/>
    <w:rsid w:val="006A6EC7"/>
    <w:rsid w:val="006A6F2F"/>
    <w:rsid w:val="006A7474"/>
    <w:rsid w:val="006A7ADF"/>
    <w:rsid w:val="006A7C9A"/>
    <w:rsid w:val="006A7D07"/>
    <w:rsid w:val="006B0E34"/>
    <w:rsid w:val="006B12F2"/>
    <w:rsid w:val="006B1346"/>
    <w:rsid w:val="006B178A"/>
    <w:rsid w:val="006B19D4"/>
    <w:rsid w:val="006B24ED"/>
    <w:rsid w:val="006B2878"/>
    <w:rsid w:val="006B31C4"/>
    <w:rsid w:val="006B34D6"/>
    <w:rsid w:val="006B39A4"/>
    <w:rsid w:val="006B3CB5"/>
    <w:rsid w:val="006B45EE"/>
    <w:rsid w:val="006B4D8E"/>
    <w:rsid w:val="006B572A"/>
    <w:rsid w:val="006B59DC"/>
    <w:rsid w:val="006B5BF4"/>
    <w:rsid w:val="006B5FF0"/>
    <w:rsid w:val="006B6510"/>
    <w:rsid w:val="006B7688"/>
    <w:rsid w:val="006B7C1B"/>
    <w:rsid w:val="006C03A4"/>
    <w:rsid w:val="006C0773"/>
    <w:rsid w:val="006C13AC"/>
    <w:rsid w:val="006C15B5"/>
    <w:rsid w:val="006C160C"/>
    <w:rsid w:val="006C25EB"/>
    <w:rsid w:val="006C27F1"/>
    <w:rsid w:val="006C27F3"/>
    <w:rsid w:val="006C36AA"/>
    <w:rsid w:val="006C36FB"/>
    <w:rsid w:val="006C3BE1"/>
    <w:rsid w:val="006C3E02"/>
    <w:rsid w:val="006C4589"/>
    <w:rsid w:val="006C4764"/>
    <w:rsid w:val="006C4921"/>
    <w:rsid w:val="006C4A6F"/>
    <w:rsid w:val="006C4FD4"/>
    <w:rsid w:val="006C553F"/>
    <w:rsid w:val="006C7570"/>
    <w:rsid w:val="006C792D"/>
    <w:rsid w:val="006C7CCB"/>
    <w:rsid w:val="006D02B7"/>
    <w:rsid w:val="006D061D"/>
    <w:rsid w:val="006D0705"/>
    <w:rsid w:val="006D1294"/>
    <w:rsid w:val="006D18C5"/>
    <w:rsid w:val="006D23D9"/>
    <w:rsid w:val="006D25FB"/>
    <w:rsid w:val="006D2685"/>
    <w:rsid w:val="006D2A0B"/>
    <w:rsid w:val="006D2F35"/>
    <w:rsid w:val="006D32B9"/>
    <w:rsid w:val="006D3F60"/>
    <w:rsid w:val="006D41AA"/>
    <w:rsid w:val="006D48D5"/>
    <w:rsid w:val="006D51AB"/>
    <w:rsid w:val="006D57E4"/>
    <w:rsid w:val="006D5AB5"/>
    <w:rsid w:val="006D5C9E"/>
    <w:rsid w:val="006D6E8E"/>
    <w:rsid w:val="006D792F"/>
    <w:rsid w:val="006D7C46"/>
    <w:rsid w:val="006D7D9B"/>
    <w:rsid w:val="006E0F36"/>
    <w:rsid w:val="006E108F"/>
    <w:rsid w:val="006E12B2"/>
    <w:rsid w:val="006E18B8"/>
    <w:rsid w:val="006E1C35"/>
    <w:rsid w:val="006E1C37"/>
    <w:rsid w:val="006E1D43"/>
    <w:rsid w:val="006E20C6"/>
    <w:rsid w:val="006E21A0"/>
    <w:rsid w:val="006E2444"/>
    <w:rsid w:val="006E25AD"/>
    <w:rsid w:val="006E2C48"/>
    <w:rsid w:val="006E2FAB"/>
    <w:rsid w:val="006E3125"/>
    <w:rsid w:val="006E32E5"/>
    <w:rsid w:val="006E3EFD"/>
    <w:rsid w:val="006E49B5"/>
    <w:rsid w:val="006E4D9D"/>
    <w:rsid w:val="006E4F66"/>
    <w:rsid w:val="006E4FF0"/>
    <w:rsid w:val="006E504B"/>
    <w:rsid w:val="006E50E5"/>
    <w:rsid w:val="006E587F"/>
    <w:rsid w:val="006E5B75"/>
    <w:rsid w:val="006E6388"/>
    <w:rsid w:val="006E6B87"/>
    <w:rsid w:val="006E7A81"/>
    <w:rsid w:val="006E7B01"/>
    <w:rsid w:val="006F0790"/>
    <w:rsid w:val="006F0E0A"/>
    <w:rsid w:val="006F0E9E"/>
    <w:rsid w:val="006F117E"/>
    <w:rsid w:val="006F199A"/>
    <w:rsid w:val="006F1E09"/>
    <w:rsid w:val="006F218B"/>
    <w:rsid w:val="006F222C"/>
    <w:rsid w:val="006F24C4"/>
    <w:rsid w:val="006F3757"/>
    <w:rsid w:val="006F3F34"/>
    <w:rsid w:val="006F408E"/>
    <w:rsid w:val="006F4F6A"/>
    <w:rsid w:val="006F55BB"/>
    <w:rsid w:val="006F5AB7"/>
    <w:rsid w:val="006F5D0E"/>
    <w:rsid w:val="006F6503"/>
    <w:rsid w:val="006F65B4"/>
    <w:rsid w:val="006F6E2D"/>
    <w:rsid w:val="006F7AF2"/>
    <w:rsid w:val="006F7E78"/>
    <w:rsid w:val="00700045"/>
    <w:rsid w:val="00700049"/>
    <w:rsid w:val="00700E5D"/>
    <w:rsid w:val="0070118D"/>
    <w:rsid w:val="00701281"/>
    <w:rsid w:val="00701744"/>
    <w:rsid w:val="00701814"/>
    <w:rsid w:val="00701CDC"/>
    <w:rsid w:val="0070223A"/>
    <w:rsid w:val="00702355"/>
    <w:rsid w:val="00703186"/>
    <w:rsid w:val="007031D4"/>
    <w:rsid w:val="007032E8"/>
    <w:rsid w:val="00703A02"/>
    <w:rsid w:val="00703A52"/>
    <w:rsid w:val="00703B75"/>
    <w:rsid w:val="00703C81"/>
    <w:rsid w:val="00703CAF"/>
    <w:rsid w:val="00703E2D"/>
    <w:rsid w:val="0070476D"/>
    <w:rsid w:val="007047C5"/>
    <w:rsid w:val="00704A3A"/>
    <w:rsid w:val="00705472"/>
    <w:rsid w:val="0070692C"/>
    <w:rsid w:val="00706A97"/>
    <w:rsid w:val="007072C1"/>
    <w:rsid w:val="00707B85"/>
    <w:rsid w:val="007106DE"/>
    <w:rsid w:val="00710D44"/>
    <w:rsid w:val="007118BF"/>
    <w:rsid w:val="00711A4D"/>
    <w:rsid w:val="00711B68"/>
    <w:rsid w:val="00711FFC"/>
    <w:rsid w:val="00712A19"/>
    <w:rsid w:val="00712A8B"/>
    <w:rsid w:val="0071312E"/>
    <w:rsid w:val="00713C64"/>
    <w:rsid w:val="00713DC2"/>
    <w:rsid w:val="007141AC"/>
    <w:rsid w:val="007141E3"/>
    <w:rsid w:val="007149B2"/>
    <w:rsid w:val="00714B40"/>
    <w:rsid w:val="007161C5"/>
    <w:rsid w:val="00716F0E"/>
    <w:rsid w:val="00717D28"/>
    <w:rsid w:val="007200AE"/>
    <w:rsid w:val="0072029F"/>
    <w:rsid w:val="00720619"/>
    <w:rsid w:val="007206A3"/>
    <w:rsid w:val="00720B48"/>
    <w:rsid w:val="00721387"/>
    <w:rsid w:val="00721692"/>
    <w:rsid w:val="00721AA7"/>
    <w:rsid w:val="00722A1D"/>
    <w:rsid w:val="00722E0A"/>
    <w:rsid w:val="007232DF"/>
    <w:rsid w:val="0072413B"/>
    <w:rsid w:val="0072582E"/>
    <w:rsid w:val="0072586C"/>
    <w:rsid w:val="00725938"/>
    <w:rsid w:val="00725C07"/>
    <w:rsid w:val="00725DBA"/>
    <w:rsid w:val="00726626"/>
    <w:rsid w:val="00726B0F"/>
    <w:rsid w:val="00726B39"/>
    <w:rsid w:val="00730078"/>
    <w:rsid w:val="0073074C"/>
    <w:rsid w:val="00730D8D"/>
    <w:rsid w:val="007313A0"/>
    <w:rsid w:val="00731A21"/>
    <w:rsid w:val="00731C69"/>
    <w:rsid w:val="00732CA4"/>
    <w:rsid w:val="00733325"/>
    <w:rsid w:val="00733740"/>
    <w:rsid w:val="007338FB"/>
    <w:rsid w:val="00734479"/>
    <w:rsid w:val="0073520E"/>
    <w:rsid w:val="00735265"/>
    <w:rsid w:val="00735639"/>
    <w:rsid w:val="00735701"/>
    <w:rsid w:val="007357E3"/>
    <w:rsid w:val="00735872"/>
    <w:rsid w:val="007359FE"/>
    <w:rsid w:val="00735F15"/>
    <w:rsid w:val="00736223"/>
    <w:rsid w:val="00736286"/>
    <w:rsid w:val="0073677F"/>
    <w:rsid w:val="00736C70"/>
    <w:rsid w:val="00737B55"/>
    <w:rsid w:val="00740A76"/>
    <w:rsid w:val="00741144"/>
    <w:rsid w:val="00741649"/>
    <w:rsid w:val="00741D2F"/>
    <w:rsid w:val="00742183"/>
    <w:rsid w:val="007421DA"/>
    <w:rsid w:val="00742764"/>
    <w:rsid w:val="00742909"/>
    <w:rsid w:val="007437C2"/>
    <w:rsid w:val="00743AD9"/>
    <w:rsid w:val="00743F0F"/>
    <w:rsid w:val="00744314"/>
    <w:rsid w:val="00744493"/>
    <w:rsid w:val="007446A8"/>
    <w:rsid w:val="0074524D"/>
    <w:rsid w:val="00745B89"/>
    <w:rsid w:val="00745EAB"/>
    <w:rsid w:val="00747083"/>
    <w:rsid w:val="007471BF"/>
    <w:rsid w:val="007473C1"/>
    <w:rsid w:val="00747435"/>
    <w:rsid w:val="00747688"/>
    <w:rsid w:val="00747848"/>
    <w:rsid w:val="00747C38"/>
    <w:rsid w:val="0075043B"/>
    <w:rsid w:val="0075124F"/>
    <w:rsid w:val="00751E79"/>
    <w:rsid w:val="0075206E"/>
    <w:rsid w:val="00752BCB"/>
    <w:rsid w:val="00752DEB"/>
    <w:rsid w:val="0075378D"/>
    <w:rsid w:val="00753EB1"/>
    <w:rsid w:val="007547BB"/>
    <w:rsid w:val="00755B83"/>
    <w:rsid w:val="007561C1"/>
    <w:rsid w:val="007562EC"/>
    <w:rsid w:val="00756BCF"/>
    <w:rsid w:val="00756C48"/>
    <w:rsid w:val="00756E6C"/>
    <w:rsid w:val="007570AC"/>
    <w:rsid w:val="0075726B"/>
    <w:rsid w:val="00757310"/>
    <w:rsid w:val="00757358"/>
    <w:rsid w:val="00760343"/>
    <w:rsid w:val="00760678"/>
    <w:rsid w:val="00760CBE"/>
    <w:rsid w:val="00760ED5"/>
    <w:rsid w:val="0076146A"/>
    <w:rsid w:val="0076163E"/>
    <w:rsid w:val="007619CA"/>
    <w:rsid w:val="007624A3"/>
    <w:rsid w:val="00762D08"/>
    <w:rsid w:val="00763478"/>
    <w:rsid w:val="00763B7D"/>
    <w:rsid w:val="007648D0"/>
    <w:rsid w:val="007655C0"/>
    <w:rsid w:val="007660EC"/>
    <w:rsid w:val="00766128"/>
    <w:rsid w:val="0076676E"/>
    <w:rsid w:val="00766F8D"/>
    <w:rsid w:val="007670DC"/>
    <w:rsid w:val="00767885"/>
    <w:rsid w:val="00767A36"/>
    <w:rsid w:val="00767B67"/>
    <w:rsid w:val="007715E4"/>
    <w:rsid w:val="0077261D"/>
    <w:rsid w:val="0077262C"/>
    <w:rsid w:val="0077293F"/>
    <w:rsid w:val="007729C3"/>
    <w:rsid w:val="00772AFA"/>
    <w:rsid w:val="00772ED6"/>
    <w:rsid w:val="00772EE6"/>
    <w:rsid w:val="00773006"/>
    <w:rsid w:val="00773218"/>
    <w:rsid w:val="00773D51"/>
    <w:rsid w:val="007741C6"/>
    <w:rsid w:val="0077432D"/>
    <w:rsid w:val="0077457D"/>
    <w:rsid w:val="00774FC0"/>
    <w:rsid w:val="00774FC7"/>
    <w:rsid w:val="007755D4"/>
    <w:rsid w:val="007757A9"/>
    <w:rsid w:val="00775A5B"/>
    <w:rsid w:val="00775ED3"/>
    <w:rsid w:val="0077607C"/>
    <w:rsid w:val="00776084"/>
    <w:rsid w:val="0077656C"/>
    <w:rsid w:val="00776664"/>
    <w:rsid w:val="00776699"/>
    <w:rsid w:val="007768CB"/>
    <w:rsid w:val="00777385"/>
    <w:rsid w:val="0077770C"/>
    <w:rsid w:val="007808D3"/>
    <w:rsid w:val="00780AE3"/>
    <w:rsid w:val="00780C24"/>
    <w:rsid w:val="007814BA"/>
    <w:rsid w:val="007815E2"/>
    <w:rsid w:val="007816A6"/>
    <w:rsid w:val="0078187F"/>
    <w:rsid w:val="007818E0"/>
    <w:rsid w:val="00782239"/>
    <w:rsid w:val="00782286"/>
    <w:rsid w:val="0078287B"/>
    <w:rsid w:val="00783017"/>
    <w:rsid w:val="0078308E"/>
    <w:rsid w:val="00783C3C"/>
    <w:rsid w:val="00783F65"/>
    <w:rsid w:val="00784212"/>
    <w:rsid w:val="0078469D"/>
    <w:rsid w:val="00784784"/>
    <w:rsid w:val="00784C40"/>
    <w:rsid w:val="00784C52"/>
    <w:rsid w:val="00785655"/>
    <w:rsid w:val="00785B36"/>
    <w:rsid w:val="00785B3D"/>
    <w:rsid w:val="007866FA"/>
    <w:rsid w:val="00786A15"/>
    <w:rsid w:val="00786A86"/>
    <w:rsid w:val="00786BCE"/>
    <w:rsid w:val="00786C28"/>
    <w:rsid w:val="0078720A"/>
    <w:rsid w:val="00787384"/>
    <w:rsid w:val="00787AD0"/>
    <w:rsid w:val="007900A1"/>
    <w:rsid w:val="00790A72"/>
    <w:rsid w:val="00790F03"/>
    <w:rsid w:val="00791517"/>
    <w:rsid w:val="00792AD6"/>
    <w:rsid w:val="007930C9"/>
    <w:rsid w:val="007932F5"/>
    <w:rsid w:val="0079350F"/>
    <w:rsid w:val="00793518"/>
    <w:rsid w:val="007935F4"/>
    <w:rsid w:val="0079396A"/>
    <w:rsid w:val="00793BB0"/>
    <w:rsid w:val="00793FEA"/>
    <w:rsid w:val="00794323"/>
    <w:rsid w:val="007944E1"/>
    <w:rsid w:val="00795B01"/>
    <w:rsid w:val="00796031"/>
    <w:rsid w:val="00796099"/>
    <w:rsid w:val="007966C7"/>
    <w:rsid w:val="0079692F"/>
    <w:rsid w:val="0079780F"/>
    <w:rsid w:val="00797C7F"/>
    <w:rsid w:val="007A0481"/>
    <w:rsid w:val="007A079D"/>
    <w:rsid w:val="007A07E5"/>
    <w:rsid w:val="007A0AF2"/>
    <w:rsid w:val="007A0B1E"/>
    <w:rsid w:val="007A0B58"/>
    <w:rsid w:val="007A0C92"/>
    <w:rsid w:val="007A1266"/>
    <w:rsid w:val="007A12A5"/>
    <w:rsid w:val="007A159D"/>
    <w:rsid w:val="007A1FCC"/>
    <w:rsid w:val="007A2225"/>
    <w:rsid w:val="007A2C67"/>
    <w:rsid w:val="007A343F"/>
    <w:rsid w:val="007A353F"/>
    <w:rsid w:val="007A3E32"/>
    <w:rsid w:val="007A3F55"/>
    <w:rsid w:val="007A4577"/>
    <w:rsid w:val="007A48C3"/>
    <w:rsid w:val="007A4D36"/>
    <w:rsid w:val="007A5231"/>
    <w:rsid w:val="007A5305"/>
    <w:rsid w:val="007A6379"/>
    <w:rsid w:val="007A6967"/>
    <w:rsid w:val="007A6A59"/>
    <w:rsid w:val="007A6E0B"/>
    <w:rsid w:val="007A6F66"/>
    <w:rsid w:val="007A7081"/>
    <w:rsid w:val="007A7988"/>
    <w:rsid w:val="007A7D28"/>
    <w:rsid w:val="007B10CE"/>
    <w:rsid w:val="007B1E29"/>
    <w:rsid w:val="007B2221"/>
    <w:rsid w:val="007B28B2"/>
    <w:rsid w:val="007B2D9A"/>
    <w:rsid w:val="007B370A"/>
    <w:rsid w:val="007B37B5"/>
    <w:rsid w:val="007B3864"/>
    <w:rsid w:val="007B3B43"/>
    <w:rsid w:val="007B452F"/>
    <w:rsid w:val="007B483A"/>
    <w:rsid w:val="007B4A79"/>
    <w:rsid w:val="007B516A"/>
    <w:rsid w:val="007B54D1"/>
    <w:rsid w:val="007B5E28"/>
    <w:rsid w:val="007B626C"/>
    <w:rsid w:val="007B656C"/>
    <w:rsid w:val="007B6AA3"/>
    <w:rsid w:val="007B6D52"/>
    <w:rsid w:val="007B706F"/>
    <w:rsid w:val="007B7A68"/>
    <w:rsid w:val="007C0761"/>
    <w:rsid w:val="007C0DF6"/>
    <w:rsid w:val="007C21C7"/>
    <w:rsid w:val="007C2816"/>
    <w:rsid w:val="007C302C"/>
    <w:rsid w:val="007C38F8"/>
    <w:rsid w:val="007C55D2"/>
    <w:rsid w:val="007C6910"/>
    <w:rsid w:val="007C7374"/>
    <w:rsid w:val="007C7537"/>
    <w:rsid w:val="007C7746"/>
    <w:rsid w:val="007C7F5C"/>
    <w:rsid w:val="007D0353"/>
    <w:rsid w:val="007D15DB"/>
    <w:rsid w:val="007D1877"/>
    <w:rsid w:val="007D1DEB"/>
    <w:rsid w:val="007D2022"/>
    <w:rsid w:val="007D2196"/>
    <w:rsid w:val="007D269F"/>
    <w:rsid w:val="007D27B0"/>
    <w:rsid w:val="007D2B74"/>
    <w:rsid w:val="007D2E3F"/>
    <w:rsid w:val="007D2E62"/>
    <w:rsid w:val="007D2F89"/>
    <w:rsid w:val="007D342D"/>
    <w:rsid w:val="007D3E39"/>
    <w:rsid w:val="007D3F45"/>
    <w:rsid w:val="007D3FC3"/>
    <w:rsid w:val="007D416E"/>
    <w:rsid w:val="007D4413"/>
    <w:rsid w:val="007D4CF2"/>
    <w:rsid w:val="007D4E42"/>
    <w:rsid w:val="007D56BF"/>
    <w:rsid w:val="007D5985"/>
    <w:rsid w:val="007D7192"/>
    <w:rsid w:val="007D737C"/>
    <w:rsid w:val="007D74A3"/>
    <w:rsid w:val="007D795D"/>
    <w:rsid w:val="007E0483"/>
    <w:rsid w:val="007E14DA"/>
    <w:rsid w:val="007E1B8A"/>
    <w:rsid w:val="007E21E1"/>
    <w:rsid w:val="007E28AC"/>
    <w:rsid w:val="007E29E1"/>
    <w:rsid w:val="007E2DB8"/>
    <w:rsid w:val="007E3B9D"/>
    <w:rsid w:val="007E3C5B"/>
    <w:rsid w:val="007E3F20"/>
    <w:rsid w:val="007E45EE"/>
    <w:rsid w:val="007E49F4"/>
    <w:rsid w:val="007E4D3F"/>
    <w:rsid w:val="007E4D58"/>
    <w:rsid w:val="007E508A"/>
    <w:rsid w:val="007E55D9"/>
    <w:rsid w:val="007E5DC6"/>
    <w:rsid w:val="007E61D1"/>
    <w:rsid w:val="007E6861"/>
    <w:rsid w:val="007E6E32"/>
    <w:rsid w:val="007E6F8B"/>
    <w:rsid w:val="007E79CA"/>
    <w:rsid w:val="007E7E80"/>
    <w:rsid w:val="007E7ED1"/>
    <w:rsid w:val="007E7FE0"/>
    <w:rsid w:val="007F040E"/>
    <w:rsid w:val="007F0A91"/>
    <w:rsid w:val="007F0E12"/>
    <w:rsid w:val="007F2619"/>
    <w:rsid w:val="007F2B88"/>
    <w:rsid w:val="007F33B2"/>
    <w:rsid w:val="007F421E"/>
    <w:rsid w:val="007F4F79"/>
    <w:rsid w:val="007F572D"/>
    <w:rsid w:val="007F57E4"/>
    <w:rsid w:val="007F62C7"/>
    <w:rsid w:val="007F6482"/>
    <w:rsid w:val="007F6493"/>
    <w:rsid w:val="007F66D3"/>
    <w:rsid w:val="007F6B24"/>
    <w:rsid w:val="007F7290"/>
    <w:rsid w:val="007F7535"/>
    <w:rsid w:val="007F7B87"/>
    <w:rsid w:val="008000AC"/>
    <w:rsid w:val="008014C9"/>
    <w:rsid w:val="00801581"/>
    <w:rsid w:val="00801678"/>
    <w:rsid w:val="00801702"/>
    <w:rsid w:val="00801F66"/>
    <w:rsid w:val="008023FC"/>
    <w:rsid w:val="008035EC"/>
    <w:rsid w:val="008036A8"/>
    <w:rsid w:val="00803B2D"/>
    <w:rsid w:val="00803FD0"/>
    <w:rsid w:val="008045DE"/>
    <w:rsid w:val="00804854"/>
    <w:rsid w:val="00804B3D"/>
    <w:rsid w:val="008060E0"/>
    <w:rsid w:val="008062E5"/>
    <w:rsid w:val="008063F9"/>
    <w:rsid w:val="008064FD"/>
    <w:rsid w:val="008072DB"/>
    <w:rsid w:val="0080753C"/>
    <w:rsid w:val="0081057E"/>
    <w:rsid w:val="008109E4"/>
    <w:rsid w:val="008110E5"/>
    <w:rsid w:val="00812182"/>
    <w:rsid w:val="00813820"/>
    <w:rsid w:val="00814035"/>
    <w:rsid w:val="008140F8"/>
    <w:rsid w:val="0081419B"/>
    <w:rsid w:val="00814867"/>
    <w:rsid w:val="00814975"/>
    <w:rsid w:val="008152F4"/>
    <w:rsid w:val="00815781"/>
    <w:rsid w:val="0081635D"/>
    <w:rsid w:val="008169A9"/>
    <w:rsid w:val="00816B5A"/>
    <w:rsid w:val="00817413"/>
    <w:rsid w:val="0082074D"/>
    <w:rsid w:val="00820BEC"/>
    <w:rsid w:val="0082147C"/>
    <w:rsid w:val="00821889"/>
    <w:rsid w:val="00821913"/>
    <w:rsid w:val="00821934"/>
    <w:rsid w:val="00821B71"/>
    <w:rsid w:val="00821F2D"/>
    <w:rsid w:val="00822297"/>
    <w:rsid w:val="0082238C"/>
    <w:rsid w:val="008233C9"/>
    <w:rsid w:val="00823D8C"/>
    <w:rsid w:val="00824233"/>
    <w:rsid w:val="008246D2"/>
    <w:rsid w:val="00824CC2"/>
    <w:rsid w:val="00824FAD"/>
    <w:rsid w:val="00825577"/>
    <w:rsid w:val="00825688"/>
    <w:rsid w:val="0082644D"/>
    <w:rsid w:val="0082648F"/>
    <w:rsid w:val="0082744D"/>
    <w:rsid w:val="008274AD"/>
    <w:rsid w:val="008277CB"/>
    <w:rsid w:val="008278C6"/>
    <w:rsid w:val="00830039"/>
    <w:rsid w:val="00830226"/>
    <w:rsid w:val="00830826"/>
    <w:rsid w:val="00830CAE"/>
    <w:rsid w:val="0083120B"/>
    <w:rsid w:val="008315E7"/>
    <w:rsid w:val="00831A66"/>
    <w:rsid w:val="008321E8"/>
    <w:rsid w:val="008322C8"/>
    <w:rsid w:val="008322CA"/>
    <w:rsid w:val="00832750"/>
    <w:rsid w:val="008327BF"/>
    <w:rsid w:val="00833070"/>
    <w:rsid w:val="008339A8"/>
    <w:rsid w:val="00833A31"/>
    <w:rsid w:val="00833C17"/>
    <w:rsid w:val="00833E37"/>
    <w:rsid w:val="00833EBD"/>
    <w:rsid w:val="00833FAA"/>
    <w:rsid w:val="00834188"/>
    <w:rsid w:val="00834263"/>
    <w:rsid w:val="008343B0"/>
    <w:rsid w:val="0083445E"/>
    <w:rsid w:val="00834BA6"/>
    <w:rsid w:val="00834F18"/>
    <w:rsid w:val="00834F85"/>
    <w:rsid w:val="00835B33"/>
    <w:rsid w:val="00835D6E"/>
    <w:rsid w:val="00836656"/>
    <w:rsid w:val="0083717E"/>
    <w:rsid w:val="00837993"/>
    <w:rsid w:val="00837AB9"/>
    <w:rsid w:val="00837BF5"/>
    <w:rsid w:val="00837D63"/>
    <w:rsid w:val="00840216"/>
    <w:rsid w:val="00840756"/>
    <w:rsid w:val="008408C6"/>
    <w:rsid w:val="00840B5D"/>
    <w:rsid w:val="008414D8"/>
    <w:rsid w:val="00841705"/>
    <w:rsid w:val="00841EAC"/>
    <w:rsid w:val="00842228"/>
    <w:rsid w:val="00842C0C"/>
    <w:rsid w:val="00842E55"/>
    <w:rsid w:val="00842EDE"/>
    <w:rsid w:val="00842F3A"/>
    <w:rsid w:val="00843600"/>
    <w:rsid w:val="0084474B"/>
    <w:rsid w:val="008447B3"/>
    <w:rsid w:val="008447DA"/>
    <w:rsid w:val="00844BB1"/>
    <w:rsid w:val="00844EF6"/>
    <w:rsid w:val="008452A1"/>
    <w:rsid w:val="008452B4"/>
    <w:rsid w:val="00845A87"/>
    <w:rsid w:val="00845C83"/>
    <w:rsid w:val="008466F7"/>
    <w:rsid w:val="00846B89"/>
    <w:rsid w:val="00846E20"/>
    <w:rsid w:val="008475D3"/>
    <w:rsid w:val="0084780D"/>
    <w:rsid w:val="00847ABB"/>
    <w:rsid w:val="00847E3C"/>
    <w:rsid w:val="00847FED"/>
    <w:rsid w:val="00850254"/>
    <w:rsid w:val="00850EA1"/>
    <w:rsid w:val="00851084"/>
    <w:rsid w:val="008510DD"/>
    <w:rsid w:val="00851195"/>
    <w:rsid w:val="00851637"/>
    <w:rsid w:val="008522DF"/>
    <w:rsid w:val="008522FA"/>
    <w:rsid w:val="0085248B"/>
    <w:rsid w:val="0085269D"/>
    <w:rsid w:val="00852974"/>
    <w:rsid w:val="00852B08"/>
    <w:rsid w:val="00853063"/>
    <w:rsid w:val="0085363C"/>
    <w:rsid w:val="008540A8"/>
    <w:rsid w:val="008545C0"/>
    <w:rsid w:val="00854801"/>
    <w:rsid w:val="0085497F"/>
    <w:rsid w:val="00854C8C"/>
    <w:rsid w:val="00854D89"/>
    <w:rsid w:val="0085524D"/>
    <w:rsid w:val="00855530"/>
    <w:rsid w:val="008561FA"/>
    <w:rsid w:val="0085664D"/>
    <w:rsid w:val="008570F5"/>
    <w:rsid w:val="008572CE"/>
    <w:rsid w:val="00857662"/>
    <w:rsid w:val="00857E61"/>
    <w:rsid w:val="00857EA5"/>
    <w:rsid w:val="00860246"/>
    <w:rsid w:val="0086054B"/>
    <w:rsid w:val="00860E96"/>
    <w:rsid w:val="0086128F"/>
    <w:rsid w:val="008614D5"/>
    <w:rsid w:val="00861B67"/>
    <w:rsid w:val="00861B93"/>
    <w:rsid w:val="00861F45"/>
    <w:rsid w:val="00862259"/>
    <w:rsid w:val="00862317"/>
    <w:rsid w:val="008626AC"/>
    <w:rsid w:val="008628F1"/>
    <w:rsid w:val="00862D2C"/>
    <w:rsid w:val="00862E6E"/>
    <w:rsid w:val="0086343C"/>
    <w:rsid w:val="008640BB"/>
    <w:rsid w:val="00864AB3"/>
    <w:rsid w:val="00864C27"/>
    <w:rsid w:val="00864ED5"/>
    <w:rsid w:val="008651F4"/>
    <w:rsid w:val="008652CB"/>
    <w:rsid w:val="00865602"/>
    <w:rsid w:val="0086563D"/>
    <w:rsid w:val="00865BFB"/>
    <w:rsid w:val="00865CB7"/>
    <w:rsid w:val="008673F3"/>
    <w:rsid w:val="0086773B"/>
    <w:rsid w:val="008678CC"/>
    <w:rsid w:val="008678EC"/>
    <w:rsid w:val="008679F2"/>
    <w:rsid w:val="00867FEF"/>
    <w:rsid w:val="008707C0"/>
    <w:rsid w:val="008710E4"/>
    <w:rsid w:val="008719F7"/>
    <w:rsid w:val="00871C4F"/>
    <w:rsid w:val="0087203D"/>
    <w:rsid w:val="00872CF0"/>
    <w:rsid w:val="00873445"/>
    <w:rsid w:val="0087376F"/>
    <w:rsid w:val="00873A22"/>
    <w:rsid w:val="00873CCD"/>
    <w:rsid w:val="00874D65"/>
    <w:rsid w:val="00875C7F"/>
    <w:rsid w:val="00876787"/>
    <w:rsid w:val="008767E2"/>
    <w:rsid w:val="00876816"/>
    <w:rsid w:val="00877B58"/>
    <w:rsid w:val="00880078"/>
    <w:rsid w:val="00880263"/>
    <w:rsid w:val="008802DD"/>
    <w:rsid w:val="00880506"/>
    <w:rsid w:val="00880876"/>
    <w:rsid w:val="00880B13"/>
    <w:rsid w:val="00880E54"/>
    <w:rsid w:val="008814BC"/>
    <w:rsid w:val="008814CF"/>
    <w:rsid w:val="008814DD"/>
    <w:rsid w:val="0088167C"/>
    <w:rsid w:val="0088212A"/>
    <w:rsid w:val="00882ACD"/>
    <w:rsid w:val="00882DE6"/>
    <w:rsid w:val="00883073"/>
    <w:rsid w:val="008830C8"/>
    <w:rsid w:val="008837AE"/>
    <w:rsid w:val="00884BAA"/>
    <w:rsid w:val="00884C4D"/>
    <w:rsid w:val="00884E66"/>
    <w:rsid w:val="00885882"/>
    <w:rsid w:val="00885AB5"/>
    <w:rsid w:val="00885E07"/>
    <w:rsid w:val="00885F80"/>
    <w:rsid w:val="00885FE5"/>
    <w:rsid w:val="00886294"/>
    <w:rsid w:val="008864F6"/>
    <w:rsid w:val="00886897"/>
    <w:rsid w:val="00886EC0"/>
    <w:rsid w:val="00886FBC"/>
    <w:rsid w:val="00887834"/>
    <w:rsid w:val="00887ADE"/>
    <w:rsid w:val="00887D73"/>
    <w:rsid w:val="00890623"/>
    <w:rsid w:val="00890990"/>
    <w:rsid w:val="008911CB"/>
    <w:rsid w:val="008914C1"/>
    <w:rsid w:val="00892040"/>
    <w:rsid w:val="00892973"/>
    <w:rsid w:val="00893517"/>
    <w:rsid w:val="00893650"/>
    <w:rsid w:val="00893BA8"/>
    <w:rsid w:val="00894ACF"/>
    <w:rsid w:val="00894E14"/>
    <w:rsid w:val="0089540A"/>
    <w:rsid w:val="00895C45"/>
    <w:rsid w:val="00895C97"/>
    <w:rsid w:val="00895D97"/>
    <w:rsid w:val="00895ED6"/>
    <w:rsid w:val="00895F31"/>
    <w:rsid w:val="008960F7"/>
    <w:rsid w:val="008963E1"/>
    <w:rsid w:val="00896734"/>
    <w:rsid w:val="0089678D"/>
    <w:rsid w:val="008968DD"/>
    <w:rsid w:val="008969D1"/>
    <w:rsid w:val="00896A5D"/>
    <w:rsid w:val="00897000"/>
    <w:rsid w:val="008972A2"/>
    <w:rsid w:val="00897805"/>
    <w:rsid w:val="00897E86"/>
    <w:rsid w:val="00897FEB"/>
    <w:rsid w:val="008A0B80"/>
    <w:rsid w:val="008A0BF3"/>
    <w:rsid w:val="008A19F0"/>
    <w:rsid w:val="008A1A6A"/>
    <w:rsid w:val="008A1BEE"/>
    <w:rsid w:val="008A20CD"/>
    <w:rsid w:val="008A213F"/>
    <w:rsid w:val="008A2625"/>
    <w:rsid w:val="008A2767"/>
    <w:rsid w:val="008A2955"/>
    <w:rsid w:val="008A2D33"/>
    <w:rsid w:val="008A3AEA"/>
    <w:rsid w:val="008A3B7D"/>
    <w:rsid w:val="008A408A"/>
    <w:rsid w:val="008A5E77"/>
    <w:rsid w:val="008A5EED"/>
    <w:rsid w:val="008A5FD7"/>
    <w:rsid w:val="008A610F"/>
    <w:rsid w:val="008A6254"/>
    <w:rsid w:val="008A63CF"/>
    <w:rsid w:val="008A64C4"/>
    <w:rsid w:val="008A6595"/>
    <w:rsid w:val="008A6A66"/>
    <w:rsid w:val="008A766C"/>
    <w:rsid w:val="008A7841"/>
    <w:rsid w:val="008A79E1"/>
    <w:rsid w:val="008A7B91"/>
    <w:rsid w:val="008B016E"/>
    <w:rsid w:val="008B0D1F"/>
    <w:rsid w:val="008B0EC7"/>
    <w:rsid w:val="008B1131"/>
    <w:rsid w:val="008B1CEC"/>
    <w:rsid w:val="008B1E4C"/>
    <w:rsid w:val="008B24D6"/>
    <w:rsid w:val="008B25AE"/>
    <w:rsid w:val="008B2C13"/>
    <w:rsid w:val="008B2EF4"/>
    <w:rsid w:val="008B300E"/>
    <w:rsid w:val="008B30E9"/>
    <w:rsid w:val="008B385F"/>
    <w:rsid w:val="008B3BDB"/>
    <w:rsid w:val="008B3C4C"/>
    <w:rsid w:val="008B3C80"/>
    <w:rsid w:val="008B3F29"/>
    <w:rsid w:val="008B3F32"/>
    <w:rsid w:val="008B3FBB"/>
    <w:rsid w:val="008B4031"/>
    <w:rsid w:val="008B41B7"/>
    <w:rsid w:val="008B4D66"/>
    <w:rsid w:val="008B4DA7"/>
    <w:rsid w:val="008B618D"/>
    <w:rsid w:val="008B68AB"/>
    <w:rsid w:val="008B6953"/>
    <w:rsid w:val="008B6BFC"/>
    <w:rsid w:val="008B7D55"/>
    <w:rsid w:val="008C00F7"/>
    <w:rsid w:val="008C01A4"/>
    <w:rsid w:val="008C0897"/>
    <w:rsid w:val="008C0B26"/>
    <w:rsid w:val="008C0F29"/>
    <w:rsid w:val="008C16E3"/>
    <w:rsid w:val="008C1ADF"/>
    <w:rsid w:val="008C3077"/>
    <w:rsid w:val="008C3B1A"/>
    <w:rsid w:val="008C3C2E"/>
    <w:rsid w:val="008C3D34"/>
    <w:rsid w:val="008C4493"/>
    <w:rsid w:val="008C465E"/>
    <w:rsid w:val="008C4914"/>
    <w:rsid w:val="008C4B48"/>
    <w:rsid w:val="008C5C8E"/>
    <w:rsid w:val="008C5DC1"/>
    <w:rsid w:val="008C5E59"/>
    <w:rsid w:val="008C72DA"/>
    <w:rsid w:val="008C7340"/>
    <w:rsid w:val="008C7720"/>
    <w:rsid w:val="008D01C4"/>
    <w:rsid w:val="008D0416"/>
    <w:rsid w:val="008D18A9"/>
    <w:rsid w:val="008D27F1"/>
    <w:rsid w:val="008D2FFE"/>
    <w:rsid w:val="008D3067"/>
    <w:rsid w:val="008D318D"/>
    <w:rsid w:val="008D3A77"/>
    <w:rsid w:val="008D3AEC"/>
    <w:rsid w:val="008D49CE"/>
    <w:rsid w:val="008D4A60"/>
    <w:rsid w:val="008D4EB7"/>
    <w:rsid w:val="008D53E0"/>
    <w:rsid w:val="008D5462"/>
    <w:rsid w:val="008D5600"/>
    <w:rsid w:val="008D628E"/>
    <w:rsid w:val="008D663C"/>
    <w:rsid w:val="008D6E47"/>
    <w:rsid w:val="008D7005"/>
    <w:rsid w:val="008D7361"/>
    <w:rsid w:val="008D73C8"/>
    <w:rsid w:val="008D749A"/>
    <w:rsid w:val="008D75F7"/>
    <w:rsid w:val="008D7B2B"/>
    <w:rsid w:val="008D7B5F"/>
    <w:rsid w:val="008E022F"/>
    <w:rsid w:val="008E0488"/>
    <w:rsid w:val="008E04FE"/>
    <w:rsid w:val="008E0765"/>
    <w:rsid w:val="008E0C11"/>
    <w:rsid w:val="008E10FC"/>
    <w:rsid w:val="008E11BD"/>
    <w:rsid w:val="008E181F"/>
    <w:rsid w:val="008E1954"/>
    <w:rsid w:val="008E1A05"/>
    <w:rsid w:val="008E1B08"/>
    <w:rsid w:val="008E1D54"/>
    <w:rsid w:val="008E2161"/>
    <w:rsid w:val="008E21D9"/>
    <w:rsid w:val="008E3257"/>
    <w:rsid w:val="008E34A5"/>
    <w:rsid w:val="008E35EB"/>
    <w:rsid w:val="008E3E85"/>
    <w:rsid w:val="008E4694"/>
    <w:rsid w:val="008E4B89"/>
    <w:rsid w:val="008E506D"/>
    <w:rsid w:val="008E538F"/>
    <w:rsid w:val="008E5887"/>
    <w:rsid w:val="008E58E1"/>
    <w:rsid w:val="008E5B33"/>
    <w:rsid w:val="008E5DA0"/>
    <w:rsid w:val="008E60A4"/>
    <w:rsid w:val="008E7473"/>
    <w:rsid w:val="008E78E5"/>
    <w:rsid w:val="008F0FD2"/>
    <w:rsid w:val="008F14C2"/>
    <w:rsid w:val="008F1D1B"/>
    <w:rsid w:val="008F1DFB"/>
    <w:rsid w:val="008F2296"/>
    <w:rsid w:val="008F289D"/>
    <w:rsid w:val="008F29B9"/>
    <w:rsid w:val="008F2F3A"/>
    <w:rsid w:val="008F3845"/>
    <w:rsid w:val="008F3BDD"/>
    <w:rsid w:val="008F3EDE"/>
    <w:rsid w:val="008F564B"/>
    <w:rsid w:val="008F5986"/>
    <w:rsid w:val="008F5E99"/>
    <w:rsid w:val="008F6181"/>
    <w:rsid w:val="008F6637"/>
    <w:rsid w:val="008F6734"/>
    <w:rsid w:val="008F6887"/>
    <w:rsid w:val="008F73F7"/>
    <w:rsid w:val="008F7589"/>
    <w:rsid w:val="008F786E"/>
    <w:rsid w:val="008F79B6"/>
    <w:rsid w:val="009003A5"/>
    <w:rsid w:val="00900DEF"/>
    <w:rsid w:val="00901041"/>
    <w:rsid w:val="00901070"/>
    <w:rsid w:val="009013DC"/>
    <w:rsid w:val="009014E8"/>
    <w:rsid w:val="00901BE5"/>
    <w:rsid w:val="009020A2"/>
    <w:rsid w:val="009025AD"/>
    <w:rsid w:val="00902613"/>
    <w:rsid w:val="00902E85"/>
    <w:rsid w:val="00903BAC"/>
    <w:rsid w:val="00903BC6"/>
    <w:rsid w:val="00904A70"/>
    <w:rsid w:val="00905C5C"/>
    <w:rsid w:val="00907CB7"/>
    <w:rsid w:val="00907DBC"/>
    <w:rsid w:val="009103BC"/>
    <w:rsid w:val="00910C35"/>
    <w:rsid w:val="0091101B"/>
    <w:rsid w:val="009112E9"/>
    <w:rsid w:val="0091169B"/>
    <w:rsid w:val="009116BE"/>
    <w:rsid w:val="00911A6E"/>
    <w:rsid w:val="00911A9F"/>
    <w:rsid w:val="00911FA7"/>
    <w:rsid w:val="00911FBE"/>
    <w:rsid w:val="00912998"/>
    <w:rsid w:val="00912E45"/>
    <w:rsid w:val="009135E1"/>
    <w:rsid w:val="00913673"/>
    <w:rsid w:val="00913A73"/>
    <w:rsid w:val="00914A54"/>
    <w:rsid w:val="00914EA3"/>
    <w:rsid w:val="009150A9"/>
    <w:rsid w:val="0091603F"/>
    <w:rsid w:val="00916920"/>
    <w:rsid w:val="00916DE9"/>
    <w:rsid w:val="009176EE"/>
    <w:rsid w:val="00917991"/>
    <w:rsid w:val="00917C6F"/>
    <w:rsid w:val="00917D38"/>
    <w:rsid w:val="00917D72"/>
    <w:rsid w:val="00917D7E"/>
    <w:rsid w:val="00917D89"/>
    <w:rsid w:val="00917E14"/>
    <w:rsid w:val="00920B0B"/>
    <w:rsid w:val="00920C15"/>
    <w:rsid w:val="00920F6E"/>
    <w:rsid w:val="009216FA"/>
    <w:rsid w:val="0092199D"/>
    <w:rsid w:val="00921E06"/>
    <w:rsid w:val="00921E65"/>
    <w:rsid w:val="00921F7F"/>
    <w:rsid w:val="00922DA4"/>
    <w:rsid w:val="0092341F"/>
    <w:rsid w:val="00923422"/>
    <w:rsid w:val="00923AE2"/>
    <w:rsid w:val="009243DD"/>
    <w:rsid w:val="0092459A"/>
    <w:rsid w:val="00924720"/>
    <w:rsid w:val="00925B81"/>
    <w:rsid w:val="00925D51"/>
    <w:rsid w:val="0092709F"/>
    <w:rsid w:val="0093052B"/>
    <w:rsid w:val="00930C23"/>
    <w:rsid w:val="0093189C"/>
    <w:rsid w:val="00931937"/>
    <w:rsid w:val="00931E80"/>
    <w:rsid w:val="00931F91"/>
    <w:rsid w:val="009320E2"/>
    <w:rsid w:val="009324A1"/>
    <w:rsid w:val="009327EC"/>
    <w:rsid w:val="009328A1"/>
    <w:rsid w:val="0093388F"/>
    <w:rsid w:val="009340BC"/>
    <w:rsid w:val="00935448"/>
    <w:rsid w:val="009358BE"/>
    <w:rsid w:val="00935E19"/>
    <w:rsid w:val="00935E2F"/>
    <w:rsid w:val="009365DD"/>
    <w:rsid w:val="00936AA8"/>
    <w:rsid w:val="00936BA9"/>
    <w:rsid w:val="00936C70"/>
    <w:rsid w:val="00936E80"/>
    <w:rsid w:val="00937956"/>
    <w:rsid w:val="00940B7A"/>
    <w:rsid w:val="009417A8"/>
    <w:rsid w:val="009419DA"/>
    <w:rsid w:val="00941DE8"/>
    <w:rsid w:val="0094264D"/>
    <w:rsid w:val="0094328A"/>
    <w:rsid w:val="0094376D"/>
    <w:rsid w:val="00943B25"/>
    <w:rsid w:val="00943E8C"/>
    <w:rsid w:val="0094542B"/>
    <w:rsid w:val="00946014"/>
    <w:rsid w:val="009461B9"/>
    <w:rsid w:val="0094726B"/>
    <w:rsid w:val="009472B2"/>
    <w:rsid w:val="009472E8"/>
    <w:rsid w:val="0094730E"/>
    <w:rsid w:val="009475F0"/>
    <w:rsid w:val="00947DE4"/>
    <w:rsid w:val="00947F09"/>
    <w:rsid w:val="009500A4"/>
    <w:rsid w:val="009508FF"/>
    <w:rsid w:val="0095098B"/>
    <w:rsid w:val="00950EFE"/>
    <w:rsid w:val="00950F65"/>
    <w:rsid w:val="00951F0A"/>
    <w:rsid w:val="0095274F"/>
    <w:rsid w:val="009528FE"/>
    <w:rsid w:val="00952B0B"/>
    <w:rsid w:val="00952CA1"/>
    <w:rsid w:val="0095322E"/>
    <w:rsid w:val="00953770"/>
    <w:rsid w:val="00954271"/>
    <w:rsid w:val="009542A0"/>
    <w:rsid w:val="009542BD"/>
    <w:rsid w:val="00954579"/>
    <w:rsid w:val="00955092"/>
    <w:rsid w:val="0095517C"/>
    <w:rsid w:val="00955D62"/>
    <w:rsid w:val="00955EF9"/>
    <w:rsid w:val="00956105"/>
    <w:rsid w:val="0095628C"/>
    <w:rsid w:val="00957436"/>
    <w:rsid w:val="00957608"/>
    <w:rsid w:val="0096043A"/>
    <w:rsid w:val="009605A9"/>
    <w:rsid w:val="00961DA5"/>
    <w:rsid w:val="00962447"/>
    <w:rsid w:val="009647F3"/>
    <w:rsid w:val="009648D6"/>
    <w:rsid w:val="009651E4"/>
    <w:rsid w:val="009654E3"/>
    <w:rsid w:val="009655AB"/>
    <w:rsid w:val="00965C6C"/>
    <w:rsid w:val="00965F91"/>
    <w:rsid w:val="0096615F"/>
    <w:rsid w:val="009662AD"/>
    <w:rsid w:val="0096632A"/>
    <w:rsid w:val="009664A6"/>
    <w:rsid w:val="009665B5"/>
    <w:rsid w:val="00966CCB"/>
    <w:rsid w:val="00967EBD"/>
    <w:rsid w:val="0097044F"/>
    <w:rsid w:val="0097063D"/>
    <w:rsid w:val="0097064C"/>
    <w:rsid w:val="009708B5"/>
    <w:rsid w:val="00970ECE"/>
    <w:rsid w:val="00970FEA"/>
    <w:rsid w:val="0097101A"/>
    <w:rsid w:val="0097165B"/>
    <w:rsid w:val="00971B3E"/>
    <w:rsid w:val="00971B5F"/>
    <w:rsid w:val="009725B9"/>
    <w:rsid w:val="009727EC"/>
    <w:rsid w:val="0097306C"/>
    <w:rsid w:val="0097336E"/>
    <w:rsid w:val="009733DD"/>
    <w:rsid w:val="00973C32"/>
    <w:rsid w:val="00973C9D"/>
    <w:rsid w:val="00974B0A"/>
    <w:rsid w:val="00975AFA"/>
    <w:rsid w:val="00975B9A"/>
    <w:rsid w:val="009760CD"/>
    <w:rsid w:val="0097642F"/>
    <w:rsid w:val="009767A4"/>
    <w:rsid w:val="00976A30"/>
    <w:rsid w:val="00976AD1"/>
    <w:rsid w:val="00976CF5"/>
    <w:rsid w:val="009770BA"/>
    <w:rsid w:val="00977EFE"/>
    <w:rsid w:val="0098068B"/>
    <w:rsid w:val="0098105D"/>
    <w:rsid w:val="00981161"/>
    <w:rsid w:val="00981363"/>
    <w:rsid w:val="009815F7"/>
    <w:rsid w:val="00981BF5"/>
    <w:rsid w:val="00982225"/>
    <w:rsid w:val="00982418"/>
    <w:rsid w:val="00982921"/>
    <w:rsid w:val="00983114"/>
    <w:rsid w:val="009836F0"/>
    <w:rsid w:val="00983CFC"/>
    <w:rsid w:val="00983E57"/>
    <w:rsid w:val="009840F1"/>
    <w:rsid w:val="0098495E"/>
    <w:rsid w:val="00985420"/>
    <w:rsid w:val="00985DD6"/>
    <w:rsid w:val="00986D1A"/>
    <w:rsid w:val="00987314"/>
    <w:rsid w:val="00987C6C"/>
    <w:rsid w:val="00990255"/>
    <w:rsid w:val="00990439"/>
    <w:rsid w:val="00990619"/>
    <w:rsid w:val="00990956"/>
    <w:rsid w:val="00990B1E"/>
    <w:rsid w:val="00991E6C"/>
    <w:rsid w:val="009921FC"/>
    <w:rsid w:val="009925DE"/>
    <w:rsid w:val="00992874"/>
    <w:rsid w:val="00992BFB"/>
    <w:rsid w:val="0099370E"/>
    <w:rsid w:val="00993F4C"/>
    <w:rsid w:val="009949B7"/>
    <w:rsid w:val="00994B16"/>
    <w:rsid w:val="00994F76"/>
    <w:rsid w:val="009950D4"/>
    <w:rsid w:val="009951BF"/>
    <w:rsid w:val="00995798"/>
    <w:rsid w:val="00996947"/>
    <w:rsid w:val="00996B33"/>
    <w:rsid w:val="00996E60"/>
    <w:rsid w:val="0099798E"/>
    <w:rsid w:val="00997E12"/>
    <w:rsid w:val="009A0D90"/>
    <w:rsid w:val="009A1986"/>
    <w:rsid w:val="009A1B81"/>
    <w:rsid w:val="009A2595"/>
    <w:rsid w:val="009A2DF2"/>
    <w:rsid w:val="009A2FC8"/>
    <w:rsid w:val="009A3EEC"/>
    <w:rsid w:val="009A437B"/>
    <w:rsid w:val="009A572A"/>
    <w:rsid w:val="009A5B9A"/>
    <w:rsid w:val="009A660C"/>
    <w:rsid w:val="009A6D38"/>
    <w:rsid w:val="009A6E02"/>
    <w:rsid w:val="009A6FDE"/>
    <w:rsid w:val="009B01E7"/>
    <w:rsid w:val="009B0DCC"/>
    <w:rsid w:val="009B11A1"/>
    <w:rsid w:val="009B18BC"/>
    <w:rsid w:val="009B1936"/>
    <w:rsid w:val="009B1A76"/>
    <w:rsid w:val="009B1BC7"/>
    <w:rsid w:val="009B1D64"/>
    <w:rsid w:val="009B24A4"/>
    <w:rsid w:val="009B3792"/>
    <w:rsid w:val="009B3AB6"/>
    <w:rsid w:val="009B3F2C"/>
    <w:rsid w:val="009B411E"/>
    <w:rsid w:val="009B4178"/>
    <w:rsid w:val="009B42C6"/>
    <w:rsid w:val="009B4B52"/>
    <w:rsid w:val="009B532C"/>
    <w:rsid w:val="009B54A3"/>
    <w:rsid w:val="009B5825"/>
    <w:rsid w:val="009B5A04"/>
    <w:rsid w:val="009B5D3E"/>
    <w:rsid w:val="009B6382"/>
    <w:rsid w:val="009B650F"/>
    <w:rsid w:val="009B6D50"/>
    <w:rsid w:val="009B71CC"/>
    <w:rsid w:val="009B71D4"/>
    <w:rsid w:val="009B7A40"/>
    <w:rsid w:val="009C02DD"/>
    <w:rsid w:val="009C05A2"/>
    <w:rsid w:val="009C05B6"/>
    <w:rsid w:val="009C0B2E"/>
    <w:rsid w:val="009C10B9"/>
    <w:rsid w:val="009C11AE"/>
    <w:rsid w:val="009C16CC"/>
    <w:rsid w:val="009C189C"/>
    <w:rsid w:val="009C1BF8"/>
    <w:rsid w:val="009C1FAB"/>
    <w:rsid w:val="009C2611"/>
    <w:rsid w:val="009C3DD7"/>
    <w:rsid w:val="009C418A"/>
    <w:rsid w:val="009C463C"/>
    <w:rsid w:val="009C492B"/>
    <w:rsid w:val="009C4DE3"/>
    <w:rsid w:val="009C523E"/>
    <w:rsid w:val="009C60C1"/>
    <w:rsid w:val="009C666D"/>
    <w:rsid w:val="009C6857"/>
    <w:rsid w:val="009C70D0"/>
    <w:rsid w:val="009C7E07"/>
    <w:rsid w:val="009D03CF"/>
    <w:rsid w:val="009D0729"/>
    <w:rsid w:val="009D096C"/>
    <w:rsid w:val="009D0A31"/>
    <w:rsid w:val="009D17B5"/>
    <w:rsid w:val="009D1EA7"/>
    <w:rsid w:val="009D248F"/>
    <w:rsid w:val="009D25D9"/>
    <w:rsid w:val="009D2F07"/>
    <w:rsid w:val="009D2F45"/>
    <w:rsid w:val="009D3164"/>
    <w:rsid w:val="009D3F2D"/>
    <w:rsid w:val="009D4057"/>
    <w:rsid w:val="009D4773"/>
    <w:rsid w:val="009D4FFB"/>
    <w:rsid w:val="009D56A9"/>
    <w:rsid w:val="009D5753"/>
    <w:rsid w:val="009D5933"/>
    <w:rsid w:val="009D5965"/>
    <w:rsid w:val="009D5A9F"/>
    <w:rsid w:val="009D5C73"/>
    <w:rsid w:val="009D64FF"/>
    <w:rsid w:val="009D655A"/>
    <w:rsid w:val="009D6C20"/>
    <w:rsid w:val="009D6ED6"/>
    <w:rsid w:val="009D6FE9"/>
    <w:rsid w:val="009D7177"/>
    <w:rsid w:val="009D724D"/>
    <w:rsid w:val="009D73FE"/>
    <w:rsid w:val="009D798F"/>
    <w:rsid w:val="009E0E2B"/>
    <w:rsid w:val="009E10BE"/>
    <w:rsid w:val="009E119D"/>
    <w:rsid w:val="009E121E"/>
    <w:rsid w:val="009E13FC"/>
    <w:rsid w:val="009E1DAB"/>
    <w:rsid w:val="009E2183"/>
    <w:rsid w:val="009E2548"/>
    <w:rsid w:val="009E2636"/>
    <w:rsid w:val="009E329B"/>
    <w:rsid w:val="009E3F9D"/>
    <w:rsid w:val="009E626B"/>
    <w:rsid w:val="009E6CCD"/>
    <w:rsid w:val="009E6EDE"/>
    <w:rsid w:val="009E6F3B"/>
    <w:rsid w:val="009E79FC"/>
    <w:rsid w:val="009F00E2"/>
    <w:rsid w:val="009F09A8"/>
    <w:rsid w:val="009F0B03"/>
    <w:rsid w:val="009F1501"/>
    <w:rsid w:val="009F1B9F"/>
    <w:rsid w:val="009F1D02"/>
    <w:rsid w:val="009F1F0C"/>
    <w:rsid w:val="009F2227"/>
    <w:rsid w:val="009F2443"/>
    <w:rsid w:val="009F2A5A"/>
    <w:rsid w:val="009F2B2E"/>
    <w:rsid w:val="009F33E2"/>
    <w:rsid w:val="009F35C5"/>
    <w:rsid w:val="009F369F"/>
    <w:rsid w:val="009F3802"/>
    <w:rsid w:val="009F38A5"/>
    <w:rsid w:val="009F3EEA"/>
    <w:rsid w:val="009F401F"/>
    <w:rsid w:val="009F4BE0"/>
    <w:rsid w:val="009F4E8E"/>
    <w:rsid w:val="009F59D9"/>
    <w:rsid w:val="009F5E1A"/>
    <w:rsid w:val="009F6A04"/>
    <w:rsid w:val="009F6D1B"/>
    <w:rsid w:val="009F73B4"/>
    <w:rsid w:val="009F74D5"/>
    <w:rsid w:val="009F7889"/>
    <w:rsid w:val="009F78BE"/>
    <w:rsid w:val="00A004C1"/>
    <w:rsid w:val="00A00D4D"/>
    <w:rsid w:val="00A01059"/>
    <w:rsid w:val="00A019F4"/>
    <w:rsid w:val="00A01C03"/>
    <w:rsid w:val="00A01E96"/>
    <w:rsid w:val="00A023B5"/>
    <w:rsid w:val="00A029DD"/>
    <w:rsid w:val="00A02A95"/>
    <w:rsid w:val="00A02ADB"/>
    <w:rsid w:val="00A03426"/>
    <w:rsid w:val="00A0397E"/>
    <w:rsid w:val="00A03C94"/>
    <w:rsid w:val="00A0414A"/>
    <w:rsid w:val="00A04284"/>
    <w:rsid w:val="00A0433D"/>
    <w:rsid w:val="00A0498A"/>
    <w:rsid w:val="00A04C0D"/>
    <w:rsid w:val="00A04DBC"/>
    <w:rsid w:val="00A04E79"/>
    <w:rsid w:val="00A04E7E"/>
    <w:rsid w:val="00A04F8A"/>
    <w:rsid w:val="00A0501C"/>
    <w:rsid w:val="00A051F9"/>
    <w:rsid w:val="00A05742"/>
    <w:rsid w:val="00A05834"/>
    <w:rsid w:val="00A060B6"/>
    <w:rsid w:val="00A06CCB"/>
    <w:rsid w:val="00A06FE1"/>
    <w:rsid w:val="00A0735A"/>
    <w:rsid w:val="00A0783E"/>
    <w:rsid w:val="00A10766"/>
    <w:rsid w:val="00A109E2"/>
    <w:rsid w:val="00A10C62"/>
    <w:rsid w:val="00A10E59"/>
    <w:rsid w:val="00A10E85"/>
    <w:rsid w:val="00A10FDC"/>
    <w:rsid w:val="00A11218"/>
    <w:rsid w:val="00A115B7"/>
    <w:rsid w:val="00A11916"/>
    <w:rsid w:val="00A119B5"/>
    <w:rsid w:val="00A11A45"/>
    <w:rsid w:val="00A11C58"/>
    <w:rsid w:val="00A125F7"/>
    <w:rsid w:val="00A12D21"/>
    <w:rsid w:val="00A12E57"/>
    <w:rsid w:val="00A139A5"/>
    <w:rsid w:val="00A13B00"/>
    <w:rsid w:val="00A13DAE"/>
    <w:rsid w:val="00A14240"/>
    <w:rsid w:val="00A145C2"/>
    <w:rsid w:val="00A146A1"/>
    <w:rsid w:val="00A14C77"/>
    <w:rsid w:val="00A1544F"/>
    <w:rsid w:val="00A15BEE"/>
    <w:rsid w:val="00A15E13"/>
    <w:rsid w:val="00A167EE"/>
    <w:rsid w:val="00A170C3"/>
    <w:rsid w:val="00A1716E"/>
    <w:rsid w:val="00A174A7"/>
    <w:rsid w:val="00A17665"/>
    <w:rsid w:val="00A20C0C"/>
    <w:rsid w:val="00A20F8D"/>
    <w:rsid w:val="00A20FB5"/>
    <w:rsid w:val="00A21635"/>
    <w:rsid w:val="00A21A96"/>
    <w:rsid w:val="00A22126"/>
    <w:rsid w:val="00A222E4"/>
    <w:rsid w:val="00A226AE"/>
    <w:rsid w:val="00A231EC"/>
    <w:rsid w:val="00A23D73"/>
    <w:rsid w:val="00A24F7F"/>
    <w:rsid w:val="00A251EF"/>
    <w:rsid w:val="00A25D02"/>
    <w:rsid w:val="00A26715"/>
    <w:rsid w:val="00A30044"/>
    <w:rsid w:val="00A30061"/>
    <w:rsid w:val="00A302E8"/>
    <w:rsid w:val="00A3042A"/>
    <w:rsid w:val="00A307D0"/>
    <w:rsid w:val="00A30A0A"/>
    <w:rsid w:val="00A30B2A"/>
    <w:rsid w:val="00A31818"/>
    <w:rsid w:val="00A31D39"/>
    <w:rsid w:val="00A31F3A"/>
    <w:rsid w:val="00A3217D"/>
    <w:rsid w:val="00A324E7"/>
    <w:rsid w:val="00A32879"/>
    <w:rsid w:val="00A3301D"/>
    <w:rsid w:val="00A33580"/>
    <w:rsid w:val="00A3373B"/>
    <w:rsid w:val="00A33C21"/>
    <w:rsid w:val="00A33CFE"/>
    <w:rsid w:val="00A3432D"/>
    <w:rsid w:val="00A344FB"/>
    <w:rsid w:val="00A346FB"/>
    <w:rsid w:val="00A349C2"/>
    <w:rsid w:val="00A34C3B"/>
    <w:rsid w:val="00A34F6C"/>
    <w:rsid w:val="00A35090"/>
    <w:rsid w:val="00A358D1"/>
    <w:rsid w:val="00A35969"/>
    <w:rsid w:val="00A35AD6"/>
    <w:rsid w:val="00A365C0"/>
    <w:rsid w:val="00A372F1"/>
    <w:rsid w:val="00A374CC"/>
    <w:rsid w:val="00A37859"/>
    <w:rsid w:val="00A37CDB"/>
    <w:rsid w:val="00A40258"/>
    <w:rsid w:val="00A40684"/>
    <w:rsid w:val="00A40AF1"/>
    <w:rsid w:val="00A41432"/>
    <w:rsid w:val="00A419DF"/>
    <w:rsid w:val="00A4210A"/>
    <w:rsid w:val="00A42391"/>
    <w:rsid w:val="00A42AB8"/>
    <w:rsid w:val="00A42B64"/>
    <w:rsid w:val="00A4333B"/>
    <w:rsid w:val="00A439A9"/>
    <w:rsid w:val="00A44131"/>
    <w:rsid w:val="00A442B2"/>
    <w:rsid w:val="00A447D7"/>
    <w:rsid w:val="00A455D4"/>
    <w:rsid w:val="00A45CDC"/>
    <w:rsid w:val="00A4690A"/>
    <w:rsid w:val="00A46EC6"/>
    <w:rsid w:val="00A476F4"/>
    <w:rsid w:val="00A4774A"/>
    <w:rsid w:val="00A512AF"/>
    <w:rsid w:val="00A51781"/>
    <w:rsid w:val="00A51C68"/>
    <w:rsid w:val="00A51C86"/>
    <w:rsid w:val="00A51DA9"/>
    <w:rsid w:val="00A51F52"/>
    <w:rsid w:val="00A51F8E"/>
    <w:rsid w:val="00A52038"/>
    <w:rsid w:val="00A52054"/>
    <w:rsid w:val="00A520C1"/>
    <w:rsid w:val="00A5325D"/>
    <w:rsid w:val="00A53623"/>
    <w:rsid w:val="00A548C3"/>
    <w:rsid w:val="00A54989"/>
    <w:rsid w:val="00A55224"/>
    <w:rsid w:val="00A553D7"/>
    <w:rsid w:val="00A554DE"/>
    <w:rsid w:val="00A55D7B"/>
    <w:rsid w:val="00A5669D"/>
    <w:rsid w:val="00A56E20"/>
    <w:rsid w:val="00A576A4"/>
    <w:rsid w:val="00A57DBD"/>
    <w:rsid w:val="00A6017B"/>
    <w:rsid w:val="00A6025C"/>
    <w:rsid w:val="00A60426"/>
    <w:rsid w:val="00A60E0A"/>
    <w:rsid w:val="00A6129E"/>
    <w:rsid w:val="00A61699"/>
    <w:rsid w:val="00A61BFB"/>
    <w:rsid w:val="00A6297D"/>
    <w:rsid w:val="00A63059"/>
    <w:rsid w:val="00A631BB"/>
    <w:rsid w:val="00A6337E"/>
    <w:rsid w:val="00A63A3D"/>
    <w:rsid w:val="00A63C05"/>
    <w:rsid w:val="00A641A1"/>
    <w:rsid w:val="00A6431B"/>
    <w:rsid w:val="00A648EB"/>
    <w:rsid w:val="00A64A2C"/>
    <w:rsid w:val="00A65123"/>
    <w:rsid w:val="00A65515"/>
    <w:rsid w:val="00A65596"/>
    <w:rsid w:val="00A65CCB"/>
    <w:rsid w:val="00A6697A"/>
    <w:rsid w:val="00A670F2"/>
    <w:rsid w:val="00A67451"/>
    <w:rsid w:val="00A67976"/>
    <w:rsid w:val="00A67C30"/>
    <w:rsid w:val="00A67FBE"/>
    <w:rsid w:val="00A70038"/>
    <w:rsid w:val="00A7021A"/>
    <w:rsid w:val="00A70562"/>
    <w:rsid w:val="00A70678"/>
    <w:rsid w:val="00A707BF"/>
    <w:rsid w:val="00A70954"/>
    <w:rsid w:val="00A70A67"/>
    <w:rsid w:val="00A70BC5"/>
    <w:rsid w:val="00A70CD9"/>
    <w:rsid w:val="00A711D1"/>
    <w:rsid w:val="00A713FA"/>
    <w:rsid w:val="00A715B9"/>
    <w:rsid w:val="00A71AAB"/>
    <w:rsid w:val="00A72041"/>
    <w:rsid w:val="00A72B9C"/>
    <w:rsid w:val="00A730EC"/>
    <w:rsid w:val="00A738C2"/>
    <w:rsid w:val="00A73A1B"/>
    <w:rsid w:val="00A73B1F"/>
    <w:rsid w:val="00A74457"/>
    <w:rsid w:val="00A74EAE"/>
    <w:rsid w:val="00A75408"/>
    <w:rsid w:val="00A75738"/>
    <w:rsid w:val="00A7618A"/>
    <w:rsid w:val="00A76431"/>
    <w:rsid w:val="00A76EE1"/>
    <w:rsid w:val="00A803DB"/>
    <w:rsid w:val="00A804DB"/>
    <w:rsid w:val="00A805A8"/>
    <w:rsid w:val="00A81E87"/>
    <w:rsid w:val="00A82031"/>
    <w:rsid w:val="00A82AED"/>
    <w:rsid w:val="00A82B3A"/>
    <w:rsid w:val="00A8334E"/>
    <w:rsid w:val="00A83D5C"/>
    <w:rsid w:val="00A8423C"/>
    <w:rsid w:val="00A850DB"/>
    <w:rsid w:val="00A85E2C"/>
    <w:rsid w:val="00A8613C"/>
    <w:rsid w:val="00A8659A"/>
    <w:rsid w:val="00A86C09"/>
    <w:rsid w:val="00A86F70"/>
    <w:rsid w:val="00A87B9A"/>
    <w:rsid w:val="00A87CAE"/>
    <w:rsid w:val="00A87D3D"/>
    <w:rsid w:val="00A87FB9"/>
    <w:rsid w:val="00A901F2"/>
    <w:rsid w:val="00A9022D"/>
    <w:rsid w:val="00A90885"/>
    <w:rsid w:val="00A90AD9"/>
    <w:rsid w:val="00A90C69"/>
    <w:rsid w:val="00A91893"/>
    <w:rsid w:val="00A92464"/>
    <w:rsid w:val="00A924B7"/>
    <w:rsid w:val="00A92A96"/>
    <w:rsid w:val="00A92BF9"/>
    <w:rsid w:val="00A93321"/>
    <w:rsid w:val="00A93F86"/>
    <w:rsid w:val="00A94908"/>
    <w:rsid w:val="00A952E4"/>
    <w:rsid w:val="00A95A6A"/>
    <w:rsid w:val="00A9603A"/>
    <w:rsid w:val="00A963F0"/>
    <w:rsid w:val="00A9641C"/>
    <w:rsid w:val="00A9660F"/>
    <w:rsid w:val="00A96998"/>
    <w:rsid w:val="00A96DDD"/>
    <w:rsid w:val="00A96FBA"/>
    <w:rsid w:val="00A97DE6"/>
    <w:rsid w:val="00AA0548"/>
    <w:rsid w:val="00AA0E9E"/>
    <w:rsid w:val="00AA14AD"/>
    <w:rsid w:val="00AA1E47"/>
    <w:rsid w:val="00AA2180"/>
    <w:rsid w:val="00AA242C"/>
    <w:rsid w:val="00AA27FC"/>
    <w:rsid w:val="00AA3D09"/>
    <w:rsid w:val="00AA4065"/>
    <w:rsid w:val="00AA41ED"/>
    <w:rsid w:val="00AA46B3"/>
    <w:rsid w:val="00AA4CA5"/>
    <w:rsid w:val="00AA4D30"/>
    <w:rsid w:val="00AA4E3D"/>
    <w:rsid w:val="00AA5364"/>
    <w:rsid w:val="00AA55C1"/>
    <w:rsid w:val="00AA5710"/>
    <w:rsid w:val="00AA58E2"/>
    <w:rsid w:val="00AA6269"/>
    <w:rsid w:val="00AA6455"/>
    <w:rsid w:val="00AA69D1"/>
    <w:rsid w:val="00AA6AB6"/>
    <w:rsid w:val="00AA74CB"/>
    <w:rsid w:val="00AA78B1"/>
    <w:rsid w:val="00AA7AD8"/>
    <w:rsid w:val="00AA7C79"/>
    <w:rsid w:val="00AA7FDF"/>
    <w:rsid w:val="00AB0447"/>
    <w:rsid w:val="00AB0B58"/>
    <w:rsid w:val="00AB0D40"/>
    <w:rsid w:val="00AB0EBD"/>
    <w:rsid w:val="00AB0F0E"/>
    <w:rsid w:val="00AB13AE"/>
    <w:rsid w:val="00AB1680"/>
    <w:rsid w:val="00AB1A24"/>
    <w:rsid w:val="00AB1B19"/>
    <w:rsid w:val="00AB22EF"/>
    <w:rsid w:val="00AB28D0"/>
    <w:rsid w:val="00AB2F29"/>
    <w:rsid w:val="00AB37D3"/>
    <w:rsid w:val="00AB3858"/>
    <w:rsid w:val="00AB50C6"/>
    <w:rsid w:val="00AB5572"/>
    <w:rsid w:val="00AB581E"/>
    <w:rsid w:val="00AB5B7B"/>
    <w:rsid w:val="00AB64D5"/>
    <w:rsid w:val="00AB672E"/>
    <w:rsid w:val="00AB6A19"/>
    <w:rsid w:val="00AB6C43"/>
    <w:rsid w:val="00AB6D21"/>
    <w:rsid w:val="00AB716E"/>
    <w:rsid w:val="00AB7BC9"/>
    <w:rsid w:val="00AC0536"/>
    <w:rsid w:val="00AC053C"/>
    <w:rsid w:val="00AC0CAF"/>
    <w:rsid w:val="00AC0D9C"/>
    <w:rsid w:val="00AC12E3"/>
    <w:rsid w:val="00AC16FC"/>
    <w:rsid w:val="00AC1D6C"/>
    <w:rsid w:val="00AC1F63"/>
    <w:rsid w:val="00AC239B"/>
    <w:rsid w:val="00AC2477"/>
    <w:rsid w:val="00AC28C2"/>
    <w:rsid w:val="00AC2EC4"/>
    <w:rsid w:val="00AC2FB4"/>
    <w:rsid w:val="00AC31B4"/>
    <w:rsid w:val="00AC378F"/>
    <w:rsid w:val="00AC3F87"/>
    <w:rsid w:val="00AC49A3"/>
    <w:rsid w:val="00AC560C"/>
    <w:rsid w:val="00AC59A8"/>
    <w:rsid w:val="00AC61EA"/>
    <w:rsid w:val="00AC65B4"/>
    <w:rsid w:val="00AC680D"/>
    <w:rsid w:val="00AC6F8E"/>
    <w:rsid w:val="00AC72EB"/>
    <w:rsid w:val="00AC7738"/>
    <w:rsid w:val="00AD0137"/>
    <w:rsid w:val="00AD0CE0"/>
    <w:rsid w:val="00AD1162"/>
    <w:rsid w:val="00AD172F"/>
    <w:rsid w:val="00AD17F7"/>
    <w:rsid w:val="00AD18CD"/>
    <w:rsid w:val="00AD1AA9"/>
    <w:rsid w:val="00AD2108"/>
    <w:rsid w:val="00AD2195"/>
    <w:rsid w:val="00AD21D8"/>
    <w:rsid w:val="00AD28F0"/>
    <w:rsid w:val="00AD3C0C"/>
    <w:rsid w:val="00AD3D57"/>
    <w:rsid w:val="00AD4048"/>
    <w:rsid w:val="00AD4388"/>
    <w:rsid w:val="00AD448A"/>
    <w:rsid w:val="00AD5B08"/>
    <w:rsid w:val="00AD5FFD"/>
    <w:rsid w:val="00AD62D5"/>
    <w:rsid w:val="00AD650D"/>
    <w:rsid w:val="00AD6DD7"/>
    <w:rsid w:val="00AD6E50"/>
    <w:rsid w:val="00AD75A1"/>
    <w:rsid w:val="00AD7C1B"/>
    <w:rsid w:val="00AD7EA3"/>
    <w:rsid w:val="00AE01FF"/>
    <w:rsid w:val="00AE07F1"/>
    <w:rsid w:val="00AE0B8B"/>
    <w:rsid w:val="00AE0EBC"/>
    <w:rsid w:val="00AE1B53"/>
    <w:rsid w:val="00AE1F85"/>
    <w:rsid w:val="00AE24A5"/>
    <w:rsid w:val="00AE24DC"/>
    <w:rsid w:val="00AE2B42"/>
    <w:rsid w:val="00AE2DB5"/>
    <w:rsid w:val="00AE2EC1"/>
    <w:rsid w:val="00AE3150"/>
    <w:rsid w:val="00AE3B3B"/>
    <w:rsid w:val="00AE3DBF"/>
    <w:rsid w:val="00AE3EA9"/>
    <w:rsid w:val="00AE47DC"/>
    <w:rsid w:val="00AE4E2F"/>
    <w:rsid w:val="00AE5529"/>
    <w:rsid w:val="00AE56F5"/>
    <w:rsid w:val="00AE6114"/>
    <w:rsid w:val="00AE6905"/>
    <w:rsid w:val="00AE69FD"/>
    <w:rsid w:val="00AE7B52"/>
    <w:rsid w:val="00AE7E29"/>
    <w:rsid w:val="00AE7EDF"/>
    <w:rsid w:val="00AE7FE8"/>
    <w:rsid w:val="00AF02AA"/>
    <w:rsid w:val="00AF0795"/>
    <w:rsid w:val="00AF1629"/>
    <w:rsid w:val="00AF18E7"/>
    <w:rsid w:val="00AF194E"/>
    <w:rsid w:val="00AF1C66"/>
    <w:rsid w:val="00AF1CC3"/>
    <w:rsid w:val="00AF28B3"/>
    <w:rsid w:val="00AF2A2F"/>
    <w:rsid w:val="00AF32A2"/>
    <w:rsid w:val="00AF34C4"/>
    <w:rsid w:val="00AF36D5"/>
    <w:rsid w:val="00AF3D0B"/>
    <w:rsid w:val="00AF468E"/>
    <w:rsid w:val="00AF4958"/>
    <w:rsid w:val="00AF4AFA"/>
    <w:rsid w:val="00AF4AFB"/>
    <w:rsid w:val="00AF4D5F"/>
    <w:rsid w:val="00AF54FF"/>
    <w:rsid w:val="00AF5EB0"/>
    <w:rsid w:val="00AF6277"/>
    <w:rsid w:val="00AF689F"/>
    <w:rsid w:val="00AF6B08"/>
    <w:rsid w:val="00AF7130"/>
    <w:rsid w:val="00B00555"/>
    <w:rsid w:val="00B009AF"/>
    <w:rsid w:val="00B00E05"/>
    <w:rsid w:val="00B02681"/>
    <w:rsid w:val="00B02D6F"/>
    <w:rsid w:val="00B02E41"/>
    <w:rsid w:val="00B034D1"/>
    <w:rsid w:val="00B039D6"/>
    <w:rsid w:val="00B03A04"/>
    <w:rsid w:val="00B03BD4"/>
    <w:rsid w:val="00B044C6"/>
    <w:rsid w:val="00B04E14"/>
    <w:rsid w:val="00B05317"/>
    <w:rsid w:val="00B058C7"/>
    <w:rsid w:val="00B05C57"/>
    <w:rsid w:val="00B072A2"/>
    <w:rsid w:val="00B07385"/>
    <w:rsid w:val="00B073D6"/>
    <w:rsid w:val="00B073DA"/>
    <w:rsid w:val="00B076B3"/>
    <w:rsid w:val="00B0788E"/>
    <w:rsid w:val="00B07E6E"/>
    <w:rsid w:val="00B102E4"/>
    <w:rsid w:val="00B107A5"/>
    <w:rsid w:val="00B107E1"/>
    <w:rsid w:val="00B108F8"/>
    <w:rsid w:val="00B11250"/>
    <w:rsid w:val="00B11F42"/>
    <w:rsid w:val="00B1286A"/>
    <w:rsid w:val="00B12A62"/>
    <w:rsid w:val="00B12DB5"/>
    <w:rsid w:val="00B12F02"/>
    <w:rsid w:val="00B138B6"/>
    <w:rsid w:val="00B13C81"/>
    <w:rsid w:val="00B13DD3"/>
    <w:rsid w:val="00B14480"/>
    <w:rsid w:val="00B14E46"/>
    <w:rsid w:val="00B15B5D"/>
    <w:rsid w:val="00B15BB7"/>
    <w:rsid w:val="00B15D59"/>
    <w:rsid w:val="00B16149"/>
    <w:rsid w:val="00B17019"/>
    <w:rsid w:val="00B1748A"/>
    <w:rsid w:val="00B1757D"/>
    <w:rsid w:val="00B1763C"/>
    <w:rsid w:val="00B2038F"/>
    <w:rsid w:val="00B2047B"/>
    <w:rsid w:val="00B20646"/>
    <w:rsid w:val="00B20C81"/>
    <w:rsid w:val="00B21137"/>
    <w:rsid w:val="00B212C0"/>
    <w:rsid w:val="00B21356"/>
    <w:rsid w:val="00B216DC"/>
    <w:rsid w:val="00B22991"/>
    <w:rsid w:val="00B22CB0"/>
    <w:rsid w:val="00B22F51"/>
    <w:rsid w:val="00B23369"/>
    <w:rsid w:val="00B233D6"/>
    <w:rsid w:val="00B23ECB"/>
    <w:rsid w:val="00B23F1B"/>
    <w:rsid w:val="00B242FB"/>
    <w:rsid w:val="00B249B7"/>
    <w:rsid w:val="00B254E5"/>
    <w:rsid w:val="00B2582C"/>
    <w:rsid w:val="00B26AAC"/>
    <w:rsid w:val="00B27507"/>
    <w:rsid w:val="00B2761B"/>
    <w:rsid w:val="00B27655"/>
    <w:rsid w:val="00B301AF"/>
    <w:rsid w:val="00B306F6"/>
    <w:rsid w:val="00B31009"/>
    <w:rsid w:val="00B3170B"/>
    <w:rsid w:val="00B32121"/>
    <w:rsid w:val="00B32712"/>
    <w:rsid w:val="00B32B15"/>
    <w:rsid w:val="00B32B82"/>
    <w:rsid w:val="00B32D05"/>
    <w:rsid w:val="00B33448"/>
    <w:rsid w:val="00B3385B"/>
    <w:rsid w:val="00B33D74"/>
    <w:rsid w:val="00B34165"/>
    <w:rsid w:val="00B343F7"/>
    <w:rsid w:val="00B34F71"/>
    <w:rsid w:val="00B37742"/>
    <w:rsid w:val="00B37D6B"/>
    <w:rsid w:val="00B4002E"/>
    <w:rsid w:val="00B41753"/>
    <w:rsid w:val="00B41AA0"/>
    <w:rsid w:val="00B41ACC"/>
    <w:rsid w:val="00B41E56"/>
    <w:rsid w:val="00B41F99"/>
    <w:rsid w:val="00B42395"/>
    <w:rsid w:val="00B4251E"/>
    <w:rsid w:val="00B42B23"/>
    <w:rsid w:val="00B42B90"/>
    <w:rsid w:val="00B42BA4"/>
    <w:rsid w:val="00B42DA7"/>
    <w:rsid w:val="00B42F22"/>
    <w:rsid w:val="00B43260"/>
    <w:rsid w:val="00B43654"/>
    <w:rsid w:val="00B4392B"/>
    <w:rsid w:val="00B44392"/>
    <w:rsid w:val="00B4452D"/>
    <w:rsid w:val="00B44E27"/>
    <w:rsid w:val="00B46266"/>
    <w:rsid w:val="00B46408"/>
    <w:rsid w:val="00B46608"/>
    <w:rsid w:val="00B46F77"/>
    <w:rsid w:val="00B473D6"/>
    <w:rsid w:val="00B47637"/>
    <w:rsid w:val="00B4763D"/>
    <w:rsid w:val="00B50A65"/>
    <w:rsid w:val="00B51218"/>
    <w:rsid w:val="00B51270"/>
    <w:rsid w:val="00B513DD"/>
    <w:rsid w:val="00B524D2"/>
    <w:rsid w:val="00B52D0B"/>
    <w:rsid w:val="00B52EA4"/>
    <w:rsid w:val="00B53A19"/>
    <w:rsid w:val="00B53ED7"/>
    <w:rsid w:val="00B548BA"/>
    <w:rsid w:val="00B548CD"/>
    <w:rsid w:val="00B5582B"/>
    <w:rsid w:val="00B5623F"/>
    <w:rsid w:val="00B56789"/>
    <w:rsid w:val="00B56E29"/>
    <w:rsid w:val="00B56E6D"/>
    <w:rsid w:val="00B56E8A"/>
    <w:rsid w:val="00B57096"/>
    <w:rsid w:val="00B571C7"/>
    <w:rsid w:val="00B57552"/>
    <w:rsid w:val="00B5756F"/>
    <w:rsid w:val="00B57735"/>
    <w:rsid w:val="00B603E0"/>
    <w:rsid w:val="00B607B8"/>
    <w:rsid w:val="00B60C5D"/>
    <w:rsid w:val="00B6100A"/>
    <w:rsid w:val="00B61244"/>
    <w:rsid w:val="00B61A33"/>
    <w:rsid w:val="00B61CB7"/>
    <w:rsid w:val="00B6240C"/>
    <w:rsid w:val="00B6255F"/>
    <w:rsid w:val="00B62D57"/>
    <w:rsid w:val="00B62EB9"/>
    <w:rsid w:val="00B62FCE"/>
    <w:rsid w:val="00B63179"/>
    <w:rsid w:val="00B631E4"/>
    <w:rsid w:val="00B63338"/>
    <w:rsid w:val="00B63C30"/>
    <w:rsid w:val="00B63EB7"/>
    <w:rsid w:val="00B63EE4"/>
    <w:rsid w:val="00B63F45"/>
    <w:rsid w:val="00B64207"/>
    <w:rsid w:val="00B64217"/>
    <w:rsid w:val="00B652A7"/>
    <w:rsid w:val="00B65488"/>
    <w:rsid w:val="00B6596F"/>
    <w:rsid w:val="00B662EA"/>
    <w:rsid w:val="00B66694"/>
    <w:rsid w:val="00B66BEE"/>
    <w:rsid w:val="00B67188"/>
    <w:rsid w:val="00B67ABD"/>
    <w:rsid w:val="00B67F64"/>
    <w:rsid w:val="00B7039F"/>
    <w:rsid w:val="00B7060E"/>
    <w:rsid w:val="00B70B24"/>
    <w:rsid w:val="00B710DA"/>
    <w:rsid w:val="00B71709"/>
    <w:rsid w:val="00B7203D"/>
    <w:rsid w:val="00B72AF9"/>
    <w:rsid w:val="00B73050"/>
    <w:rsid w:val="00B736A4"/>
    <w:rsid w:val="00B73EC3"/>
    <w:rsid w:val="00B73ECE"/>
    <w:rsid w:val="00B7446E"/>
    <w:rsid w:val="00B74847"/>
    <w:rsid w:val="00B75639"/>
    <w:rsid w:val="00B75D8C"/>
    <w:rsid w:val="00B76105"/>
    <w:rsid w:val="00B767FA"/>
    <w:rsid w:val="00B772BB"/>
    <w:rsid w:val="00B7799C"/>
    <w:rsid w:val="00B77D46"/>
    <w:rsid w:val="00B80503"/>
    <w:rsid w:val="00B809BE"/>
    <w:rsid w:val="00B80B21"/>
    <w:rsid w:val="00B81FF4"/>
    <w:rsid w:val="00B8373C"/>
    <w:rsid w:val="00B85A9D"/>
    <w:rsid w:val="00B86E77"/>
    <w:rsid w:val="00B8714A"/>
    <w:rsid w:val="00B87355"/>
    <w:rsid w:val="00B87AE9"/>
    <w:rsid w:val="00B87B5F"/>
    <w:rsid w:val="00B90677"/>
    <w:rsid w:val="00B906D0"/>
    <w:rsid w:val="00B90DBF"/>
    <w:rsid w:val="00B9186D"/>
    <w:rsid w:val="00B91D13"/>
    <w:rsid w:val="00B91E64"/>
    <w:rsid w:val="00B91F99"/>
    <w:rsid w:val="00B92759"/>
    <w:rsid w:val="00B92BBE"/>
    <w:rsid w:val="00B93014"/>
    <w:rsid w:val="00B93137"/>
    <w:rsid w:val="00B9385B"/>
    <w:rsid w:val="00B93877"/>
    <w:rsid w:val="00B9414A"/>
    <w:rsid w:val="00B941CD"/>
    <w:rsid w:val="00B9508F"/>
    <w:rsid w:val="00B953D7"/>
    <w:rsid w:val="00B953E1"/>
    <w:rsid w:val="00B95CAA"/>
    <w:rsid w:val="00B95D84"/>
    <w:rsid w:val="00B95E89"/>
    <w:rsid w:val="00B967D9"/>
    <w:rsid w:val="00B967DE"/>
    <w:rsid w:val="00B9721B"/>
    <w:rsid w:val="00BA08AC"/>
    <w:rsid w:val="00BA0FC8"/>
    <w:rsid w:val="00BA1852"/>
    <w:rsid w:val="00BA19F2"/>
    <w:rsid w:val="00BA1D9F"/>
    <w:rsid w:val="00BA1E83"/>
    <w:rsid w:val="00BA1FC3"/>
    <w:rsid w:val="00BA2528"/>
    <w:rsid w:val="00BA2BF9"/>
    <w:rsid w:val="00BA2F62"/>
    <w:rsid w:val="00BA3031"/>
    <w:rsid w:val="00BA314D"/>
    <w:rsid w:val="00BA3FF2"/>
    <w:rsid w:val="00BA40F0"/>
    <w:rsid w:val="00BA4172"/>
    <w:rsid w:val="00BA43F5"/>
    <w:rsid w:val="00BA4600"/>
    <w:rsid w:val="00BA4609"/>
    <w:rsid w:val="00BA47C3"/>
    <w:rsid w:val="00BA482F"/>
    <w:rsid w:val="00BA4C37"/>
    <w:rsid w:val="00BA4CF6"/>
    <w:rsid w:val="00BA50C6"/>
    <w:rsid w:val="00BA54EE"/>
    <w:rsid w:val="00BA6004"/>
    <w:rsid w:val="00BA6082"/>
    <w:rsid w:val="00BA62EC"/>
    <w:rsid w:val="00BA6753"/>
    <w:rsid w:val="00BA7829"/>
    <w:rsid w:val="00BA7E82"/>
    <w:rsid w:val="00BB10FA"/>
    <w:rsid w:val="00BB2780"/>
    <w:rsid w:val="00BB2B7C"/>
    <w:rsid w:val="00BB3130"/>
    <w:rsid w:val="00BB3161"/>
    <w:rsid w:val="00BB3622"/>
    <w:rsid w:val="00BB3F60"/>
    <w:rsid w:val="00BB44D0"/>
    <w:rsid w:val="00BB5005"/>
    <w:rsid w:val="00BB542B"/>
    <w:rsid w:val="00BB5555"/>
    <w:rsid w:val="00BB5A20"/>
    <w:rsid w:val="00BB5B4C"/>
    <w:rsid w:val="00BB5C26"/>
    <w:rsid w:val="00BB6802"/>
    <w:rsid w:val="00BB6994"/>
    <w:rsid w:val="00BB699E"/>
    <w:rsid w:val="00BB6EAF"/>
    <w:rsid w:val="00BB75FB"/>
    <w:rsid w:val="00BB7965"/>
    <w:rsid w:val="00BB7CC2"/>
    <w:rsid w:val="00BB7D03"/>
    <w:rsid w:val="00BC0206"/>
    <w:rsid w:val="00BC03DB"/>
    <w:rsid w:val="00BC0CEB"/>
    <w:rsid w:val="00BC0E75"/>
    <w:rsid w:val="00BC0FE7"/>
    <w:rsid w:val="00BC1CC7"/>
    <w:rsid w:val="00BC23F5"/>
    <w:rsid w:val="00BC2472"/>
    <w:rsid w:val="00BC2A1A"/>
    <w:rsid w:val="00BC2FEE"/>
    <w:rsid w:val="00BC38CD"/>
    <w:rsid w:val="00BC3E7D"/>
    <w:rsid w:val="00BC3FFD"/>
    <w:rsid w:val="00BC439F"/>
    <w:rsid w:val="00BC440B"/>
    <w:rsid w:val="00BC44D7"/>
    <w:rsid w:val="00BC5CB8"/>
    <w:rsid w:val="00BC5D9F"/>
    <w:rsid w:val="00BC60FB"/>
    <w:rsid w:val="00BC6137"/>
    <w:rsid w:val="00BC61C5"/>
    <w:rsid w:val="00BC6F84"/>
    <w:rsid w:val="00BC7599"/>
    <w:rsid w:val="00BC775D"/>
    <w:rsid w:val="00BC7B46"/>
    <w:rsid w:val="00BD0297"/>
    <w:rsid w:val="00BD0B97"/>
    <w:rsid w:val="00BD0C9B"/>
    <w:rsid w:val="00BD1791"/>
    <w:rsid w:val="00BD21C8"/>
    <w:rsid w:val="00BD22A8"/>
    <w:rsid w:val="00BD29D6"/>
    <w:rsid w:val="00BD415D"/>
    <w:rsid w:val="00BD4545"/>
    <w:rsid w:val="00BD5385"/>
    <w:rsid w:val="00BD5520"/>
    <w:rsid w:val="00BD57EA"/>
    <w:rsid w:val="00BD5AE3"/>
    <w:rsid w:val="00BD66B5"/>
    <w:rsid w:val="00BD67C2"/>
    <w:rsid w:val="00BD6905"/>
    <w:rsid w:val="00BD6CB6"/>
    <w:rsid w:val="00BE08AD"/>
    <w:rsid w:val="00BE0F3C"/>
    <w:rsid w:val="00BE1369"/>
    <w:rsid w:val="00BE1D67"/>
    <w:rsid w:val="00BE1E5D"/>
    <w:rsid w:val="00BE1F78"/>
    <w:rsid w:val="00BE1FAD"/>
    <w:rsid w:val="00BE3313"/>
    <w:rsid w:val="00BE3701"/>
    <w:rsid w:val="00BE3C8A"/>
    <w:rsid w:val="00BE441A"/>
    <w:rsid w:val="00BE608B"/>
    <w:rsid w:val="00BE60FB"/>
    <w:rsid w:val="00BE68A6"/>
    <w:rsid w:val="00BE6E67"/>
    <w:rsid w:val="00BE7508"/>
    <w:rsid w:val="00BE7CA3"/>
    <w:rsid w:val="00BE7EE5"/>
    <w:rsid w:val="00BF1A27"/>
    <w:rsid w:val="00BF1CF0"/>
    <w:rsid w:val="00BF22B2"/>
    <w:rsid w:val="00BF245D"/>
    <w:rsid w:val="00BF27DA"/>
    <w:rsid w:val="00BF3065"/>
    <w:rsid w:val="00BF311A"/>
    <w:rsid w:val="00BF3B45"/>
    <w:rsid w:val="00BF3CD6"/>
    <w:rsid w:val="00BF476D"/>
    <w:rsid w:val="00BF4A12"/>
    <w:rsid w:val="00BF4D79"/>
    <w:rsid w:val="00BF4E5E"/>
    <w:rsid w:val="00BF5918"/>
    <w:rsid w:val="00BF5DA7"/>
    <w:rsid w:val="00BF6264"/>
    <w:rsid w:val="00BF720D"/>
    <w:rsid w:val="00BF7341"/>
    <w:rsid w:val="00BF7C09"/>
    <w:rsid w:val="00C004CC"/>
    <w:rsid w:val="00C00AF7"/>
    <w:rsid w:val="00C01933"/>
    <w:rsid w:val="00C0197F"/>
    <w:rsid w:val="00C01BBA"/>
    <w:rsid w:val="00C01F7E"/>
    <w:rsid w:val="00C020B4"/>
    <w:rsid w:val="00C02463"/>
    <w:rsid w:val="00C026C3"/>
    <w:rsid w:val="00C02D95"/>
    <w:rsid w:val="00C032DE"/>
    <w:rsid w:val="00C03697"/>
    <w:rsid w:val="00C0406F"/>
    <w:rsid w:val="00C04C4A"/>
    <w:rsid w:val="00C05215"/>
    <w:rsid w:val="00C05300"/>
    <w:rsid w:val="00C05983"/>
    <w:rsid w:val="00C05D49"/>
    <w:rsid w:val="00C05E8C"/>
    <w:rsid w:val="00C06228"/>
    <w:rsid w:val="00C0628B"/>
    <w:rsid w:val="00C063EF"/>
    <w:rsid w:val="00C069EB"/>
    <w:rsid w:val="00C06CE3"/>
    <w:rsid w:val="00C070D3"/>
    <w:rsid w:val="00C070F3"/>
    <w:rsid w:val="00C07131"/>
    <w:rsid w:val="00C071FE"/>
    <w:rsid w:val="00C07222"/>
    <w:rsid w:val="00C07C0E"/>
    <w:rsid w:val="00C07F49"/>
    <w:rsid w:val="00C10645"/>
    <w:rsid w:val="00C10749"/>
    <w:rsid w:val="00C10802"/>
    <w:rsid w:val="00C11038"/>
    <w:rsid w:val="00C11BD7"/>
    <w:rsid w:val="00C12009"/>
    <w:rsid w:val="00C121A5"/>
    <w:rsid w:val="00C1246A"/>
    <w:rsid w:val="00C125E1"/>
    <w:rsid w:val="00C12863"/>
    <w:rsid w:val="00C13138"/>
    <w:rsid w:val="00C13337"/>
    <w:rsid w:val="00C13C7B"/>
    <w:rsid w:val="00C13C86"/>
    <w:rsid w:val="00C13E73"/>
    <w:rsid w:val="00C1407A"/>
    <w:rsid w:val="00C142C8"/>
    <w:rsid w:val="00C14783"/>
    <w:rsid w:val="00C162B0"/>
    <w:rsid w:val="00C17121"/>
    <w:rsid w:val="00C17A4A"/>
    <w:rsid w:val="00C17ADF"/>
    <w:rsid w:val="00C17B6F"/>
    <w:rsid w:val="00C17E0C"/>
    <w:rsid w:val="00C20097"/>
    <w:rsid w:val="00C205EF"/>
    <w:rsid w:val="00C20EB6"/>
    <w:rsid w:val="00C21066"/>
    <w:rsid w:val="00C21278"/>
    <w:rsid w:val="00C21F8E"/>
    <w:rsid w:val="00C21FF8"/>
    <w:rsid w:val="00C22733"/>
    <w:rsid w:val="00C227B6"/>
    <w:rsid w:val="00C22C69"/>
    <w:rsid w:val="00C234BA"/>
    <w:rsid w:val="00C238D1"/>
    <w:rsid w:val="00C23AF9"/>
    <w:rsid w:val="00C23BE7"/>
    <w:rsid w:val="00C24687"/>
    <w:rsid w:val="00C24A6C"/>
    <w:rsid w:val="00C24C13"/>
    <w:rsid w:val="00C25345"/>
    <w:rsid w:val="00C254CF"/>
    <w:rsid w:val="00C25A14"/>
    <w:rsid w:val="00C25AE9"/>
    <w:rsid w:val="00C25C09"/>
    <w:rsid w:val="00C25FA2"/>
    <w:rsid w:val="00C260EF"/>
    <w:rsid w:val="00C262E6"/>
    <w:rsid w:val="00C26B6B"/>
    <w:rsid w:val="00C26C23"/>
    <w:rsid w:val="00C26C58"/>
    <w:rsid w:val="00C27A33"/>
    <w:rsid w:val="00C27FB3"/>
    <w:rsid w:val="00C301B6"/>
    <w:rsid w:val="00C30243"/>
    <w:rsid w:val="00C30A7F"/>
    <w:rsid w:val="00C311C4"/>
    <w:rsid w:val="00C31456"/>
    <w:rsid w:val="00C317E3"/>
    <w:rsid w:val="00C31FD6"/>
    <w:rsid w:val="00C320D0"/>
    <w:rsid w:val="00C32A51"/>
    <w:rsid w:val="00C32B52"/>
    <w:rsid w:val="00C32FA5"/>
    <w:rsid w:val="00C33190"/>
    <w:rsid w:val="00C338AF"/>
    <w:rsid w:val="00C33B89"/>
    <w:rsid w:val="00C33F55"/>
    <w:rsid w:val="00C34698"/>
    <w:rsid w:val="00C34898"/>
    <w:rsid w:val="00C34A28"/>
    <w:rsid w:val="00C34DD2"/>
    <w:rsid w:val="00C35BD3"/>
    <w:rsid w:val="00C35CAC"/>
    <w:rsid w:val="00C35D99"/>
    <w:rsid w:val="00C35ED1"/>
    <w:rsid w:val="00C365BC"/>
    <w:rsid w:val="00C36705"/>
    <w:rsid w:val="00C36985"/>
    <w:rsid w:val="00C369E3"/>
    <w:rsid w:val="00C374A4"/>
    <w:rsid w:val="00C37535"/>
    <w:rsid w:val="00C379A3"/>
    <w:rsid w:val="00C37F09"/>
    <w:rsid w:val="00C40633"/>
    <w:rsid w:val="00C40F16"/>
    <w:rsid w:val="00C4105D"/>
    <w:rsid w:val="00C415FB"/>
    <w:rsid w:val="00C41A2E"/>
    <w:rsid w:val="00C41DBB"/>
    <w:rsid w:val="00C4215A"/>
    <w:rsid w:val="00C4234E"/>
    <w:rsid w:val="00C42E72"/>
    <w:rsid w:val="00C436F9"/>
    <w:rsid w:val="00C438DE"/>
    <w:rsid w:val="00C444BC"/>
    <w:rsid w:val="00C44575"/>
    <w:rsid w:val="00C44EE2"/>
    <w:rsid w:val="00C45188"/>
    <w:rsid w:val="00C45574"/>
    <w:rsid w:val="00C45814"/>
    <w:rsid w:val="00C45D7D"/>
    <w:rsid w:val="00C46C79"/>
    <w:rsid w:val="00C46FCE"/>
    <w:rsid w:val="00C47956"/>
    <w:rsid w:val="00C47DBE"/>
    <w:rsid w:val="00C5029D"/>
    <w:rsid w:val="00C50C0F"/>
    <w:rsid w:val="00C50CE8"/>
    <w:rsid w:val="00C50E19"/>
    <w:rsid w:val="00C52F4F"/>
    <w:rsid w:val="00C52FC3"/>
    <w:rsid w:val="00C5312D"/>
    <w:rsid w:val="00C536F9"/>
    <w:rsid w:val="00C53B32"/>
    <w:rsid w:val="00C53C8B"/>
    <w:rsid w:val="00C54084"/>
    <w:rsid w:val="00C542EB"/>
    <w:rsid w:val="00C5448F"/>
    <w:rsid w:val="00C544AD"/>
    <w:rsid w:val="00C54775"/>
    <w:rsid w:val="00C54787"/>
    <w:rsid w:val="00C54AC0"/>
    <w:rsid w:val="00C54BC3"/>
    <w:rsid w:val="00C55B87"/>
    <w:rsid w:val="00C56036"/>
    <w:rsid w:val="00C56603"/>
    <w:rsid w:val="00C56FCB"/>
    <w:rsid w:val="00C57443"/>
    <w:rsid w:val="00C60214"/>
    <w:rsid w:val="00C60346"/>
    <w:rsid w:val="00C60649"/>
    <w:rsid w:val="00C60A69"/>
    <w:rsid w:val="00C60DA2"/>
    <w:rsid w:val="00C61181"/>
    <w:rsid w:val="00C612BF"/>
    <w:rsid w:val="00C61496"/>
    <w:rsid w:val="00C61656"/>
    <w:rsid w:val="00C61770"/>
    <w:rsid w:val="00C61D4A"/>
    <w:rsid w:val="00C62007"/>
    <w:rsid w:val="00C62627"/>
    <w:rsid w:val="00C62855"/>
    <w:rsid w:val="00C62EFF"/>
    <w:rsid w:val="00C632C2"/>
    <w:rsid w:val="00C63354"/>
    <w:rsid w:val="00C633C4"/>
    <w:rsid w:val="00C638CE"/>
    <w:rsid w:val="00C63C20"/>
    <w:rsid w:val="00C63E4A"/>
    <w:rsid w:val="00C641B8"/>
    <w:rsid w:val="00C647D7"/>
    <w:rsid w:val="00C64B19"/>
    <w:rsid w:val="00C65002"/>
    <w:rsid w:val="00C654DA"/>
    <w:rsid w:val="00C65616"/>
    <w:rsid w:val="00C65AA3"/>
    <w:rsid w:val="00C65EAE"/>
    <w:rsid w:val="00C66B53"/>
    <w:rsid w:val="00C66F70"/>
    <w:rsid w:val="00C677E6"/>
    <w:rsid w:val="00C678F9"/>
    <w:rsid w:val="00C67DAF"/>
    <w:rsid w:val="00C7078A"/>
    <w:rsid w:val="00C707DB"/>
    <w:rsid w:val="00C708C4"/>
    <w:rsid w:val="00C71287"/>
    <w:rsid w:val="00C713A9"/>
    <w:rsid w:val="00C725CB"/>
    <w:rsid w:val="00C72871"/>
    <w:rsid w:val="00C72CEF"/>
    <w:rsid w:val="00C73018"/>
    <w:rsid w:val="00C73A82"/>
    <w:rsid w:val="00C73CD7"/>
    <w:rsid w:val="00C73EC9"/>
    <w:rsid w:val="00C74929"/>
    <w:rsid w:val="00C74D8A"/>
    <w:rsid w:val="00C74F78"/>
    <w:rsid w:val="00C75810"/>
    <w:rsid w:val="00C758FE"/>
    <w:rsid w:val="00C76A99"/>
    <w:rsid w:val="00C76B40"/>
    <w:rsid w:val="00C7745F"/>
    <w:rsid w:val="00C77748"/>
    <w:rsid w:val="00C77EEF"/>
    <w:rsid w:val="00C8072C"/>
    <w:rsid w:val="00C80787"/>
    <w:rsid w:val="00C8095D"/>
    <w:rsid w:val="00C8097B"/>
    <w:rsid w:val="00C815FA"/>
    <w:rsid w:val="00C82BB2"/>
    <w:rsid w:val="00C82C2C"/>
    <w:rsid w:val="00C8301F"/>
    <w:rsid w:val="00C834F8"/>
    <w:rsid w:val="00C8363A"/>
    <w:rsid w:val="00C84D7F"/>
    <w:rsid w:val="00C84E3C"/>
    <w:rsid w:val="00C85E07"/>
    <w:rsid w:val="00C85EBE"/>
    <w:rsid w:val="00C860B3"/>
    <w:rsid w:val="00C86180"/>
    <w:rsid w:val="00C863E6"/>
    <w:rsid w:val="00C865D8"/>
    <w:rsid w:val="00C8667F"/>
    <w:rsid w:val="00C86B38"/>
    <w:rsid w:val="00C87041"/>
    <w:rsid w:val="00C87B7C"/>
    <w:rsid w:val="00C9014E"/>
    <w:rsid w:val="00C9027A"/>
    <w:rsid w:val="00C9058B"/>
    <w:rsid w:val="00C90854"/>
    <w:rsid w:val="00C90936"/>
    <w:rsid w:val="00C90B7C"/>
    <w:rsid w:val="00C90EC3"/>
    <w:rsid w:val="00C90FBA"/>
    <w:rsid w:val="00C911F5"/>
    <w:rsid w:val="00C91453"/>
    <w:rsid w:val="00C91463"/>
    <w:rsid w:val="00C91B26"/>
    <w:rsid w:val="00C92492"/>
    <w:rsid w:val="00C92A86"/>
    <w:rsid w:val="00C92D1A"/>
    <w:rsid w:val="00C93D6B"/>
    <w:rsid w:val="00C954CD"/>
    <w:rsid w:val="00C95C52"/>
    <w:rsid w:val="00C95C8C"/>
    <w:rsid w:val="00C9645E"/>
    <w:rsid w:val="00C964A0"/>
    <w:rsid w:val="00C9691E"/>
    <w:rsid w:val="00C9717E"/>
    <w:rsid w:val="00C9757E"/>
    <w:rsid w:val="00CA024F"/>
    <w:rsid w:val="00CA026D"/>
    <w:rsid w:val="00CA0830"/>
    <w:rsid w:val="00CA10AD"/>
    <w:rsid w:val="00CA2733"/>
    <w:rsid w:val="00CA2C94"/>
    <w:rsid w:val="00CA3C09"/>
    <w:rsid w:val="00CA42FC"/>
    <w:rsid w:val="00CA4761"/>
    <w:rsid w:val="00CA47F2"/>
    <w:rsid w:val="00CA4C5B"/>
    <w:rsid w:val="00CA5306"/>
    <w:rsid w:val="00CA5A2D"/>
    <w:rsid w:val="00CA5BD0"/>
    <w:rsid w:val="00CA5EB5"/>
    <w:rsid w:val="00CA63E6"/>
    <w:rsid w:val="00CA6832"/>
    <w:rsid w:val="00CA6B8C"/>
    <w:rsid w:val="00CA79AB"/>
    <w:rsid w:val="00CA7C88"/>
    <w:rsid w:val="00CB023F"/>
    <w:rsid w:val="00CB04B3"/>
    <w:rsid w:val="00CB09E1"/>
    <w:rsid w:val="00CB0C65"/>
    <w:rsid w:val="00CB1176"/>
    <w:rsid w:val="00CB1DAD"/>
    <w:rsid w:val="00CB1E79"/>
    <w:rsid w:val="00CB20CD"/>
    <w:rsid w:val="00CB20F3"/>
    <w:rsid w:val="00CB232B"/>
    <w:rsid w:val="00CB27AB"/>
    <w:rsid w:val="00CB3637"/>
    <w:rsid w:val="00CB42B3"/>
    <w:rsid w:val="00CB4322"/>
    <w:rsid w:val="00CB48AC"/>
    <w:rsid w:val="00CB4C5F"/>
    <w:rsid w:val="00CB4E98"/>
    <w:rsid w:val="00CB5929"/>
    <w:rsid w:val="00CB634B"/>
    <w:rsid w:val="00CB6AC9"/>
    <w:rsid w:val="00CB6BA7"/>
    <w:rsid w:val="00CB71CF"/>
    <w:rsid w:val="00CB72C3"/>
    <w:rsid w:val="00CB7F63"/>
    <w:rsid w:val="00CC03D2"/>
    <w:rsid w:val="00CC0E7C"/>
    <w:rsid w:val="00CC131A"/>
    <w:rsid w:val="00CC13D2"/>
    <w:rsid w:val="00CC144D"/>
    <w:rsid w:val="00CC17F2"/>
    <w:rsid w:val="00CC22FF"/>
    <w:rsid w:val="00CC2499"/>
    <w:rsid w:val="00CC45DD"/>
    <w:rsid w:val="00CC5251"/>
    <w:rsid w:val="00CC578B"/>
    <w:rsid w:val="00CC5A23"/>
    <w:rsid w:val="00CC5E9F"/>
    <w:rsid w:val="00CC70E1"/>
    <w:rsid w:val="00CC742F"/>
    <w:rsid w:val="00CD09C1"/>
    <w:rsid w:val="00CD0E6B"/>
    <w:rsid w:val="00CD1135"/>
    <w:rsid w:val="00CD11FC"/>
    <w:rsid w:val="00CD13E2"/>
    <w:rsid w:val="00CD18BA"/>
    <w:rsid w:val="00CD195D"/>
    <w:rsid w:val="00CD19E4"/>
    <w:rsid w:val="00CD1AFA"/>
    <w:rsid w:val="00CD1C64"/>
    <w:rsid w:val="00CD1D1E"/>
    <w:rsid w:val="00CD1D56"/>
    <w:rsid w:val="00CD22A0"/>
    <w:rsid w:val="00CD2C71"/>
    <w:rsid w:val="00CD309F"/>
    <w:rsid w:val="00CD351F"/>
    <w:rsid w:val="00CD4642"/>
    <w:rsid w:val="00CD48E3"/>
    <w:rsid w:val="00CD4CE9"/>
    <w:rsid w:val="00CD4CEF"/>
    <w:rsid w:val="00CD4CF8"/>
    <w:rsid w:val="00CD4F1E"/>
    <w:rsid w:val="00CD5980"/>
    <w:rsid w:val="00CD59B3"/>
    <w:rsid w:val="00CD5A92"/>
    <w:rsid w:val="00CD5E41"/>
    <w:rsid w:val="00CD5EFD"/>
    <w:rsid w:val="00CD6088"/>
    <w:rsid w:val="00CD61BB"/>
    <w:rsid w:val="00CD6212"/>
    <w:rsid w:val="00CD627A"/>
    <w:rsid w:val="00CD6366"/>
    <w:rsid w:val="00CD650B"/>
    <w:rsid w:val="00CD6ED6"/>
    <w:rsid w:val="00CD6FAB"/>
    <w:rsid w:val="00CD72E3"/>
    <w:rsid w:val="00CD767F"/>
    <w:rsid w:val="00CD7BD1"/>
    <w:rsid w:val="00CD7D49"/>
    <w:rsid w:val="00CE080F"/>
    <w:rsid w:val="00CE090E"/>
    <w:rsid w:val="00CE0F3A"/>
    <w:rsid w:val="00CE109C"/>
    <w:rsid w:val="00CE156D"/>
    <w:rsid w:val="00CE2361"/>
    <w:rsid w:val="00CE288F"/>
    <w:rsid w:val="00CE2C94"/>
    <w:rsid w:val="00CE3577"/>
    <w:rsid w:val="00CE3B6D"/>
    <w:rsid w:val="00CE3E9C"/>
    <w:rsid w:val="00CE4148"/>
    <w:rsid w:val="00CE4530"/>
    <w:rsid w:val="00CE4909"/>
    <w:rsid w:val="00CE4FED"/>
    <w:rsid w:val="00CE6763"/>
    <w:rsid w:val="00CE724F"/>
    <w:rsid w:val="00CE7378"/>
    <w:rsid w:val="00CE7572"/>
    <w:rsid w:val="00CE759A"/>
    <w:rsid w:val="00CE765F"/>
    <w:rsid w:val="00CE7711"/>
    <w:rsid w:val="00CE7CB9"/>
    <w:rsid w:val="00CF0277"/>
    <w:rsid w:val="00CF1378"/>
    <w:rsid w:val="00CF1A46"/>
    <w:rsid w:val="00CF22DA"/>
    <w:rsid w:val="00CF2303"/>
    <w:rsid w:val="00CF23A6"/>
    <w:rsid w:val="00CF256F"/>
    <w:rsid w:val="00CF2ED6"/>
    <w:rsid w:val="00CF2FF4"/>
    <w:rsid w:val="00CF33F8"/>
    <w:rsid w:val="00CF406D"/>
    <w:rsid w:val="00CF4297"/>
    <w:rsid w:val="00CF4B2A"/>
    <w:rsid w:val="00CF4FD7"/>
    <w:rsid w:val="00CF60C7"/>
    <w:rsid w:val="00CF62A9"/>
    <w:rsid w:val="00CF65C0"/>
    <w:rsid w:val="00CF663B"/>
    <w:rsid w:val="00CF6A05"/>
    <w:rsid w:val="00CF6ACD"/>
    <w:rsid w:val="00CF6D73"/>
    <w:rsid w:val="00CF72C7"/>
    <w:rsid w:val="00CF778D"/>
    <w:rsid w:val="00CF7A3E"/>
    <w:rsid w:val="00CF7BAD"/>
    <w:rsid w:val="00CF7E5C"/>
    <w:rsid w:val="00D00B8C"/>
    <w:rsid w:val="00D01039"/>
    <w:rsid w:val="00D017EC"/>
    <w:rsid w:val="00D0182C"/>
    <w:rsid w:val="00D01F61"/>
    <w:rsid w:val="00D01F9D"/>
    <w:rsid w:val="00D023F9"/>
    <w:rsid w:val="00D02CA1"/>
    <w:rsid w:val="00D02E9F"/>
    <w:rsid w:val="00D034F3"/>
    <w:rsid w:val="00D035F5"/>
    <w:rsid w:val="00D03806"/>
    <w:rsid w:val="00D03B59"/>
    <w:rsid w:val="00D042BD"/>
    <w:rsid w:val="00D04644"/>
    <w:rsid w:val="00D05031"/>
    <w:rsid w:val="00D0530C"/>
    <w:rsid w:val="00D05547"/>
    <w:rsid w:val="00D057C5"/>
    <w:rsid w:val="00D0675A"/>
    <w:rsid w:val="00D06908"/>
    <w:rsid w:val="00D069F2"/>
    <w:rsid w:val="00D06DEF"/>
    <w:rsid w:val="00D0716A"/>
    <w:rsid w:val="00D101B4"/>
    <w:rsid w:val="00D10A08"/>
    <w:rsid w:val="00D11FF1"/>
    <w:rsid w:val="00D12122"/>
    <w:rsid w:val="00D12B75"/>
    <w:rsid w:val="00D12C51"/>
    <w:rsid w:val="00D1355B"/>
    <w:rsid w:val="00D139A1"/>
    <w:rsid w:val="00D14632"/>
    <w:rsid w:val="00D14B81"/>
    <w:rsid w:val="00D152BA"/>
    <w:rsid w:val="00D15573"/>
    <w:rsid w:val="00D15652"/>
    <w:rsid w:val="00D1598B"/>
    <w:rsid w:val="00D15C18"/>
    <w:rsid w:val="00D15CCC"/>
    <w:rsid w:val="00D1669E"/>
    <w:rsid w:val="00D16CA5"/>
    <w:rsid w:val="00D16CD6"/>
    <w:rsid w:val="00D173BE"/>
    <w:rsid w:val="00D175A6"/>
    <w:rsid w:val="00D1798A"/>
    <w:rsid w:val="00D20D3C"/>
    <w:rsid w:val="00D211A9"/>
    <w:rsid w:val="00D21272"/>
    <w:rsid w:val="00D212FD"/>
    <w:rsid w:val="00D2135B"/>
    <w:rsid w:val="00D214FA"/>
    <w:rsid w:val="00D21703"/>
    <w:rsid w:val="00D21FE7"/>
    <w:rsid w:val="00D227DA"/>
    <w:rsid w:val="00D22A12"/>
    <w:rsid w:val="00D22B66"/>
    <w:rsid w:val="00D22D0F"/>
    <w:rsid w:val="00D234BE"/>
    <w:rsid w:val="00D23C38"/>
    <w:rsid w:val="00D23C94"/>
    <w:rsid w:val="00D23CAB"/>
    <w:rsid w:val="00D23CC9"/>
    <w:rsid w:val="00D23E3B"/>
    <w:rsid w:val="00D2434B"/>
    <w:rsid w:val="00D251D7"/>
    <w:rsid w:val="00D25291"/>
    <w:rsid w:val="00D25330"/>
    <w:rsid w:val="00D25337"/>
    <w:rsid w:val="00D2555F"/>
    <w:rsid w:val="00D2563D"/>
    <w:rsid w:val="00D257B9"/>
    <w:rsid w:val="00D25F0D"/>
    <w:rsid w:val="00D25FAC"/>
    <w:rsid w:val="00D262E6"/>
    <w:rsid w:val="00D26E51"/>
    <w:rsid w:val="00D279BD"/>
    <w:rsid w:val="00D27F5B"/>
    <w:rsid w:val="00D30508"/>
    <w:rsid w:val="00D30992"/>
    <w:rsid w:val="00D31047"/>
    <w:rsid w:val="00D32461"/>
    <w:rsid w:val="00D325D2"/>
    <w:rsid w:val="00D3313A"/>
    <w:rsid w:val="00D33163"/>
    <w:rsid w:val="00D3324E"/>
    <w:rsid w:val="00D3328E"/>
    <w:rsid w:val="00D34376"/>
    <w:rsid w:val="00D34DAA"/>
    <w:rsid w:val="00D34EC8"/>
    <w:rsid w:val="00D350ED"/>
    <w:rsid w:val="00D3593E"/>
    <w:rsid w:val="00D3598B"/>
    <w:rsid w:val="00D35D33"/>
    <w:rsid w:val="00D364E2"/>
    <w:rsid w:val="00D3696C"/>
    <w:rsid w:val="00D36C10"/>
    <w:rsid w:val="00D36C5C"/>
    <w:rsid w:val="00D37379"/>
    <w:rsid w:val="00D3753F"/>
    <w:rsid w:val="00D377F2"/>
    <w:rsid w:val="00D37F95"/>
    <w:rsid w:val="00D4003E"/>
    <w:rsid w:val="00D40094"/>
    <w:rsid w:val="00D401BB"/>
    <w:rsid w:val="00D412E1"/>
    <w:rsid w:val="00D421BF"/>
    <w:rsid w:val="00D421C1"/>
    <w:rsid w:val="00D4269E"/>
    <w:rsid w:val="00D42D9C"/>
    <w:rsid w:val="00D42DED"/>
    <w:rsid w:val="00D430FF"/>
    <w:rsid w:val="00D43C79"/>
    <w:rsid w:val="00D43F27"/>
    <w:rsid w:val="00D442ED"/>
    <w:rsid w:val="00D44387"/>
    <w:rsid w:val="00D44679"/>
    <w:rsid w:val="00D44BBD"/>
    <w:rsid w:val="00D44BF8"/>
    <w:rsid w:val="00D45006"/>
    <w:rsid w:val="00D45086"/>
    <w:rsid w:val="00D45866"/>
    <w:rsid w:val="00D45EF9"/>
    <w:rsid w:val="00D45F6F"/>
    <w:rsid w:val="00D46083"/>
    <w:rsid w:val="00D46245"/>
    <w:rsid w:val="00D4625D"/>
    <w:rsid w:val="00D46F12"/>
    <w:rsid w:val="00D4728F"/>
    <w:rsid w:val="00D502A4"/>
    <w:rsid w:val="00D5044E"/>
    <w:rsid w:val="00D504CA"/>
    <w:rsid w:val="00D506FC"/>
    <w:rsid w:val="00D5094D"/>
    <w:rsid w:val="00D50C7E"/>
    <w:rsid w:val="00D51875"/>
    <w:rsid w:val="00D52225"/>
    <w:rsid w:val="00D52687"/>
    <w:rsid w:val="00D52B5C"/>
    <w:rsid w:val="00D52E14"/>
    <w:rsid w:val="00D536CA"/>
    <w:rsid w:val="00D53822"/>
    <w:rsid w:val="00D53B3B"/>
    <w:rsid w:val="00D53CF1"/>
    <w:rsid w:val="00D5427E"/>
    <w:rsid w:val="00D555EF"/>
    <w:rsid w:val="00D55BD6"/>
    <w:rsid w:val="00D55CEF"/>
    <w:rsid w:val="00D55D1D"/>
    <w:rsid w:val="00D55FCA"/>
    <w:rsid w:val="00D560E7"/>
    <w:rsid w:val="00D562A2"/>
    <w:rsid w:val="00D562FD"/>
    <w:rsid w:val="00D56D87"/>
    <w:rsid w:val="00D57672"/>
    <w:rsid w:val="00D57F4C"/>
    <w:rsid w:val="00D60170"/>
    <w:rsid w:val="00D605D7"/>
    <w:rsid w:val="00D60646"/>
    <w:rsid w:val="00D606F5"/>
    <w:rsid w:val="00D6096D"/>
    <w:rsid w:val="00D614A0"/>
    <w:rsid w:val="00D6188E"/>
    <w:rsid w:val="00D618B3"/>
    <w:rsid w:val="00D62071"/>
    <w:rsid w:val="00D6208C"/>
    <w:rsid w:val="00D62AE7"/>
    <w:rsid w:val="00D62BF7"/>
    <w:rsid w:val="00D63E5A"/>
    <w:rsid w:val="00D644DD"/>
    <w:rsid w:val="00D647EC"/>
    <w:rsid w:val="00D64FB2"/>
    <w:rsid w:val="00D65474"/>
    <w:rsid w:val="00D65803"/>
    <w:rsid w:val="00D65964"/>
    <w:rsid w:val="00D65D1C"/>
    <w:rsid w:val="00D663AD"/>
    <w:rsid w:val="00D6643F"/>
    <w:rsid w:val="00D66EAD"/>
    <w:rsid w:val="00D66F50"/>
    <w:rsid w:val="00D671B4"/>
    <w:rsid w:val="00D6732C"/>
    <w:rsid w:val="00D67688"/>
    <w:rsid w:val="00D67A22"/>
    <w:rsid w:val="00D67CB8"/>
    <w:rsid w:val="00D705E3"/>
    <w:rsid w:val="00D70922"/>
    <w:rsid w:val="00D70D5A"/>
    <w:rsid w:val="00D70E32"/>
    <w:rsid w:val="00D70F88"/>
    <w:rsid w:val="00D715EE"/>
    <w:rsid w:val="00D72D1C"/>
    <w:rsid w:val="00D73749"/>
    <w:rsid w:val="00D73C5B"/>
    <w:rsid w:val="00D73D15"/>
    <w:rsid w:val="00D746D4"/>
    <w:rsid w:val="00D74D66"/>
    <w:rsid w:val="00D74E24"/>
    <w:rsid w:val="00D74F62"/>
    <w:rsid w:val="00D75B6D"/>
    <w:rsid w:val="00D75CEE"/>
    <w:rsid w:val="00D75E39"/>
    <w:rsid w:val="00D76558"/>
    <w:rsid w:val="00D76D7C"/>
    <w:rsid w:val="00D76ED8"/>
    <w:rsid w:val="00D7768B"/>
    <w:rsid w:val="00D77AEB"/>
    <w:rsid w:val="00D77E1F"/>
    <w:rsid w:val="00D77F0F"/>
    <w:rsid w:val="00D80274"/>
    <w:rsid w:val="00D80B29"/>
    <w:rsid w:val="00D80D11"/>
    <w:rsid w:val="00D8133A"/>
    <w:rsid w:val="00D81411"/>
    <w:rsid w:val="00D816BD"/>
    <w:rsid w:val="00D81AB5"/>
    <w:rsid w:val="00D81E15"/>
    <w:rsid w:val="00D82624"/>
    <w:rsid w:val="00D827F0"/>
    <w:rsid w:val="00D8295E"/>
    <w:rsid w:val="00D829EE"/>
    <w:rsid w:val="00D83308"/>
    <w:rsid w:val="00D83C16"/>
    <w:rsid w:val="00D849B9"/>
    <w:rsid w:val="00D84A8D"/>
    <w:rsid w:val="00D856D0"/>
    <w:rsid w:val="00D85A61"/>
    <w:rsid w:val="00D86DBF"/>
    <w:rsid w:val="00D86FC0"/>
    <w:rsid w:val="00D875C5"/>
    <w:rsid w:val="00D879E9"/>
    <w:rsid w:val="00D87AC2"/>
    <w:rsid w:val="00D90730"/>
    <w:rsid w:val="00D90982"/>
    <w:rsid w:val="00D91064"/>
    <w:rsid w:val="00D916EE"/>
    <w:rsid w:val="00D91ADD"/>
    <w:rsid w:val="00D92188"/>
    <w:rsid w:val="00D9222A"/>
    <w:rsid w:val="00D9324E"/>
    <w:rsid w:val="00D937F6"/>
    <w:rsid w:val="00D93B08"/>
    <w:rsid w:val="00D94176"/>
    <w:rsid w:val="00D945BD"/>
    <w:rsid w:val="00D94A95"/>
    <w:rsid w:val="00D95177"/>
    <w:rsid w:val="00D95643"/>
    <w:rsid w:val="00D95893"/>
    <w:rsid w:val="00D95BAB"/>
    <w:rsid w:val="00D95E0D"/>
    <w:rsid w:val="00D95E2F"/>
    <w:rsid w:val="00D9600F"/>
    <w:rsid w:val="00D96B56"/>
    <w:rsid w:val="00D96C83"/>
    <w:rsid w:val="00D96C89"/>
    <w:rsid w:val="00D96DF8"/>
    <w:rsid w:val="00D96FAE"/>
    <w:rsid w:val="00D97464"/>
    <w:rsid w:val="00D975B9"/>
    <w:rsid w:val="00D97B1B"/>
    <w:rsid w:val="00D97B46"/>
    <w:rsid w:val="00D97FAD"/>
    <w:rsid w:val="00DA0892"/>
    <w:rsid w:val="00DA0CA1"/>
    <w:rsid w:val="00DA0F17"/>
    <w:rsid w:val="00DA1286"/>
    <w:rsid w:val="00DA12D8"/>
    <w:rsid w:val="00DA132B"/>
    <w:rsid w:val="00DA15CF"/>
    <w:rsid w:val="00DA1BF6"/>
    <w:rsid w:val="00DA1F17"/>
    <w:rsid w:val="00DA2F78"/>
    <w:rsid w:val="00DA37B4"/>
    <w:rsid w:val="00DA38D8"/>
    <w:rsid w:val="00DA3A89"/>
    <w:rsid w:val="00DA3FCC"/>
    <w:rsid w:val="00DA4343"/>
    <w:rsid w:val="00DA434E"/>
    <w:rsid w:val="00DA5615"/>
    <w:rsid w:val="00DA61BF"/>
    <w:rsid w:val="00DA64FF"/>
    <w:rsid w:val="00DA65F8"/>
    <w:rsid w:val="00DA6A52"/>
    <w:rsid w:val="00DA6A97"/>
    <w:rsid w:val="00DA70FF"/>
    <w:rsid w:val="00DA717C"/>
    <w:rsid w:val="00DA796E"/>
    <w:rsid w:val="00DB01BD"/>
    <w:rsid w:val="00DB0AFC"/>
    <w:rsid w:val="00DB0C74"/>
    <w:rsid w:val="00DB10A1"/>
    <w:rsid w:val="00DB1355"/>
    <w:rsid w:val="00DB199B"/>
    <w:rsid w:val="00DB1A7B"/>
    <w:rsid w:val="00DB1AB3"/>
    <w:rsid w:val="00DB2069"/>
    <w:rsid w:val="00DB23AC"/>
    <w:rsid w:val="00DB2697"/>
    <w:rsid w:val="00DB2F00"/>
    <w:rsid w:val="00DB310F"/>
    <w:rsid w:val="00DB35A9"/>
    <w:rsid w:val="00DB35B1"/>
    <w:rsid w:val="00DB37A2"/>
    <w:rsid w:val="00DB3C47"/>
    <w:rsid w:val="00DB4AB7"/>
    <w:rsid w:val="00DB4C34"/>
    <w:rsid w:val="00DB5385"/>
    <w:rsid w:val="00DB5C3B"/>
    <w:rsid w:val="00DB60F8"/>
    <w:rsid w:val="00DB681B"/>
    <w:rsid w:val="00DB69E4"/>
    <w:rsid w:val="00DB6AB5"/>
    <w:rsid w:val="00DB6AEB"/>
    <w:rsid w:val="00DB6DA1"/>
    <w:rsid w:val="00DB6EE0"/>
    <w:rsid w:val="00DB7CD4"/>
    <w:rsid w:val="00DB7E52"/>
    <w:rsid w:val="00DB7FB3"/>
    <w:rsid w:val="00DC0794"/>
    <w:rsid w:val="00DC0BE1"/>
    <w:rsid w:val="00DC0CB7"/>
    <w:rsid w:val="00DC0CCA"/>
    <w:rsid w:val="00DC0D3F"/>
    <w:rsid w:val="00DC10CF"/>
    <w:rsid w:val="00DC1150"/>
    <w:rsid w:val="00DC1773"/>
    <w:rsid w:val="00DC1E1E"/>
    <w:rsid w:val="00DC2169"/>
    <w:rsid w:val="00DC21AA"/>
    <w:rsid w:val="00DC2490"/>
    <w:rsid w:val="00DC2647"/>
    <w:rsid w:val="00DC2BF2"/>
    <w:rsid w:val="00DC2ED0"/>
    <w:rsid w:val="00DC3245"/>
    <w:rsid w:val="00DC3DD6"/>
    <w:rsid w:val="00DC48E0"/>
    <w:rsid w:val="00DC4D1B"/>
    <w:rsid w:val="00DC543C"/>
    <w:rsid w:val="00DC57A3"/>
    <w:rsid w:val="00DC5FE3"/>
    <w:rsid w:val="00DC673F"/>
    <w:rsid w:val="00DC6D56"/>
    <w:rsid w:val="00DC6F2C"/>
    <w:rsid w:val="00DC6F5C"/>
    <w:rsid w:val="00DC71F2"/>
    <w:rsid w:val="00DC7333"/>
    <w:rsid w:val="00DC7496"/>
    <w:rsid w:val="00DD0753"/>
    <w:rsid w:val="00DD0A44"/>
    <w:rsid w:val="00DD0ABD"/>
    <w:rsid w:val="00DD0DC5"/>
    <w:rsid w:val="00DD0FBF"/>
    <w:rsid w:val="00DD1487"/>
    <w:rsid w:val="00DD1B40"/>
    <w:rsid w:val="00DD1E84"/>
    <w:rsid w:val="00DD1FE3"/>
    <w:rsid w:val="00DD28B6"/>
    <w:rsid w:val="00DD3124"/>
    <w:rsid w:val="00DD374C"/>
    <w:rsid w:val="00DD387B"/>
    <w:rsid w:val="00DD49B1"/>
    <w:rsid w:val="00DD49D6"/>
    <w:rsid w:val="00DD4E39"/>
    <w:rsid w:val="00DD4E3C"/>
    <w:rsid w:val="00DD4F46"/>
    <w:rsid w:val="00DD5102"/>
    <w:rsid w:val="00DD611D"/>
    <w:rsid w:val="00DD63D3"/>
    <w:rsid w:val="00DD6804"/>
    <w:rsid w:val="00DD72BC"/>
    <w:rsid w:val="00DD788D"/>
    <w:rsid w:val="00DD7912"/>
    <w:rsid w:val="00DD7FF0"/>
    <w:rsid w:val="00DE08F4"/>
    <w:rsid w:val="00DE0D4A"/>
    <w:rsid w:val="00DE172C"/>
    <w:rsid w:val="00DE172E"/>
    <w:rsid w:val="00DE1739"/>
    <w:rsid w:val="00DE2187"/>
    <w:rsid w:val="00DE2298"/>
    <w:rsid w:val="00DE2628"/>
    <w:rsid w:val="00DE2993"/>
    <w:rsid w:val="00DE2E64"/>
    <w:rsid w:val="00DE315E"/>
    <w:rsid w:val="00DE36C7"/>
    <w:rsid w:val="00DE387E"/>
    <w:rsid w:val="00DE38EA"/>
    <w:rsid w:val="00DE3EE1"/>
    <w:rsid w:val="00DE3F2C"/>
    <w:rsid w:val="00DE41BA"/>
    <w:rsid w:val="00DE458F"/>
    <w:rsid w:val="00DE4A1C"/>
    <w:rsid w:val="00DE61A1"/>
    <w:rsid w:val="00DE71B6"/>
    <w:rsid w:val="00DE7463"/>
    <w:rsid w:val="00DF07F1"/>
    <w:rsid w:val="00DF0925"/>
    <w:rsid w:val="00DF11A0"/>
    <w:rsid w:val="00DF1360"/>
    <w:rsid w:val="00DF17D6"/>
    <w:rsid w:val="00DF263D"/>
    <w:rsid w:val="00DF28E4"/>
    <w:rsid w:val="00DF298C"/>
    <w:rsid w:val="00DF2B64"/>
    <w:rsid w:val="00DF3197"/>
    <w:rsid w:val="00DF3850"/>
    <w:rsid w:val="00DF3872"/>
    <w:rsid w:val="00DF394D"/>
    <w:rsid w:val="00DF39EF"/>
    <w:rsid w:val="00DF4288"/>
    <w:rsid w:val="00DF46BF"/>
    <w:rsid w:val="00DF4B0B"/>
    <w:rsid w:val="00DF4B52"/>
    <w:rsid w:val="00DF4BAA"/>
    <w:rsid w:val="00DF4E9C"/>
    <w:rsid w:val="00DF4EB3"/>
    <w:rsid w:val="00DF5764"/>
    <w:rsid w:val="00DF5FD9"/>
    <w:rsid w:val="00DF6198"/>
    <w:rsid w:val="00DF6B5C"/>
    <w:rsid w:val="00DF76FD"/>
    <w:rsid w:val="00DF7726"/>
    <w:rsid w:val="00DF7900"/>
    <w:rsid w:val="00E00E52"/>
    <w:rsid w:val="00E01142"/>
    <w:rsid w:val="00E014E0"/>
    <w:rsid w:val="00E01662"/>
    <w:rsid w:val="00E01919"/>
    <w:rsid w:val="00E01FA6"/>
    <w:rsid w:val="00E026B2"/>
    <w:rsid w:val="00E03241"/>
    <w:rsid w:val="00E03874"/>
    <w:rsid w:val="00E03A70"/>
    <w:rsid w:val="00E04753"/>
    <w:rsid w:val="00E04FA8"/>
    <w:rsid w:val="00E05248"/>
    <w:rsid w:val="00E05386"/>
    <w:rsid w:val="00E05665"/>
    <w:rsid w:val="00E0588E"/>
    <w:rsid w:val="00E05DBD"/>
    <w:rsid w:val="00E05FB0"/>
    <w:rsid w:val="00E06788"/>
    <w:rsid w:val="00E06F60"/>
    <w:rsid w:val="00E07FC1"/>
    <w:rsid w:val="00E1066A"/>
    <w:rsid w:val="00E106EA"/>
    <w:rsid w:val="00E1102F"/>
    <w:rsid w:val="00E11132"/>
    <w:rsid w:val="00E115C4"/>
    <w:rsid w:val="00E11861"/>
    <w:rsid w:val="00E119C8"/>
    <w:rsid w:val="00E1218D"/>
    <w:rsid w:val="00E12682"/>
    <w:rsid w:val="00E1276E"/>
    <w:rsid w:val="00E12A6F"/>
    <w:rsid w:val="00E13523"/>
    <w:rsid w:val="00E1387E"/>
    <w:rsid w:val="00E13B6E"/>
    <w:rsid w:val="00E13FE9"/>
    <w:rsid w:val="00E144BC"/>
    <w:rsid w:val="00E14AFD"/>
    <w:rsid w:val="00E16B00"/>
    <w:rsid w:val="00E16CC0"/>
    <w:rsid w:val="00E1709A"/>
    <w:rsid w:val="00E17D1A"/>
    <w:rsid w:val="00E17FFB"/>
    <w:rsid w:val="00E20067"/>
    <w:rsid w:val="00E2019B"/>
    <w:rsid w:val="00E207C9"/>
    <w:rsid w:val="00E208B2"/>
    <w:rsid w:val="00E209B1"/>
    <w:rsid w:val="00E209F3"/>
    <w:rsid w:val="00E21082"/>
    <w:rsid w:val="00E21290"/>
    <w:rsid w:val="00E212F6"/>
    <w:rsid w:val="00E21831"/>
    <w:rsid w:val="00E21C01"/>
    <w:rsid w:val="00E21E8A"/>
    <w:rsid w:val="00E221E9"/>
    <w:rsid w:val="00E225AC"/>
    <w:rsid w:val="00E226F4"/>
    <w:rsid w:val="00E23683"/>
    <w:rsid w:val="00E23C45"/>
    <w:rsid w:val="00E244CC"/>
    <w:rsid w:val="00E245DD"/>
    <w:rsid w:val="00E24FE3"/>
    <w:rsid w:val="00E25647"/>
    <w:rsid w:val="00E25C91"/>
    <w:rsid w:val="00E25DEB"/>
    <w:rsid w:val="00E263B5"/>
    <w:rsid w:val="00E26C1D"/>
    <w:rsid w:val="00E273B1"/>
    <w:rsid w:val="00E30434"/>
    <w:rsid w:val="00E307CA"/>
    <w:rsid w:val="00E3088B"/>
    <w:rsid w:val="00E309EF"/>
    <w:rsid w:val="00E311F5"/>
    <w:rsid w:val="00E316C4"/>
    <w:rsid w:val="00E3220F"/>
    <w:rsid w:val="00E3391E"/>
    <w:rsid w:val="00E33C00"/>
    <w:rsid w:val="00E3415B"/>
    <w:rsid w:val="00E35C01"/>
    <w:rsid w:val="00E35DE0"/>
    <w:rsid w:val="00E3619F"/>
    <w:rsid w:val="00E3622A"/>
    <w:rsid w:val="00E362E4"/>
    <w:rsid w:val="00E3732F"/>
    <w:rsid w:val="00E402CB"/>
    <w:rsid w:val="00E404CE"/>
    <w:rsid w:val="00E40A30"/>
    <w:rsid w:val="00E42607"/>
    <w:rsid w:val="00E428AD"/>
    <w:rsid w:val="00E4310E"/>
    <w:rsid w:val="00E4333D"/>
    <w:rsid w:val="00E43812"/>
    <w:rsid w:val="00E44304"/>
    <w:rsid w:val="00E444AC"/>
    <w:rsid w:val="00E4490E"/>
    <w:rsid w:val="00E4510B"/>
    <w:rsid w:val="00E4526E"/>
    <w:rsid w:val="00E45509"/>
    <w:rsid w:val="00E46024"/>
    <w:rsid w:val="00E46694"/>
    <w:rsid w:val="00E467C4"/>
    <w:rsid w:val="00E46E0B"/>
    <w:rsid w:val="00E46EBF"/>
    <w:rsid w:val="00E46FB9"/>
    <w:rsid w:val="00E471DF"/>
    <w:rsid w:val="00E47D17"/>
    <w:rsid w:val="00E50237"/>
    <w:rsid w:val="00E5040A"/>
    <w:rsid w:val="00E5055B"/>
    <w:rsid w:val="00E50595"/>
    <w:rsid w:val="00E50BE9"/>
    <w:rsid w:val="00E51121"/>
    <w:rsid w:val="00E5206B"/>
    <w:rsid w:val="00E521C8"/>
    <w:rsid w:val="00E5319E"/>
    <w:rsid w:val="00E53B59"/>
    <w:rsid w:val="00E53B89"/>
    <w:rsid w:val="00E53F50"/>
    <w:rsid w:val="00E540C1"/>
    <w:rsid w:val="00E54356"/>
    <w:rsid w:val="00E548F0"/>
    <w:rsid w:val="00E55FD7"/>
    <w:rsid w:val="00E55FE6"/>
    <w:rsid w:val="00E564C7"/>
    <w:rsid w:val="00E56EE5"/>
    <w:rsid w:val="00E60C62"/>
    <w:rsid w:val="00E6117A"/>
    <w:rsid w:val="00E619E4"/>
    <w:rsid w:val="00E61BC3"/>
    <w:rsid w:val="00E621B7"/>
    <w:rsid w:val="00E6271C"/>
    <w:rsid w:val="00E62729"/>
    <w:rsid w:val="00E63319"/>
    <w:rsid w:val="00E63388"/>
    <w:rsid w:val="00E63885"/>
    <w:rsid w:val="00E63BAC"/>
    <w:rsid w:val="00E63C28"/>
    <w:rsid w:val="00E63E58"/>
    <w:rsid w:val="00E63E96"/>
    <w:rsid w:val="00E64010"/>
    <w:rsid w:val="00E6471D"/>
    <w:rsid w:val="00E6490E"/>
    <w:rsid w:val="00E64E04"/>
    <w:rsid w:val="00E64ED8"/>
    <w:rsid w:val="00E6504B"/>
    <w:rsid w:val="00E65775"/>
    <w:rsid w:val="00E65DB1"/>
    <w:rsid w:val="00E66845"/>
    <w:rsid w:val="00E66A15"/>
    <w:rsid w:val="00E66E23"/>
    <w:rsid w:val="00E672F9"/>
    <w:rsid w:val="00E67E06"/>
    <w:rsid w:val="00E70168"/>
    <w:rsid w:val="00E70C1A"/>
    <w:rsid w:val="00E70F91"/>
    <w:rsid w:val="00E71902"/>
    <w:rsid w:val="00E71DC7"/>
    <w:rsid w:val="00E72CD9"/>
    <w:rsid w:val="00E72D1A"/>
    <w:rsid w:val="00E72D46"/>
    <w:rsid w:val="00E738F2"/>
    <w:rsid w:val="00E74173"/>
    <w:rsid w:val="00E749A0"/>
    <w:rsid w:val="00E74C22"/>
    <w:rsid w:val="00E75385"/>
    <w:rsid w:val="00E7547B"/>
    <w:rsid w:val="00E756AF"/>
    <w:rsid w:val="00E75BE5"/>
    <w:rsid w:val="00E76085"/>
    <w:rsid w:val="00E76453"/>
    <w:rsid w:val="00E7646D"/>
    <w:rsid w:val="00E7664D"/>
    <w:rsid w:val="00E809D0"/>
    <w:rsid w:val="00E80AEF"/>
    <w:rsid w:val="00E80BDF"/>
    <w:rsid w:val="00E82981"/>
    <w:rsid w:val="00E829E8"/>
    <w:rsid w:val="00E82A08"/>
    <w:rsid w:val="00E83159"/>
    <w:rsid w:val="00E84522"/>
    <w:rsid w:val="00E84623"/>
    <w:rsid w:val="00E84B95"/>
    <w:rsid w:val="00E85661"/>
    <w:rsid w:val="00E865F5"/>
    <w:rsid w:val="00E869BC"/>
    <w:rsid w:val="00E86C3E"/>
    <w:rsid w:val="00E86E53"/>
    <w:rsid w:val="00E87227"/>
    <w:rsid w:val="00E874CC"/>
    <w:rsid w:val="00E876B5"/>
    <w:rsid w:val="00E902C5"/>
    <w:rsid w:val="00E908F9"/>
    <w:rsid w:val="00E90FF6"/>
    <w:rsid w:val="00E91532"/>
    <w:rsid w:val="00E91789"/>
    <w:rsid w:val="00E91B5D"/>
    <w:rsid w:val="00E91B97"/>
    <w:rsid w:val="00E91E9B"/>
    <w:rsid w:val="00E9204F"/>
    <w:rsid w:val="00E92315"/>
    <w:rsid w:val="00E929D3"/>
    <w:rsid w:val="00E93A76"/>
    <w:rsid w:val="00E93E50"/>
    <w:rsid w:val="00E941FE"/>
    <w:rsid w:val="00E94461"/>
    <w:rsid w:val="00E946C1"/>
    <w:rsid w:val="00E94E69"/>
    <w:rsid w:val="00E952F1"/>
    <w:rsid w:val="00E953D2"/>
    <w:rsid w:val="00E957B4"/>
    <w:rsid w:val="00E95F6B"/>
    <w:rsid w:val="00E962A1"/>
    <w:rsid w:val="00E96A63"/>
    <w:rsid w:val="00E96BE5"/>
    <w:rsid w:val="00E96C21"/>
    <w:rsid w:val="00E96E0E"/>
    <w:rsid w:val="00E97014"/>
    <w:rsid w:val="00E9724F"/>
    <w:rsid w:val="00E9777E"/>
    <w:rsid w:val="00E9782F"/>
    <w:rsid w:val="00E97A0F"/>
    <w:rsid w:val="00E97BDC"/>
    <w:rsid w:val="00EA0C6D"/>
    <w:rsid w:val="00EA1379"/>
    <w:rsid w:val="00EA15F9"/>
    <w:rsid w:val="00EA18D4"/>
    <w:rsid w:val="00EA1D90"/>
    <w:rsid w:val="00EA1EDE"/>
    <w:rsid w:val="00EA1EE9"/>
    <w:rsid w:val="00EA2975"/>
    <w:rsid w:val="00EA2C5E"/>
    <w:rsid w:val="00EA3372"/>
    <w:rsid w:val="00EA3C43"/>
    <w:rsid w:val="00EA4700"/>
    <w:rsid w:val="00EA4B97"/>
    <w:rsid w:val="00EA4F56"/>
    <w:rsid w:val="00EA4F74"/>
    <w:rsid w:val="00EA5190"/>
    <w:rsid w:val="00EA5BC8"/>
    <w:rsid w:val="00EA6067"/>
    <w:rsid w:val="00EA6C9D"/>
    <w:rsid w:val="00EA732C"/>
    <w:rsid w:val="00EA7F10"/>
    <w:rsid w:val="00EB02B7"/>
    <w:rsid w:val="00EB077A"/>
    <w:rsid w:val="00EB0C95"/>
    <w:rsid w:val="00EB1176"/>
    <w:rsid w:val="00EB12E6"/>
    <w:rsid w:val="00EB1A8F"/>
    <w:rsid w:val="00EB219E"/>
    <w:rsid w:val="00EB22FD"/>
    <w:rsid w:val="00EB231E"/>
    <w:rsid w:val="00EB2343"/>
    <w:rsid w:val="00EB2949"/>
    <w:rsid w:val="00EB2BF4"/>
    <w:rsid w:val="00EB3B21"/>
    <w:rsid w:val="00EB4465"/>
    <w:rsid w:val="00EB4688"/>
    <w:rsid w:val="00EB487E"/>
    <w:rsid w:val="00EB48D3"/>
    <w:rsid w:val="00EB5064"/>
    <w:rsid w:val="00EB54F3"/>
    <w:rsid w:val="00EB63D8"/>
    <w:rsid w:val="00EB6E54"/>
    <w:rsid w:val="00EB6F71"/>
    <w:rsid w:val="00EB7271"/>
    <w:rsid w:val="00EB73F8"/>
    <w:rsid w:val="00EB7712"/>
    <w:rsid w:val="00EB7B33"/>
    <w:rsid w:val="00EC014E"/>
    <w:rsid w:val="00EC076E"/>
    <w:rsid w:val="00EC07C9"/>
    <w:rsid w:val="00EC0AD4"/>
    <w:rsid w:val="00EC0F2A"/>
    <w:rsid w:val="00EC1438"/>
    <w:rsid w:val="00EC1DDC"/>
    <w:rsid w:val="00EC23A6"/>
    <w:rsid w:val="00EC2EB5"/>
    <w:rsid w:val="00EC30CB"/>
    <w:rsid w:val="00EC40E3"/>
    <w:rsid w:val="00EC46A4"/>
    <w:rsid w:val="00EC4C8F"/>
    <w:rsid w:val="00EC4F59"/>
    <w:rsid w:val="00EC58D4"/>
    <w:rsid w:val="00EC5DF3"/>
    <w:rsid w:val="00EC651E"/>
    <w:rsid w:val="00EC6565"/>
    <w:rsid w:val="00EC6612"/>
    <w:rsid w:val="00ED08E3"/>
    <w:rsid w:val="00ED0AEF"/>
    <w:rsid w:val="00ED1F95"/>
    <w:rsid w:val="00ED2835"/>
    <w:rsid w:val="00ED2A8E"/>
    <w:rsid w:val="00ED2D6A"/>
    <w:rsid w:val="00ED2D79"/>
    <w:rsid w:val="00ED333C"/>
    <w:rsid w:val="00ED42BD"/>
    <w:rsid w:val="00ED46CB"/>
    <w:rsid w:val="00ED47E1"/>
    <w:rsid w:val="00ED4961"/>
    <w:rsid w:val="00ED49D2"/>
    <w:rsid w:val="00ED4F6A"/>
    <w:rsid w:val="00ED592B"/>
    <w:rsid w:val="00ED59AB"/>
    <w:rsid w:val="00ED5E04"/>
    <w:rsid w:val="00ED5FEF"/>
    <w:rsid w:val="00ED647A"/>
    <w:rsid w:val="00ED6A44"/>
    <w:rsid w:val="00ED6FDA"/>
    <w:rsid w:val="00ED753C"/>
    <w:rsid w:val="00ED7794"/>
    <w:rsid w:val="00EE0C01"/>
    <w:rsid w:val="00EE1A41"/>
    <w:rsid w:val="00EE2611"/>
    <w:rsid w:val="00EE2AA5"/>
    <w:rsid w:val="00EE3C4C"/>
    <w:rsid w:val="00EE3CF4"/>
    <w:rsid w:val="00EE4309"/>
    <w:rsid w:val="00EE45AA"/>
    <w:rsid w:val="00EE463F"/>
    <w:rsid w:val="00EE5379"/>
    <w:rsid w:val="00EE6865"/>
    <w:rsid w:val="00EE6A03"/>
    <w:rsid w:val="00EE6D19"/>
    <w:rsid w:val="00EE6FAA"/>
    <w:rsid w:val="00EE7343"/>
    <w:rsid w:val="00EE7A81"/>
    <w:rsid w:val="00EE7AB8"/>
    <w:rsid w:val="00EF0247"/>
    <w:rsid w:val="00EF048A"/>
    <w:rsid w:val="00EF05D9"/>
    <w:rsid w:val="00EF0729"/>
    <w:rsid w:val="00EF0CB3"/>
    <w:rsid w:val="00EF0CBA"/>
    <w:rsid w:val="00EF10DC"/>
    <w:rsid w:val="00EF152F"/>
    <w:rsid w:val="00EF1EDC"/>
    <w:rsid w:val="00EF21D3"/>
    <w:rsid w:val="00EF2332"/>
    <w:rsid w:val="00EF2676"/>
    <w:rsid w:val="00EF2D64"/>
    <w:rsid w:val="00EF2E08"/>
    <w:rsid w:val="00EF310B"/>
    <w:rsid w:val="00EF3F51"/>
    <w:rsid w:val="00EF5123"/>
    <w:rsid w:val="00EF5827"/>
    <w:rsid w:val="00EF5C37"/>
    <w:rsid w:val="00EF5CA6"/>
    <w:rsid w:val="00EF65E3"/>
    <w:rsid w:val="00EF6EA6"/>
    <w:rsid w:val="00EF7125"/>
    <w:rsid w:val="00EF7D19"/>
    <w:rsid w:val="00EF7E93"/>
    <w:rsid w:val="00F005C5"/>
    <w:rsid w:val="00F00C16"/>
    <w:rsid w:val="00F01596"/>
    <w:rsid w:val="00F01DBA"/>
    <w:rsid w:val="00F0229A"/>
    <w:rsid w:val="00F025A5"/>
    <w:rsid w:val="00F0266A"/>
    <w:rsid w:val="00F02A2D"/>
    <w:rsid w:val="00F0354A"/>
    <w:rsid w:val="00F039D2"/>
    <w:rsid w:val="00F04587"/>
    <w:rsid w:val="00F04793"/>
    <w:rsid w:val="00F04B72"/>
    <w:rsid w:val="00F04D63"/>
    <w:rsid w:val="00F04DD3"/>
    <w:rsid w:val="00F054D3"/>
    <w:rsid w:val="00F05558"/>
    <w:rsid w:val="00F05C82"/>
    <w:rsid w:val="00F05F0E"/>
    <w:rsid w:val="00F067CA"/>
    <w:rsid w:val="00F0682B"/>
    <w:rsid w:val="00F0689E"/>
    <w:rsid w:val="00F068F4"/>
    <w:rsid w:val="00F06A9A"/>
    <w:rsid w:val="00F0707B"/>
    <w:rsid w:val="00F07149"/>
    <w:rsid w:val="00F074DF"/>
    <w:rsid w:val="00F07534"/>
    <w:rsid w:val="00F0769F"/>
    <w:rsid w:val="00F076F6"/>
    <w:rsid w:val="00F07756"/>
    <w:rsid w:val="00F07E3E"/>
    <w:rsid w:val="00F10A41"/>
    <w:rsid w:val="00F11061"/>
    <w:rsid w:val="00F11987"/>
    <w:rsid w:val="00F11BE0"/>
    <w:rsid w:val="00F11CAE"/>
    <w:rsid w:val="00F12039"/>
    <w:rsid w:val="00F12468"/>
    <w:rsid w:val="00F12539"/>
    <w:rsid w:val="00F1326A"/>
    <w:rsid w:val="00F13B4B"/>
    <w:rsid w:val="00F13C46"/>
    <w:rsid w:val="00F1424E"/>
    <w:rsid w:val="00F14319"/>
    <w:rsid w:val="00F14829"/>
    <w:rsid w:val="00F149D9"/>
    <w:rsid w:val="00F14EFD"/>
    <w:rsid w:val="00F14F62"/>
    <w:rsid w:val="00F15A89"/>
    <w:rsid w:val="00F15BD5"/>
    <w:rsid w:val="00F162DD"/>
    <w:rsid w:val="00F16383"/>
    <w:rsid w:val="00F16A14"/>
    <w:rsid w:val="00F171DF"/>
    <w:rsid w:val="00F17591"/>
    <w:rsid w:val="00F175F5"/>
    <w:rsid w:val="00F20027"/>
    <w:rsid w:val="00F20A85"/>
    <w:rsid w:val="00F21CDC"/>
    <w:rsid w:val="00F220DA"/>
    <w:rsid w:val="00F221B4"/>
    <w:rsid w:val="00F222E2"/>
    <w:rsid w:val="00F22330"/>
    <w:rsid w:val="00F22450"/>
    <w:rsid w:val="00F23F02"/>
    <w:rsid w:val="00F23FE0"/>
    <w:rsid w:val="00F2558F"/>
    <w:rsid w:val="00F25961"/>
    <w:rsid w:val="00F25A57"/>
    <w:rsid w:val="00F2615C"/>
    <w:rsid w:val="00F26482"/>
    <w:rsid w:val="00F266CF"/>
    <w:rsid w:val="00F270A2"/>
    <w:rsid w:val="00F27663"/>
    <w:rsid w:val="00F27B33"/>
    <w:rsid w:val="00F3003C"/>
    <w:rsid w:val="00F30C80"/>
    <w:rsid w:val="00F318D2"/>
    <w:rsid w:val="00F323C2"/>
    <w:rsid w:val="00F32519"/>
    <w:rsid w:val="00F32568"/>
    <w:rsid w:val="00F32A47"/>
    <w:rsid w:val="00F32B6D"/>
    <w:rsid w:val="00F32C73"/>
    <w:rsid w:val="00F32DCD"/>
    <w:rsid w:val="00F3303A"/>
    <w:rsid w:val="00F33C12"/>
    <w:rsid w:val="00F345E7"/>
    <w:rsid w:val="00F34B58"/>
    <w:rsid w:val="00F34F97"/>
    <w:rsid w:val="00F353F9"/>
    <w:rsid w:val="00F35678"/>
    <w:rsid w:val="00F35C0F"/>
    <w:rsid w:val="00F35C61"/>
    <w:rsid w:val="00F363C9"/>
    <w:rsid w:val="00F368B3"/>
    <w:rsid w:val="00F36C6D"/>
    <w:rsid w:val="00F36ED7"/>
    <w:rsid w:val="00F371B5"/>
    <w:rsid w:val="00F3745A"/>
    <w:rsid w:val="00F37B61"/>
    <w:rsid w:val="00F37E43"/>
    <w:rsid w:val="00F4057B"/>
    <w:rsid w:val="00F40960"/>
    <w:rsid w:val="00F41196"/>
    <w:rsid w:val="00F412C6"/>
    <w:rsid w:val="00F417A0"/>
    <w:rsid w:val="00F41918"/>
    <w:rsid w:val="00F41966"/>
    <w:rsid w:val="00F41B98"/>
    <w:rsid w:val="00F41D90"/>
    <w:rsid w:val="00F41FAE"/>
    <w:rsid w:val="00F42ADB"/>
    <w:rsid w:val="00F4344F"/>
    <w:rsid w:val="00F435C6"/>
    <w:rsid w:val="00F4378C"/>
    <w:rsid w:val="00F438F7"/>
    <w:rsid w:val="00F43904"/>
    <w:rsid w:val="00F43D4F"/>
    <w:rsid w:val="00F444EF"/>
    <w:rsid w:val="00F452D4"/>
    <w:rsid w:val="00F454C6"/>
    <w:rsid w:val="00F45502"/>
    <w:rsid w:val="00F45A7C"/>
    <w:rsid w:val="00F45E4A"/>
    <w:rsid w:val="00F45FB1"/>
    <w:rsid w:val="00F46282"/>
    <w:rsid w:val="00F462B5"/>
    <w:rsid w:val="00F467A0"/>
    <w:rsid w:val="00F46A38"/>
    <w:rsid w:val="00F47179"/>
    <w:rsid w:val="00F4733D"/>
    <w:rsid w:val="00F474F8"/>
    <w:rsid w:val="00F50C52"/>
    <w:rsid w:val="00F50E2C"/>
    <w:rsid w:val="00F51085"/>
    <w:rsid w:val="00F51662"/>
    <w:rsid w:val="00F519B0"/>
    <w:rsid w:val="00F51A1D"/>
    <w:rsid w:val="00F521CA"/>
    <w:rsid w:val="00F52B90"/>
    <w:rsid w:val="00F52DDE"/>
    <w:rsid w:val="00F5351F"/>
    <w:rsid w:val="00F5397D"/>
    <w:rsid w:val="00F54107"/>
    <w:rsid w:val="00F54565"/>
    <w:rsid w:val="00F55084"/>
    <w:rsid w:val="00F56C71"/>
    <w:rsid w:val="00F56C9E"/>
    <w:rsid w:val="00F56F49"/>
    <w:rsid w:val="00F571C7"/>
    <w:rsid w:val="00F6089C"/>
    <w:rsid w:val="00F60B98"/>
    <w:rsid w:val="00F60E6E"/>
    <w:rsid w:val="00F60FC9"/>
    <w:rsid w:val="00F6194A"/>
    <w:rsid w:val="00F61D5A"/>
    <w:rsid w:val="00F61D72"/>
    <w:rsid w:val="00F62377"/>
    <w:rsid w:val="00F637A0"/>
    <w:rsid w:val="00F63DD1"/>
    <w:rsid w:val="00F6460A"/>
    <w:rsid w:val="00F64CA5"/>
    <w:rsid w:val="00F653D8"/>
    <w:rsid w:val="00F66122"/>
    <w:rsid w:val="00F66C6E"/>
    <w:rsid w:val="00F6794B"/>
    <w:rsid w:val="00F67BF1"/>
    <w:rsid w:val="00F67E34"/>
    <w:rsid w:val="00F67FCA"/>
    <w:rsid w:val="00F7014C"/>
    <w:rsid w:val="00F70398"/>
    <w:rsid w:val="00F70DBB"/>
    <w:rsid w:val="00F71AF7"/>
    <w:rsid w:val="00F71B28"/>
    <w:rsid w:val="00F71C6D"/>
    <w:rsid w:val="00F72ADD"/>
    <w:rsid w:val="00F72F04"/>
    <w:rsid w:val="00F73656"/>
    <w:rsid w:val="00F73716"/>
    <w:rsid w:val="00F73B36"/>
    <w:rsid w:val="00F742CC"/>
    <w:rsid w:val="00F7457C"/>
    <w:rsid w:val="00F76999"/>
    <w:rsid w:val="00F76E62"/>
    <w:rsid w:val="00F77746"/>
    <w:rsid w:val="00F77B4E"/>
    <w:rsid w:val="00F77DD0"/>
    <w:rsid w:val="00F77DD8"/>
    <w:rsid w:val="00F8013F"/>
    <w:rsid w:val="00F80B7C"/>
    <w:rsid w:val="00F80E9E"/>
    <w:rsid w:val="00F813C9"/>
    <w:rsid w:val="00F81820"/>
    <w:rsid w:val="00F81AA8"/>
    <w:rsid w:val="00F81F92"/>
    <w:rsid w:val="00F82421"/>
    <w:rsid w:val="00F82AFD"/>
    <w:rsid w:val="00F839DD"/>
    <w:rsid w:val="00F84902"/>
    <w:rsid w:val="00F84D4B"/>
    <w:rsid w:val="00F85169"/>
    <w:rsid w:val="00F854D8"/>
    <w:rsid w:val="00F85D46"/>
    <w:rsid w:val="00F864BE"/>
    <w:rsid w:val="00F86B48"/>
    <w:rsid w:val="00F86FF4"/>
    <w:rsid w:val="00F87F7A"/>
    <w:rsid w:val="00F90137"/>
    <w:rsid w:val="00F90172"/>
    <w:rsid w:val="00F903FA"/>
    <w:rsid w:val="00F90789"/>
    <w:rsid w:val="00F90D2C"/>
    <w:rsid w:val="00F90DAE"/>
    <w:rsid w:val="00F90DF6"/>
    <w:rsid w:val="00F90F49"/>
    <w:rsid w:val="00F91467"/>
    <w:rsid w:val="00F9172C"/>
    <w:rsid w:val="00F91825"/>
    <w:rsid w:val="00F91CF3"/>
    <w:rsid w:val="00F921F9"/>
    <w:rsid w:val="00F92A23"/>
    <w:rsid w:val="00F92FA1"/>
    <w:rsid w:val="00F93358"/>
    <w:rsid w:val="00F935D3"/>
    <w:rsid w:val="00F936EB"/>
    <w:rsid w:val="00F93840"/>
    <w:rsid w:val="00F93F64"/>
    <w:rsid w:val="00F94001"/>
    <w:rsid w:val="00F9411A"/>
    <w:rsid w:val="00F94525"/>
    <w:rsid w:val="00F9496A"/>
    <w:rsid w:val="00F94B8D"/>
    <w:rsid w:val="00F94EA2"/>
    <w:rsid w:val="00F9571C"/>
    <w:rsid w:val="00F963AB"/>
    <w:rsid w:val="00F97C1D"/>
    <w:rsid w:val="00F97C5D"/>
    <w:rsid w:val="00FA0719"/>
    <w:rsid w:val="00FA1B72"/>
    <w:rsid w:val="00FA1DA9"/>
    <w:rsid w:val="00FA1F4A"/>
    <w:rsid w:val="00FA1FFE"/>
    <w:rsid w:val="00FA20CE"/>
    <w:rsid w:val="00FA231C"/>
    <w:rsid w:val="00FA2565"/>
    <w:rsid w:val="00FA269A"/>
    <w:rsid w:val="00FA2ED0"/>
    <w:rsid w:val="00FA325C"/>
    <w:rsid w:val="00FA343C"/>
    <w:rsid w:val="00FA3DAA"/>
    <w:rsid w:val="00FA3E79"/>
    <w:rsid w:val="00FA4477"/>
    <w:rsid w:val="00FA4C08"/>
    <w:rsid w:val="00FA4F29"/>
    <w:rsid w:val="00FA5049"/>
    <w:rsid w:val="00FA54E7"/>
    <w:rsid w:val="00FA57D4"/>
    <w:rsid w:val="00FA5C05"/>
    <w:rsid w:val="00FA6182"/>
    <w:rsid w:val="00FA63DE"/>
    <w:rsid w:val="00FA66DF"/>
    <w:rsid w:val="00FA68EA"/>
    <w:rsid w:val="00FA6BFF"/>
    <w:rsid w:val="00FA6CF4"/>
    <w:rsid w:val="00FA6F29"/>
    <w:rsid w:val="00FA7507"/>
    <w:rsid w:val="00FA7B91"/>
    <w:rsid w:val="00FA7C63"/>
    <w:rsid w:val="00FB01C5"/>
    <w:rsid w:val="00FB0791"/>
    <w:rsid w:val="00FB0C99"/>
    <w:rsid w:val="00FB0E7F"/>
    <w:rsid w:val="00FB0EC4"/>
    <w:rsid w:val="00FB18C7"/>
    <w:rsid w:val="00FB19CA"/>
    <w:rsid w:val="00FB1D80"/>
    <w:rsid w:val="00FB1DED"/>
    <w:rsid w:val="00FB22EC"/>
    <w:rsid w:val="00FB2FD1"/>
    <w:rsid w:val="00FB3209"/>
    <w:rsid w:val="00FB354B"/>
    <w:rsid w:val="00FB36CF"/>
    <w:rsid w:val="00FB37E2"/>
    <w:rsid w:val="00FB3A8D"/>
    <w:rsid w:val="00FB4348"/>
    <w:rsid w:val="00FB46D9"/>
    <w:rsid w:val="00FB4DCE"/>
    <w:rsid w:val="00FB4FEF"/>
    <w:rsid w:val="00FB5422"/>
    <w:rsid w:val="00FB6414"/>
    <w:rsid w:val="00FB6ABB"/>
    <w:rsid w:val="00FB6BBD"/>
    <w:rsid w:val="00FB6D41"/>
    <w:rsid w:val="00FB6E6C"/>
    <w:rsid w:val="00FB7453"/>
    <w:rsid w:val="00FB7558"/>
    <w:rsid w:val="00FB77D5"/>
    <w:rsid w:val="00FC09E5"/>
    <w:rsid w:val="00FC2374"/>
    <w:rsid w:val="00FC2781"/>
    <w:rsid w:val="00FC2ED0"/>
    <w:rsid w:val="00FC328E"/>
    <w:rsid w:val="00FC3651"/>
    <w:rsid w:val="00FC37AD"/>
    <w:rsid w:val="00FC3CD9"/>
    <w:rsid w:val="00FC3D5C"/>
    <w:rsid w:val="00FC3EC1"/>
    <w:rsid w:val="00FC447A"/>
    <w:rsid w:val="00FC45F4"/>
    <w:rsid w:val="00FC4741"/>
    <w:rsid w:val="00FC4DFC"/>
    <w:rsid w:val="00FC5196"/>
    <w:rsid w:val="00FC5E78"/>
    <w:rsid w:val="00FC5F80"/>
    <w:rsid w:val="00FC6751"/>
    <w:rsid w:val="00FC6A5C"/>
    <w:rsid w:val="00FC6BC7"/>
    <w:rsid w:val="00FC7078"/>
    <w:rsid w:val="00FC7705"/>
    <w:rsid w:val="00FC7E12"/>
    <w:rsid w:val="00FD0270"/>
    <w:rsid w:val="00FD0615"/>
    <w:rsid w:val="00FD0C1F"/>
    <w:rsid w:val="00FD0CC8"/>
    <w:rsid w:val="00FD1058"/>
    <w:rsid w:val="00FD11C5"/>
    <w:rsid w:val="00FD13BE"/>
    <w:rsid w:val="00FD1810"/>
    <w:rsid w:val="00FD231C"/>
    <w:rsid w:val="00FD27F6"/>
    <w:rsid w:val="00FD2DD6"/>
    <w:rsid w:val="00FD2E08"/>
    <w:rsid w:val="00FD34FB"/>
    <w:rsid w:val="00FD3D76"/>
    <w:rsid w:val="00FD4395"/>
    <w:rsid w:val="00FD4EB1"/>
    <w:rsid w:val="00FD5FE9"/>
    <w:rsid w:val="00FD676F"/>
    <w:rsid w:val="00FD6C53"/>
    <w:rsid w:val="00FD6DAF"/>
    <w:rsid w:val="00FD6F7A"/>
    <w:rsid w:val="00FD7CE5"/>
    <w:rsid w:val="00FE030C"/>
    <w:rsid w:val="00FE08C6"/>
    <w:rsid w:val="00FE12AD"/>
    <w:rsid w:val="00FE1722"/>
    <w:rsid w:val="00FE1AC5"/>
    <w:rsid w:val="00FE1DDF"/>
    <w:rsid w:val="00FE241F"/>
    <w:rsid w:val="00FE3463"/>
    <w:rsid w:val="00FE37FD"/>
    <w:rsid w:val="00FE385F"/>
    <w:rsid w:val="00FE3E37"/>
    <w:rsid w:val="00FE434D"/>
    <w:rsid w:val="00FE458E"/>
    <w:rsid w:val="00FE4747"/>
    <w:rsid w:val="00FE4794"/>
    <w:rsid w:val="00FE4C4D"/>
    <w:rsid w:val="00FE4EB5"/>
    <w:rsid w:val="00FE530B"/>
    <w:rsid w:val="00FE60D4"/>
    <w:rsid w:val="00FE6B12"/>
    <w:rsid w:val="00FE7001"/>
    <w:rsid w:val="00FE7ADD"/>
    <w:rsid w:val="00FF008C"/>
    <w:rsid w:val="00FF06F2"/>
    <w:rsid w:val="00FF091C"/>
    <w:rsid w:val="00FF117F"/>
    <w:rsid w:val="00FF1607"/>
    <w:rsid w:val="00FF17BF"/>
    <w:rsid w:val="00FF1AFD"/>
    <w:rsid w:val="00FF1C56"/>
    <w:rsid w:val="00FF30C1"/>
    <w:rsid w:val="00FF327E"/>
    <w:rsid w:val="00FF3D77"/>
    <w:rsid w:val="00FF3E6D"/>
    <w:rsid w:val="00FF415A"/>
    <w:rsid w:val="00FF4C6F"/>
    <w:rsid w:val="00FF4E57"/>
    <w:rsid w:val="00FF59D2"/>
    <w:rsid w:val="00FF5A4D"/>
    <w:rsid w:val="00FF5F93"/>
    <w:rsid w:val="00FF6250"/>
    <w:rsid w:val="00FF6A22"/>
    <w:rsid w:val="00FF6BA3"/>
    <w:rsid w:val="00FF7041"/>
    <w:rsid w:val="00FF7203"/>
    <w:rsid w:val="00FF76FB"/>
    <w:rsid w:val="00FF7B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F0FAD"/>
  <w15:docId w15:val="{993FA62C-D983-486F-9293-14369443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48C"/>
    <w:rPr>
      <w:rFonts w:cstheme="minorBidi"/>
      <w:szCs w:val="22"/>
    </w:rPr>
  </w:style>
  <w:style w:type="paragraph" w:styleId="Heading1">
    <w:name w:val="heading 1"/>
    <w:basedOn w:val="Normal"/>
    <w:next w:val="Normal"/>
    <w:link w:val="Heading1Char"/>
    <w:uiPriority w:val="9"/>
    <w:qFormat/>
    <w:rsid w:val="005E0487"/>
    <w:pPr>
      <w:keepNext/>
      <w:keepLines/>
      <w:numPr>
        <w:numId w:val="1"/>
      </w:numPr>
      <w:ind w:left="432"/>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5E0487"/>
    <w:pPr>
      <w:keepNext/>
      <w:keepLines/>
      <w:numPr>
        <w:ilvl w:val="1"/>
        <w:numId w:val="1"/>
      </w:numPr>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5E7AD1"/>
    <w:pPr>
      <w:keepNext/>
      <w:numPr>
        <w:ilvl w:val="2"/>
        <w:numId w:val="1"/>
      </w:numPr>
      <w:spacing w:before="120"/>
      <w:outlineLvl w:val="2"/>
    </w:pPr>
    <w:rPr>
      <w:rFonts w:eastAsia="Times New Roman"/>
      <w:bCs/>
      <w:szCs w:val="26"/>
      <w:u w:val="single"/>
    </w:rPr>
  </w:style>
  <w:style w:type="paragraph" w:styleId="Heading4">
    <w:name w:val="heading 4"/>
    <w:basedOn w:val="Normal"/>
    <w:next w:val="Normal"/>
    <w:link w:val="Heading4Char"/>
    <w:uiPriority w:val="9"/>
    <w:semiHidden/>
    <w:unhideWhenUsed/>
    <w:qFormat/>
    <w:rsid w:val="00C01BB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1BB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cstheme="minorBidi"/>
      <w:bCs/>
      <w:szCs w:val="26"/>
      <w:u w:val="single"/>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5E0487"/>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5E0487"/>
    <w:rPr>
      <w:rFonts w:eastAsiaTheme="majorEastAsia" w:cstheme="majorBidi"/>
      <w:b/>
      <w:bCs/>
      <w:color w:val="000000" w:themeColor="text1"/>
      <w:sz w:val="26"/>
      <w:szCs w:val="26"/>
    </w:rPr>
  </w:style>
  <w:style w:type="paragraph" w:styleId="FootnoteText">
    <w:name w:val="footnote text"/>
    <w:basedOn w:val="Normal"/>
    <w:link w:val="FootnoteTextChar"/>
    <w:uiPriority w:val="99"/>
    <w:unhideWhenUsed/>
    <w:rsid w:val="00A13DAE"/>
    <w:rPr>
      <w:sz w:val="20"/>
      <w:szCs w:val="20"/>
    </w:rPr>
  </w:style>
  <w:style w:type="character" w:customStyle="1" w:styleId="FootnoteTextChar">
    <w:name w:val="Footnote Text Char"/>
    <w:basedOn w:val="DefaultParagraphFont"/>
    <w:link w:val="FootnoteText"/>
    <w:uiPriority w:val="99"/>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character" w:customStyle="1" w:styleId="Heading4Char">
    <w:name w:val="Heading 4 Char"/>
    <w:basedOn w:val="DefaultParagraphFont"/>
    <w:link w:val="Heading4"/>
    <w:uiPriority w:val="9"/>
    <w:semiHidden/>
    <w:rsid w:val="00C01BBA"/>
    <w:rPr>
      <w:rFonts w:asciiTheme="majorHAnsi" w:eastAsiaTheme="majorEastAsia" w:hAnsiTheme="majorHAnsi" w:cstheme="majorBidi"/>
      <w:b/>
      <w:bCs/>
      <w:i/>
      <w:iCs/>
      <w:color w:val="4F81BD" w:themeColor="accent1"/>
      <w:szCs w:val="22"/>
    </w:rPr>
  </w:style>
  <w:style w:type="character" w:customStyle="1" w:styleId="Heading5Char">
    <w:name w:val="Heading 5 Char"/>
    <w:basedOn w:val="DefaultParagraphFont"/>
    <w:link w:val="Heading5"/>
    <w:uiPriority w:val="9"/>
    <w:semiHidden/>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3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LineNumber">
    <w:name w:val="line number"/>
    <w:basedOn w:val="DefaultParagraphFont"/>
    <w:uiPriority w:val="99"/>
    <w:unhideWhenUsed/>
    <w:rsid w:val="0021362C"/>
  </w:style>
  <w:style w:type="paragraph" w:styleId="CommentSubject">
    <w:name w:val="annotation subject"/>
    <w:basedOn w:val="CommentText"/>
    <w:next w:val="CommentText"/>
    <w:link w:val="CommentSubjectChar"/>
    <w:uiPriority w:val="99"/>
    <w:semiHidden/>
    <w:unhideWhenUsed/>
    <w:rsid w:val="00DD510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D5102"/>
    <w:rPr>
      <w:rFonts w:ascii="Calibri" w:eastAsia="Times New Roman" w:hAnsi="Calibri" w:cstheme="minorBidi"/>
      <w:b/>
      <w:bCs/>
      <w:sz w:val="20"/>
      <w:szCs w:val="20"/>
    </w:rPr>
  </w:style>
  <w:style w:type="paragraph" w:styleId="Revision">
    <w:name w:val="Revision"/>
    <w:hidden/>
    <w:uiPriority w:val="99"/>
    <w:semiHidden/>
    <w:rsid w:val="00DD5102"/>
    <w:pPr>
      <w:jc w:val="left"/>
    </w:pPr>
    <w:rPr>
      <w:rFonts w:cstheme="minorBidi"/>
      <w:szCs w:val="22"/>
    </w:rPr>
  </w:style>
  <w:style w:type="table" w:customStyle="1" w:styleId="TableGrid2">
    <w:name w:val="Table Grid2"/>
    <w:basedOn w:val="TableNormal"/>
    <w:next w:val="TableGrid"/>
    <w:uiPriority w:val="59"/>
    <w:rsid w:val="00847FED"/>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6C792D"/>
    <w:rPr>
      <w:color w:val="808080"/>
    </w:rPr>
  </w:style>
  <w:style w:type="paragraph" w:customStyle="1" w:styleId="Standard">
    <w:name w:val="Standard"/>
    <w:rsid w:val="00FC4DFC"/>
    <w:pPr>
      <w:suppressAutoHyphens/>
      <w:autoSpaceDN w:val="0"/>
      <w:spacing w:after="200" w:line="276" w:lineRule="auto"/>
      <w:jc w:val="left"/>
      <w:textAlignment w:val="baseline"/>
    </w:pPr>
    <w:rPr>
      <w:rFonts w:ascii="Calibri" w:eastAsia="SimSun" w:hAnsi="Calibri" w:cs="Calibri"/>
      <w:kern w:val="3"/>
      <w:sz w:val="22"/>
      <w:szCs w:val="22"/>
    </w:rPr>
  </w:style>
  <w:style w:type="character" w:styleId="EndnoteReference">
    <w:name w:val="endnote reference"/>
    <w:basedOn w:val="DefaultParagraphFont"/>
    <w:uiPriority w:val="99"/>
    <w:semiHidden/>
    <w:unhideWhenUsed/>
    <w:rsid w:val="00917991"/>
    <w:rPr>
      <w:vertAlign w:val="superscript"/>
    </w:rPr>
  </w:style>
  <w:style w:type="character" w:styleId="Hyperlink">
    <w:name w:val="Hyperlink"/>
    <w:basedOn w:val="DefaultParagraphFont"/>
    <w:uiPriority w:val="99"/>
    <w:unhideWhenUsed/>
    <w:rsid w:val="00A374CC"/>
    <w:rPr>
      <w:color w:val="0000FF" w:themeColor="hyperlink"/>
      <w:u w:val="single"/>
    </w:rPr>
  </w:style>
  <w:style w:type="character" w:customStyle="1" w:styleId="UnresolvedMention1">
    <w:name w:val="Unresolved Mention1"/>
    <w:basedOn w:val="DefaultParagraphFont"/>
    <w:uiPriority w:val="99"/>
    <w:semiHidden/>
    <w:unhideWhenUsed/>
    <w:rsid w:val="00A374CC"/>
    <w:rPr>
      <w:color w:val="605E5C"/>
      <w:shd w:val="clear" w:color="auto" w:fill="E1DFDD"/>
    </w:rPr>
  </w:style>
  <w:style w:type="table" w:customStyle="1" w:styleId="TableGrid1">
    <w:name w:val="Table Grid1"/>
    <w:basedOn w:val="TableNormal"/>
    <w:next w:val="TableGrid"/>
    <w:uiPriority w:val="39"/>
    <w:rsid w:val="00C87B7C"/>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aliases w:val="Figures-chapter 3"/>
    <w:basedOn w:val="Normal"/>
    <w:next w:val="Normal"/>
    <w:link w:val="CaptionChar"/>
    <w:uiPriority w:val="35"/>
    <w:unhideWhenUsed/>
    <w:qFormat/>
    <w:rsid w:val="00D85A61"/>
    <w:pPr>
      <w:spacing w:line="480" w:lineRule="auto"/>
      <w:jc w:val="center"/>
    </w:pPr>
    <w:rPr>
      <w:b/>
      <w:iCs/>
      <w:szCs w:val="18"/>
    </w:rPr>
  </w:style>
  <w:style w:type="character" w:customStyle="1" w:styleId="CaptionChar">
    <w:name w:val="Caption Char"/>
    <w:aliases w:val="Figures-chapter 3 Char"/>
    <w:basedOn w:val="DefaultParagraphFont"/>
    <w:link w:val="Caption"/>
    <w:uiPriority w:val="35"/>
    <w:rsid w:val="00D85A61"/>
    <w:rPr>
      <w:rFonts w:cstheme="minorBidi"/>
      <w:b/>
      <w:iCs/>
      <w:szCs w:val="18"/>
    </w:rPr>
  </w:style>
  <w:style w:type="paragraph" w:styleId="NormalWeb">
    <w:name w:val="Normal (Web)"/>
    <w:basedOn w:val="Normal"/>
    <w:uiPriority w:val="99"/>
    <w:unhideWhenUsed/>
    <w:rsid w:val="00B571C7"/>
    <w:pPr>
      <w:spacing w:before="100" w:beforeAutospacing="1" w:after="100" w:afterAutospacing="1"/>
      <w:jc w:val="left"/>
    </w:pPr>
    <w:rPr>
      <w:rFonts w:eastAsia="Times New Roman" w:cs="Times New Roman"/>
      <w:szCs w:val="24"/>
      <w:lang w:val="en-US"/>
    </w:rPr>
  </w:style>
  <w:style w:type="character" w:styleId="UnresolvedMention">
    <w:name w:val="Unresolved Mention"/>
    <w:basedOn w:val="DefaultParagraphFont"/>
    <w:uiPriority w:val="99"/>
    <w:semiHidden/>
    <w:unhideWhenUsed/>
    <w:rsid w:val="00291C9B"/>
    <w:rPr>
      <w:color w:val="605E5C"/>
      <w:shd w:val="clear" w:color="auto" w:fill="E1DFDD"/>
    </w:rPr>
  </w:style>
  <w:style w:type="table" w:customStyle="1" w:styleId="PlainTable21">
    <w:name w:val="Plain Table 21"/>
    <w:basedOn w:val="TableNormal"/>
    <w:uiPriority w:val="42"/>
    <w:rsid w:val="004E5047"/>
    <w:pPr>
      <w:jc w:val="left"/>
    </w:pPr>
    <w:rPr>
      <w:rFonts w:asciiTheme="minorHAnsi" w:eastAsiaTheme="minorEastAsia" w:hAnsiTheme="minorHAnsi" w:cstheme="minorBidi"/>
      <w:sz w:val="22"/>
      <w:szCs w:val="22"/>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4E5047"/>
    <w:rPr>
      <w:i/>
      <w:iCs/>
    </w:rPr>
  </w:style>
  <w:style w:type="character" w:customStyle="1" w:styleId="st">
    <w:name w:val="st"/>
    <w:basedOn w:val="DefaultParagraphFont"/>
    <w:rsid w:val="004E5047"/>
  </w:style>
  <w:style w:type="character" w:styleId="HTMLCite">
    <w:name w:val="HTML Cite"/>
    <w:basedOn w:val="DefaultParagraphFont"/>
    <w:uiPriority w:val="99"/>
    <w:semiHidden/>
    <w:unhideWhenUsed/>
    <w:rsid w:val="004E5047"/>
    <w:rPr>
      <w:i/>
      <w:iCs/>
    </w:rPr>
  </w:style>
  <w:style w:type="character" w:customStyle="1" w:styleId="go">
    <w:name w:val="go"/>
    <w:basedOn w:val="DefaultParagraphFont"/>
    <w:rsid w:val="004E5047"/>
  </w:style>
  <w:style w:type="character" w:customStyle="1" w:styleId="gi">
    <w:name w:val="gi"/>
    <w:basedOn w:val="DefaultParagraphFont"/>
    <w:rsid w:val="004E5047"/>
  </w:style>
  <w:style w:type="character" w:customStyle="1" w:styleId="highlight">
    <w:name w:val="highlight"/>
    <w:basedOn w:val="DefaultParagraphFont"/>
    <w:rsid w:val="004E5047"/>
  </w:style>
  <w:style w:type="character" w:customStyle="1" w:styleId="nlmarticle-title">
    <w:name w:val="nlm_article-title"/>
    <w:basedOn w:val="DefaultParagraphFont"/>
    <w:rsid w:val="004E5047"/>
  </w:style>
  <w:style w:type="character" w:customStyle="1" w:styleId="ff4">
    <w:name w:val="ff4"/>
    <w:basedOn w:val="DefaultParagraphFont"/>
    <w:rsid w:val="004E5047"/>
  </w:style>
  <w:style w:type="character" w:customStyle="1" w:styleId="ff8">
    <w:name w:val="ff8"/>
    <w:basedOn w:val="DefaultParagraphFont"/>
    <w:rsid w:val="004E5047"/>
  </w:style>
  <w:style w:type="paragraph" w:styleId="NoSpacing">
    <w:name w:val="No Spacing"/>
    <w:uiPriority w:val="1"/>
    <w:qFormat/>
    <w:rsid w:val="004E5047"/>
    <w:pPr>
      <w:jc w:val="left"/>
    </w:pPr>
    <w:rPr>
      <w:rFonts w:asciiTheme="minorHAnsi" w:eastAsiaTheme="minorEastAsia" w:hAnsiTheme="minorHAnsi" w:cstheme="minorBidi"/>
      <w:szCs w:val="22"/>
      <w:lang w:val="en-US"/>
    </w:rPr>
  </w:style>
  <w:style w:type="character" w:customStyle="1" w:styleId="cf01">
    <w:name w:val="cf01"/>
    <w:basedOn w:val="DefaultParagraphFont"/>
    <w:rsid w:val="004E504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5139">
      <w:bodyDiv w:val="1"/>
      <w:marLeft w:val="0"/>
      <w:marRight w:val="0"/>
      <w:marTop w:val="0"/>
      <w:marBottom w:val="0"/>
      <w:divBdr>
        <w:top w:val="none" w:sz="0" w:space="0" w:color="auto"/>
        <w:left w:val="none" w:sz="0" w:space="0" w:color="auto"/>
        <w:bottom w:val="none" w:sz="0" w:space="0" w:color="auto"/>
        <w:right w:val="none" w:sz="0" w:space="0" w:color="auto"/>
      </w:divBdr>
    </w:div>
    <w:div w:id="105128360">
      <w:bodyDiv w:val="1"/>
      <w:marLeft w:val="0"/>
      <w:marRight w:val="0"/>
      <w:marTop w:val="0"/>
      <w:marBottom w:val="0"/>
      <w:divBdr>
        <w:top w:val="none" w:sz="0" w:space="0" w:color="auto"/>
        <w:left w:val="none" w:sz="0" w:space="0" w:color="auto"/>
        <w:bottom w:val="none" w:sz="0" w:space="0" w:color="auto"/>
        <w:right w:val="none" w:sz="0" w:space="0" w:color="auto"/>
      </w:divBdr>
    </w:div>
    <w:div w:id="214433798">
      <w:bodyDiv w:val="1"/>
      <w:marLeft w:val="0"/>
      <w:marRight w:val="0"/>
      <w:marTop w:val="0"/>
      <w:marBottom w:val="0"/>
      <w:divBdr>
        <w:top w:val="none" w:sz="0" w:space="0" w:color="auto"/>
        <w:left w:val="none" w:sz="0" w:space="0" w:color="auto"/>
        <w:bottom w:val="none" w:sz="0" w:space="0" w:color="auto"/>
        <w:right w:val="none" w:sz="0" w:space="0" w:color="auto"/>
      </w:divBdr>
    </w:div>
    <w:div w:id="217665190">
      <w:bodyDiv w:val="1"/>
      <w:marLeft w:val="0"/>
      <w:marRight w:val="0"/>
      <w:marTop w:val="0"/>
      <w:marBottom w:val="0"/>
      <w:divBdr>
        <w:top w:val="none" w:sz="0" w:space="0" w:color="auto"/>
        <w:left w:val="none" w:sz="0" w:space="0" w:color="auto"/>
        <w:bottom w:val="none" w:sz="0" w:space="0" w:color="auto"/>
        <w:right w:val="none" w:sz="0" w:space="0" w:color="auto"/>
      </w:divBdr>
    </w:div>
    <w:div w:id="2599204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186">
          <w:marLeft w:val="0"/>
          <w:marRight w:val="0"/>
          <w:marTop w:val="0"/>
          <w:marBottom w:val="0"/>
          <w:divBdr>
            <w:top w:val="none" w:sz="0" w:space="0" w:color="auto"/>
            <w:left w:val="none" w:sz="0" w:space="0" w:color="auto"/>
            <w:bottom w:val="none" w:sz="0" w:space="0" w:color="auto"/>
            <w:right w:val="none" w:sz="0" w:space="0" w:color="auto"/>
          </w:divBdr>
        </w:div>
      </w:divsChild>
    </w:div>
    <w:div w:id="314921129">
      <w:bodyDiv w:val="1"/>
      <w:marLeft w:val="0"/>
      <w:marRight w:val="0"/>
      <w:marTop w:val="0"/>
      <w:marBottom w:val="0"/>
      <w:divBdr>
        <w:top w:val="none" w:sz="0" w:space="0" w:color="auto"/>
        <w:left w:val="none" w:sz="0" w:space="0" w:color="auto"/>
        <w:bottom w:val="none" w:sz="0" w:space="0" w:color="auto"/>
        <w:right w:val="none" w:sz="0" w:space="0" w:color="auto"/>
      </w:divBdr>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414204336">
          <w:marLeft w:val="0"/>
          <w:marRight w:val="0"/>
          <w:marTop w:val="0"/>
          <w:marBottom w:val="0"/>
          <w:divBdr>
            <w:top w:val="none" w:sz="0" w:space="0" w:color="auto"/>
            <w:left w:val="none" w:sz="0" w:space="0" w:color="auto"/>
            <w:bottom w:val="none" w:sz="0" w:space="0" w:color="auto"/>
            <w:right w:val="none" w:sz="0" w:space="0" w:color="auto"/>
          </w:divBdr>
        </w:div>
      </w:divsChild>
    </w:div>
    <w:div w:id="409622694">
      <w:bodyDiv w:val="1"/>
      <w:marLeft w:val="0"/>
      <w:marRight w:val="0"/>
      <w:marTop w:val="0"/>
      <w:marBottom w:val="0"/>
      <w:divBdr>
        <w:top w:val="none" w:sz="0" w:space="0" w:color="auto"/>
        <w:left w:val="none" w:sz="0" w:space="0" w:color="auto"/>
        <w:bottom w:val="none" w:sz="0" w:space="0" w:color="auto"/>
        <w:right w:val="none" w:sz="0" w:space="0" w:color="auto"/>
      </w:divBdr>
    </w:div>
    <w:div w:id="445082570">
      <w:bodyDiv w:val="1"/>
      <w:marLeft w:val="0"/>
      <w:marRight w:val="0"/>
      <w:marTop w:val="0"/>
      <w:marBottom w:val="0"/>
      <w:divBdr>
        <w:top w:val="none" w:sz="0" w:space="0" w:color="auto"/>
        <w:left w:val="none" w:sz="0" w:space="0" w:color="auto"/>
        <w:bottom w:val="none" w:sz="0" w:space="0" w:color="auto"/>
        <w:right w:val="none" w:sz="0" w:space="0" w:color="auto"/>
      </w:divBdr>
    </w:div>
    <w:div w:id="491683696">
      <w:bodyDiv w:val="1"/>
      <w:marLeft w:val="0"/>
      <w:marRight w:val="0"/>
      <w:marTop w:val="0"/>
      <w:marBottom w:val="0"/>
      <w:divBdr>
        <w:top w:val="none" w:sz="0" w:space="0" w:color="auto"/>
        <w:left w:val="none" w:sz="0" w:space="0" w:color="auto"/>
        <w:bottom w:val="none" w:sz="0" w:space="0" w:color="auto"/>
        <w:right w:val="none" w:sz="0" w:space="0" w:color="auto"/>
      </w:divBdr>
      <w:divsChild>
        <w:div w:id="1968663358">
          <w:marLeft w:val="0"/>
          <w:marRight w:val="0"/>
          <w:marTop w:val="0"/>
          <w:marBottom w:val="0"/>
          <w:divBdr>
            <w:top w:val="none" w:sz="0" w:space="0" w:color="auto"/>
            <w:left w:val="none" w:sz="0" w:space="0" w:color="auto"/>
            <w:bottom w:val="none" w:sz="0" w:space="0" w:color="auto"/>
            <w:right w:val="none" w:sz="0" w:space="0" w:color="auto"/>
          </w:divBdr>
        </w:div>
      </w:divsChild>
    </w:div>
    <w:div w:id="493499148">
      <w:bodyDiv w:val="1"/>
      <w:marLeft w:val="0"/>
      <w:marRight w:val="0"/>
      <w:marTop w:val="0"/>
      <w:marBottom w:val="0"/>
      <w:divBdr>
        <w:top w:val="none" w:sz="0" w:space="0" w:color="auto"/>
        <w:left w:val="none" w:sz="0" w:space="0" w:color="auto"/>
        <w:bottom w:val="none" w:sz="0" w:space="0" w:color="auto"/>
        <w:right w:val="none" w:sz="0" w:space="0" w:color="auto"/>
      </w:divBdr>
    </w:div>
    <w:div w:id="574315021">
      <w:bodyDiv w:val="1"/>
      <w:marLeft w:val="0"/>
      <w:marRight w:val="0"/>
      <w:marTop w:val="0"/>
      <w:marBottom w:val="0"/>
      <w:divBdr>
        <w:top w:val="none" w:sz="0" w:space="0" w:color="auto"/>
        <w:left w:val="none" w:sz="0" w:space="0" w:color="auto"/>
        <w:bottom w:val="none" w:sz="0" w:space="0" w:color="auto"/>
        <w:right w:val="none" w:sz="0" w:space="0" w:color="auto"/>
      </w:divBdr>
    </w:div>
    <w:div w:id="708190680">
      <w:bodyDiv w:val="1"/>
      <w:marLeft w:val="0"/>
      <w:marRight w:val="0"/>
      <w:marTop w:val="0"/>
      <w:marBottom w:val="0"/>
      <w:divBdr>
        <w:top w:val="none" w:sz="0" w:space="0" w:color="auto"/>
        <w:left w:val="none" w:sz="0" w:space="0" w:color="auto"/>
        <w:bottom w:val="none" w:sz="0" w:space="0" w:color="auto"/>
        <w:right w:val="none" w:sz="0" w:space="0" w:color="auto"/>
      </w:divBdr>
    </w:div>
    <w:div w:id="762797093">
      <w:bodyDiv w:val="1"/>
      <w:marLeft w:val="0"/>
      <w:marRight w:val="0"/>
      <w:marTop w:val="0"/>
      <w:marBottom w:val="0"/>
      <w:divBdr>
        <w:top w:val="none" w:sz="0" w:space="0" w:color="auto"/>
        <w:left w:val="none" w:sz="0" w:space="0" w:color="auto"/>
        <w:bottom w:val="none" w:sz="0" w:space="0" w:color="auto"/>
        <w:right w:val="none" w:sz="0" w:space="0" w:color="auto"/>
      </w:divBdr>
    </w:div>
    <w:div w:id="916980839">
      <w:bodyDiv w:val="1"/>
      <w:marLeft w:val="0"/>
      <w:marRight w:val="0"/>
      <w:marTop w:val="0"/>
      <w:marBottom w:val="0"/>
      <w:divBdr>
        <w:top w:val="none" w:sz="0" w:space="0" w:color="auto"/>
        <w:left w:val="none" w:sz="0" w:space="0" w:color="auto"/>
        <w:bottom w:val="none" w:sz="0" w:space="0" w:color="auto"/>
        <w:right w:val="none" w:sz="0" w:space="0" w:color="auto"/>
      </w:divBdr>
    </w:div>
    <w:div w:id="962150726">
      <w:bodyDiv w:val="1"/>
      <w:marLeft w:val="0"/>
      <w:marRight w:val="0"/>
      <w:marTop w:val="0"/>
      <w:marBottom w:val="0"/>
      <w:divBdr>
        <w:top w:val="none" w:sz="0" w:space="0" w:color="auto"/>
        <w:left w:val="none" w:sz="0" w:space="0" w:color="auto"/>
        <w:bottom w:val="none" w:sz="0" w:space="0" w:color="auto"/>
        <w:right w:val="none" w:sz="0" w:space="0" w:color="auto"/>
      </w:divBdr>
    </w:div>
    <w:div w:id="1012803990">
      <w:bodyDiv w:val="1"/>
      <w:marLeft w:val="0"/>
      <w:marRight w:val="0"/>
      <w:marTop w:val="0"/>
      <w:marBottom w:val="0"/>
      <w:divBdr>
        <w:top w:val="none" w:sz="0" w:space="0" w:color="auto"/>
        <w:left w:val="none" w:sz="0" w:space="0" w:color="auto"/>
        <w:bottom w:val="none" w:sz="0" w:space="0" w:color="auto"/>
        <w:right w:val="none" w:sz="0" w:space="0" w:color="auto"/>
      </w:divBdr>
    </w:div>
    <w:div w:id="1037463524">
      <w:bodyDiv w:val="1"/>
      <w:marLeft w:val="0"/>
      <w:marRight w:val="0"/>
      <w:marTop w:val="0"/>
      <w:marBottom w:val="0"/>
      <w:divBdr>
        <w:top w:val="none" w:sz="0" w:space="0" w:color="auto"/>
        <w:left w:val="none" w:sz="0" w:space="0" w:color="auto"/>
        <w:bottom w:val="none" w:sz="0" w:space="0" w:color="auto"/>
        <w:right w:val="none" w:sz="0" w:space="0" w:color="auto"/>
      </w:divBdr>
    </w:div>
    <w:div w:id="1660620295">
      <w:bodyDiv w:val="1"/>
      <w:marLeft w:val="0"/>
      <w:marRight w:val="0"/>
      <w:marTop w:val="0"/>
      <w:marBottom w:val="0"/>
      <w:divBdr>
        <w:top w:val="none" w:sz="0" w:space="0" w:color="auto"/>
        <w:left w:val="none" w:sz="0" w:space="0" w:color="auto"/>
        <w:bottom w:val="none" w:sz="0" w:space="0" w:color="auto"/>
        <w:right w:val="none" w:sz="0" w:space="0" w:color="auto"/>
      </w:divBdr>
    </w:div>
    <w:div w:id="1677270001">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871843377">
      <w:bodyDiv w:val="1"/>
      <w:marLeft w:val="0"/>
      <w:marRight w:val="0"/>
      <w:marTop w:val="0"/>
      <w:marBottom w:val="0"/>
      <w:divBdr>
        <w:top w:val="none" w:sz="0" w:space="0" w:color="auto"/>
        <w:left w:val="none" w:sz="0" w:space="0" w:color="auto"/>
        <w:bottom w:val="none" w:sz="0" w:space="0" w:color="auto"/>
        <w:right w:val="none" w:sz="0" w:space="0" w:color="auto"/>
      </w:divBdr>
    </w:div>
    <w:div w:id="1873568618">
      <w:bodyDiv w:val="1"/>
      <w:marLeft w:val="0"/>
      <w:marRight w:val="0"/>
      <w:marTop w:val="0"/>
      <w:marBottom w:val="0"/>
      <w:divBdr>
        <w:top w:val="none" w:sz="0" w:space="0" w:color="auto"/>
        <w:left w:val="none" w:sz="0" w:space="0" w:color="auto"/>
        <w:bottom w:val="none" w:sz="0" w:space="0" w:color="auto"/>
        <w:right w:val="none" w:sz="0" w:space="0" w:color="auto"/>
      </w:divBdr>
    </w:div>
    <w:div w:id="1874462370">
      <w:bodyDiv w:val="1"/>
      <w:marLeft w:val="0"/>
      <w:marRight w:val="0"/>
      <w:marTop w:val="0"/>
      <w:marBottom w:val="0"/>
      <w:divBdr>
        <w:top w:val="none" w:sz="0" w:space="0" w:color="auto"/>
        <w:left w:val="none" w:sz="0" w:space="0" w:color="auto"/>
        <w:bottom w:val="none" w:sz="0" w:space="0" w:color="auto"/>
        <w:right w:val="none" w:sz="0" w:space="0" w:color="auto"/>
      </w:divBdr>
    </w:div>
    <w:div w:id="1916864425">
      <w:bodyDiv w:val="1"/>
      <w:marLeft w:val="0"/>
      <w:marRight w:val="0"/>
      <w:marTop w:val="0"/>
      <w:marBottom w:val="0"/>
      <w:divBdr>
        <w:top w:val="none" w:sz="0" w:space="0" w:color="auto"/>
        <w:left w:val="none" w:sz="0" w:space="0" w:color="auto"/>
        <w:bottom w:val="none" w:sz="0" w:space="0" w:color="auto"/>
        <w:right w:val="none" w:sz="0" w:space="0" w:color="auto"/>
      </w:divBdr>
    </w:div>
    <w:div w:id="2004508538">
      <w:bodyDiv w:val="1"/>
      <w:marLeft w:val="0"/>
      <w:marRight w:val="0"/>
      <w:marTop w:val="0"/>
      <w:marBottom w:val="0"/>
      <w:divBdr>
        <w:top w:val="none" w:sz="0" w:space="0" w:color="auto"/>
        <w:left w:val="none" w:sz="0" w:space="0" w:color="auto"/>
        <w:bottom w:val="none" w:sz="0" w:space="0" w:color="auto"/>
        <w:right w:val="none" w:sz="0" w:space="0" w:color="auto"/>
      </w:divBdr>
    </w:div>
    <w:div w:id="2005039915">
      <w:bodyDiv w:val="1"/>
      <w:marLeft w:val="0"/>
      <w:marRight w:val="0"/>
      <w:marTop w:val="0"/>
      <w:marBottom w:val="0"/>
      <w:divBdr>
        <w:top w:val="none" w:sz="0" w:space="0" w:color="auto"/>
        <w:left w:val="none" w:sz="0" w:space="0" w:color="auto"/>
        <w:bottom w:val="none" w:sz="0" w:space="0" w:color="auto"/>
        <w:right w:val="none" w:sz="0" w:space="0" w:color="auto"/>
      </w:divBdr>
    </w:div>
    <w:div w:id="213721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hrior.pervaz@knights.ucf.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aveen.eluru@ucf.edu" TargetMode="External"/><Relationship Id="rId4" Type="http://schemas.openxmlformats.org/officeDocument/2006/relationships/settings" Target="settings.xml"/><Relationship Id="rId9" Type="http://schemas.openxmlformats.org/officeDocument/2006/relationships/hyperlink" Target="mailto:tanmoy78@knights.ucf.ed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hr\OneDrive%20-%20Knights%20-%20University%20of%20Central%20Florida\Desktop\TRB%202022\Submitted%201%20aug\All%20codes%20aug%2016\prediction\error%20cal%2026\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sz="1200" b="1"/>
              <a:t>RMSE Value Comparision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autoTitleDeleted val="0"/>
    <c:plotArea>
      <c:layout>
        <c:manualLayout>
          <c:layoutTarget val="inner"/>
          <c:xMode val="edge"/>
          <c:yMode val="edge"/>
          <c:x val="0.17178763712228279"/>
          <c:y val="0.13329400196656835"/>
          <c:w val="0.78761407227942659"/>
          <c:h val="0.51557537608683868"/>
        </c:manualLayout>
      </c:layout>
      <c:barChart>
        <c:barDir val="col"/>
        <c:grouping val="clustered"/>
        <c:varyColors val="0"/>
        <c:ser>
          <c:idx val="0"/>
          <c:order val="0"/>
          <c:tx>
            <c:strRef>
              <c:f>'approach 2'!$V$194</c:f>
              <c:strCache>
                <c:ptCount val="1"/>
                <c:pt idx="0">
                  <c:v>Proposed integrated micro-macro model</c:v>
                </c:pt>
              </c:strCache>
            </c:strRef>
          </c:tx>
          <c:spPr>
            <a:solidFill>
              <a:schemeClr val="accent1"/>
            </a:solidFill>
            <a:ln>
              <a:noFill/>
            </a:ln>
            <a:effectLst/>
          </c:spPr>
          <c:invertIfNegative val="0"/>
          <c:cat>
            <c:strRef>
              <c:f>'approach 2'!$T$195:$T$209</c:f>
              <c:strCache>
                <c:ptCount val="15"/>
                <c:pt idx="0">
                  <c:v>0</c:v>
                </c:pt>
                <c:pt idx="1">
                  <c:v>1-10</c:v>
                </c:pt>
                <c:pt idx="2">
                  <c:v>11-30</c:v>
                </c:pt>
                <c:pt idx="3">
                  <c:v>31-50</c:v>
                </c:pt>
                <c:pt idx="4">
                  <c:v>51-70</c:v>
                </c:pt>
                <c:pt idx="5">
                  <c:v>71-90</c:v>
                </c:pt>
                <c:pt idx="6">
                  <c:v>91-110</c:v>
                </c:pt>
                <c:pt idx="7">
                  <c:v>111-130</c:v>
                </c:pt>
                <c:pt idx="8">
                  <c:v>131-150</c:v>
                </c:pt>
                <c:pt idx="9">
                  <c:v>151-170</c:v>
                </c:pt>
                <c:pt idx="10">
                  <c:v>171-200</c:v>
                </c:pt>
                <c:pt idx="11">
                  <c:v>201-250</c:v>
                </c:pt>
                <c:pt idx="12">
                  <c:v>251-300</c:v>
                </c:pt>
                <c:pt idx="13">
                  <c:v>301-400</c:v>
                </c:pt>
                <c:pt idx="14">
                  <c:v>&gt;400</c:v>
                </c:pt>
              </c:strCache>
            </c:strRef>
          </c:cat>
          <c:val>
            <c:numRef>
              <c:f>'approach 2'!$V$195:$V$209</c:f>
              <c:numCache>
                <c:formatCode>0.00</c:formatCode>
                <c:ptCount val="15"/>
                <c:pt idx="0">
                  <c:v>1.8560730999999999</c:v>
                </c:pt>
                <c:pt idx="1">
                  <c:v>18.299617000000001</c:v>
                </c:pt>
                <c:pt idx="2">
                  <c:v>36.013291000000002</c:v>
                </c:pt>
                <c:pt idx="3">
                  <c:v>67.167561000000006</c:v>
                </c:pt>
                <c:pt idx="4">
                  <c:v>67.919794999999993</c:v>
                </c:pt>
                <c:pt idx="5">
                  <c:v>60.600667999999999</c:v>
                </c:pt>
                <c:pt idx="6">
                  <c:v>55.187044</c:v>
                </c:pt>
                <c:pt idx="7">
                  <c:v>47.563670000000002</c:v>
                </c:pt>
                <c:pt idx="8">
                  <c:v>65.483269000000007</c:v>
                </c:pt>
                <c:pt idx="9">
                  <c:v>68.604376000000002</c:v>
                </c:pt>
                <c:pt idx="10">
                  <c:v>115.78354</c:v>
                </c:pt>
                <c:pt idx="11">
                  <c:v>79.352610999999996</c:v>
                </c:pt>
                <c:pt idx="12">
                  <c:v>84.507454999999993</c:v>
                </c:pt>
                <c:pt idx="13">
                  <c:v>126.212</c:v>
                </c:pt>
                <c:pt idx="14">
                  <c:v>224.03289000000001</c:v>
                </c:pt>
              </c:numCache>
            </c:numRef>
          </c:val>
          <c:extLst>
            <c:ext xmlns:c16="http://schemas.microsoft.com/office/drawing/2014/chart" uri="{C3380CC4-5D6E-409C-BE32-E72D297353CC}">
              <c16:uniqueId val="{00000000-B75F-4DDF-8C5E-66D95E080ED4}"/>
            </c:ext>
          </c:extLst>
        </c:ser>
        <c:ser>
          <c:idx val="1"/>
          <c:order val="1"/>
          <c:tx>
            <c:strRef>
              <c:f>'approach 2'!$W$194</c:f>
              <c:strCache>
                <c:ptCount val="1"/>
                <c:pt idx="0">
                  <c:v>Non-integrated macro model</c:v>
                </c:pt>
              </c:strCache>
            </c:strRef>
          </c:tx>
          <c:spPr>
            <a:solidFill>
              <a:schemeClr val="accent2"/>
            </a:solidFill>
            <a:ln>
              <a:noFill/>
            </a:ln>
            <a:effectLst/>
          </c:spPr>
          <c:invertIfNegative val="0"/>
          <c:cat>
            <c:strRef>
              <c:f>'approach 2'!$T$195:$T$209</c:f>
              <c:strCache>
                <c:ptCount val="15"/>
                <c:pt idx="0">
                  <c:v>0</c:v>
                </c:pt>
                <c:pt idx="1">
                  <c:v>1-10</c:v>
                </c:pt>
                <c:pt idx="2">
                  <c:v>11-30</c:v>
                </c:pt>
                <c:pt idx="3">
                  <c:v>31-50</c:v>
                </c:pt>
                <c:pt idx="4">
                  <c:v>51-70</c:v>
                </c:pt>
                <c:pt idx="5">
                  <c:v>71-90</c:v>
                </c:pt>
                <c:pt idx="6">
                  <c:v>91-110</c:v>
                </c:pt>
                <c:pt idx="7">
                  <c:v>111-130</c:v>
                </c:pt>
                <c:pt idx="8">
                  <c:v>131-150</c:v>
                </c:pt>
                <c:pt idx="9">
                  <c:v>151-170</c:v>
                </c:pt>
                <c:pt idx="10">
                  <c:v>171-200</c:v>
                </c:pt>
                <c:pt idx="11">
                  <c:v>201-250</c:v>
                </c:pt>
                <c:pt idx="12">
                  <c:v>251-300</c:v>
                </c:pt>
                <c:pt idx="13">
                  <c:v>301-400</c:v>
                </c:pt>
                <c:pt idx="14">
                  <c:v>&gt;400</c:v>
                </c:pt>
              </c:strCache>
            </c:strRef>
          </c:cat>
          <c:val>
            <c:numRef>
              <c:f>'approach 2'!$W$195:$W$209</c:f>
              <c:numCache>
                <c:formatCode>0.00</c:formatCode>
                <c:ptCount val="15"/>
                <c:pt idx="0">
                  <c:v>13.960362</c:v>
                </c:pt>
                <c:pt idx="1">
                  <c:v>29.058522</c:v>
                </c:pt>
                <c:pt idx="2">
                  <c:v>35.924413000000001</c:v>
                </c:pt>
                <c:pt idx="3">
                  <c:v>47.132632999999998</c:v>
                </c:pt>
                <c:pt idx="4">
                  <c:v>66.924069000000003</c:v>
                </c:pt>
                <c:pt idx="5">
                  <c:v>63.090322999999998</c:v>
                </c:pt>
                <c:pt idx="6">
                  <c:v>98.382318999999995</c:v>
                </c:pt>
                <c:pt idx="7">
                  <c:v>38.562542999999998</c:v>
                </c:pt>
                <c:pt idx="8">
                  <c:v>64.876345000000001</c:v>
                </c:pt>
                <c:pt idx="9">
                  <c:v>92.825660999999997</c:v>
                </c:pt>
                <c:pt idx="10">
                  <c:v>161.32092</c:v>
                </c:pt>
                <c:pt idx="11">
                  <c:v>205.74578</c:v>
                </c:pt>
                <c:pt idx="12">
                  <c:v>84.30359</c:v>
                </c:pt>
                <c:pt idx="13">
                  <c:v>159.11901</c:v>
                </c:pt>
                <c:pt idx="14">
                  <c:v>235.51855</c:v>
                </c:pt>
              </c:numCache>
            </c:numRef>
          </c:val>
          <c:extLst>
            <c:ext xmlns:c16="http://schemas.microsoft.com/office/drawing/2014/chart" uri="{C3380CC4-5D6E-409C-BE32-E72D297353CC}">
              <c16:uniqueId val="{00000001-B75F-4DDF-8C5E-66D95E080ED4}"/>
            </c:ext>
          </c:extLst>
        </c:ser>
        <c:dLbls>
          <c:showLegendKey val="0"/>
          <c:showVal val="0"/>
          <c:showCatName val="0"/>
          <c:showSerName val="0"/>
          <c:showPercent val="0"/>
          <c:showBubbleSize val="0"/>
        </c:dLbls>
        <c:gapWidth val="120"/>
        <c:overlap val="1"/>
        <c:axId val="880549279"/>
        <c:axId val="710903583"/>
      </c:barChart>
      <c:catAx>
        <c:axId val="880549279"/>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sz="1100"/>
                  <a:t>Crash Group</a:t>
                </a:r>
              </a:p>
            </c:rich>
          </c:tx>
          <c:layout>
            <c:manualLayout>
              <c:xMode val="edge"/>
              <c:yMode val="edge"/>
              <c:x val="0.44538091392422102"/>
              <c:y val="0.824176402728419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710903583"/>
        <c:crosses val="autoZero"/>
        <c:auto val="1"/>
        <c:lblAlgn val="ctr"/>
        <c:lblOffset val="100"/>
        <c:noMultiLvlLbl val="0"/>
      </c:catAx>
      <c:valAx>
        <c:axId val="710903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sz="1100"/>
                  <a:t>RMSE Value</a:t>
                </a:r>
              </a:p>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880549279"/>
        <c:crosses val="autoZero"/>
        <c:crossBetween val="between"/>
      </c:valAx>
      <c:spPr>
        <a:noFill/>
        <a:ln>
          <a:noFill/>
        </a:ln>
        <a:effectLst/>
      </c:spPr>
    </c:plotArea>
    <c:legend>
      <c:legendPos val="b"/>
      <c:layout>
        <c:manualLayout>
          <c:xMode val="edge"/>
          <c:yMode val="edge"/>
          <c:x val="0.10767199520073015"/>
          <c:y val="0.12542039501208266"/>
          <c:w val="0.57421913197776187"/>
          <c:h val="0.1920406405795645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72CB238-3253-411A-91FC-1E968321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4235</TotalTime>
  <Pages>25</Pages>
  <Words>85188</Words>
  <Characters>485578</Characters>
  <Application>Microsoft Office Word</Application>
  <DocSecurity>0</DocSecurity>
  <Lines>4046</Lines>
  <Paragraphs>1139</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569627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Eluru, Prof</dc:creator>
  <cp:keywords/>
  <dc:description/>
  <cp:lastModifiedBy>Tanmoy Bhowmik</cp:lastModifiedBy>
  <cp:revision>603</cp:revision>
  <cp:lastPrinted>2022-06-03T09:35:00Z</cp:lastPrinted>
  <dcterms:created xsi:type="dcterms:W3CDTF">2020-08-17T07:41:00Z</dcterms:created>
  <dcterms:modified xsi:type="dcterms:W3CDTF">2022-06-05T06:11:00Z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http://www.zotero.org/styles/amar-analytic-methods-in-accident-research</vt:lpwstr>
  </property>
  <property fmtid="{D5CDD505-2E9C-101B-9397-08002B2CF9AE}" pid="3" name="Mendeley Recent Style Name 0_1">
    <vt:lpwstr>AMAR Analytic Methods in Accident Research.</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40578a7f-2f4c-3d9a-a164-237c56f19099</vt:lpwstr>
  </property>
  <property fmtid="{D5CDD505-2E9C-101B-9397-08002B2CF9AE}" pid="24" name="Mendeley Citation Style_1">
    <vt:lpwstr>http://www.zotero.org/styles/amar-analytic-methods-in-accident-research</vt:lpwstr>
  </property>
</Properties>
</file>