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9DBB" w14:textId="687ADD72" w:rsidR="00AB21E5" w:rsidRPr="003D47E2" w:rsidRDefault="00C16AF1" w:rsidP="005146DC">
      <w:pPr>
        <w:rPr>
          <w:b/>
          <w:szCs w:val="24"/>
        </w:rPr>
      </w:pPr>
      <w:r w:rsidRPr="003D47E2">
        <w:rPr>
          <w:b/>
          <w:szCs w:val="24"/>
        </w:rPr>
        <w:t xml:space="preserve">A Joint </w:t>
      </w:r>
      <w:r w:rsidR="00E7588E" w:rsidRPr="003D47E2">
        <w:rPr>
          <w:b/>
          <w:szCs w:val="24"/>
        </w:rPr>
        <w:t>Econometric Model Framework for</w:t>
      </w:r>
      <w:r w:rsidR="00465B1B" w:rsidRPr="003D47E2">
        <w:rPr>
          <w:b/>
          <w:szCs w:val="24"/>
        </w:rPr>
        <w:t xml:space="preserve"> </w:t>
      </w:r>
      <w:r w:rsidR="00E7588E" w:rsidRPr="003D47E2">
        <w:rPr>
          <w:b/>
          <w:szCs w:val="24"/>
        </w:rPr>
        <w:t xml:space="preserve">Transportation Network Companies (TNC) </w:t>
      </w:r>
      <w:r w:rsidR="0064151C">
        <w:rPr>
          <w:b/>
          <w:szCs w:val="24"/>
        </w:rPr>
        <w:t>U</w:t>
      </w:r>
      <w:r w:rsidR="00E7588E" w:rsidRPr="003D47E2">
        <w:rPr>
          <w:b/>
          <w:szCs w:val="24"/>
        </w:rPr>
        <w:t xml:space="preserve">sers’ </w:t>
      </w:r>
      <w:r w:rsidR="00465B1B" w:rsidRPr="003D47E2">
        <w:rPr>
          <w:b/>
          <w:szCs w:val="24"/>
        </w:rPr>
        <w:t>Trip Fare and Destination Choice</w:t>
      </w:r>
      <w:r w:rsidRPr="003D47E2">
        <w:rPr>
          <w:b/>
          <w:szCs w:val="24"/>
        </w:rPr>
        <w:t xml:space="preserve"> Analysis</w:t>
      </w:r>
    </w:p>
    <w:p w14:paraId="04309D74" w14:textId="2A8D7150" w:rsidR="00465B1B" w:rsidRDefault="00465B1B" w:rsidP="00561C63">
      <w:pPr>
        <w:spacing w:after="0"/>
        <w:rPr>
          <w:b/>
          <w:sz w:val="32"/>
          <w:szCs w:val="32"/>
        </w:rPr>
      </w:pPr>
      <w:r w:rsidRPr="00465B1B">
        <w:rPr>
          <w:b/>
          <w:sz w:val="32"/>
          <w:szCs w:val="32"/>
        </w:rPr>
        <w:t xml:space="preserve"> </w:t>
      </w:r>
    </w:p>
    <w:p w14:paraId="0F40E148" w14:textId="77777777" w:rsidR="003D47E2" w:rsidRPr="00081212" w:rsidRDefault="003D47E2" w:rsidP="00561C63">
      <w:pPr>
        <w:spacing w:after="0"/>
        <w:rPr>
          <w:b/>
          <w:sz w:val="20"/>
          <w:szCs w:val="20"/>
        </w:rPr>
      </w:pPr>
    </w:p>
    <w:p w14:paraId="67405E6B" w14:textId="3B95FDA6" w:rsidR="005146DC" w:rsidRDefault="005146DC" w:rsidP="005146DC">
      <w:pPr>
        <w:rPr>
          <w:b/>
        </w:rPr>
      </w:pPr>
      <w:r>
        <w:rPr>
          <w:b/>
        </w:rPr>
        <w:t>Dewan Ashraful Parvez</w:t>
      </w:r>
    </w:p>
    <w:p w14:paraId="2B730CFC" w14:textId="77777777" w:rsidR="005146DC" w:rsidRPr="006C0C42" w:rsidRDefault="005146DC" w:rsidP="005146DC">
      <w:r>
        <w:t>Doctoral Student</w:t>
      </w:r>
    </w:p>
    <w:p w14:paraId="77C5D86A"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 xml:space="preserve">Department of Civil, Environmental &amp; Construction Engineering </w:t>
      </w:r>
    </w:p>
    <w:p w14:paraId="7C0C5589"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University of Central Florida</w:t>
      </w:r>
    </w:p>
    <w:p w14:paraId="003A72DE"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Tel: 407-</w:t>
      </w:r>
      <w:r>
        <w:rPr>
          <w:rFonts w:eastAsia="SimSun"/>
          <w:kern w:val="3"/>
        </w:rPr>
        <w:t>437</w:t>
      </w:r>
      <w:r w:rsidRPr="00643415">
        <w:rPr>
          <w:rFonts w:eastAsia="SimSun"/>
          <w:kern w:val="3"/>
        </w:rPr>
        <w:t>-</w:t>
      </w:r>
      <w:r>
        <w:rPr>
          <w:rFonts w:eastAsia="SimSun"/>
          <w:kern w:val="3"/>
        </w:rPr>
        <w:t>2587</w:t>
      </w:r>
    </w:p>
    <w:p w14:paraId="5D555922" w14:textId="77777777" w:rsidR="005146DC" w:rsidRDefault="005146DC" w:rsidP="005146DC">
      <w:pPr>
        <w:rPr>
          <w:rStyle w:val="Hyperlink"/>
          <w:rFonts w:eastAsia="SimSun"/>
          <w:kern w:val="3"/>
        </w:rPr>
      </w:pPr>
      <w:r w:rsidRPr="00643415">
        <w:rPr>
          <w:rFonts w:eastAsia="SimSun"/>
          <w:kern w:val="3"/>
        </w:rPr>
        <w:t xml:space="preserve">Email: </w:t>
      </w:r>
      <w:hyperlink r:id="rId8" w:history="1">
        <w:r w:rsidRPr="00D03E46">
          <w:rPr>
            <w:rStyle w:val="Hyperlink"/>
            <w:rFonts w:eastAsia="SimSun"/>
            <w:kern w:val="3"/>
          </w:rPr>
          <w:t>parvez@knights.ucf.edu</w:t>
        </w:r>
      </w:hyperlink>
    </w:p>
    <w:p w14:paraId="2E4946D2" w14:textId="77777777" w:rsidR="005146DC" w:rsidRDefault="005146DC" w:rsidP="005146DC">
      <w:pPr>
        <w:rPr>
          <w:b/>
        </w:rPr>
      </w:pPr>
      <w:proofErr w:type="spellStart"/>
      <w:r w:rsidRPr="00724447">
        <w:rPr>
          <w:rFonts w:cs="Times New Roman"/>
        </w:rPr>
        <w:t>ORCiD</w:t>
      </w:r>
      <w:proofErr w:type="spellEnd"/>
      <w:r w:rsidRPr="00724447">
        <w:rPr>
          <w:rFonts w:cs="Times New Roman"/>
        </w:rPr>
        <w:t xml:space="preserve"> number:</w:t>
      </w:r>
      <w:r>
        <w:rPr>
          <w:rFonts w:cs="Times New Roman"/>
        </w:rPr>
        <w:t xml:space="preserve"> </w:t>
      </w:r>
      <w:r w:rsidRPr="00616044">
        <w:rPr>
          <w:rFonts w:cs="Times New Roman"/>
        </w:rPr>
        <w:t>0000-0002-8663-7808</w:t>
      </w:r>
    </w:p>
    <w:p w14:paraId="4C2EA381" w14:textId="77777777" w:rsidR="005146DC" w:rsidRPr="00081212" w:rsidRDefault="005146DC" w:rsidP="005146DC">
      <w:pPr>
        <w:rPr>
          <w:rFonts w:eastAsia="Calibri" w:cs="Times New Roman"/>
          <w:b/>
          <w:sz w:val="20"/>
          <w:szCs w:val="20"/>
        </w:rPr>
      </w:pPr>
    </w:p>
    <w:p w14:paraId="2C300D1F" w14:textId="4716355C" w:rsidR="005146DC" w:rsidRDefault="005146DC" w:rsidP="005146DC">
      <w:pPr>
        <w:rPr>
          <w:rFonts w:eastAsia="Calibri" w:cs="Times New Roman"/>
          <w:b/>
        </w:rPr>
      </w:pPr>
      <w:r>
        <w:rPr>
          <w:rFonts w:eastAsia="Calibri" w:cs="Times New Roman"/>
          <w:b/>
        </w:rPr>
        <w:t>Sudipta Dey Tirtha</w:t>
      </w:r>
      <w:r w:rsidR="000A487D">
        <w:rPr>
          <w:rFonts w:eastAsia="Calibri" w:cs="Times New Roman"/>
          <w:b/>
        </w:rPr>
        <w:t>*</w:t>
      </w:r>
    </w:p>
    <w:p w14:paraId="4A7433C1" w14:textId="4E74C0DC" w:rsidR="005146DC" w:rsidRPr="000A2685" w:rsidRDefault="005146DC" w:rsidP="005146DC">
      <w:pPr>
        <w:rPr>
          <w:rFonts w:eastAsia="Times New Roman" w:cs="Times New Roman"/>
          <w:szCs w:val="24"/>
        </w:rPr>
      </w:pPr>
      <w:r>
        <w:rPr>
          <w:rFonts w:eastAsia="Times New Roman" w:cs="Times New Roman"/>
          <w:szCs w:val="24"/>
        </w:rPr>
        <w:t>Post</w:t>
      </w:r>
      <w:r w:rsidR="00A52A75">
        <w:rPr>
          <w:rFonts w:eastAsia="Times New Roman" w:cs="Times New Roman"/>
          <w:szCs w:val="24"/>
        </w:rPr>
        <w:t>-</w:t>
      </w:r>
      <w:r>
        <w:rPr>
          <w:rFonts w:eastAsia="Times New Roman" w:cs="Times New Roman"/>
          <w:szCs w:val="24"/>
        </w:rPr>
        <w:t>doctoral Scholar</w:t>
      </w:r>
    </w:p>
    <w:p w14:paraId="66F2569E"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 xml:space="preserve">Department of Civil, Environmental &amp; Construction Engineering </w:t>
      </w:r>
    </w:p>
    <w:p w14:paraId="79F1CDA0"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University of Central Florida</w:t>
      </w:r>
    </w:p>
    <w:p w14:paraId="4C6A7859" w14:textId="77777777" w:rsidR="005146DC" w:rsidRPr="00643415" w:rsidRDefault="005146DC" w:rsidP="005146DC">
      <w:pPr>
        <w:suppressAutoHyphens/>
        <w:autoSpaceDN w:val="0"/>
        <w:textAlignment w:val="baseline"/>
        <w:rPr>
          <w:rFonts w:eastAsia="SimSun"/>
          <w:kern w:val="3"/>
        </w:rPr>
      </w:pPr>
      <w:r w:rsidRPr="00643415">
        <w:rPr>
          <w:rFonts w:eastAsia="SimSun"/>
          <w:kern w:val="3"/>
        </w:rPr>
        <w:t>Tel: 407-543-7521</w:t>
      </w:r>
    </w:p>
    <w:p w14:paraId="2B97C6AD" w14:textId="77777777" w:rsidR="005146DC" w:rsidRPr="00643415" w:rsidRDefault="005146DC" w:rsidP="005146DC">
      <w:pPr>
        <w:suppressAutoHyphens/>
        <w:autoSpaceDN w:val="0"/>
        <w:spacing w:after="0"/>
        <w:textAlignment w:val="baseline"/>
        <w:rPr>
          <w:rFonts w:eastAsia="SimSun"/>
          <w:kern w:val="3"/>
        </w:rPr>
      </w:pPr>
      <w:r w:rsidRPr="00643415">
        <w:rPr>
          <w:rFonts w:eastAsia="SimSun"/>
          <w:kern w:val="3"/>
        </w:rPr>
        <w:t xml:space="preserve">Email: </w:t>
      </w:r>
      <w:hyperlink r:id="rId9" w:history="1">
        <w:r w:rsidRPr="00FA19EC">
          <w:rPr>
            <w:rStyle w:val="Hyperlink"/>
            <w:rFonts w:eastAsia="SimSun"/>
            <w:kern w:val="3"/>
          </w:rPr>
          <w:t>sudiptadeytirtha2018@knights.ucf.edu</w:t>
        </w:r>
      </w:hyperlink>
      <w:r>
        <w:rPr>
          <w:rFonts w:eastAsia="SimSun"/>
          <w:kern w:val="3"/>
        </w:rPr>
        <w:t xml:space="preserve"> </w:t>
      </w:r>
      <w:r>
        <w:rPr>
          <w:rStyle w:val="Hyperlink"/>
          <w:rFonts w:eastAsia="SimSun"/>
          <w:kern w:val="3"/>
        </w:rPr>
        <w:t xml:space="preserve"> </w:t>
      </w:r>
      <w:r w:rsidRPr="00643415">
        <w:rPr>
          <w:rFonts w:eastAsia="SimSun"/>
          <w:kern w:val="3"/>
        </w:rPr>
        <w:t xml:space="preserve">   </w:t>
      </w:r>
    </w:p>
    <w:p w14:paraId="78AD943D" w14:textId="15834CB1" w:rsidR="005146DC" w:rsidRDefault="005146DC" w:rsidP="005146DC">
      <w:pPr>
        <w:rPr>
          <w:rFonts w:ascii="Arial" w:hAnsi="Arial" w:cs="Arial"/>
          <w:color w:val="494A4C"/>
          <w:sz w:val="23"/>
          <w:szCs w:val="23"/>
          <w:shd w:val="clear" w:color="auto" w:fill="FFFFFF"/>
        </w:rPr>
      </w:pPr>
      <w:proofErr w:type="spellStart"/>
      <w:r w:rsidRPr="00724447">
        <w:rPr>
          <w:rFonts w:cs="Times New Roman"/>
        </w:rPr>
        <w:t>ORCiD</w:t>
      </w:r>
      <w:proofErr w:type="spellEnd"/>
      <w:r w:rsidRPr="00724447">
        <w:rPr>
          <w:rFonts w:cs="Times New Roman"/>
        </w:rPr>
        <w:t xml:space="preserve"> number:</w:t>
      </w:r>
      <w:r>
        <w:rPr>
          <w:rFonts w:cs="Times New Roman"/>
        </w:rPr>
        <w:t xml:space="preserve"> </w:t>
      </w:r>
      <w:r w:rsidR="00A52A75">
        <w:rPr>
          <w:rFonts w:cs="Times New Roman"/>
        </w:rPr>
        <w:t xml:space="preserve"> </w:t>
      </w:r>
      <w:r w:rsidR="00A52A75" w:rsidRPr="00A52A75">
        <w:rPr>
          <w:rFonts w:cs="Times New Roman"/>
        </w:rPr>
        <w:t>0000-0002-6228-0904</w:t>
      </w:r>
    </w:p>
    <w:p w14:paraId="62FC0C94" w14:textId="77777777" w:rsidR="005146DC" w:rsidRPr="00081212" w:rsidRDefault="005146DC" w:rsidP="005146DC">
      <w:pPr>
        <w:rPr>
          <w:sz w:val="20"/>
          <w:szCs w:val="20"/>
        </w:rPr>
      </w:pPr>
    </w:p>
    <w:p w14:paraId="1AAD3128" w14:textId="0AF27C02" w:rsidR="005146DC" w:rsidRDefault="005146DC" w:rsidP="005146DC">
      <w:pPr>
        <w:rPr>
          <w:rFonts w:eastAsia="Calibri" w:cs="Times New Roman"/>
          <w:b/>
        </w:rPr>
      </w:pPr>
      <w:r>
        <w:rPr>
          <w:rFonts w:eastAsia="Calibri" w:cs="Times New Roman"/>
          <w:b/>
        </w:rPr>
        <w:t>Tanmoy Bhowmik</w:t>
      </w:r>
    </w:p>
    <w:p w14:paraId="01439BA2" w14:textId="77777777" w:rsidR="005146DC" w:rsidRPr="000A2685" w:rsidRDefault="005146DC" w:rsidP="005146DC">
      <w:pPr>
        <w:rPr>
          <w:rFonts w:eastAsia="Times New Roman" w:cs="Times New Roman"/>
          <w:szCs w:val="24"/>
        </w:rPr>
      </w:pPr>
      <w:r>
        <w:rPr>
          <w:rFonts w:eastAsia="Times New Roman" w:cs="Times New Roman"/>
          <w:szCs w:val="24"/>
        </w:rPr>
        <w:t xml:space="preserve">Post-doctoral Scholar/Graduate Faculty Scholar </w:t>
      </w:r>
    </w:p>
    <w:p w14:paraId="19B65000" w14:textId="77777777" w:rsidR="005146DC" w:rsidRPr="00494C5F" w:rsidRDefault="005146DC" w:rsidP="005146DC">
      <w:pPr>
        <w:rPr>
          <w:rFonts w:eastAsia="Calibri" w:cs="Times New Roman"/>
        </w:rPr>
      </w:pPr>
      <w:r w:rsidRPr="00494C5F">
        <w:rPr>
          <w:rFonts w:eastAsia="Calibri" w:cs="Times New Roman"/>
        </w:rPr>
        <w:t xml:space="preserve">Department of Civil, Environmental </w:t>
      </w:r>
      <w:r>
        <w:rPr>
          <w:rFonts w:eastAsia="Calibri" w:cs="Times New Roman"/>
        </w:rPr>
        <w:t>&amp;</w:t>
      </w:r>
      <w:r w:rsidRPr="00494C5F">
        <w:rPr>
          <w:rFonts w:eastAsia="Calibri" w:cs="Times New Roman"/>
        </w:rPr>
        <w:t xml:space="preserve"> Construction Engineering</w:t>
      </w:r>
    </w:p>
    <w:p w14:paraId="0227C1AF" w14:textId="77777777" w:rsidR="005146DC" w:rsidRDefault="005146DC" w:rsidP="005146DC">
      <w:pPr>
        <w:spacing w:after="0"/>
        <w:rPr>
          <w:rFonts w:eastAsia="Calibri" w:cs="Times New Roman"/>
        </w:rPr>
      </w:pPr>
      <w:r w:rsidRPr="00494C5F">
        <w:rPr>
          <w:rFonts w:eastAsia="Calibri" w:cs="Times New Roman"/>
        </w:rPr>
        <w:t>University of Central Florida</w:t>
      </w:r>
    </w:p>
    <w:p w14:paraId="4A3DFF99" w14:textId="77777777" w:rsidR="005146DC" w:rsidRPr="00FC4DFC" w:rsidRDefault="005146DC" w:rsidP="005146DC">
      <w:pPr>
        <w:pStyle w:val="Standard"/>
        <w:spacing w:after="0" w:line="240" w:lineRule="auto"/>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Tel: </w:t>
      </w:r>
      <w:r w:rsidRPr="004F5B16">
        <w:rPr>
          <w:rFonts w:ascii="Times New Roman" w:hAnsi="Times New Roman" w:cs="Times New Roman"/>
          <w:color w:val="000000" w:themeColor="text1"/>
          <w:sz w:val="24"/>
          <w:szCs w:val="24"/>
          <w:lang w:val="es-MX"/>
        </w:rPr>
        <w:t>1-407-</w:t>
      </w:r>
      <w:r>
        <w:rPr>
          <w:rFonts w:ascii="Times New Roman" w:hAnsi="Times New Roman" w:cs="Times New Roman"/>
          <w:color w:val="000000" w:themeColor="text1"/>
          <w:sz w:val="24"/>
          <w:szCs w:val="24"/>
          <w:lang w:val="es-MX"/>
        </w:rPr>
        <w:t>927</w:t>
      </w:r>
      <w:r w:rsidRPr="004F5B16">
        <w:rPr>
          <w:rFonts w:ascii="Times New Roman" w:hAnsi="Times New Roman" w:cs="Times New Roman"/>
          <w:color w:val="000000" w:themeColor="text1"/>
          <w:sz w:val="24"/>
          <w:szCs w:val="24"/>
          <w:lang w:val="es-MX"/>
        </w:rPr>
        <w:t>-</w:t>
      </w:r>
      <w:r>
        <w:rPr>
          <w:rFonts w:ascii="Times New Roman" w:hAnsi="Times New Roman" w:cs="Times New Roman"/>
          <w:color w:val="000000" w:themeColor="text1"/>
          <w:sz w:val="24"/>
          <w:szCs w:val="24"/>
          <w:lang w:val="es-MX"/>
        </w:rPr>
        <w:t>6574</w:t>
      </w:r>
    </w:p>
    <w:p w14:paraId="47836870" w14:textId="77777777" w:rsidR="005146DC" w:rsidRDefault="005146DC" w:rsidP="005146DC">
      <w:pPr>
        <w:rPr>
          <w:rStyle w:val="Hyperlink"/>
          <w:rFonts w:eastAsia="Calibri" w:cs="Times New Roman"/>
        </w:rPr>
      </w:pPr>
      <w:r w:rsidRPr="00494C5F">
        <w:rPr>
          <w:rFonts w:eastAsia="Calibri" w:cs="Times New Roman"/>
        </w:rPr>
        <w:t xml:space="preserve">Email: </w:t>
      </w:r>
      <w:hyperlink r:id="rId10" w:history="1">
        <w:r w:rsidRPr="00E331D9">
          <w:rPr>
            <w:rStyle w:val="Hyperlink"/>
            <w:rFonts w:eastAsia="Calibri" w:cs="Times New Roman"/>
          </w:rPr>
          <w:t>tanmoy78@knights.ucf.edu</w:t>
        </w:r>
      </w:hyperlink>
    </w:p>
    <w:p w14:paraId="39678A69" w14:textId="7F4DFF5E" w:rsidR="005146DC" w:rsidRPr="005146DC" w:rsidRDefault="005146DC" w:rsidP="005146DC">
      <w:pPr>
        <w:rPr>
          <w:rFonts w:ascii="Arial" w:hAnsi="Arial" w:cs="Arial"/>
          <w:color w:val="494A4C"/>
          <w:sz w:val="23"/>
          <w:szCs w:val="23"/>
          <w:shd w:val="clear" w:color="auto" w:fill="FFFFFF"/>
        </w:rPr>
      </w:pPr>
      <w:proofErr w:type="spellStart"/>
      <w:r w:rsidRPr="00724447">
        <w:rPr>
          <w:rFonts w:cs="Times New Roman"/>
        </w:rPr>
        <w:t>ORCiD</w:t>
      </w:r>
      <w:proofErr w:type="spellEnd"/>
      <w:r w:rsidRPr="00724447">
        <w:rPr>
          <w:rFonts w:cs="Times New Roman"/>
        </w:rPr>
        <w:t xml:space="preserve"> number:</w:t>
      </w:r>
      <w:r>
        <w:rPr>
          <w:rFonts w:cs="Times New Roman"/>
        </w:rPr>
        <w:t xml:space="preserve"> </w:t>
      </w:r>
      <w:r w:rsidRPr="00D9595E">
        <w:rPr>
          <w:rFonts w:cs="Times New Roman"/>
        </w:rPr>
        <w:t>0000-0002-0258-1692</w:t>
      </w:r>
    </w:p>
    <w:p w14:paraId="318EFAD4" w14:textId="77777777" w:rsidR="005146DC" w:rsidRPr="00081212" w:rsidRDefault="005146DC" w:rsidP="005146DC">
      <w:pPr>
        <w:rPr>
          <w:rFonts w:eastAsia="Calibri" w:cs="Times New Roman"/>
          <w:sz w:val="20"/>
          <w:szCs w:val="20"/>
        </w:rPr>
      </w:pPr>
    </w:p>
    <w:p w14:paraId="5539695C" w14:textId="77777777" w:rsidR="005146DC" w:rsidRPr="00B241DA" w:rsidRDefault="005146DC" w:rsidP="005146DC">
      <w:pPr>
        <w:suppressAutoHyphens/>
        <w:autoSpaceDN w:val="0"/>
        <w:textAlignment w:val="baseline"/>
        <w:rPr>
          <w:rFonts w:eastAsia="SimSun" w:cs="Times New Roman"/>
          <w:b/>
          <w:color w:val="000000"/>
          <w:kern w:val="3"/>
          <w:szCs w:val="24"/>
        </w:rPr>
      </w:pPr>
      <w:r w:rsidRPr="00B241DA">
        <w:rPr>
          <w:rFonts w:eastAsia="SimSun" w:cs="Times New Roman"/>
          <w:b/>
          <w:color w:val="000000"/>
          <w:kern w:val="3"/>
          <w:szCs w:val="24"/>
        </w:rPr>
        <w:t>Naveen Eluru</w:t>
      </w:r>
    </w:p>
    <w:p w14:paraId="168BE02A" w14:textId="77777777" w:rsidR="005146DC" w:rsidRPr="00B241DA" w:rsidRDefault="005146DC" w:rsidP="005146DC">
      <w:pPr>
        <w:suppressAutoHyphens/>
        <w:autoSpaceDN w:val="0"/>
        <w:textAlignment w:val="baseline"/>
        <w:rPr>
          <w:rFonts w:eastAsia="SimSun" w:cs="Times New Roman"/>
          <w:color w:val="000000"/>
          <w:kern w:val="3"/>
          <w:szCs w:val="24"/>
        </w:rPr>
      </w:pPr>
      <w:r w:rsidRPr="00B241DA">
        <w:rPr>
          <w:rFonts w:eastAsia="SimSun" w:cs="Times New Roman"/>
          <w:color w:val="000000"/>
          <w:kern w:val="3"/>
          <w:szCs w:val="24"/>
        </w:rPr>
        <w:t>Professor</w:t>
      </w:r>
    </w:p>
    <w:p w14:paraId="0F237AC3" w14:textId="77777777" w:rsidR="005146DC" w:rsidRPr="00B241DA" w:rsidRDefault="005146DC" w:rsidP="005146DC">
      <w:pPr>
        <w:suppressAutoHyphens/>
        <w:autoSpaceDN w:val="0"/>
        <w:textAlignment w:val="baseline"/>
        <w:rPr>
          <w:rFonts w:eastAsia="SimSun" w:cs="Times New Roman"/>
          <w:color w:val="000000"/>
          <w:kern w:val="3"/>
          <w:szCs w:val="24"/>
        </w:rPr>
      </w:pPr>
      <w:r w:rsidRPr="00B241DA">
        <w:rPr>
          <w:rFonts w:eastAsia="SimSun" w:cs="Times New Roman"/>
          <w:color w:val="000000"/>
          <w:kern w:val="3"/>
          <w:szCs w:val="24"/>
        </w:rPr>
        <w:t>Department of Civil, Environmental and Construction Engineering</w:t>
      </w:r>
    </w:p>
    <w:p w14:paraId="5F293399" w14:textId="77777777" w:rsidR="005146DC" w:rsidRPr="00B241DA" w:rsidRDefault="005146DC" w:rsidP="005146DC">
      <w:pPr>
        <w:suppressAutoHyphens/>
        <w:autoSpaceDN w:val="0"/>
        <w:textAlignment w:val="baseline"/>
        <w:rPr>
          <w:rFonts w:eastAsia="SimSun" w:cs="Times New Roman"/>
          <w:color w:val="000000"/>
          <w:kern w:val="3"/>
          <w:szCs w:val="24"/>
        </w:rPr>
      </w:pPr>
      <w:r w:rsidRPr="00B241DA">
        <w:rPr>
          <w:rFonts w:eastAsia="SimSun" w:cs="Times New Roman"/>
          <w:color w:val="000000"/>
          <w:kern w:val="3"/>
          <w:szCs w:val="24"/>
        </w:rPr>
        <w:t>University of Central Florida</w:t>
      </w:r>
    </w:p>
    <w:p w14:paraId="4AAD6D97" w14:textId="77777777" w:rsidR="005146DC" w:rsidRPr="00B241DA" w:rsidRDefault="005146DC" w:rsidP="005146DC">
      <w:pPr>
        <w:suppressAutoHyphens/>
        <w:autoSpaceDN w:val="0"/>
        <w:textAlignment w:val="baseline"/>
        <w:rPr>
          <w:rFonts w:eastAsia="SimSun" w:cs="Times New Roman"/>
          <w:color w:val="000000"/>
          <w:kern w:val="3"/>
          <w:szCs w:val="24"/>
        </w:rPr>
      </w:pPr>
      <w:r w:rsidRPr="00B241DA">
        <w:rPr>
          <w:rFonts w:eastAsia="SimSun" w:cs="Times New Roman"/>
          <w:color w:val="000000"/>
          <w:kern w:val="3"/>
          <w:szCs w:val="24"/>
        </w:rPr>
        <w:t>Tel: 1-407-823-4815</w:t>
      </w:r>
    </w:p>
    <w:p w14:paraId="7A52211A" w14:textId="77777777" w:rsidR="005146DC" w:rsidRPr="00B241DA" w:rsidRDefault="005146DC" w:rsidP="005146DC">
      <w:pPr>
        <w:suppressAutoHyphens/>
        <w:autoSpaceDN w:val="0"/>
        <w:textAlignment w:val="baseline"/>
        <w:rPr>
          <w:rFonts w:eastAsia="SimSun" w:cs="Times New Roman"/>
          <w:color w:val="0000FF"/>
          <w:kern w:val="3"/>
          <w:szCs w:val="24"/>
          <w:u w:val="single"/>
        </w:rPr>
      </w:pPr>
      <w:r w:rsidRPr="00B241DA">
        <w:rPr>
          <w:rFonts w:eastAsia="SimSun" w:cs="Times New Roman"/>
          <w:color w:val="000000"/>
          <w:kern w:val="3"/>
          <w:szCs w:val="24"/>
        </w:rPr>
        <w:t xml:space="preserve">Email: </w:t>
      </w:r>
      <w:hyperlink r:id="rId11" w:history="1">
        <w:r w:rsidRPr="00B241DA">
          <w:rPr>
            <w:rStyle w:val="Hyperlink"/>
            <w:rFonts w:eastAsia="SimSun" w:cs="Times New Roman"/>
            <w:kern w:val="3"/>
            <w:szCs w:val="24"/>
          </w:rPr>
          <w:t>naveen.eluru@ucf.edu</w:t>
        </w:r>
      </w:hyperlink>
      <w:r w:rsidRPr="00B241DA">
        <w:rPr>
          <w:rFonts w:eastAsia="SimSun" w:cs="Times New Roman"/>
          <w:color w:val="0000FF"/>
          <w:kern w:val="3"/>
          <w:szCs w:val="24"/>
          <w:u w:val="single"/>
        </w:rPr>
        <w:t xml:space="preserve"> </w:t>
      </w:r>
    </w:p>
    <w:p w14:paraId="3BCCEE30" w14:textId="792AFFDC" w:rsidR="005146DC" w:rsidRDefault="005146DC" w:rsidP="005146DC">
      <w:pPr>
        <w:rPr>
          <w:rFonts w:cs="Times New Roman"/>
        </w:rPr>
      </w:pPr>
      <w:proofErr w:type="spellStart"/>
      <w:r w:rsidRPr="00724447">
        <w:rPr>
          <w:rFonts w:cs="Times New Roman"/>
        </w:rPr>
        <w:t>ORCiD</w:t>
      </w:r>
      <w:proofErr w:type="spellEnd"/>
      <w:r w:rsidRPr="00724447">
        <w:rPr>
          <w:rFonts w:cs="Times New Roman"/>
        </w:rPr>
        <w:t xml:space="preserve"> number: </w:t>
      </w:r>
      <w:r w:rsidRPr="006E7DCE">
        <w:rPr>
          <w:rFonts w:cs="Times New Roman"/>
        </w:rPr>
        <w:t>0000-0003-1221-4113</w:t>
      </w:r>
    </w:p>
    <w:p w14:paraId="01A6858D" w14:textId="77777777" w:rsidR="00101A22" w:rsidRPr="00616044" w:rsidRDefault="00101A22" w:rsidP="005146DC">
      <w:pPr>
        <w:rPr>
          <w:color w:val="0563C1" w:themeColor="hyperlink"/>
          <w:szCs w:val="24"/>
          <w:u w:val="single"/>
        </w:rPr>
      </w:pPr>
    </w:p>
    <w:p w14:paraId="6EB6E1AA" w14:textId="7AF7825D" w:rsidR="005146DC" w:rsidRPr="00081212" w:rsidRDefault="005146DC" w:rsidP="005146DC">
      <w:pPr>
        <w:rPr>
          <w:sz w:val="20"/>
          <w:szCs w:val="20"/>
        </w:rPr>
      </w:pPr>
    </w:p>
    <w:p w14:paraId="269C492E" w14:textId="47271420" w:rsidR="007E2DFE" w:rsidRDefault="00101A22" w:rsidP="00561C63">
      <w:pPr>
        <w:rPr>
          <w:rFonts w:cs="Times New Roman"/>
          <w:szCs w:val="24"/>
        </w:rPr>
      </w:pPr>
      <w:r w:rsidRPr="00101A22">
        <w:rPr>
          <w:rFonts w:cs="Times New Roman"/>
          <w:szCs w:val="24"/>
        </w:rPr>
        <w:t>Submitted To: Transportation Research Record: Journal of the Transportation Research Board</w:t>
      </w:r>
    </w:p>
    <w:p w14:paraId="413BEF75" w14:textId="77777777" w:rsidR="00101A22" w:rsidRDefault="00101A22" w:rsidP="00561C63">
      <w:pPr>
        <w:rPr>
          <w:rFonts w:cs="Times New Roman"/>
          <w:szCs w:val="24"/>
        </w:rPr>
      </w:pPr>
    </w:p>
    <w:p w14:paraId="3AF85AAD" w14:textId="44FE4590" w:rsidR="00561C63" w:rsidRDefault="00925056" w:rsidP="00561C63">
      <w:pPr>
        <w:rPr>
          <w:rFonts w:cs="Times New Roman"/>
          <w:szCs w:val="24"/>
        </w:rPr>
      </w:pPr>
      <w:r>
        <w:rPr>
          <w:rFonts w:cs="Times New Roman"/>
          <w:szCs w:val="24"/>
        </w:rPr>
        <w:t xml:space="preserve">Submission </w:t>
      </w:r>
      <w:r w:rsidR="00561C63" w:rsidRPr="003F3AEE">
        <w:rPr>
          <w:rFonts w:cs="Times New Roman"/>
          <w:szCs w:val="24"/>
        </w:rPr>
        <w:t xml:space="preserve">Date: </w:t>
      </w:r>
      <w:r w:rsidR="00E145B6">
        <w:rPr>
          <w:rFonts w:cs="Times New Roman"/>
          <w:szCs w:val="24"/>
        </w:rPr>
        <w:t>January</w:t>
      </w:r>
      <w:r w:rsidR="00E83D72">
        <w:rPr>
          <w:rFonts w:cs="Times New Roman"/>
          <w:szCs w:val="24"/>
        </w:rPr>
        <w:t xml:space="preserve"> </w:t>
      </w:r>
      <w:r w:rsidR="00E145B6">
        <w:rPr>
          <w:rFonts w:cs="Times New Roman"/>
          <w:szCs w:val="24"/>
        </w:rPr>
        <w:t>17</w:t>
      </w:r>
      <w:r w:rsidR="00561C63" w:rsidRPr="003F3AEE">
        <w:rPr>
          <w:rFonts w:cs="Times New Roman"/>
          <w:szCs w:val="24"/>
        </w:rPr>
        <w:t>, 20</w:t>
      </w:r>
      <w:r w:rsidR="00561C63">
        <w:rPr>
          <w:rFonts w:cs="Times New Roman"/>
          <w:szCs w:val="24"/>
        </w:rPr>
        <w:t>2</w:t>
      </w:r>
      <w:r w:rsidR="00E145B6">
        <w:rPr>
          <w:rFonts w:cs="Times New Roman"/>
          <w:szCs w:val="24"/>
        </w:rPr>
        <w:t>3</w:t>
      </w:r>
    </w:p>
    <w:p w14:paraId="69BF7509" w14:textId="3EC7189E" w:rsidR="00101A22" w:rsidRDefault="00101A22" w:rsidP="00561C63">
      <w:pPr>
        <w:rPr>
          <w:rFonts w:cs="Times New Roman"/>
          <w:szCs w:val="24"/>
        </w:rPr>
      </w:pPr>
    </w:p>
    <w:p w14:paraId="77084B4C" w14:textId="7103D587" w:rsidR="00101A22" w:rsidRDefault="00101A22" w:rsidP="00561C63">
      <w:pPr>
        <w:rPr>
          <w:rFonts w:cs="Times New Roman"/>
          <w:szCs w:val="24"/>
        </w:rPr>
      </w:pPr>
      <w:r w:rsidRPr="00101A22">
        <w:rPr>
          <w:rFonts w:cs="Times New Roman"/>
          <w:b/>
          <w:bCs/>
          <w:szCs w:val="24"/>
        </w:rPr>
        <w:t>Funding Source:</w:t>
      </w:r>
      <w:r w:rsidRPr="00101A22">
        <w:rPr>
          <w:rFonts w:cs="Times New Roman"/>
          <w:szCs w:val="24"/>
        </w:rPr>
        <w:t xml:space="preserve"> None</w:t>
      </w:r>
    </w:p>
    <w:p w14:paraId="3B23A144" w14:textId="137F9464" w:rsidR="00101A22" w:rsidRDefault="00101A22" w:rsidP="00561C63">
      <w:pPr>
        <w:rPr>
          <w:rFonts w:cs="Times New Roman"/>
          <w:szCs w:val="24"/>
        </w:rPr>
      </w:pPr>
      <w:r w:rsidRPr="00101A22">
        <w:rPr>
          <w:rFonts w:cs="Times New Roman"/>
          <w:b/>
          <w:bCs/>
          <w:szCs w:val="24"/>
        </w:rPr>
        <w:t>Data Accessibility Statement:</w:t>
      </w:r>
      <w:r w:rsidRPr="00101A22">
        <w:rPr>
          <w:rFonts w:cs="Times New Roman"/>
          <w:szCs w:val="24"/>
        </w:rPr>
        <w:t xml:space="preserve"> Data will be shared upon request</w:t>
      </w:r>
    </w:p>
    <w:p w14:paraId="00D06A01" w14:textId="77777777" w:rsidR="007E2DFE" w:rsidRDefault="007E2DFE" w:rsidP="00561C63">
      <w:pPr>
        <w:rPr>
          <w:rFonts w:cs="Times New Roman"/>
          <w:szCs w:val="24"/>
        </w:rPr>
      </w:pPr>
    </w:p>
    <w:p w14:paraId="661D1B12" w14:textId="483A41EE" w:rsidR="005146DC" w:rsidRPr="00561C63" w:rsidRDefault="00561C63" w:rsidP="00561C63">
      <w:pPr>
        <w:pBdr>
          <w:top w:val="single" w:sz="4" w:space="1" w:color="auto"/>
        </w:pBdr>
        <w:rPr>
          <w:rFonts w:eastAsia="Times New Roman" w:cs="Times New Roman"/>
          <w:szCs w:val="24"/>
        </w:rPr>
      </w:pPr>
      <w:r w:rsidRPr="003F3AEE">
        <w:rPr>
          <w:rFonts w:eastAsia="Times New Roman" w:cs="Times New Roman"/>
          <w:szCs w:val="24"/>
        </w:rPr>
        <w:t>*Corresponding author</w:t>
      </w:r>
      <w:r w:rsidR="005146DC">
        <w:br w:type="page"/>
      </w:r>
    </w:p>
    <w:p w14:paraId="36A616DF" w14:textId="369C131A" w:rsidR="00B975A4" w:rsidRDefault="00B975A4" w:rsidP="00972ACB">
      <w:pPr>
        <w:pStyle w:val="Heading1"/>
      </w:pPr>
      <w:r>
        <w:lastRenderedPageBreak/>
        <w:t>ABSTRACT</w:t>
      </w:r>
    </w:p>
    <w:p w14:paraId="1D6E33A0" w14:textId="5BBD48A6" w:rsidR="00B975A4" w:rsidRDefault="00672A79" w:rsidP="009735EC">
      <w:bookmarkStart w:id="0" w:name="_Hlk110107145"/>
      <w:bookmarkStart w:id="1" w:name="_Hlk110108595"/>
      <w:bookmarkStart w:id="2" w:name="_Hlk110108773"/>
      <w:r>
        <w:t xml:space="preserve">In this study, we </w:t>
      </w:r>
      <w:r w:rsidR="00C33A31">
        <w:t xml:space="preserve">examine the </w:t>
      </w:r>
      <w:r>
        <w:t xml:space="preserve">factors affecting </w:t>
      </w:r>
      <w:r w:rsidR="00511E53">
        <w:t>Chicago Transportation Networking Companies (TNC) pricing and destination choice behavior</w:t>
      </w:r>
      <w:r w:rsidR="00C33A31">
        <w:t>.</w:t>
      </w:r>
      <w:r>
        <w:t xml:space="preserve"> While trip fare has been examined from various perspectives, </w:t>
      </w:r>
      <w:r w:rsidR="00961CC4">
        <w:t xml:space="preserve">earlier </w:t>
      </w:r>
      <w:r w:rsidR="004E4D1A">
        <w:t xml:space="preserve">fare models </w:t>
      </w:r>
      <w:r w:rsidR="00961CC4">
        <w:t>have not</w:t>
      </w:r>
      <w:r w:rsidR="004E4D1A">
        <w:t xml:space="preserve"> consider</w:t>
      </w:r>
      <w:r w:rsidR="00961CC4">
        <w:t>ed</w:t>
      </w:r>
      <w:r w:rsidR="004E4D1A">
        <w:t xml:space="preserve"> an exhaustive set of indep</w:t>
      </w:r>
      <w:r w:rsidR="00961CC4">
        <w:t xml:space="preserve">endent variables. Further, trip fare decisions are significantly influenced by trip destination. Hence, in our study a joint model of trip fare and destination choice is proposed. </w:t>
      </w:r>
      <w:r w:rsidR="009735EC">
        <w:t>The j</w:t>
      </w:r>
      <w:r w:rsidR="00C33A31">
        <w:t>oint model system</w:t>
      </w:r>
      <w:r w:rsidR="00961CC4">
        <w:t xml:space="preserve"> – linear regression for fare and multinomial logit model for destination -</w:t>
      </w:r>
      <w:r w:rsidR="009735EC">
        <w:t xml:space="preserve"> </w:t>
      </w:r>
      <w:r w:rsidR="00CA7B0C">
        <w:t xml:space="preserve">is </w:t>
      </w:r>
      <w:r w:rsidR="00C33A31">
        <w:t>developed</w:t>
      </w:r>
      <w:r w:rsidR="009735EC">
        <w:t xml:space="preserve"> based on Chicago </w:t>
      </w:r>
      <w:r w:rsidR="00511E53">
        <w:t>TNC</w:t>
      </w:r>
      <w:r w:rsidR="009735EC">
        <w:t xml:space="preserve"> weekday trip data</w:t>
      </w:r>
      <w:r w:rsidR="002C16AD">
        <w:t xml:space="preserve"> from January 2019 to December 2019</w:t>
      </w:r>
      <w:r w:rsidR="00C33A31">
        <w:t>.</w:t>
      </w:r>
      <w:r w:rsidR="009735EC">
        <w:t xml:space="preserve"> </w:t>
      </w:r>
      <w:r w:rsidR="00D00978">
        <w:t>A</w:t>
      </w:r>
      <w:r w:rsidR="00CA7B0C">
        <w:t xml:space="preserve"> wide range of origin and destination </w:t>
      </w:r>
      <w:r w:rsidR="00D00978">
        <w:t xml:space="preserve">specific </w:t>
      </w:r>
      <w:r w:rsidR="00CA7B0C">
        <w:t>land use and built environment factors, transportation infrastructure attributes, and weather attributes</w:t>
      </w:r>
      <w:r w:rsidR="00D00978">
        <w:t xml:space="preserve"> were found to be significant in the model system</w:t>
      </w:r>
      <w:r w:rsidR="00CA7B0C">
        <w:t>. Based on log-likelihood (LL) and Bayesian Information Criterion (BIC) measures, the model performance of the proposed joint model is found to be superior compared to independent fare and destination models.</w:t>
      </w:r>
      <w:r w:rsidR="00D00978">
        <w:t xml:space="preserve"> The applicability of our proposed fare and destination choice model is illustrated through </w:t>
      </w:r>
      <w:r w:rsidR="00DF2EEA">
        <w:t xml:space="preserve">fare </w:t>
      </w:r>
      <w:r w:rsidR="00D00978">
        <w:t xml:space="preserve">prediction and </w:t>
      </w:r>
      <w:r w:rsidR="00DF2EEA">
        <w:t xml:space="preserve">destination </w:t>
      </w:r>
      <w:r w:rsidR="00D00978">
        <w:t>elasticity analysis.</w:t>
      </w:r>
      <w:r w:rsidR="00CD0F26">
        <w:t xml:space="preserve"> </w:t>
      </w:r>
      <w:r w:rsidR="00DF4344">
        <w:t xml:space="preserve">The framework can potentially be employed to generate TNC fare for </w:t>
      </w:r>
      <w:r w:rsidR="005973A2">
        <w:t xml:space="preserve">inclusion in Level of Service measures for TNC model in </w:t>
      </w:r>
      <w:r w:rsidR="00740C92">
        <w:t>the</w:t>
      </w:r>
      <w:r w:rsidR="00DF4344">
        <w:t xml:space="preserve"> mode choice </w:t>
      </w:r>
      <w:r w:rsidR="00740C92">
        <w:t>model</w:t>
      </w:r>
      <w:r w:rsidR="00DF4344">
        <w:t xml:space="preserve">. </w:t>
      </w:r>
      <w:bookmarkEnd w:id="0"/>
    </w:p>
    <w:p w14:paraId="0798E1B3" w14:textId="77777777" w:rsidR="00941EB8" w:rsidRDefault="00941EB8" w:rsidP="009735EC"/>
    <w:bookmarkEnd w:id="1"/>
    <w:p w14:paraId="0BEAC56F" w14:textId="3CBA4BDD" w:rsidR="00B975A4" w:rsidRDefault="001E5CE1" w:rsidP="009735EC">
      <w:r w:rsidRPr="00AD4DEB">
        <w:rPr>
          <w:b/>
          <w:bCs/>
        </w:rPr>
        <w:t>Keywords:</w:t>
      </w:r>
      <w:r>
        <w:t xml:space="preserve"> Transportation Networking Companies (TNC</w:t>
      </w:r>
      <w:r w:rsidR="00AD4DEB">
        <w:t xml:space="preserve">), </w:t>
      </w:r>
      <w:r w:rsidR="003D1668">
        <w:t xml:space="preserve">Joint </w:t>
      </w:r>
      <w:r>
        <w:t xml:space="preserve">Linear Regression </w:t>
      </w:r>
      <w:r w:rsidR="00AD4DEB">
        <w:t>(</w:t>
      </w:r>
      <w:r>
        <w:t>LR</w:t>
      </w:r>
      <w:r w:rsidR="00AD4DEB">
        <w:t>)</w:t>
      </w:r>
      <w:r w:rsidR="00945FEA">
        <w:t xml:space="preserve"> </w:t>
      </w:r>
      <w:r w:rsidR="003D1668">
        <w:t>and</w:t>
      </w:r>
      <w:r w:rsidR="00AD4DEB">
        <w:t xml:space="preserve"> </w:t>
      </w:r>
      <w:r>
        <w:t xml:space="preserve">Multinomial Logit </w:t>
      </w:r>
      <w:r w:rsidR="00AD4DEB">
        <w:t>(</w:t>
      </w:r>
      <w:r>
        <w:t>MNL</w:t>
      </w:r>
      <w:r w:rsidR="00AD4DEB">
        <w:t>) Model, Prediction</w:t>
      </w:r>
      <w:r w:rsidR="00B77635">
        <w:t xml:space="preserve">, </w:t>
      </w:r>
      <w:r w:rsidR="00AD4DEB">
        <w:t>Elasticity</w:t>
      </w:r>
      <w:r w:rsidR="00B77635">
        <w:t xml:space="preserve"> Analysis</w:t>
      </w:r>
    </w:p>
    <w:bookmarkEnd w:id="2"/>
    <w:p w14:paraId="13501A1A" w14:textId="77777777" w:rsidR="00B975A4" w:rsidRDefault="00B975A4" w:rsidP="009735EC"/>
    <w:p w14:paraId="0F6C9433" w14:textId="77777777" w:rsidR="004C2632" w:rsidRDefault="004C2632" w:rsidP="00DF260E"/>
    <w:p w14:paraId="27A3686F" w14:textId="77777777" w:rsidR="004C2632" w:rsidRDefault="004C2632">
      <w:pPr>
        <w:spacing w:line="259" w:lineRule="auto"/>
        <w:contextualSpacing w:val="0"/>
        <w:jc w:val="left"/>
        <w:rPr>
          <w:rFonts w:ascii="Times New Roman Bold" w:eastAsiaTheme="majorEastAsia" w:hAnsi="Times New Roman Bold" w:cstheme="majorBidi"/>
          <w:b/>
          <w:szCs w:val="32"/>
        </w:rPr>
      </w:pPr>
      <w:r>
        <w:br w:type="page"/>
      </w:r>
    </w:p>
    <w:p w14:paraId="61A02391" w14:textId="3ED0F7F8" w:rsidR="00D47334" w:rsidRDefault="006B4F01" w:rsidP="00972ACB">
      <w:pPr>
        <w:pStyle w:val="Heading1"/>
      </w:pPr>
      <w:r>
        <w:lastRenderedPageBreak/>
        <w:t>INTRODUCTION</w:t>
      </w:r>
    </w:p>
    <w:p w14:paraId="28E4C32B" w14:textId="3ED650EA" w:rsidR="00D47334" w:rsidRDefault="00D47334" w:rsidP="00CB78C5">
      <w:pPr>
        <w:spacing w:after="0"/>
      </w:pPr>
      <w:r>
        <w:t>Transportation Networking Companies (TNC</w:t>
      </w:r>
      <w:r w:rsidR="00714CB0">
        <w:t>s</w:t>
      </w:r>
      <w:r>
        <w:t>)</w:t>
      </w:r>
      <w:r w:rsidR="006722FA">
        <w:t xml:space="preserve"> </w:t>
      </w:r>
      <w:r w:rsidR="0075255A">
        <w:t>are</w:t>
      </w:r>
      <w:r w:rsidR="00714CB0">
        <w:t xml:space="preserve"> </w:t>
      </w:r>
      <w:r>
        <w:t xml:space="preserve">reshaping the transportation sector </w:t>
      </w:r>
      <w:r w:rsidR="00001903">
        <w:t>with operations</w:t>
      </w:r>
      <w:r w:rsidR="00FC2A61">
        <w:t xml:space="preserve"> </w:t>
      </w:r>
      <w:r w:rsidR="00001903">
        <w:t xml:space="preserve">in more than 10,000 cities </w:t>
      </w:r>
      <w:r w:rsidR="00714CB0">
        <w:t>across the world</w:t>
      </w:r>
      <w:r>
        <w:t xml:space="preserve"> </w:t>
      </w:r>
      <w:r>
        <w:fldChar w:fldCharType="begin" w:fldLock="1"/>
      </w:r>
      <w:r w:rsidR="00BB1448">
        <w:instrText>ADDIN CSL_CITATION {"citationItems":[{"id":"ITEM-1","itemData":{"URL":"https://www.ridester.com/how-many-uber-drivers-are-there/","accessed":{"date-parts":[["2022","7","6"]]},"id":"ITEM-1","issued":{"date-parts":[["0"]]},"title":"How Many Uber Drivers Are There in 2022? | Ridester.com","type":"webpage"},"uris":["http://www.mendeley.com/documents/?uuid=1472c99c-ba09-3ba6-be8d-ca18e704723b"]}],"mendeley":{"formattedCitation":"(&lt;i&gt;1&lt;/i&gt;)","plainTextFormattedCitation":"(1)","previouslyFormattedCitation":"(&lt;i&gt;1&lt;/i&gt;)"},"properties":{"noteIndex":0},"schema":"https://github.com/citation-style-language/schema/raw/master/csl-citation.json"}</w:instrText>
      </w:r>
      <w:r>
        <w:fldChar w:fldCharType="separate"/>
      </w:r>
      <w:r w:rsidR="0076717B" w:rsidRPr="0076717B">
        <w:rPr>
          <w:noProof/>
        </w:rPr>
        <w:t>(</w:t>
      </w:r>
      <w:r w:rsidR="0076717B" w:rsidRPr="0076717B">
        <w:rPr>
          <w:i/>
          <w:noProof/>
        </w:rPr>
        <w:t>1</w:t>
      </w:r>
      <w:r w:rsidR="0076717B" w:rsidRPr="0076717B">
        <w:rPr>
          <w:noProof/>
        </w:rPr>
        <w:t>)</w:t>
      </w:r>
      <w:r>
        <w:fldChar w:fldCharType="end"/>
      </w:r>
      <w:r>
        <w:t xml:space="preserve">. As of </w:t>
      </w:r>
      <w:r w:rsidR="00700E18">
        <w:t xml:space="preserve">2021, </w:t>
      </w:r>
      <w:r w:rsidR="00B30087">
        <w:t xml:space="preserve">the </w:t>
      </w:r>
      <w:r w:rsidR="00700E18">
        <w:t xml:space="preserve">global ride share market is valued at 85.8 billion </w:t>
      </w:r>
      <w:r w:rsidR="00B30087">
        <w:t xml:space="preserve">and </w:t>
      </w:r>
      <w:r w:rsidR="00700E18">
        <w:t xml:space="preserve">is predicted to be </w:t>
      </w:r>
      <w:r w:rsidR="00B30087">
        <w:t xml:space="preserve">valued at </w:t>
      </w:r>
      <w:r w:rsidR="00700E18">
        <w:t>185.1 billion by the end of 2026</w:t>
      </w:r>
      <w:r w:rsidR="004130CC">
        <w:t xml:space="preserve"> </w:t>
      </w:r>
      <w:r w:rsidR="004130CC">
        <w:fldChar w:fldCharType="begin" w:fldLock="1"/>
      </w:r>
      <w:r w:rsidR="00BB1448">
        <w:instrText>ADDIN CSL_CITATION {"citationItems":[{"id":"ITEM-1","itemData":{"URL":"https://www.statista.com/statistics/1155981/ride-sharing-market-size-worldwide/","accessed":{"date-parts":[["2022","7","6"]]},"id":"ITEM-1","issued":{"date-parts":[["0"]]},"title":"• Forecast of ride-sharing market size 2021 | Statista","type":"webpage"},"uris":["http://www.mendeley.com/documents/?uuid=24281fe7-cf37-3453-9ed5-25423d6193c2"]}],"mendeley":{"formattedCitation":"(&lt;i&gt;2&lt;/i&gt;)","plainTextFormattedCitation":"(2)","previouslyFormattedCitation":"(&lt;i&gt;2&lt;/i&gt;)"},"properties":{"noteIndex":0},"schema":"https://github.com/citation-style-language/schema/raw/master/csl-citation.json"}</w:instrText>
      </w:r>
      <w:r w:rsidR="004130CC">
        <w:fldChar w:fldCharType="separate"/>
      </w:r>
      <w:r w:rsidR="0076717B" w:rsidRPr="0076717B">
        <w:rPr>
          <w:noProof/>
        </w:rPr>
        <w:t>(</w:t>
      </w:r>
      <w:r w:rsidR="0076717B" w:rsidRPr="0076717B">
        <w:rPr>
          <w:i/>
          <w:noProof/>
        </w:rPr>
        <w:t>2</w:t>
      </w:r>
      <w:r w:rsidR="0076717B" w:rsidRPr="0076717B">
        <w:rPr>
          <w:noProof/>
        </w:rPr>
        <w:t>)</w:t>
      </w:r>
      <w:r w:rsidR="004130CC">
        <w:fldChar w:fldCharType="end"/>
      </w:r>
      <w:r w:rsidR="004130CC">
        <w:t xml:space="preserve">. </w:t>
      </w:r>
      <w:r w:rsidR="00CB50FB">
        <w:t>In a recent report</w:t>
      </w:r>
      <w:r w:rsidR="007F70C4">
        <w:t xml:space="preserve">, TNC heavyweight </w:t>
      </w:r>
      <w:r w:rsidR="00CB50FB">
        <w:t xml:space="preserve">Uber </w:t>
      </w:r>
      <w:r w:rsidR="00CB50FB">
        <w:fldChar w:fldCharType="begin" w:fldLock="1"/>
      </w:r>
      <w:r w:rsidR="00BB1448">
        <w:instrText>ADDIN CSL_CITATION {"citationItems":[{"id":"ITEM-1","itemData":{"URL":"https://investor.uber.com/news-events/news/press-release-details/2022/Uber-Announces-Results-for-Fourth-Quarter-and-Full-Year-2021/","accessed":{"date-parts":[["2022","7","6"]]},"id":"ITEM-1","issued":{"date-parts":[["0"]]},"title":"Uber Technologies, Inc. - Uber Announces Results for Fourth Quarter and Full Year 2021","type":"webpage"},"uris":["http://www.mendeley.com/documents/?uuid=1d720c17-74fd-37bc-86d9-44ebc4bd0360"]}],"mendeley":{"formattedCitation":"(&lt;i&gt;3&lt;/i&gt;)","plainTextFormattedCitation":"(3)","previouslyFormattedCitation":"(&lt;i&gt;3&lt;/i&gt;)"},"properties":{"noteIndex":0},"schema":"https://github.com/citation-style-language/schema/raw/master/csl-citation.json"}</w:instrText>
      </w:r>
      <w:r w:rsidR="00CB50FB">
        <w:fldChar w:fldCharType="separate"/>
      </w:r>
      <w:r w:rsidR="0076717B" w:rsidRPr="0076717B">
        <w:rPr>
          <w:noProof/>
        </w:rPr>
        <w:t>(</w:t>
      </w:r>
      <w:r w:rsidR="0076717B" w:rsidRPr="0076717B">
        <w:rPr>
          <w:i/>
          <w:noProof/>
        </w:rPr>
        <w:t>3</w:t>
      </w:r>
      <w:r w:rsidR="0076717B" w:rsidRPr="0076717B">
        <w:rPr>
          <w:noProof/>
        </w:rPr>
        <w:t>)</w:t>
      </w:r>
      <w:r w:rsidR="00CB50FB">
        <w:fldChar w:fldCharType="end"/>
      </w:r>
      <w:r w:rsidR="00CB50FB">
        <w:t xml:space="preserve"> </w:t>
      </w:r>
      <w:r w:rsidR="007F70C4">
        <w:t xml:space="preserve">indicated that about </w:t>
      </w:r>
      <w:r w:rsidR="00CB50FB">
        <w:t>118 million users</w:t>
      </w:r>
      <w:r w:rsidR="007F70C4">
        <w:t xml:space="preserve"> have </w:t>
      </w:r>
      <w:r w:rsidR="00241161">
        <w:t xml:space="preserve">used Uber service </w:t>
      </w:r>
      <w:r w:rsidR="00CB50FB">
        <w:t>at least once a month</w:t>
      </w:r>
      <w:r w:rsidR="00241161">
        <w:t xml:space="preserve"> in 2021</w:t>
      </w:r>
      <w:r w:rsidR="00CB50FB">
        <w:t xml:space="preserve">. </w:t>
      </w:r>
      <w:r w:rsidR="00241161">
        <w:t>The magnitude of the user base</w:t>
      </w:r>
      <w:r w:rsidR="008D16F2">
        <w:t xml:space="preserve">, considering the ongoing </w:t>
      </w:r>
      <w:r w:rsidR="004C13A7">
        <w:t>COVID-19</w:t>
      </w:r>
      <w:r w:rsidR="008D16F2">
        <w:t xml:space="preserve"> pandemic in 2021, is illustrative of the major influence of TNC on mobility in urban regions. </w:t>
      </w:r>
      <w:r w:rsidR="00CB78C5">
        <w:t xml:space="preserve">TNCs are </w:t>
      </w:r>
      <w:r w:rsidR="001B7834">
        <w:t xml:space="preserve">emerging as makeshift </w:t>
      </w:r>
      <w:r w:rsidR="00E45698">
        <w:t>public transport</w:t>
      </w:r>
      <w:r w:rsidR="001B7834">
        <w:t xml:space="preserve"> </w:t>
      </w:r>
      <w:r w:rsidR="00CB78C5">
        <w:t xml:space="preserve">options </w:t>
      </w:r>
      <w:r w:rsidR="00FF5D95">
        <w:t>across many</w:t>
      </w:r>
      <w:r w:rsidR="009071AB">
        <w:t xml:space="preserve"> urban regions across the world including </w:t>
      </w:r>
      <w:r w:rsidR="00E45698">
        <w:t>Chicago</w:t>
      </w:r>
      <w:r w:rsidR="0039304A">
        <w:t xml:space="preserve"> </w:t>
      </w:r>
      <w:r w:rsidR="00E45698">
        <w:fldChar w:fldCharType="begin" w:fldLock="1"/>
      </w:r>
      <w:r w:rsidR="00BB1448">
        <w:instrText>ADDIN CSL_CITATION {"citationItems":[{"id":"ITEM-1","itemData":{"DOI":"10.1016/J.RETREC.2018.10.003","ISSN":"0739-8859","abstract":"Lyft Line and UberPool offer travelers lower prices than personal ride-hailing service in exchange for the ability of drivers to serve other passengers during the ride. The rising popularity of these ridesplitting services raises questions about the potential diversion of traffic from urban transit services. To help answer those questions, this study explores travel time and fare differences between UberPool and traditional transit service on 50 paired trips, between 3 and 11 miles long, in Chicago, Illinois. UberPool is found to reduce trip times by an average of 67.6% between neighborhoods, compared to just 13.7% to and from the central business district. Multiple regression analysis shows travel times on CTA and UberPool are similar for trips in which transit riders do not need to make transfers or walk long distances. Consumers save $1.29/minute when using UberPool on trips originating or terminating in the downtown district, compared to just $.38/minute on trips between neighborhoods. In both cases, the amount spent per minute saved exceeds the level the U.S. Department of Transportation recommends using when conducting analysis about the value transit users place on saving time.","author":[{"dropping-particle":"","family":"Schwieterman","given":"Joseph","non-dropping-particle":"","parse-names":false,"suffix":""},{"dropping-particle":"","family":"Smith","given":"C. Scott","non-dropping-particle":"","parse-names":false,"suffix":""}],"container-title":"Research in Transportation Economics","id":"ITEM-1","issued":{"date-parts":[["2018","11","1"]]},"page":"9-16","publisher":"Elsevier","title":"Sharing the ride: A paired-trip analysis of UberPool and Chicago Transit Authority services in Chicago, Illinois","type":"article-journal","volume":"71"},"uris":["http://www.mendeley.com/documents/?uuid=3aa723b9-fc97-38df-aa8b-e90f6b6a9a5d"]}],"mendeley":{"formattedCitation":"(&lt;i&gt;4&lt;/i&gt;)","plainTextFormattedCitation":"(4)","previouslyFormattedCitation":"(&lt;i&gt;4&lt;/i&gt;)"},"properties":{"noteIndex":0},"schema":"https://github.com/citation-style-language/schema/raw/master/csl-citation.json"}</w:instrText>
      </w:r>
      <w:r w:rsidR="00E45698">
        <w:fldChar w:fldCharType="separate"/>
      </w:r>
      <w:r w:rsidR="0076717B" w:rsidRPr="0076717B">
        <w:rPr>
          <w:noProof/>
        </w:rPr>
        <w:t>(</w:t>
      </w:r>
      <w:r w:rsidR="0076717B" w:rsidRPr="0076717B">
        <w:rPr>
          <w:i/>
          <w:noProof/>
        </w:rPr>
        <w:t>4</w:t>
      </w:r>
      <w:r w:rsidR="0076717B" w:rsidRPr="0076717B">
        <w:rPr>
          <w:noProof/>
        </w:rPr>
        <w:t>)</w:t>
      </w:r>
      <w:r w:rsidR="00E45698">
        <w:fldChar w:fldCharType="end"/>
      </w:r>
      <w:r w:rsidR="00E45698">
        <w:t xml:space="preserve">, </w:t>
      </w:r>
      <w:r w:rsidR="001B7834">
        <w:t xml:space="preserve">San </w:t>
      </w:r>
      <w:r w:rsidR="00E45698">
        <w:t xml:space="preserve">Francisco </w:t>
      </w:r>
      <w:r w:rsidR="00E45698">
        <w:fldChar w:fldCharType="begin" w:fldLock="1"/>
      </w:r>
      <w:r w:rsidR="00BB1448">
        <w:instrText>ADDIN CSL_CITATION {"citationItems":[{"id":"ITEM-1","itemData":{"DOI":"10.1016/J.TRANPOL.2015.10.004","ISSN":"0967-070X","abstract":"In this study, we present exploratory evidence of how \"ridesourcing\" services (app-based, on-demand ride services like Uber and Lyft) are used in San Francisco. We explore who uses ridesourcing and for what reasons, how the ridesourcing market compares to that of traditional taxis, and how ridesourcing impacts the use of public transit and overall vehicle travel. In spring 2014, 380 completed intercept surveys were collected from three ridesourcing \"hot spots\" in San Francisco. We compare survey results with matched-pair taxi trip data and results of a previous taxi user survey. We also compare travel times for ridesourcing and taxis with those for public transit. The findings indicate that, despite many similarities, taxis and ridesourcing differ in user characteristics, wait times, and trips served. While ridesourcing replaces taxi trips, at least half of ridesourcing trips replaced modes other than taxi, including public transit and driving. Impacts on overall vehicle travel are unclear. We conclude with suggestions for future research.","author":[{"dropping-particle":"","family":"Rayle","given":"Lisa","non-dropping-particle":"","parse-names":false,"suffix":""},{"dropping-particle":"","family":"Dai","given":"Danielle","non-dropping-particle":"","parse-names":false,"suffix":""},{"dropping-particle":"","family":"Chan","given":"Nelson","non-dropping-particle":"","parse-names":false,"suffix":""},{"dropping-particle":"","family":"Cervero","given":"Robert","non-dropping-particle":"","parse-names":false,"suffix":""},{"dropping-particle":"","family":"Shaheen","given":"Susan","non-dropping-particle":"","parse-names":false,"suffix":""}],"container-title":"Transport Policy","id":"ITEM-1","issued":{"date-parts":[["2016","1","1"]]},"page":"168-178","publisher":"Pergamon","title":"Just a better taxi? A survey-based comparison of taxis, transit, and ridesourcing services in San Francisco","type":"article-journal","volume":"45"},"uris":["http://www.mendeley.com/documents/?uuid=44dac4e3-833f-3292-94bc-e8648a482088"]}],"mendeley":{"formattedCitation":"(&lt;i&gt;5&lt;/i&gt;)","plainTextFormattedCitation":"(5)","previouslyFormattedCitation":"(&lt;i&gt;5&lt;/i&gt;)"},"properties":{"noteIndex":0},"schema":"https://github.com/citation-style-language/schema/raw/master/csl-citation.json"}</w:instrText>
      </w:r>
      <w:r w:rsidR="00E45698">
        <w:fldChar w:fldCharType="separate"/>
      </w:r>
      <w:r w:rsidR="0076717B" w:rsidRPr="0076717B">
        <w:rPr>
          <w:noProof/>
        </w:rPr>
        <w:t>(</w:t>
      </w:r>
      <w:r w:rsidR="0076717B" w:rsidRPr="0076717B">
        <w:rPr>
          <w:i/>
          <w:noProof/>
        </w:rPr>
        <w:t>5</w:t>
      </w:r>
      <w:r w:rsidR="0076717B" w:rsidRPr="0076717B">
        <w:rPr>
          <w:noProof/>
        </w:rPr>
        <w:t>)</w:t>
      </w:r>
      <w:r w:rsidR="00E45698">
        <w:fldChar w:fldCharType="end"/>
      </w:r>
      <w:r w:rsidR="001B7834">
        <w:t xml:space="preserve">, </w:t>
      </w:r>
      <w:r w:rsidR="00E45698">
        <w:t xml:space="preserve">Boston </w:t>
      </w:r>
      <w:r w:rsidR="00E45698">
        <w:fldChar w:fldCharType="begin" w:fldLock="1"/>
      </w:r>
      <w:r w:rsidR="00BB1448">
        <w:instrText>ADDIN CSL_CITATION {"citationItems":[{"id":"ITEM-1","itemData":{"DOI":"10.1016/J.CSTP.2021.05.004","ISSN":"2213-624X","abstract":"Ridesharing holds promise as a more efficient and sustainable version of emergent ride-hailing services. However, the adoption of pooled services in which individuals pay a reduced fare to share a portion of their ride-hailing trip with other passengers has substantially lagged in popularity to the standard single-party services offered by Uber and Lyft in many American cities. To help guide policies and programs targeted at increasing pooling shares, this study analyzes data collected during fall 2017 from an in-vehicle intercept survey of 944 ride-hailing passengers in the Greater Boston region. These data, which describe the socioeconomic background, mobility options, and trip context of single-party and pooled ride-hailing survey respondents, were used to identify differences in the trip patterns and individual characteristics of passengers adopting the two service types and then estimate the individual-level social and trip-related predictors of ridesharing for different purposes. The study results are complemented with a discussion of encouraging ridesharing programs and policies.","author":[{"dropping-particle":"","family":"Gehrke","given":"Steven R.","non-dropping-particle":"","parse-names":false,"suffix":""},{"dropping-particle":"","family":"Huff","given":"Michael P.","non-dropping-particle":"","parse-names":false,"suffix":""},{"dropping-particle":"","family":"Reardon","given":"Timothy G.","non-dropping-particle":"","parse-names":false,"suffix":""}],"container-title":"Case Studies on Transport Policy","id":"ITEM-1","issue":"3","issued":{"date-parts":[["2021","9","1"]]},"page":"1026-1034","publisher":"Elsevier","title":"Social and trip-level predictors of pooled ride-hailing service adoption in the Greater Boston region","type":"article-journal","volume":"9"},"uris":["http://www.mendeley.com/documents/?uuid=129f54e5-98cf-3c09-aff6-85e8ca9f9b67"]}],"mendeley":{"formattedCitation":"(&lt;i&gt;6&lt;/i&gt;)","plainTextFormattedCitation":"(6)","previouslyFormattedCitation":"(&lt;i&gt;6&lt;/i&gt;)"},"properties":{"noteIndex":0},"schema":"https://github.com/citation-style-language/schema/raw/master/csl-citation.json"}</w:instrText>
      </w:r>
      <w:r w:rsidR="00E45698">
        <w:fldChar w:fldCharType="separate"/>
      </w:r>
      <w:r w:rsidR="0076717B" w:rsidRPr="0076717B">
        <w:rPr>
          <w:noProof/>
        </w:rPr>
        <w:t>(</w:t>
      </w:r>
      <w:r w:rsidR="0076717B" w:rsidRPr="0076717B">
        <w:rPr>
          <w:i/>
          <w:noProof/>
        </w:rPr>
        <w:t>6</w:t>
      </w:r>
      <w:r w:rsidR="0076717B" w:rsidRPr="0076717B">
        <w:rPr>
          <w:noProof/>
        </w:rPr>
        <w:t>)</w:t>
      </w:r>
      <w:r w:rsidR="00E45698">
        <w:fldChar w:fldCharType="end"/>
      </w:r>
      <w:r w:rsidR="00E45698">
        <w:t xml:space="preserve">, Santiago, Chille </w:t>
      </w:r>
      <w:r w:rsidR="00E45698">
        <w:fldChar w:fldCharType="begin" w:fldLock="1"/>
      </w:r>
      <w:r w:rsidR="00BB1448">
        <w:instrText>ADDIN CSL_CITATION {"citationItems":[{"id":"ITEM-1","itemData":{"DOI":"10.1016/J.TRANPOL.2019.07.008","ISSN":"0967-070X","abstract":"In this paper, an in-depth examination of the use of ride-hailing (ridesourcing) in Santiago de Chile is presented based on data from an intercept survey implemented across the city in 2017. First, a sociodemographic analysis of ride-hailing users, usage habits, and trip characteristics is introduced, including a discussion of the substitution and complementarity of ride-hailing with existing public transport. It is found that (i) ride-hailing is mostly used for occasional trips, (ii) the modes most substituted by ride-hailing are public transport and traditional taxis, and (iii) for every ride-hailing rider that combines with public transport, there are 11 riders that substitute public transport. Generalised ordinal logit models are estimated; these show that (iv) the probability of sharing a (non-pooled) ride-hailing trip decreases with the household income of riders and increases for leisure trips, and that (v) the monthly frequency of ride-hailing use is larger among more affluent and younger travellers. Car availability is not statistically significant to explain the frequency of ride-hailing use when age and income are controlled; this result differs from previous ride-hailing studies. We position our findings in this extant literature and discuss the policy implications of our results to the regulation of ride-hailing services in Chile.","author":[{"dropping-particle":"","family":"Tirachini","given":"Alejandro","non-dropping-particle":"","parse-names":false,"suffix":""},{"dropping-particle":"","family":"Río","given":"Mariana","non-dropping-particle":"del","parse-names":false,"suffix":""}],"container-title":"Transport Policy","id":"ITEM-1","issued":{"date-parts":[["2019","10","1"]]},"page":"46-57","publisher":"Pergamon","title":"Ride-hailing in Santiago de Chile: Users’ characterisation and effects on travel behaviour","type":"article-journal","volume":"82"},"uris":["http://www.mendeley.com/documents/?uuid=89b03b4a-322f-3a5d-8fd2-75690c8a9f09"]}],"mendeley":{"formattedCitation":"(&lt;i&gt;7&lt;/i&gt;)","plainTextFormattedCitation":"(7)","previouslyFormattedCitation":"(&lt;i&gt;7&lt;/i&gt;)"},"properties":{"noteIndex":0},"schema":"https://github.com/citation-style-language/schema/raw/master/csl-citation.json"}</w:instrText>
      </w:r>
      <w:r w:rsidR="00E45698">
        <w:fldChar w:fldCharType="separate"/>
      </w:r>
      <w:r w:rsidR="0076717B" w:rsidRPr="0076717B">
        <w:rPr>
          <w:noProof/>
        </w:rPr>
        <w:t>(</w:t>
      </w:r>
      <w:r w:rsidR="0076717B" w:rsidRPr="0076717B">
        <w:rPr>
          <w:i/>
          <w:noProof/>
        </w:rPr>
        <w:t>7</w:t>
      </w:r>
      <w:r w:rsidR="0076717B" w:rsidRPr="0076717B">
        <w:rPr>
          <w:noProof/>
        </w:rPr>
        <w:t>)</w:t>
      </w:r>
      <w:r w:rsidR="00E45698">
        <w:fldChar w:fldCharType="end"/>
      </w:r>
      <w:r w:rsidR="00E45698">
        <w:t xml:space="preserve">, Chengdu, </w:t>
      </w:r>
      <w:r w:rsidR="001B7834">
        <w:t>China</w:t>
      </w:r>
      <w:r w:rsidR="00E45698">
        <w:t xml:space="preserve"> </w:t>
      </w:r>
      <w:r w:rsidR="00E45698">
        <w:fldChar w:fldCharType="begin" w:fldLock="1"/>
      </w:r>
      <w:r w:rsidR="00BB1448">
        <w:instrText>ADDIN CSL_CITATION {"citationItems":[{"id":"ITEM-1","itemData":{"DOI":"10.1016/J.JTRANGEO.2020.102769","ISSN":"0966-6923","abstract":"The explosive growth of ridesourcing services has stimulated a debate on whether they represent a net substitute for or a complement to public transit. Among the empirical evidence that supports discussion of the net effect at the city level, analysis at the disaggregated level from a geospatial perspective is lacking. Besides, it remains unexplored the spatiotemporal pattern of ridesourcing's effect on public transit, and the factors that impact the effect. Using DiDi Chuxing data in Chengdu, China, this paper develops a three-level structure to recognize the potential substitution or complementary effects of ridesourcing on public transit. Furthermore, this paper investigates the effects through exploratory spatiotemporal data analysis, and examines the factors influencing the degree of substitution via linear, spatial autoregressive, and zero-inflated beta regression models. The results show that 33.1% of DiDi trips have the potential to substitute for public transit. The substitution rate is higher during the day (8:00–18:00), and the trend follows changes in public transit coverage. The substitution effect is more exhibited in the city center and the areas covered by the subway, while the complementary effect is more exhibited in suburban areas as public transit has poor coverage. Further examination of the factors impacting the relationship indicates that housing price is positively associated with the substitution rate, and distance to the nearest subway station has a negative association with it, while the effects of most built environment factors become insignificant in zero-inflated beta regression. Based on these findings, policy implications are drawn regarding the partnership between transit agencies and ridesourcing companies, the spatial-differentiated policies in the central and suburban areas, and the potential problems in providing ridesourcing service to the economically disadvantaged population.","author":[{"dropping-particle":"","family":"Kong","given":"Hui","non-dropping-particle":"","parse-names":false,"suffix":""},{"dropping-particle":"","family":"Zhang","given":"Xiaohu","non-dropping-particle":"","parse-names":false,"suffix":""},{"dropping-particle":"","family":"Zhao","given":"Jinhua","non-dropping-particle":"","parse-names":false,"suffix":""}],"container-title":"Journal of Transport Geography","id":"ITEM-1","issued":{"date-parts":[["2020","6","1"]]},"page":"102769","publisher":"Pergamon","title":"How does ridesourcing substitute for public transit? A geospatial perspective in Chengdu, China","type":"article-journal","volume":"86"},"uris":["http://www.mendeley.com/documents/?uuid=bfe745b9-40bc-327f-9ab5-3496732c34f8"]}],"mendeley":{"formattedCitation":"(&lt;i&gt;8&lt;/i&gt;)","plainTextFormattedCitation":"(8)","previouslyFormattedCitation":"(&lt;i&gt;8&lt;/i&gt;)"},"properties":{"noteIndex":0},"schema":"https://github.com/citation-style-language/schema/raw/master/csl-citation.json"}</w:instrText>
      </w:r>
      <w:r w:rsidR="00E45698">
        <w:fldChar w:fldCharType="separate"/>
      </w:r>
      <w:r w:rsidR="0076717B" w:rsidRPr="0076717B">
        <w:rPr>
          <w:noProof/>
        </w:rPr>
        <w:t>(</w:t>
      </w:r>
      <w:r w:rsidR="0076717B" w:rsidRPr="0076717B">
        <w:rPr>
          <w:i/>
          <w:noProof/>
        </w:rPr>
        <w:t>8</w:t>
      </w:r>
      <w:r w:rsidR="0076717B" w:rsidRPr="0076717B">
        <w:rPr>
          <w:noProof/>
        </w:rPr>
        <w:t>)</w:t>
      </w:r>
      <w:r w:rsidR="00E45698">
        <w:fldChar w:fldCharType="end"/>
      </w:r>
      <w:r w:rsidR="00316155">
        <w:t xml:space="preserve">, </w:t>
      </w:r>
      <w:r w:rsidR="0039304A">
        <w:t xml:space="preserve">and </w:t>
      </w:r>
      <w:r w:rsidR="004C13A7">
        <w:t>Hanover, Germany</w:t>
      </w:r>
      <w:r w:rsidR="00316155">
        <w:t xml:space="preserve"> </w:t>
      </w:r>
      <w:r w:rsidR="00316155">
        <w:fldChar w:fldCharType="begin" w:fldLock="1"/>
      </w:r>
      <w:r w:rsidR="00BB1448">
        <w:instrText>ADDIN CSL_CITATION {"citationItems":[{"id":"ITEM-1","itemData":{"DOI":"10.1016/J.CSTP.2019.07.004","ISSN":"2213-624X","abstract":"Demand Responsive Transportation (DRT) is currently growing in our cities as shared ride-hailing services operated by private companies, providing a hybrid service between the bus and the taxi. Like DRT, these new on-demand services could be used to feed and complement the public transport, and additionally, their flexibility might bring other market opportunities, beneficial to cities and metropolitan areas. However, the true potential of them, as well as the recognition of the service requirements depending on the type of user and use case, remains unstudied. Hence, the aim of this research is to identify user requirements and market opportunities, from the case study conducted with the participation of 1211 users of the MOIA service test in Hanover, to contribute to the successful design of this new generation of DRT. Results indicate a high interest in using MOIA for leisure trips, identify the highest intention of use of the service within suburban areas, and recognise a different behaviour, both in the intention of use and for user requirements, depending on the age of the users and the usage frequency.","author":[{"dropping-particle":"","family":"Gilibert","given":"Mireia","non-dropping-particle":"","parse-names":false,"suffix":""},{"dropping-particle":"","family":"Ribas","given":"Imma","non-dropping-particle":"","parse-names":false,"suffix":""},{"dropping-particle":"","family":"Maslekar","given":"Nitin","non-dropping-particle":"","parse-names":false,"suffix":""},{"dropping-particle":"","family":"Rosen","given":"Christian","non-dropping-particle":"","parse-names":false,"suffix":""},{"dropping-particle":"","family":"Siebeneich","given":"Alexander","non-dropping-particle":"","parse-names":false,"suffix":""}],"container-title":"Case Studies on Transport Policy","id":"ITEM-1","issue":"3","issued":{"date-parts":[["2019","9","1"]]},"page":"598-606","publisher":"Elsevier","title":"Mapping of service deployment use cases and user requirements for an on-demand shared ride-hailing service: MOIA test service case study","type":"article-journal","volume":"7"},"uris":["http://www.mendeley.com/documents/?uuid=2f9c0383-c971-3033-ae3f-0884b13c911d"]}],"mendeley":{"formattedCitation":"(&lt;i&gt;9&lt;/i&gt;)","plainTextFormattedCitation":"(9)","previouslyFormattedCitation":"(&lt;i&gt;9&lt;/i&gt;)"},"properties":{"noteIndex":0},"schema":"https://github.com/citation-style-language/schema/raw/master/csl-citation.json"}</w:instrText>
      </w:r>
      <w:r w:rsidR="00316155">
        <w:fldChar w:fldCharType="separate"/>
      </w:r>
      <w:r w:rsidR="0076717B" w:rsidRPr="0076717B">
        <w:rPr>
          <w:noProof/>
        </w:rPr>
        <w:t>(</w:t>
      </w:r>
      <w:r w:rsidR="0076717B" w:rsidRPr="0076717B">
        <w:rPr>
          <w:i/>
          <w:noProof/>
        </w:rPr>
        <w:t>9</w:t>
      </w:r>
      <w:r w:rsidR="0076717B" w:rsidRPr="0076717B">
        <w:rPr>
          <w:noProof/>
        </w:rPr>
        <w:t>)</w:t>
      </w:r>
      <w:r w:rsidR="00316155">
        <w:fldChar w:fldCharType="end"/>
      </w:r>
      <w:r w:rsidR="00316155">
        <w:t>.</w:t>
      </w:r>
      <w:r w:rsidR="00810108">
        <w:t xml:space="preserve"> </w:t>
      </w:r>
      <w:r w:rsidR="00AB2CB7">
        <w:t xml:space="preserve">As TNCs become </w:t>
      </w:r>
      <w:r w:rsidR="00A33B00">
        <w:t xml:space="preserve">an increasingly significant </w:t>
      </w:r>
      <w:r w:rsidR="00DA1116">
        <w:t xml:space="preserve">transportation mobility </w:t>
      </w:r>
      <w:r w:rsidR="00AB2CB7">
        <w:t xml:space="preserve">alternative </w:t>
      </w:r>
      <w:r w:rsidR="00DA1116">
        <w:t>across the wor</w:t>
      </w:r>
      <w:r w:rsidR="0075255A">
        <w:t>ld</w:t>
      </w:r>
      <w:r w:rsidR="00DA1116">
        <w:t xml:space="preserve">, there is growing literature </w:t>
      </w:r>
      <w:r w:rsidR="000B2733">
        <w:t>examining</w:t>
      </w:r>
      <w:r w:rsidR="00A33B00">
        <w:t xml:space="preserve"> </w:t>
      </w:r>
      <w:r w:rsidR="00572573">
        <w:t>TNC impact on the various facets of the transportation system.</w:t>
      </w:r>
      <w:r w:rsidR="00810108">
        <w:t xml:space="preserve"> </w:t>
      </w:r>
    </w:p>
    <w:p w14:paraId="0FD805F1" w14:textId="72EF2233" w:rsidR="00D640E5" w:rsidRDefault="00543FDB" w:rsidP="00D640E5">
      <w:pPr>
        <w:spacing w:after="0"/>
        <w:ind w:firstLine="720"/>
      </w:pPr>
      <w:r>
        <w:t xml:space="preserve">An important consideration with the growing adoption of TNC alternatives is the inclusion of these systems within </w:t>
      </w:r>
      <w:r w:rsidR="00C82476">
        <w:t xml:space="preserve">urban travel demand modeling frameworks. </w:t>
      </w:r>
      <w:r w:rsidR="00A72165">
        <w:t xml:space="preserve">Several research efforts have examined the impact of TNCs in the context of </w:t>
      </w:r>
      <w:r w:rsidR="005073DE">
        <w:t xml:space="preserve">demand generation and distribution across the urban region. However, incorporating TNCs within the current mode choice frameworks across urban regions is not </w:t>
      </w:r>
      <w:r w:rsidR="00F96F18">
        <w:t xml:space="preserve">typically explored. The main reason it is challenging to develop mode choice frameworks for </w:t>
      </w:r>
      <w:r w:rsidR="001D7822">
        <w:t xml:space="preserve">TNCs is the lack of </w:t>
      </w:r>
      <w:r w:rsidR="004C13A7">
        <w:t>an</w:t>
      </w:r>
      <w:r w:rsidR="001D7822">
        <w:t xml:space="preserve"> easy to adopt framework for generating Level of </w:t>
      </w:r>
      <w:r w:rsidR="001F0750">
        <w:t>S</w:t>
      </w:r>
      <w:r w:rsidR="001D7822">
        <w:t>ervice</w:t>
      </w:r>
      <w:r w:rsidR="001F0750">
        <w:t xml:space="preserve"> (LOS)</w:t>
      </w:r>
      <w:r w:rsidR="001D7822">
        <w:t xml:space="preserve"> measures. The generation of travel time measure is </w:t>
      </w:r>
      <w:r w:rsidR="0075727C">
        <w:t>relatively easy</w:t>
      </w:r>
      <w:r w:rsidR="001D7822">
        <w:t xml:space="preserve"> as automobile travel times can be directly applied for </w:t>
      </w:r>
      <w:r w:rsidR="0075727C">
        <w:t>TNC</w:t>
      </w:r>
      <w:r w:rsidR="001D7822">
        <w:t xml:space="preserve"> travel times (</w:t>
      </w:r>
      <w:r w:rsidR="001F0750">
        <w:t xml:space="preserve">for </w:t>
      </w:r>
      <w:r w:rsidR="001D7822">
        <w:t xml:space="preserve">solo passengers). However, </w:t>
      </w:r>
      <w:r w:rsidR="0075727C">
        <w:t xml:space="preserve">generating the cost measure is not straightforward. </w:t>
      </w:r>
      <w:r w:rsidR="00612C50">
        <w:t>The proposed study is geared towards tackling this challenge of predicting trip level TNC fare</w:t>
      </w:r>
      <w:r w:rsidR="0001712E">
        <w:t xml:space="preserve"> that can be incorporated within travel demand model frameworks for generating travel cost measure for TNC alternatives in mode choice. </w:t>
      </w:r>
      <w:r w:rsidR="00A93479">
        <w:t xml:space="preserve">In modeling trip fare, the current study postulates that </w:t>
      </w:r>
      <w:r w:rsidR="003B27E1">
        <w:t xml:space="preserve">TNC user’s selection of a trip </w:t>
      </w:r>
      <w:r w:rsidR="00A93479">
        <w:t xml:space="preserve">is closely linked with destination </w:t>
      </w:r>
      <w:r w:rsidR="003B27E1">
        <w:t xml:space="preserve">and the associated fare. </w:t>
      </w:r>
      <w:r w:rsidR="00964DEF">
        <w:t xml:space="preserve">For example, </w:t>
      </w:r>
      <w:r w:rsidR="00006714">
        <w:t xml:space="preserve">the destination attractiveness of </w:t>
      </w:r>
      <w:r w:rsidR="00964DEF">
        <w:t xml:space="preserve">a location with </w:t>
      </w:r>
      <w:r w:rsidR="00006714">
        <w:t xml:space="preserve">high density of hospitality venues (hotels/motels) is quite high. At the same time, the fare to such destinations might also be higher due to the demand. This is an example of how a destination attribute affects fare and destination choice. These can be readily considered in fare and destination models. However, it is also likely that factors such as </w:t>
      </w:r>
      <w:r w:rsidR="00D640E5">
        <w:t xml:space="preserve">local events (such as </w:t>
      </w:r>
      <w:r w:rsidR="00006714">
        <w:t xml:space="preserve">a </w:t>
      </w:r>
      <w:r w:rsidR="00D640E5">
        <w:t xml:space="preserve">concert) occurring in a destination might affect fare and demand. The information on such events might not be available for modeling. Hence, the influence of such unobserved information can be considered in the form of common unobserved factors affecting fare and destination. </w:t>
      </w:r>
      <w:r w:rsidR="001F0750">
        <w:t xml:space="preserve">Further, given the ease with which TNC rides can be selected on smartphone apps, it is possible that </w:t>
      </w:r>
      <w:r w:rsidR="003007F0">
        <w:t>TNC users can revisit their choice of destination in response to the fare levels shown in the app. With these considerations, i</w:t>
      </w:r>
      <w:r w:rsidR="00D640E5">
        <w:t xml:space="preserve">n our study, we develop a joint model of fare and destination choice where trip fare is modelled using linear regression model (LR) and destination choice is modelled using </w:t>
      </w:r>
      <w:r w:rsidR="00A364BF">
        <w:t xml:space="preserve">a </w:t>
      </w:r>
      <w:r w:rsidR="00D640E5">
        <w:t xml:space="preserve">multinomial logit model (MNL). </w:t>
      </w:r>
      <w:r w:rsidR="00A364BF">
        <w:t xml:space="preserve">The model estimation exercise is conducted using TNC data from Chicago region. Specifically, </w:t>
      </w:r>
      <w:r w:rsidR="008A1ADF">
        <w:t xml:space="preserve">weekday </w:t>
      </w:r>
      <w:r w:rsidR="00A364BF">
        <w:t xml:space="preserve">trip data </w:t>
      </w:r>
      <w:r w:rsidR="008A1ADF">
        <w:t xml:space="preserve">spanning January 2019 through December 2019 is employed for our analysis. </w:t>
      </w:r>
      <w:r w:rsidR="00D640E5">
        <w:t xml:space="preserve">Trip fare and destination data are further augmented with a host of independent variables including trip attributes, origin attributes, destination attributes, land use and built environment attributes, socio-demographic </w:t>
      </w:r>
      <w:r w:rsidR="009B1F42">
        <w:t>attributes,</w:t>
      </w:r>
      <w:r w:rsidR="00D640E5">
        <w:t xml:space="preserve"> and weather attributes. </w:t>
      </w:r>
      <w:r w:rsidR="008A1ADF">
        <w:t xml:space="preserve">The model estimation process is augmented by </w:t>
      </w:r>
      <w:r w:rsidR="00AA05C2">
        <w:t>elasticity analysis to illustrate how the proposed model can be employed to understand the influence of various independent variables</w:t>
      </w:r>
      <w:r w:rsidR="003007F0">
        <w:t xml:space="preserve"> on fare and destination selection</w:t>
      </w:r>
      <w:r w:rsidR="00AA05C2">
        <w:t xml:space="preserve">. </w:t>
      </w:r>
    </w:p>
    <w:p w14:paraId="53E271F6" w14:textId="7E83E456" w:rsidR="00D640E5" w:rsidRDefault="00AA05C2" w:rsidP="00D640E5">
      <w:pPr>
        <w:spacing w:after="0"/>
        <w:ind w:firstLine="720"/>
      </w:pPr>
      <w:r>
        <w:t xml:space="preserve">The rest of the paper is organized as follows: </w:t>
      </w:r>
      <w:r w:rsidR="00881C2F">
        <w:t xml:space="preserve">Literature review section summarizes </w:t>
      </w:r>
      <w:r w:rsidR="00F479B1">
        <w:t>relevant literature and positions the current study.</w:t>
      </w:r>
      <w:r w:rsidR="004B13CD">
        <w:t xml:space="preserve"> </w:t>
      </w:r>
      <w:r w:rsidR="004B5866">
        <w:t xml:space="preserve">Data section documents the data processing procedures </w:t>
      </w:r>
      <w:r w:rsidR="004B5866">
        <w:lastRenderedPageBreak/>
        <w:t xml:space="preserve">and provides an overview of the data used in our analysis. </w:t>
      </w:r>
      <w:r w:rsidR="004B13CD">
        <w:t>The m</w:t>
      </w:r>
      <w:r w:rsidR="004B5866">
        <w:t xml:space="preserve">athematical details of the models are described in the following section. Model Estimation Results section describes </w:t>
      </w:r>
      <w:r w:rsidR="004F6B03">
        <w:t xml:space="preserve">the results from the models. </w:t>
      </w:r>
      <w:r w:rsidR="009D1DBE">
        <w:t>An elasticity analysis illustrating the impact of independent variables is documented in the next section. Conclusions section presents an overview of the paper and identifies potential directions for future research.</w:t>
      </w:r>
    </w:p>
    <w:p w14:paraId="5D0F67B6" w14:textId="77777777" w:rsidR="00462A68" w:rsidRDefault="00462A68" w:rsidP="00B65FB6">
      <w:pPr>
        <w:spacing w:after="0"/>
      </w:pPr>
    </w:p>
    <w:p w14:paraId="679E1595" w14:textId="1E53EFCC" w:rsidR="00DD3651" w:rsidRPr="00DD3651" w:rsidRDefault="00D70788" w:rsidP="00972ACB">
      <w:pPr>
        <w:pStyle w:val="Heading1"/>
      </w:pPr>
      <w:r w:rsidRPr="00DD3651">
        <w:t>LITERATURE REVIEW</w:t>
      </w:r>
      <w:r>
        <w:t xml:space="preserve"> AND CURRENT STUDY IN CONTEXT</w:t>
      </w:r>
    </w:p>
    <w:p w14:paraId="5E1DB0C1" w14:textId="77CF8B42" w:rsidR="00B65FB6" w:rsidRDefault="00293AE2" w:rsidP="004834A1">
      <w:r>
        <w:t>We present an overview of e</w:t>
      </w:r>
      <w:r w:rsidR="006E6CA0">
        <w:t xml:space="preserve">arlier research efforts on </w:t>
      </w:r>
      <w:r>
        <w:t xml:space="preserve">the two </w:t>
      </w:r>
      <w:r w:rsidR="006E6CA0">
        <w:t>TNC dimensions of interest in our research</w:t>
      </w:r>
      <w:r>
        <w:t xml:space="preserve"> – trip fare and destination</w:t>
      </w:r>
      <w:r w:rsidR="006E6CA0">
        <w:t xml:space="preserve">. </w:t>
      </w:r>
    </w:p>
    <w:p w14:paraId="5F54FF6F" w14:textId="5E5A015B" w:rsidR="009C6FF4" w:rsidRDefault="004602B0" w:rsidP="00B65FB6">
      <w:pPr>
        <w:spacing w:after="0"/>
        <w:ind w:firstLine="720"/>
      </w:pPr>
      <w:r>
        <w:t xml:space="preserve">TNC fare </w:t>
      </w:r>
      <w:r w:rsidR="0063123A">
        <w:t xml:space="preserve">is </w:t>
      </w:r>
      <w:r>
        <w:t>evaluated in two ways</w:t>
      </w:r>
      <w:r w:rsidR="0063123A">
        <w:t xml:space="preserve"> in earlier research. </w:t>
      </w:r>
      <w:r w:rsidR="0063123A" w:rsidRPr="00755C33">
        <w:rPr>
          <w:i/>
          <w:iCs/>
          <w:u w:val="single"/>
        </w:rPr>
        <w:t>First</w:t>
      </w:r>
      <w:r w:rsidR="0063123A">
        <w:t xml:space="preserve">, fare is considered as </w:t>
      </w:r>
      <w:r w:rsidR="00313467">
        <w:t xml:space="preserve">an </w:t>
      </w:r>
      <w:r w:rsidR="0063123A">
        <w:t xml:space="preserve">independent variable affecting the decision to use TNC </w:t>
      </w:r>
      <w:r w:rsidR="009C6FF4">
        <w:t xml:space="preserve">alternatives. In these studies, various TNC associated decisions such as </w:t>
      </w:r>
      <w:r w:rsidR="005F118D">
        <w:t xml:space="preserve">solo or </w:t>
      </w:r>
      <w:r w:rsidR="009C6FF4">
        <w:t>pool</w:t>
      </w:r>
      <w:r w:rsidR="005F118D">
        <w:t>ed trip</w:t>
      </w:r>
      <w:r w:rsidR="007557C4">
        <w:t xml:space="preserve"> </w:t>
      </w:r>
      <w:r w:rsidR="00596AD3">
        <w:fldChar w:fldCharType="begin" w:fldLock="1"/>
      </w:r>
      <w:r w:rsidR="00BB1448">
        <w:instrText>ADDIN CSL_CITATION {"citationItems":[{"id":"ITEM-1","itemData":{"DOI":"10.1177/0361198120915886","ISSN":"21694052","abstract":"In the past decade, transportation network companies (TNCs) such as Uber, Lyft, and Via have established themselves as a viable transportation alternative to other modes. However, the popularity of...","author":[{"dropping-particle":"","family":"Hou","given":"Yi","non-dropping-particle":"","parse-names":false,"suffix":""},{"dropping-particle":"","family":"Garikapati","given":"Venu","non-dropping-particle":"","parse-names":false,"suffix":""},{"dropping-particle":"","family":"Weigl","given":"Dustin","non-dropping-particle":"","parse-names":false,"suffix":""},{"dropping-particle":"","family":"Henao","given":"Alejandro","non-dropping-particle":"","parse-names":false,"suffix":""},{"dropping-particle":"","family":"Moniot","given":"Matthew","non-dropping-particle":"","parse-names":false,"suffix":""},{"dropping-particle":"","family":"Sperling","given":"Joshua","non-dropping-particle":"","parse-names":false,"suffix":""}],"container-title":"https://doi.org/10.1177/0361198120915886","id":"ITEM-1","issue":"5","issued":{"date-parts":[["2020","5","1"]]},"page":"419-429","publisher":"SAGE PublicationsSage CA: Los Angeles, CA","title":"Factors Influencing Willingness to Pool in Ride-Hailing Trips:","type":"article-journal","volume":"2674"},"uris":["http://www.mendeley.com/documents/?uuid=880e4206-6c1c-3d46-9dc9-0bb19e6c81f2"]},{"id":"ITEM-2","itemData":{"DOI":"10.1016/J.EJOR.2021.03.058","ISSN":"0377-2217","abstract":"A ride-sharing platform (RSP), such as Uber or Lyft, can sometimes offer passengers an option to share (pool) the ride with fellow passengers. On the one hand, a passenger who pools benefits from paying a lower fare and the RSP benefits from increasing occupancy per car, thereby serving more passengers. On the other hand, a passenger who pools takes more time, on average, to reach her destination and may have to share the ride with a stranger, and the RSP gets a lower profit margin per passenger than from solo rides. We develop a queueing model to find the RSP's optimal revenue in equilibrium when passengers are strategic and drivers are independent agents, and design the RSP's revenue-maximizing price-service menu. We find that offering both solo and pooled rides is optimal when the distribution of passenger-type is not skewed and congestion is not high. Counter intuitively, when congestion is high, the RSP benefits from offering only one ride choice. Simulation-based results extend these findings when more than one route exists. We provide a numerical example based on real-life data. When the number of drivers is endogenous, equilibrium revenue per driver can decrease when the passenger arrival rate increases.","author":[{"dropping-particle":"","family":"Jacob","given":"Jagan","non-dropping-particle":"","parse-names":false,"suffix":""},{"dropping-particle":"","family":"Roet-Green","given":"Ricky","non-dropping-particle":"","parse-names":false,"suffix":""}],"container-title":"European Journal of Operational Research","id":"ITEM-2","issue":"3","issued":{"date-parts":[["2021","12","16"]]},"page":"1008-1024","publisher":"North-Holland","title":"Ride solo or pool: Designing price-service menus for a ride-sharing platform","type":"article-journal","volume":"295"},"uris":["http://www.mendeley.com/documents/?uuid=9d324996-a6c6-3c7f-9185-0ef49abc32f5"]}],"mendeley":{"formattedCitation":"(&lt;i&gt;10&lt;/i&gt;, &lt;i&gt;11&lt;/i&gt;)","plainTextFormattedCitation":"(10, 11)","previouslyFormattedCitation":"(&lt;i&gt;10&lt;/i&gt;, &lt;i&gt;11&lt;/i&gt;)"},"properties":{"noteIndex":0},"schema":"https://github.com/citation-style-language/schema/raw/master/csl-citation.json"}</w:instrText>
      </w:r>
      <w:r w:rsidR="00596AD3">
        <w:fldChar w:fldCharType="separate"/>
      </w:r>
      <w:r w:rsidR="0076717B" w:rsidRPr="0076717B">
        <w:rPr>
          <w:noProof/>
        </w:rPr>
        <w:t>(</w:t>
      </w:r>
      <w:r w:rsidR="0076717B" w:rsidRPr="0076717B">
        <w:rPr>
          <w:i/>
          <w:noProof/>
        </w:rPr>
        <w:t>10</w:t>
      </w:r>
      <w:r w:rsidR="0076717B" w:rsidRPr="0076717B">
        <w:rPr>
          <w:noProof/>
        </w:rPr>
        <w:t xml:space="preserve">, </w:t>
      </w:r>
      <w:r w:rsidR="0076717B" w:rsidRPr="0076717B">
        <w:rPr>
          <w:i/>
          <w:noProof/>
        </w:rPr>
        <w:t>11</w:t>
      </w:r>
      <w:r w:rsidR="0076717B" w:rsidRPr="0076717B">
        <w:rPr>
          <w:noProof/>
        </w:rPr>
        <w:t>)</w:t>
      </w:r>
      <w:r w:rsidR="00596AD3">
        <w:fldChar w:fldCharType="end"/>
      </w:r>
      <w:r w:rsidR="005F118D">
        <w:t>, competition between transit and TNC</w:t>
      </w:r>
      <w:r w:rsidR="007557C4">
        <w:t xml:space="preserve"> </w:t>
      </w:r>
      <w:r w:rsidR="00596AD3">
        <w:fldChar w:fldCharType="begin" w:fldLock="1"/>
      </w:r>
      <w:r w:rsidR="00A32CAD">
        <w:instrText>ADDIN CSL_CITATION {"citationItems":[{"id":"ITEM-1","itemData":{"DOI":"10.1016/J.TBS.2018.06.002","ISSN":"2214-367X","abstract":"On-demand ride services, such as those offered by Uber and Lyft, are transforming transportation supply and demand in many ways. As the popularity and visibility of Uber/Lyft grow, an understanding of the factors affecting the use of these services becomes more important. In this paper, we investigate the factors affecting the adoption of on-demand ride services among millennials (i.e. young adults born between 1981 and 1997), and members of the preceding Generation X (i.e. middle-aged adults born between 1965 and 1980) in California. We estimate binary logit models of the adoption of Uber/Lyft with and without the inclusion of attitudinal variables, using the California Millennials Dataset (N = 1975). The results are consistent across models: we find that highly educated, older millennials are more likely to use on-demand ride services than other groups. We also find that greater land-use mix and regional accessibility by car are associated with greater likelihood of adopting on-demand ride services. Respondents who report higher numbers of long-distance business trips and have a higher share of long-distance trips made by plane are also more likely to have used these services, as are frequent users of smartphone transportation-related apps, and those who have previously used taxi and carsharing services. Among various attitudinal factors that were investigated, individuals with stronger pro-environmental, technology-embracing, and variety-seeking attitudes are more inclined to use ridehailing. These findings provide a starting point for efforts to forecast the adoption of on-demand services and their impacts on overall travel patterns across various regions and sociodemographics.","author":[{"dropping-particle":"","family":"Alemi","given":"Farzad","non-dropping-particle":"","parse-names":false,"suffix":""},{"dropping-particle":"","family":"Circella","given":"Giovanni","non-dropping-particle":"","parse-names":false,"suffix":""},{"dropping-particle":"","family":"Handy","given":"Susan","non-dropping-particle":"","parse-names":false,"suffix":""},{"dropping-particle":"","family":"Mokhtarian","given":"Patricia","non-dropping-particle":"","parse-names":false,"suffix":""}],"container-title":"Travel Behaviour and Society","id":"ITEM-1","issued":{"date-parts":[["2018","10","1"]]},"page":"88-104","publisher":"Elsevier","title":"What influences travelers to use Uber? Exploring the factors affecting the adoption of on-demand ride services in California","type":"article-journal","volume":"13"},"uris":["http://www.mendeley.com/documents/?uuid=3bf916b0-c37e-3078-bfb5-693ffcbbf812"]},{"id":"ITEM-2","itemData":{"DOI":"10.1177/0361198119839344","ISSN":"21694052","abstract":"The potential diversion of passengers from public transit to transportation network companies (TNCs) is attracting considerable attention in metropolitan regions. Despite this, relatively little mi...","author":[{"dropping-particle":"","family":"Schwieterman","given":"Joseph P.","non-dropping-particle":"","parse-names":false,"suffix":""}],"container-title":"https://doi.org/10.1177/0361198119839344","id":"ITEM-2","issue":"4","issued":{"date-parts":[["2019","4","3"]]},"page":"295-304","publisher":"SAGE PublicationsSage CA: Los Angeles, CA","title":"Uber Economics: Evaluating the Monetary and Travel Time Trade-Offs of Transportation Network Companies and Transit Service in Chicago, Illinois:","type":"article-journal","volume":"2673"},"uris":["http://www.mendeley.com/documents/?uuid=c60891ab-692d-38e5-bcbc-3528941efa4c"]},{"id":"ITEM-3","itemData":{"DOI":"10.1016/J.TRANPOL.2015.10.004","ISSN":"0967-070X","abstract":"In this study, we present exploratory evidence of how \"ridesourcing\" services (app-based, on-demand ride services like Uber and Lyft) are used in San Francisco. We explore who uses ridesourcing and for what reasons, how the ridesourcing market compares to that of traditional taxis, and how ridesourcing impacts the use of public transit and overall vehicle travel. In spring 2014, 380 completed intercept surveys were collected from three ridesourcing \"hot spots\" in San Francisco. We compare survey results with matched-pair taxi trip data and results of a previous taxi user survey. We also compare travel times for ridesourcing and taxis with those for public transit. The findings indicate that, despite many similarities, taxis and ridesourcing differ in user characteristics, wait times, and trips served. While ridesourcing replaces taxi trips, at least half of ridesourcing trips replaced modes other than taxi, including public transit and driving. Impacts on overall vehicle travel are unclear. We conclude with suggestions for future research.","author":[{"dropping-particle":"","family":"Rayle","given":"Lisa","non-dropping-particle":"","parse-names":false,"suffix":""},{"dropping-particle":"","family":"Dai","given":"Danielle","non-dropping-particle":"","parse-names":false,"suffix":""},{"dropping-particle":"","family":"Chan","given":"Nelson","non-dropping-particle":"","parse-names":false,"suffix":""},{"dropping-particle":"","family":"Cervero","given":"Robert","non-dropping-particle":"","parse-names":false,"suffix":""},{"dropping-particle":"","family":"Shaheen","given":"Susan","non-dropping-particle":"","parse-names":false,"suffix":""}],"container-title":"Transport Policy","id":"ITEM-3","issued":{"date-parts":[["2016","1","1"]]},"page":"168-178","publisher":"Pergamon","title":"Just a better taxi? A survey-based comparison of taxis, transit, and ridesourcing services in San Francisco","type":"article-journal","volume":"45"},"uris":["http://www.mendeley.com/documents/?uuid=44dac4e3-833f-3292-94bc-e8648a482088"]}],"mendeley":{"formattedCitation":"(&lt;i&gt;5&lt;/i&gt;, &lt;i&gt;12&lt;/i&gt;, &lt;i&gt;13&lt;/i&gt;)","manualFormatting":"(5, 12, 13)","plainTextFormattedCitation":"(5, 12, 13)","previouslyFormattedCitation":"(&lt;i&gt;5&lt;/i&gt;, &lt;i&gt;12&lt;/i&gt;, &lt;i&gt;13&lt;/i&gt;)"},"properties":{"noteIndex":0},"schema":"https://github.com/citation-style-language/schema/raw/master/csl-citation.json"}</w:instrText>
      </w:r>
      <w:r w:rsidR="00596AD3">
        <w:fldChar w:fldCharType="separate"/>
      </w:r>
      <w:r w:rsidR="0076717B" w:rsidRPr="0076717B">
        <w:rPr>
          <w:noProof/>
        </w:rPr>
        <w:t>(</w:t>
      </w:r>
      <w:r w:rsidR="0076717B" w:rsidRPr="0076717B">
        <w:rPr>
          <w:i/>
          <w:noProof/>
        </w:rPr>
        <w:t>5</w:t>
      </w:r>
      <w:r w:rsidR="0076717B" w:rsidRPr="0076717B">
        <w:rPr>
          <w:noProof/>
        </w:rPr>
        <w:t xml:space="preserve">, </w:t>
      </w:r>
      <w:r w:rsidR="0076717B" w:rsidRPr="0076717B">
        <w:rPr>
          <w:i/>
          <w:noProof/>
        </w:rPr>
        <w:t>12</w:t>
      </w:r>
      <w:r w:rsidR="00A32CAD">
        <w:rPr>
          <w:i/>
          <w:noProof/>
        </w:rPr>
        <w:t>, 13</w:t>
      </w:r>
      <w:r w:rsidR="0076717B" w:rsidRPr="0076717B">
        <w:rPr>
          <w:noProof/>
        </w:rPr>
        <w:t>)</w:t>
      </w:r>
      <w:r w:rsidR="00596AD3">
        <w:fldChar w:fldCharType="end"/>
      </w:r>
      <w:r w:rsidR="005F118D">
        <w:t xml:space="preserve">, role of income in </w:t>
      </w:r>
      <w:r w:rsidR="00113CA2">
        <w:t>affecting TNC usage</w:t>
      </w:r>
      <w:r w:rsidR="000256E7">
        <w:t xml:space="preserve"> </w:t>
      </w:r>
      <w:r w:rsidR="003D4D83">
        <w:fldChar w:fldCharType="begin" w:fldLock="1"/>
      </w:r>
      <w:r w:rsidR="00BB1448">
        <w:instrText>ADDIN CSL_CITATION {"citationItems":[{"id":"ITEM-1","itemData":{"DOI":"10.1016/J.TBS.2018.06.002","ISSN":"2214-367X","abstract":"On-demand ride services, such as those offered by Uber and Lyft, are transforming transportation supply and demand in many ways. As the popularity and visibility of Uber/Lyft grow, an understanding of the factors affecting the use of these services becomes more important. In this paper, we investigate the factors affecting the adoption of on-demand ride services among millennials (i.e. young adults born between 1981 and 1997), and members of the preceding Generation X (i.e. middle-aged adults born between 1965 and 1980) in California. We estimate binary logit models of the adoption of Uber/Lyft with and without the inclusion of attitudinal variables, using the California Millennials Dataset (N = 1975). The results are consistent across models: we find that highly educated, older millennials are more likely to use on-demand ride services than other groups. We also find that greater land-use mix and regional accessibility by car are associated with greater likelihood of adopting on-demand ride services. Respondents who report higher numbers of long-distance business trips and have a higher share of long-distance trips made by plane are also more likely to have used these services, as are frequent users of smartphone transportation-related apps, and those who have previously used taxi and carsharing services. Among various attitudinal factors that were investigated, individuals with stronger pro-environmental, technology-embracing, and variety-seeking attitudes are more inclined to use ridehailing. These findings provide a starting point for efforts to forecast the adoption of on-demand services and their impacts on overall travel patterns across various regions and sociodemographics.","author":[{"dropping-particle":"","family":"Alemi","given":"Farzad","non-dropping-particle":"","parse-names":false,"suffix":""},{"dropping-particle":"","family":"Circella","given":"Giovanni","non-dropping-particle":"","parse-names":false,"suffix":""},{"dropping-particle":"","family":"Handy","given":"Susan","non-dropping-particle":"","parse-names":false,"suffix":""},{"dropping-particle":"","family":"Mokhtarian","given":"Patricia","non-dropping-particle":"","parse-names":false,"suffix":""}],"container-title":"Travel Behaviour and Society","id":"ITEM-1","issued":{"date-parts":[["2018","10","1"]]},"page":"88-104","publisher":"Elsevier","title":"What influences travelers to use Uber? Exploring the factors affecting the adoption of on-demand ride services in California","type":"article-journal","volume":"13"},"uris":["http://www.mendeley.com/documents/?uuid=3bf916b0-c37e-3078-bfb5-693ffcbbf812"]},{"id":"ITEM-2","itemData":{"DOI":"10.1016/J.TBS.2022.01.007","ISSN":"2214-367X","abstract":"Due to the lack of data, there have been limited studies that link TNC (e.g., Uber and Lyft) usage and trips with demographic and socio-economic characteristics of individual customers, especially customers who might be financially vulnerable and lack car access. Using Chicago region's 2018–19 household travel survey, this paper bridges the gap between TNC usage, trip characteristics, and individual's demographic and socio-economic characteristics. The first analysis examines the trip purposes, travel time, and origins and destinations of TNC trips recorded in the travel survey to explore how and why residents use TNC services. The second analysis uses zero-inflated negative binomial regression to explore the associations between TNC adoption, usage, and a series of demographic and socio-economic variables. Both analyses pay particular attention to financially disadvantaged residents who lack access to private cars. The analyses reveal that TNC use decreases with vehicle ownership. Compared to higher-income carless residents, lower-income carless residents use TNC services more for essential trips, especially during hours with infrequent transit services. For essential TNC trips, lower-income residents likely pay a bigger share of their income than higher-income residents do. The findings have implications on transit planning and transportation benefit programs that aim to integrate TNC services to enhance access for lower-income residents.","author":[{"dropping-particle":"","family":"Dong","given":"Xiaoxia","non-dropping-particle":"","parse-names":false,"suffix":""}],"container-title":"Travel Behaviour and Society","id":"ITEM-2","issued":{"date-parts":[["2022","4","1"]]},"page":"184-191","publisher":"Elsevier","title":"Linking TNC with passengers: Investigating TNC use among lower-income residents with limited access to cars","type":"article-journal","volume":"27"},"uris":["http://www.mendeley.com/documents/?uuid=7a12dabc-6b35-32f6-aae0-a6e59d4a467b"]},{"id":"ITEM-3","itemData":{"DOI":"10.1016/J.TRA.2018.11.018","ISSN":"0965-8564","abstract":"Convenience and low prices have enabled ride-hailing companies, such as Uber and Lyft, to position themselves amongst the most valuable companies within the transportation sector. They now account for the lion share of activities in the platform economy and play an increasing role within our cities. Despite this, very little is known about the type of people that use them, nor the purpose and timing of trips. In addition to this, their effect on other modes, such as taxis and public transit, remains, for the most part, widely unexplored. By comparing the socioeconomic and trip characteristics of ride-hailing users to that of other mode users, we find ride-hailing to be a wealthy younger generation phenomenon. While our results show that ride-hailing is too minute and inconsequential to influence the ridership level of other more substantial modes of travel overall, when considering specific market segments, the rise of ride-hailing corresponds to a significant decrease in taxi ridership and a rise in active modes of travel. Moreover, due to the specific age, timing, and purpose of our subsample, we believe that ride-hailing may effectively reduce drunk-driving, and are convinced that as this mode increases in importance in the future, it will have a much more pronounced effect on the level of ridership of other modes as well.","author":[{"dropping-particle":"","family":"Young","given":"Mischa","non-dropping-particle":"","parse-names":false,"suffix":""},{"dropping-particle":"","family":"Farber","given":"Steven","non-dropping-particle":"","parse-names":false,"suffix":""}],"container-title":"Transportation Research Part A: Policy and Practice","id":"ITEM-3","issued":{"date-parts":[["2019","1","1"]]},"page":"383-392","publisher":"Pergamon","title":"The who, why, and when of Uber and other ride-hailing trips: An examination of a large sample household travel survey","type":"article-journal","volume":"119"},"uris":["http://www.mendeley.com/documents/?uuid=bf373667-25e1-3841-a635-48ca000ef5fd"]}],"mendeley":{"formattedCitation":"(&lt;i&gt;12&lt;/i&gt;, &lt;i&gt;14&lt;/i&gt;, &lt;i&gt;15&lt;/i&gt;)","plainTextFormattedCitation":"(12, 14, 15)","previouslyFormattedCitation":"(&lt;i&gt;12&lt;/i&gt;, &lt;i&gt;14&lt;/i&gt;, &lt;i&gt;15&lt;/i&gt;)"},"properties":{"noteIndex":0},"schema":"https://github.com/citation-style-language/schema/raw/master/csl-citation.json"}</w:instrText>
      </w:r>
      <w:r w:rsidR="003D4D83">
        <w:fldChar w:fldCharType="separate"/>
      </w:r>
      <w:r w:rsidR="0076717B" w:rsidRPr="0076717B">
        <w:rPr>
          <w:noProof/>
        </w:rPr>
        <w:t>(</w:t>
      </w:r>
      <w:r w:rsidR="0076717B" w:rsidRPr="0076717B">
        <w:rPr>
          <w:i/>
          <w:noProof/>
        </w:rPr>
        <w:t>12</w:t>
      </w:r>
      <w:r w:rsidR="0076717B" w:rsidRPr="0076717B">
        <w:rPr>
          <w:noProof/>
        </w:rPr>
        <w:t xml:space="preserve">, </w:t>
      </w:r>
      <w:r w:rsidR="0076717B" w:rsidRPr="0076717B">
        <w:rPr>
          <w:i/>
          <w:noProof/>
        </w:rPr>
        <w:t>14</w:t>
      </w:r>
      <w:r w:rsidR="0076717B" w:rsidRPr="0076717B">
        <w:rPr>
          <w:noProof/>
        </w:rPr>
        <w:t xml:space="preserve">, </w:t>
      </w:r>
      <w:r w:rsidR="0076717B" w:rsidRPr="0076717B">
        <w:rPr>
          <w:i/>
          <w:noProof/>
        </w:rPr>
        <w:t>15</w:t>
      </w:r>
      <w:r w:rsidR="0076717B" w:rsidRPr="0076717B">
        <w:rPr>
          <w:noProof/>
        </w:rPr>
        <w:t>)</w:t>
      </w:r>
      <w:r w:rsidR="003D4D83">
        <w:fldChar w:fldCharType="end"/>
      </w:r>
      <w:r w:rsidR="00113CA2">
        <w:t xml:space="preserve">, </w:t>
      </w:r>
      <w:r w:rsidR="002F0B9F">
        <w:t xml:space="preserve">driver </w:t>
      </w:r>
      <w:r w:rsidR="000256E7">
        <w:t xml:space="preserve">economics and turnover </w:t>
      </w:r>
      <w:r w:rsidR="008253FB">
        <w:fldChar w:fldCharType="begin" w:fldLock="1"/>
      </w:r>
      <w:r w:rsidR="00BB1448">
        <w:instrText>ADDIN CSL_CITATION {"citationItems":[{"id":"ITEM-1","itemData":{"URL":"https://www.sherpashare.com/share/the-top-demographic-trends-of-the-on-demand-workforce/","accessed":{"date-parts":[["2022","6","30"]]},"id":"ITEM-1","issued":{"date-parts":[["0"]]},"title":"SherpaShare","type":"webpage"},"uris":["http://www.mendeley.com/documents/?uuid=5fdfe578-32b3-3bf1-a27d-41617b4928d8"]},{"id":"ITEM-2","itemData":{"URL":"https://www.nytimes.com/2018/10/12/opinion/sunday/uber-driver-life.html","accessed":{"date-parts":[["2022","7","2"]]},"id":"ITEM-2","issued":{"date-parts":[["0"]]},"title":"Opinion | When Your Boss Is an Algorithm - The New York Times","type":"webpage"},"uris":["http://www.mendeley.com/documents/?uuid=c0f9cd82-2b76-3192-a298-948ec0d6b725"]},{"id":"ITEM-3","itemData":{"DOI":"10.1016/J.TRA.2019.09.056","ISSN":"0965-8564","abstract":"Ride-hailing companies are disrupting transportation at a large scale while also providing economic opportunities to millions of drivers. Companies such as Uber and Lyft constantly promote potential earnings on the order of $25–$35 per hour. Yet, the advertised earnings do not account for factors such as time spent without passengers, the need to travel back-and-forth between areas of low and high ridership, driver residential location, or driving expenses. By examining a unique and detailed dataset collected using ethnographic methods – primary data collected by one of the authors who became an independent contractor to drive for both Uber and Lyft in the Denver area – we examine actual earnings with three common expense scenarios to answer the question of how much ride-hailing drivers actually earn. This study first assesses the cost per mile to passengers – including fare, fees, tolls, and gratuity – and finds that the result follows a power law function (in relation to trip distance) with a median cost of $2.50 per mile (not including value of time). We then assess driver earnings and estimate gross wages averaging $15.57 per hour. Given three common expense scenarios, we estimate net hourly wages ranging between $5.72 and $10.46 per hour before taxes. This suggests that most ride-hailing drivers earn less than the state minimum wage in Colorado. Our results also suggest that drivers are better off parking and waiting for the next ride request rather than driving to a more active location unless doing so cuts at least 30% of ride request waiting time. We then identify cruising and deadheading as negative externalities of ride-hailing and suggest per-mile ride-hailing fees, which start at zero passengers and provide discounts, based on increasing vehicle occupancy, to help mitigate this issue. While our data collection focused on the Denver region, ride-hailing rates and cost of living adjustments to specific cities can be used for comparison, providing insight into the individual economics for ride-hailing drivers.","author":[{"dropping-particle":"","family":"Henao","given":"Alejandro","non-dropping-particle":"","parse-names":false,"suffix":""},{"dropping-particle":"","family":"Marshall","given":"Wesley E.","non-dropping-particle":"","parse-names":false,"suffix":""}],"container-title":"Transportation Research Part A: Policy and Practice","id":"ITEM-3","issued":{"date-parts":[["2019","12","1"]]},"page":"440-451","publisher":"Pergamon","title":"An analysis of the individual economics of ride-hailing drivers","type":"article-journal","volume":"130"},"uris":["http://www.mendeley.com/documents/?uuid=cff253c0-d78a-3a82-bc8d-3ced5f6a76ed"]}],"mendeley":{"formattedCitation":"(&lt;i&gt;16&lt;/i&gt;–&lt;i&gt;18&lt;/i&gt;)","plainTextFormattedCitation":"(16–18)","previouslyFormattedCitation":"(&lt;i&gt;16&lt;/i&gt;–&lt;i&gt;18&lt;/i&gt;)"},"properties":{"noteIndex":0},"schema":"https://github.com/citation-style-language/schema/raw/master/csl-citation.json"}</w:instrText>
      </w:r>
      <w:r w:rsidR="008253FB">
        <w:fldChar w:fldCharType="separate"/>
      </w:r>
      <w:r w:rsidR="0076717B" w:rsidRPr="0076717B">
        <w:rPr>
          <w:noProof/>
        </w:rPr>
        <w:t>(</w:t>
      </w:r>
      <w:r w:rsidR="0076717B" w:rsidRPr="0076717B">
        <w:rPr>
          <w:i/>
          <w:noProof/>
        </w:rPr>
        <w:t>16</w:t>
      </w:r>
      <w:r w:rsidR="0076717B" w:rsidRPr="0076717B">
        <w:rPr>
          <w:noProof/>
        </w:rPr>
        <w:t>–</w:t>
      </w:r>
      <w:r w:rsidR="0076717B" w:rsidRPr="0076717B">
        <w:rPr>
          <w:i/>
          <w:noProof/>
        </w:rPr>
        <w:t>18</w:t>
      </w:r>
      <w:r w:rsidR="0076717B" w:rsidRPr="0076717B">
        <w:rPr>
          <w:noProof/>
        </w:rPr>
        <w:t>)</w:t>
      </w:r>
      <w:r w:rsidR="008253FB">
        <w:fldChar w:fldCharType="end"/>
      </w:r>
      <w:r w:rsidR="000256E7">
        <w:t xml:space="preserve"> </w:t>
      </w:r>
      <w:r w:rsidR="007557C4">
        <w:t xml:space="preserve">and satisfaction with TNC </w:t>
      </w:r>
      <w:r w:rsidR="003D4D83">
        <w:fldChar w:fldCharType="begin" w:fldLock="1"/>
      </w:r>
      <w:r w:rsidR="00BB1448">
        <w:instrText>ADDIN CSL_CITATION {"citationItems":[{"id":"ITEM-1","itemData":{"DOI":"10.1177/0019793917717222","ISSN":"2162271X","abstract":"Uber, the ride-sharing company launched in 2010, has grown at an exponential rate. Using both survey and administrative data, the authors provide the first comprehensive analysis of the labor marke...","author":[{"dropping-particle":"V.","family":"Hall","given":"Jonathan","non-dropping-particle":"","parse-names":false,"suffix":""},{"dropping-particle":"","family":"Krueger","given":"Alan B.","non-dropping-particle":"","parse-names":false,"suffix":""}],"container-title":"https://doi.org/10.1177/0019793917717222","id":"ITEM-1","issue":"3","issued":{"date-parts":[["2017","6","29"]]},"page":"705-732","publisher":"SAGE PublicationsSage CA: Los Angeles, CA","title":"An Analysis of the Labor Market for Uber’s Driver-Partners in the United States:","type":"article-journal","volume":"71"},"uris":["http://www.mendeley.com/documents/?uuid=92f850f1-cff7-33d4-a568-936efae2db03"]},{"id":"ITEM-2","itemData":{"DOI":"10.1016/J.TBS.2018.06.002","ISSN":"2214-367X","abstract":"On-demand ride services, such as those offered by Uber and Lyft, are transforming transportation supply and demand in many ways. As the popularity and visibility of Uber/Lyft grow, an understanding of the factors affecting the use of these services becomes more important. In this paper, we investigate the factors affecting the adoption of on-demand ride services among millennials (i.e. young adults born between 1981 and 1997), and members of the preceding Generation X (i.e. middle-aged adults born between 1965 and 1980) in California. We estimate binary logit models of the adoption of Uber/Lyft with and without the inclusion of attitudinal variables, using the California Millennials Dataset (N = 1975). The results are consistent across models: we find that highly educated, older millennials are more likely to use on-demand ride services than other groups. We also find that greater land-use mix and regional accessibility by car are associated with greater likelihood of adopting on-demand ride services. Respondents who report higher numbers of long-distance business trips and have a higher share of long-distance trips made by plane are also more likely to have used these services, as are frequent users of smartphone transportation-related apps, and those who have previously used taxi and carsharing services. Among various attitudinal factors that were investigated, individuals with stronger pro-environmental, technology-embracing, and variety-seeking attitudes are more inclined to use ridehailing. These findings provide a starting point for efforts to forecast the adoption of on-demand services and their impacts on overall travel patterns across various regions and sociodemographics.","author":[{"dropping-particle":"","family":"Alemi","given":"Farzad","non-dropping-particle":"","parse-names":false,"suffix":""},{"dropping-particle":"","family":"Circella","given":"Giovanni","non-dropping-particle":"","parse-names":false,"suffix":""},{"dropping-particle":"","family":"Handy","given":"Susan","non-dropping-particle":"","parse-names":false,"suffix":""},{"dropping-particle":"","family":"Mokhtarian","given":"Patricia","non-dropping-particle":"","parse-names":false,"suffix":""}],"container-title":"Travel Behaviour and Society","id":"ITEM-2","issued":{"date-parts":[["2018","10","1"]]},"page":"88-104","publisher":"Elsevier","title":"What influences travelers to use Uber? Exploring the factors affecting the adoption of on-demand ride services in California","type":"article-journal","volume":"13"},"uris":["http://www.mendeley.com/documents/?uuid=3bf916b0-c37e-3078-bfb5-693ffcbbf812"]},{"id":"ITEM-3","itemData":{"DOI":"10.1287/MSOM.2020.0960","ISSN":"15265498","abstract":"Problem definition: We investigate surge pricing in ride-hailing platforms from a temporal perspective, highlighting strategic behavior by riders and drivers and that drivers respond to surge prici...","author":[{"dropping-particle":"","family":"Hu","given":"Bin","non-dropping-particle":"","parse-names":false,"suffix":""},{"dropping-particle":"","family":"Hu","given":"Ming","non-dropping-particle":"","parse-names":false,"suffix":""},{"dropping-particle":"","family":"Zhu","given":"Han","non-dropping-particle":"","parse-names":false,"suffix":""}],"container-title":"https://doi.org/10.1287/msom.2020.0960","id":"ITEM-3","issue":"1","issued":{"date-parts":[["2021","2","3"]]},"page":"91-109","publisher":"INFORMS","title":"Surge Pricing and Two-Sided Temporal Responses in Ride Hailing","type":"article-journal","volume":"24"},"uris":["http://www.mendeley.com/documents/?uuid=b5b3e0e1-465f-32fd-9144-3898aec261f1"]}],"mendeley":{"formattedCitation":"(&lt;i&gt;12&lt;/i&gt;, &lt;i&gt;19&lt;/i&gt;, &lt;i&gt;20&lt;/i&gt;)","plainTextFormattedCitation":"(12, 19, 20)","previouslyFormattedCitation":"(&lt;i&gt;12&lt;/i&gt;, &lt;i&gt;19&lt;/i&gt;, &lt;i&gt;20&lt;/i&gt;)"},"properties":{"noteIndex":0},"schema":"https://github.com/citation-style-language/schema/raw/master/csl-citation.json"}</w:instrText>
      </w:r>
      <w:r w:rsidR="003D4D83">
        <w:fldChar w:fldCharType="separate"/>
      </w:r>
      <w:r w:rsidR="0076717B" w:rsidRPr="0076717B">
        <w:rPr>
          <w:noProof/>
        </w:rPr>
        <w:t>(</w:t>
      </w:r>
      <w:r w:rsidR="0076717B" w:rsidRPr="0076717B">
        <w:rPr>
          <w:i/>
          <w:noProof/>
        </w:rPr>
        <w:t>12</w:t>
      </w:r>
      <w:r w:rsidR="0076717B" w:rsidRPr="0076717B">
        <w:rPr>
          <w:noProof/>
        </w:rPr>
        <w:t xml:space="preserve">, </w:t>
      </w:r>
      <w:r w:rsidR="0076717B" w:rsidRPr="0076717B">
        <w:rPr>
          <w:i/>
          <w:noProof/>
        </w:rPr>
        <w:t>19</w:t>
      </w:r>
      <w:r w:rsidR="0076717B" w:rsidRPr="0076717B">
        <w:rPr>
          <w:noProof/>
        </w:rPr>
        <w:t xml:space="preserve">, </w:t>
      </w:r>
      <w:r w:rsidR="0076717B" w:rsidRPr="0076717B">
        <w:rPr>
          <w:i/>
          <w:noProof/>
        </w:rPr>
        <w:t>20</w:t>
      </w:r>
      <w:r w:rsidR="0076717B" w:rsidRPr="0076717B">
        <w:rPr>
          <w:noProof/>
        </w:rPr>
        <w:t>)</w:t>
      </w:r>
      <w:r w:rsidR="003D4D83">
        <w:fldChar w:fldCharType="end"/>
      </w:r>
      <w:r w:rsidR="003D4D83">
        <w:t xml:space="preserve"> </w:t>
      </w:r>
      <w:r w:rsidR="007557C4">
        <w:t xml:space="preserve">are examined. </w:t>
      </w:r>
      <w:r w:rsidR="00A4669C">
        <w:t xml:space="preserve">Important findings from these studies include: (a) high income </w:t>
      </w:r>
      <w:r w:rsidR="007B29FC">
        <w:t>individuals prefer TNC to transit</w:t>
      </w:r>
      <w:r w:rsidR="00322FED">
        <w:t xml:space="preserve"> </w:t>
      </w:r>
      <w:r w:rsidR="00322FED">
        <w:fldChar w:fldCharType="begin" w:fldLock="1"/>
      </w:r>
      <w:r w:rsidR="00BB1448">
        <w:instrText>ADDIN CSL_CITATION {"citationItems":[{"id":"ITEM-1","itemData":{"DOI":"10.1016/J.TBS.2018.06.002","ISSN":"2214-367X","abstract":"On-demand ride services, such as those offered by Uber and Lyft, are transforming transportation supply and demand in many ways. As the popularity and visibility of Uber/Lyft grow, an understanding of the factors affecting the use of these services becomes more important. In this paper, we investigate the factors affecting the adoption of on-demand ride services among millennials (i.e. young adults born between 1981 and 1997), and members of the preceding Generation X (i.e. middle-aged adults born between 1965 and 1980) in California. We estimate binary logit models of the adoption of Uber/Lyft with and without the inclusion of attitudinal variables, using the California Millennials Dataset (N = 1975). The results are consistent across models: we find that highly educated, older millennials are more likely to use on-demand ride services than other groups. We also find that greater land-use mix and regional accessibility by car are associated with greater likelihood of adopting on-demand ride services. Respondents who report higher numbers of long-distance business trips and have a higher share of long-distance trips made by plane are also more likely to have used these services, as are frequent users of smartphone transportation-related apps, and those who have previously used taxi and carsharing services. Among various attitudinal factors that were investigated, individuals with stronger pro-environmental, technology-embracing, and variety-seeking attitudes are more inclined to use ridehailing. These findings provide a starting point for efforts to forecast the adoption of on-demand services and their impacts on overall travel patterns across various regions and sociodemographics.","author":[{"dropping-particle":"","family":"Alemi","given":"Farzad","non-dropping-particle":"","parse-names":false,"suffix":""},{"dropping-particle":"","family":"Circella","given":"Giovanni","non-dropping-particle":"","parse-names":false,"suffix":""},{"dropping-particle":"","family":"Handy","given":"Susan","non-dropping-particle":"","parse-names":false,"suffix":""},{"dropping-particle":"","family":"Mokhtarian","given":"Patricia","non-dropping-particle":"","parse-names":false,"suffix":""}],"container-title":"Travel Behaviour and Society","id":"ITEM-1","issued":{"date-parts":[["2018","10","1"]]},"page":"88-104","publisher":"Elsevier","title":"What influences travelers to use Uber? Exploring the factors affecting the adoption of on-demand ride services in California","type":"article-journal","volume":"13"},"uris":["http://www.mendeley.com/documents/?uuid=3bf916b0-c37e-3078-bfb5-693ffcbbf812"]},{"id":"ITEM-2","itemData":{"DOI":"10.1016/J.TRA.2018.11.018","ISSN":"0965-8564","abstract":"Convenience and low prices have enabled ride-hailing companies, such as Uber and Lyft, to position themselves amongst the most valuable companies within the transportation sector. They now account for the lion share of activities in the platform economy and play an increasing role within our cities. Despite this, very little is known about the type of people that use them, nor the purpose and timing of trips. In addition to this, their effect on other modes, such as taxis and public transit, remains, for the most part, widely unexplored. By comparing the socioeconomic and trip characteristics of ride-hailing users to that of other mode users, we find ride-hailing to be a wealthy younger generation phenomenon. While our results show that ride-hailing is too minute and inconsequential to influence the ridership level of other more substantial modes of travel overall, when considering specific market segments, the rise of ride-hailing corresponds to a significant decrease in taxi ridership and a rise in active modes of travel. Moreover, due to the specific age, timing, and purpose of our subsample, we believe that ride-hailing may effectively reduce drunk-driving, and are convinced that as this mode increases in importance in the future, it will have a much more pronounced effect on the level of ridership of other modes as well.","author":[{"dropping-particle":"","family":"Young","given":"Mischa","non-dropping-particle":"","parse-names":false,"suffix":""},{"dropping-particle":"","family":"Farber","given":"Steven","non-dropping-particle":"","parse-names":false,"suffix":""}],"container-title":"Transportation Research Part A: Policy and Practice","id":"ITEM-2","issued":{"date-parts":[["2019","1","1"]]},"page":"383-392","publisher":"Pergamon","title":"The who, why, and when of Uber and other ride-hailing trips: An examination of a large sample household travel survey","type":"article-journal","volume":"119"},"uris":["http://www.mendeley.com/documents/?uuid=bf373667-25e1-3841-a635-48ca000ef5fd"]}],"mendeley":{"formattedCitation":"(&lt;i&gt;12&lt;/i&gt;, &lt;i&gt;15&lt;/i&gt;)","plainTextFormattedCitation":"(12, 15)","previouslyFormattedCitation":"(&lt;i&gt;12&lt;/i&gt;, &lt;i&gt;15&lt;/i&gt;)"},"properties":{"noteIndex":0},"schema":"https://github.com/citation-style-language/schema/raw/master/csl-citation.json"}</w:instrText>
      </w:r>
      <w:r w:rsidR="00322FED">
        <w:fldChar w:fldCharType="separate"/>
      </w:r>
      <w:r w:rsidR="0076717B" w:rsidRPr="0076717B">
        <w:rPr>
          <w:noProof/>
        </w:rPr>
        <w:t>(</w:t>
      </w:r>
      <w:r w:rsidR="0076717B" w:rsidRPr="0076717B">
        <w:rPr>
          <w:i/>
          <w:noProof/>
        </w:rPr>
        <w:t>12</w:t>
      </w:r>
      <w:r w:rsidR="0076717B" w:rsidRPr="0076717B">
        <w:rPr>
          <w:noProof/>
        </w:rPr>
        <w:t xml:space="preserve">, </w:t>
      </w:r>
      <w:r w:rsidR="0076717B" w:rsidRPr="0076717B">
        <w:rPr>
          <w:i/>
          <w:noProof/>
        </w:rPr>
        <w:t>15</w:t>
      </w:r>
      <w:r w:rsidR="0076717B" w:rsidRPr="0076717B">
        <w:rPr>
          <w:noProof/>
        </w:rPr>
        <w:t>)</w:t>
      </w:r>
      <w:r w:rsidR="00322FED">
        <w:fldChar w:fldCharType="end"/>
      </w:r>
      <w:r w:rsidR="007B29FC">
        <w:t xml:space="preserve">, </w:t>
      </w:r>
      <w:r w:rsidR="00A7032A">
        <w:t xml:space="preserve">(b) </w:t>
      </w:r>
      <w:r w:rsidR="00DC1FF9">
        <w:t xml:space="preserve">higher </w:t>
      </w:r>
      <w:r w:rsidR="00943392">
        <w:t xml:space="preserve">TNC </w:t>
      </w:r>
      <w:r w:rsidR="00DC1FF9">
        <w:t xml:space="preserve">pricing power is observed </w:t>
      </w:r>
      <w:r w:rsidR="00943392">
        <w:t>in highly walkable areas</w:t>
      </w:r>
      <w:r w:rsidR="00322FED">
        <w:t xml:space="preserve"> </w:t>
      </w:r>
      <w:r w:rsidR="00322FED">
        <w:fldChar w:fldCharType="begin" w:fldLock="1"/>
      </w:r>
      <w:r w:rsidR="00BB1448">
        <w:instrText>ADDIN CSL_CITATION {"citationItems":[{"id":"ITEM-1","itemData":{"DOI":"10.1016/J.JTRANGEO.2020.102944","ISSN":"0966-6923","abstract":"As ride-hailing becomes more common in cities, public agencies increasingly seek transportation network company (TNC) service data to understand (and potentially regulate) demand and service response. Despite the increase in ride-hailing or TNC demand and subsequent research into its determinants, there remains little research on shared TNC trips and the spatial distribution of trip demand across demographic and land use variables. Using Chicago as a case study, shared TNC trip data from 2019 was used to estimate the count and ratio of shared ride services, based on built environment, demographic, location, time of day, and trip details. Findings reveal that trip length, day of week designation, density of pedestrian and multi-modal infrastructure, and underlying socioeconomic characteristics of the origin zones influence the proportion and count of shared ride-hail trips. Of concern is that those using transit or active modes may be taking more ride-hailing trips, but these Chicago-region results indicate that the provision of pedestrian infrastructure and remoteness to transit stops result in fewer shared trips.","author":[{"dropping-particle":"","family":"Dean","given":"Matthew D.","non-dropping-particle":"","parse-names":false,"suffix":""},{"dropping-particle":"","family":"Kockelman","given":"Kara M.","non-dropping-particle":"","parse-names":false,"suffix":""}],"container-title":"Journal of Transport Geography","id":"ITEM-1","issued":{"date-parts":[["2021","2","1"]]},"page":"102944","publisher":"Pergamon","title":"Spatial variation in shared ride-hail trip demand and factors contributing to sharing: Lessons from Chicago","type":"article-journal","volume":"91"},"uris":["http://www.mendeley.com/documents/?uuid=b5a9db5c-50cd-33ec-9000-064c28eced3d"]},{"id":"ITEM-2","itemData":{"DOI":"10.1016/J.CITIES.2020.102926","ISSN":"0264-2751","abstract":"Despite the recent growth and popularity of ride-hailing services throughout the world, there's still a lack of research on its determinants. This paper aims to examine the associations between ride-hailing and their spatial distribution in relation to key socioeconomic and built environment characteristics both at the trip origin and destination. To do so the study uses official data provided by Transportation Network Companies operating in the city of Chicago, with 32 million trips logged between November 1st, 2018 to June 28th, 2019. Among the built environment attributes we focus on the relationship between walkability levels and demand for ride-hailing. Study findings indicate an association between ride-hailing and income levels, car-availability and race-ethnicity. Results also suggest a positive association between walkability at either trip origin or trip destination and ride-hailing demand, together with a negative one between access to transit and ride-hail use. Findings suggest some worrisome conclusions, with ride-hailing being seldom used among the more deprived areas. Ride-hailing is predominantly being used to travel between highly accessible areas which should be accessed using more sustainable transport modes. Positive takeaways are the lack of race disparities in ride-hailing demand and the capacity of ride-hailing to interact and complement public transit provision.","author":[{"dropping-particle":"","family":"Marquet","given":"Oriol","non-dropping-particle":"","parse-names":false,"suffix":""}],"container-title":"Cities","id":"ITEM-2","issued":{"date-parts":[["2020","11","1"]]},"page":"102926","publisher":"Pergamon","title":"Spatial distribution of ride-hailing trip demand and its association with walkability and neighborhood characteristics","type":"article-journal","volume":"106"},"uris":["http://www.mendeley.com/documents/?uuid=2213fd14-863d-3d83-bbd6-bebd355a7d99"]}],"mendeley":{"formattedCitation":"(&lt;i&gt;21&lt;/i&gt;, &lt;i&gt;22&lt;/i&gt;)","plainTextFormattedCitation":"(21, 22)","previouslyFormattedCitation":"(&lt;i&gt;21&lt;/i&gt;, &lt;i&gt;22&lt;/i&gt;)"},"properties":{"noteIndex":0},"schema":"https://github.com/citation-style-language/schema/raw/master/csl-citation.json"}</w:instrText>
      </w:r>
      <w:r w:rsidR="00322FED">
        <w:fldChar w:fldCharType="separate"/>
      </w:r>
      <w:r w:rsidR="0076717B" w:rsidRPr="0076717B">
        <w:rPr>
          <w:noProof/>
        </w:rPr>
        <w:t>(</w:t>
      </w:r>
      <w:r w:rsidR="0076717B" w:rsidRPr="0076717B">
        <w:rPr>
          <w:i/>
          <w:noProof/>
        </w:rPr>
        <w:t>21</w:t>
      </w:r>
      <w:r w:rsidR="0076717B" w:rsidRPr="0076717B">
        <w:rPr>
          <w:noProof/>
        </w:rPr>
        <w:t xml:space="preserve">, </w:t>
      </w:r>
      <w:r w:rsidR="0076717B" w:rsidRPr="0076717B">
        <w:rPr>
          <w:i/>
          <w:noProof/>
        </w:rPr>
        <w:t>22</w:t>
      </w:r>
      <w:r w:rsidR="0076717B" w:rsidRPr="0076717B">
        <w:rPr>
          <w:noProof/>
        </w:rPr>
        <w:t>)</w:t>
      </w:r>
      <w:r w:rsidR="00322FED">
        <w:fldChar w:fldCharType="end"/>
      </w:r>
      <w:r w:rsidR="00A7032A">
        <w:t>, (c)</w:t>
      </w:r>
      <w:r w:rsidR="00943392">
        <w:t xml:space="preserve"> turnover for ridehailing service</w:t>
      </w:r>
      <w:r w:rsidR="00DC1FF9">
        <w:t>s</w:t>
      </w:r>
      <w:r w:rsidR="00943392">
        <w:t xml:space="preserve"> is significantly high </w:t>
      </w:r>
      <w:r w:rsidR="007966F0">
        <w:fldChar w:fldCharType="begin" w:fldLock="1"/>
      </w:r>
      <w:r w:rsidR="00BB1448">
        <w:instrText>ADDIN CSL_CITATION {"citationItems":[{"id":"ITEM-1","itemData":{"URL":"https://www.sherpashare.com/share/the-top-demographic-trends-of-the-on-demand-workforce/","accessed":{"date-parts":[["2022","6","30"]]},"id":"ITEM-1","issued":{"date-parts":[["0"]]},"title":"SherpaShare","type":"webpage"},"uris":["http://www.mendeley.com/documents/?uuid=5fdfe578-32b3-3bf1-a27d-41617b4928d8"]}],"mendeley":{"formattedCitation":"(&lt;i&gt;16&lt;/i&gt;)","plainTextFormattedCitation":"(16)","previouslyFormattedCitation":"(&lt;i&gt;16&lt;/i&gt;)"},"properties":{"noteIndex":0},"schema":"https://github.com/citation-style-language/schema/raw/master/csl-citation.json"}</w:instrText>
      </w:r>
      <w:r w:rsidR="007966F0">
        <w:fldChar w:fldCharType="separate"/>
      </w:r>
      <w:r w:rsidR="0076717B" w:rsidRPr="0076717B">
        <w:rPr>
          <w:noProof/>
        </w:rPr>
        <w:t>(</w:t>
      </w:r>
      <w:r w:rsidR="0076717B" w:rsidRPr="0076717B">
        <w:rPr>
          <w:i/>
          <w:noProof/>
        </w:rPr>
        <w:t>16</w:t>
      </w:r>
      <w:r w:rsidR="0076717B" w:rsidRPr="0076717B">
        <w:rPr>
          <w:noProof/>
        </w:rPr>
        <w:t>)</w:t>
      </w:r>
      <w:r w:rsidR="007966F0">
        <w:fldChar w:fldCharType="end"/>
      </w:r>
      <w:r w:rsidR="00943392">
        <w:t xml:space="preserve">, (d) sharing </w:t>
      </w:r>
      <w:r w:rsidR="00DC1FF9">
        <w:t xml:space="preserve">TNC </w:t>
      </w:r>
      <w:r w:rsidR="00943392">
        <w:t xml:space="preserve">demand </w:t>
      </w:r>
      <w:r w:rsidR="00DC1FF9">
        <w:t xml:space="preserve">and </w:t>
      </w:r>
      <w:r w:rsidR="00943392">
        <w:t>supply information with drivers may lead to higher satisfaction level among drivers</w:t>
      </w:r>
      <w:r w:rsidR="007966F0">
        <w:t xml:space="preserve"> </w:t>
      </w:r>
      <w:r w:rsidR="007966F0">
        <w:fldChar w:fldCharType="begin" w:fldLock="1"/>
      </w:r>
      <w:r w:rsidR="00BB1448">
        <w:instrText>ADDIN CSL_CITATION {"citationItems":[{"id":"ITEM-1","itemData":{"DOI":"10.1287/MSOM.2020.0960","ISSN":"15265498","abstract":"Problem definition: We investigate surge pricing in ride-hailing platforms from a temporal perspective, highlighting strategic behavior by riders and drivers and that drivers respond to surge prici...","author":[{"dropping-particle":"","family":"Hu","given":"Bin","non-dropping-particle":"","parse-names":false,"suffix":""},{"dropping-particle":"","family":"Hu","given":"Ming","non-dropping-particle":"","parse-names":false,"suffix":""},{"dropping-particle":"","family":"Zhu","given":"Han","non-dropping-particle":"","parse-names":false,"suffix":""}],"container-title":"https://doi.org/10.1287/msom.2020.0960","id":"ITEM-1","issue":"1","issued":{"date-parts":[["2021","2","3"]]},"page":"91-109","publisher":"INFORMS","title":"Surge Pricing and Two-Sided Temporal Responses in Ride Hailing","type":"article-journal","volume":"24"},"uris":["http://www.mendeley.com/documents/?uuid=b5b3e0e1-465f-32fd-9144-3898aec261f1"]}],"mendeley":{"formattedCitation":"(&lt;i&gt;20&lt;/i&gt;)","plainTextFormattedCitation":"(20)","previouslyFormattedCitation":"(&lt;i&gt;20&lt;/i&gt;)"},"properties":{"noteIndex":0},"schema":"https://github.com/citation-style-language/schema/raw/master/csl-citation.json"}</w:instrText>
      </w:r>
      <w:r w:rsidR="007966F0">
        <w:fldChar w:fldCharType="separate"/>
      </w:r>
      <w:r w:rsidR="0076717B" w:rsidRPr="0076717B">
        <w:rPr>
          <w:noProof/>
        </w:rPr>
        <w:t>(</w:t>
      </w:r>
      <w:r w:rsidR="0076717B" w:rsidRPr="0076717B">
        <w:rPr>
          <w:i/>
          <w:noProof/>
        </w:rPr>
        <w:t>20</w:t>
      </w:r>
      <w:r w:rsidR="0076717B" w:rsidRPr="0076717B">
        <w:rPr>
          <w:noProof/>
        </w:rPr>
        <w:t>)</w:t>
      </w:r>
      <w:r w:rsidR="007966F0">
        <w:fldChar w:fldCharType="end"/>
      </w:r>
      <w:r w:rsidR="008D48F0">
        <w:t xml:space="preserve">, </w:t>
      </w:r>
      <w:r w:rsidR="00E05033">
        <w:t xml:space="preserve">and </w:t>
      </w:r>
      <w:r w:rsidR="008D48F0">
        <w:t xml:space="preserve">(e) </w:t>
      </w:r>
      <w:r w:rsidR="00E05033">
        <w:t xml:space="preserve">a higher </w:t>
      </w:r>
      <w:r w:rsidR="008D48F0">
        <w:t xml:space="preserve">inclination </w:t>
      </w:r>
      <w:r w:rsidR="00E05033">
        <w:t xml:space="preserve">among </w:t>
      </w:r>
      <w:r w:rsidR="008D48F0">
        <w:t xml:space="preserve">younger </w:t>
      </w:r>
      <w:r w:rsidR="00E05033">
        <w:t xml:space="preserve">individuals for using </w:t>
      </w:r>
      <w:r w:rsidR="008D48F0">
        <w:t>TNC</w:t>
      </w:r>
      <w:r w:rsidR="00A32CAD">
        <w:fldChar w:fldCharType="begin" w:fldLock="1"/>
      </w:r>
      <w:r w:rsidR="00A32CAD">
        <w:instrText>ADDIN CSL_CITATION {"citationItems":[{"id":"ITEM-1","itemData":{"DOI":"10.1016/J.TBS.2018.06.002","ISSN":"2214-367X","abstract":"On-demand ride services, such as those offered by Uber and Lyft, are transforming transportation supply and demand in many ways. As the popularity and visibility of Uber/Lyft grow, an understanding of the factors affecting the use of these services becomes more important. In this paper, we investigate the factors affecting the adoption of on-demand ride services among millennials (i.e. young adults born between 1981 and 1997), and members of the preceding Generation X (i.e. middle-aged adults born between 1965 and 1980) in California. We estimate binary logit models of the adoption of Uber/Lyft with and without the inclusion of attitudinal variables, using the California Millennials Dataset (N = 1975). The results are consistent across models: we find that highly educated, older millennials are more likely to use on-demand ride services than other groups. We also find that greater land-use mix and regional accessibility by car are associated with greater likelihood of adopting on-demand ride services. Respondents who report higher numbers of long-distance business trips and have a higher share of long-distance trips made by plane are also more likely to have used these services, as are frequent users of smartphone transportation-related apps, and those who have previously used taxi and carsharing services. Among various attitudinal factors that were investigated, individuals with stronger pro-environmental, technology-embracing, and variety-seeking attitudes are more inclined to use ridehailing. These findings provide a starting point for efforts to forecast the adoption of on-demand services and their impacts on overall travel patterns across various regions and sociodemographics.","author":[{"dropping-particle":"","family":"Alemi","given":"Farzad","non-dropping-particle":"","parse-names":false,"suffix":""},{"dropping-particle":"","family":"Circella","given":"Giovanni","non-dropping-particle":"","parse-names":false,"suffix":""},{"dropping-particle":"","family":"Handy","given":"Susan","non-dropping-particle":"","parse-names":false,"suffix":""},{"dropping-particle":"","family":"Mokhtarian","given":"Patricia","non-dropping-particle":"","parse-names":false,"suffix":""}],"container-title":"Travel Behaviour and Society","id":"ITEM-1","issued":{"date-parts":[["2018","10","1"]]},"page":"88-104","publisher":"Elsevier","title":"What influences travelers to use Uber? Exploring the factors affecting the adoption of on-demand ride services in California","type":"article-journal","volume":"13"},"uris":["http://www.mendeley.com/documents/?uuid=3bf916b0-c37e-3078-bfb5-693ffcbbf812"]},{"id":"ITEM-2","itemData":{"DOI":"10.1007/S11116-019-09989-3/TABLES/4","ISSN":"15729435","abstract":"The widespread adoption of smartphones followed by an emergence of transportation network companies (TNC) have influenced the way individuals travel. The authors use the 2017 National Household Travel Survey to explore socioeconomic, frequency of use, and spatial characteristics associated with TNC users. The results indicate that TNC riders tend to be younger, earn higher incomes, have higher levels of education, and are more likely to reside in urban areas compared to the aggregate United States population. Of the TNC users, 60% hailed a ride three times or less in the previous month, indicating that TNC services are primarily used for special occasions. TNC users use public transit at higher rates and own fewer vehicles compared to the aggregate United States population. In fact, the TNC user population reported similar frequencies of use for both TNC services and public transit during the previous month. Approximately 40% of TNC users reside in regions with population densities greater than 10, 000 persons per square mile compared to only 15% for non-TNC users. Lastly, reported use of public transit for TNC users living in large cities (&gt; 1 million) with access to heavy rail was almost three times greater when compared to similar sized cities without heavy rail. The average monthly frequency of TNC use was also elevated when heavy rail was present.","author":[{"dropping-particle":"","family":"Grahn","given":"Rick","non-dropping-particle":"","parse-names":false,"suffix":""},{"dropping-particle":"","family":"Harper","given":"Corey D.","non-dropping-particle":"","parse-names":false,"suffix":""},{"dropping-particle":"","family":"Hendrickson","given":"Chris","non-dropping-particle":"","parse-names":false,"suffix":""},{"dropping-particle":"","family":"Qian","given":"Zhen","non-dropping-particle":"","parse-names":false,"suffix":""},{"dropping-particle":"","family":"Matthews","given":"H. Scott","non-dropping-particle":"","parse-names":false,"suffix":""}],"container-title":"Transportation","id":"ITEM-2","issue":"6","issued":{"date-parts":[["2020","12","1"]]},"page":"3047-3067","publisher":"Springer","title":"Socioeconomic and usage characteristics of transportation network company (TNC) riders","type":"article-journal","volume":"47"},"uris":["http://www.mendeley.com/documents/?uuid=9c1818fc-8cb0-36d5-93c4-4097fb88d4c9"]},{"id":"ITEM-3","itemData":{"DOI":"10.1016/J.TRANPOL.2015.10.004","ISSN":"0967-070X","abstract":"In this study, we present exploratory evidence of how \"ridesourcing\" services (app-based, on-demand ride services like Uber and Lyft) are used in San Francisco. We explore who uses ridesourcing and for what reasons, how the ridesourcing market compares to that of traditional taxis, and how ridesourcing impacts the use of public transit and overall vehicle travel. In spring 2014, 380 completed intercept surveys were collected from three ridesourcing \"hot spots\" in San Francisco. We compare survey results with matched-pair taxi trip data and results of a previous taxi user survey. We also compare travel times for ridesourcing and taxis with those for public transit. The findings indicate that, despite many similarities, taxis and ridesourcing differ in user characteristics, wait times, and trips served. While ridesourcing replaces taxi trips, at least half of ridesourcing trips replaced modes other than taxi, including public transit and driving. Impacts on overall vehicle travel are unclear. We conclude with suggestions for future research.","author":[{"dropping-particle":"","family":"Rayle","given":"Lisa","non-dropping-particle":"","parse-names":false,"suffix":""},{"dropping-particle":"","family":"Dai","given":"Danielle","non-dropping-particle":"","parse-names":false,"suffix":""},{"dropping-particle":"","family":"Chan","given":"Nelson","non-dropping-particle":"","parse-names":false,"suffix":""},{"dropping-particle":"","family":"Cervero","given":"Robert","non-dropping-particle":"","parse-names":false,"suffix":""},{"dropping-particle":"","family":"Shaheen","given":"Susan","non-dropping-particle":"","parse-names":false,"suffix":""}],"container-title":"Transport Policy","id":"ITEM-3","issued":{"date-parts":[["2016","1","1"]]},"page":"168-178","publisher":"Pergamon","title":"Just a better taxi? A survey-based comparison of taxis, transit, and ridesourcing services in San Francisco","type":"article-journal","volume":"45"},"uris":["http://www.mendeley.com/documents/?uuid=44dac4e3-833f-3292-94bc-e8648a482088"]}],"mendeley":{"formattedCitation":"(&lt;i&gt;5&lt;/i&gt;, &lt;i&gt;12&lt;/i&gt;, &lt;i&gt;23&lt;/i&gt;)","plainTextFormattedCitation":"(5, 12, 23)","previouslyFormattedCitation":"(&lt;i&gt;5&lt;/i&gt;, &lt;i&gt;12&lt;/i&gt;, &lt;i&gt;23&lt;/i&gt;)"},"properties":{"noteIndex":0},"schema":"https://github.com/citation-style-language/schema/raw/master/csl-citation.json"}</w:instrText>
      </w:r>
      <w:r w:rsidR="00A32CAD">
        <w:fldChar w:fldCharType="separate"/>
      </w:r>
      <w:r w:rsidR="00A32CAD" w:rsidRPr="00A32CAD">
        <w:rPr>
          <w:noProof/>
        </w:rPr>
        <w:t>(</w:t>
      </w:r>
      <w:r w:rsidR="00A32CAD" w:rsidRPr="00A32CAD">
        <w:rPr>
          <w:i/>
          <w:noProof/>
        </w:rPr>
        <w:t>5</w:t>
      </w:r>
      <w:r w:rsidR="00A32CAD" w:rsidRPr="00A32CAD">
        <w:rPr>
          <w:noProof/>
        </w:rPr>
        <w:t xml:space="preserve">, </w:t>
      </w:r>
      <w:r w:rsidR="00A32CAD" w:rsidRPr="00A32CAD">
        <w:rPr>
          <w:i/>
          <w:noProof/>
        </w:rPr>
        <w:t>12</w:t>
      </w:r>
      <w:r w:rsidR="00A32CAD" w:rsidRPr="00A32CAD">
        <w:rPr>
          <w:noProof/>
        </w:rPr>
        <w:t xml:space="preserve">, </w:t>
      </w:r>
      <w:r w:rsidR="00A32CAD" w:rsidRPr="00A32CAD">
        <w:rPr>
          <w:i/>
          <w:noProof/>
        </w:rPr>
        <w:t>23</w:t>
      </w:r>
      <w:r w:rsidR="00A32CAD" w:rsidRPr="00A32CAD">
        <w:rPr>
          <w:noProof/>
        </w:rPr>
        <w:t>)</w:t>
      </w:r>
      <w:r w:rsidR="00A32CAD">
        <w:fldChar w:fldCharType="end"/>
      </w:r>
      <w:r w:rsidR="00943392">
        <w:t xml:space="preserve">. </w:t>
      </w:r>
      <w:r w:rsidR="007B29FC" w:rsidRPr="00755C33">
        <w:rPr>
          <w:i/>
          <w:iCs/>
          <w:u w:val="single"/>
        </w:rPr>
        <w:t>Second</w:t>
      </w:r>
      <w:r w:rsidR="007B29FC">
        <w:t>, studies examined dynamic pricing policy (or surge pricing) in the</w:t>
      </w:r>
      <w:r w:rsidR="002C5EBE">
        <w:t>ir</w:t>
      </w:r>
      <w:r w:rsidR="007B29FC">
        <w:t xml:space="preserve"> analysis</w:t>
      </w:r>
      <w:r w:rsidR="002C5EBE">
        <w:t xml:space="preserve"> of TNC systems</w:t>
      </w:r>
      <w:r w:rsidR="007B29FC">
        <w:t xml:space="preserve">. </w:t>
      </w:r>
      <w:r w:rsidR="000256E7">
        <w:t xml:space="preserve">In these studies, fare is modeled as </w:t>
      </w:r>
      <w:r w:rsidR="001E47D1">
        <w:t>a continuous variable within an optimization framework</w:t>
      </w:r>
      <w:r w:rsidR="00B45D69">
        <w:t xml:space="preserve"> </w:t>
      </w:r>
      <w:r w:rsidR="009A5744">
        <w:fldChar w:fldCharType="begin" w:fldLock="1"/>
      </w:r>
      <w:r w:rsidR="00BB1448">
        <w:instrText>ADDIN CSL_CITATION {"citationItems":[{"id":"ITEM-1","itemData":{"DOI":"10.1287/OPRE.2018.1800","ISSN":"15265463","abstract":"Motivated by the prevalence of ride-sharing platforms, in “Spatial Pricing in Ride-Sharing Networks,” Bimpikis, Candogan, and Saban explore the impact of the demand pattern for rides across a netwo...","author":[{"dropping-particle":"","family":"Bimpikis","given":"Kostas","non-dropping-particle":"","parse-names":false,"suffix":""},{"dropping-particle":"","family":"Candogan","given":"Ozan","non-dropping-particle":"","parse-names":false,"suffix":""},{"dropping-particle":"","family":"Saban","given":"Daniela","non-dropping-particle":"","parse-names":false,"suffix":""}],"container-title":"https://doi.org/10.1287/opre.2018.1800","id":"ITEM-1","issue":"3","issued":{"date-parts":[["2019","5","3"]]},"page":"744-769","publisher":"INFORMS","title":"Spatial Pricing in Ride-Sharing Networks","type":"article-journal","volume":"67"},"uris":["http://www.mendeley.com/documents/?uuid=80685324-3fc0-3e98-a740-b40cb8916066"]},{"id":"ITEM-2","itemData":{"DOI":"10.48550/arxiv.2006.00164","abstract":"We investigate the impacts of spatial pricing for ride-sourcing services in a\nStackelberg framework considering traffic congestion. In the lower level, we\nuse combined distribution and assignment approaches to explicitly capture the\ninteractions between drivers' relocation, riders' mode choice, and all\ntravelers' routing decisions. In the upper level, a single transportation\nnetwork company (TNC) determines spatial pricing strategies to minimize\nimbalance in a two-sided market. We show the existence of the optimal pricing\nstrategies for locational imbalance minimization, and propose effective\nalgorithms with reliable convergence properties. Furthermore, the optimal\npricing is unique and can be solved in a convex reformulation when matching\ntime can be ignored. We conduct numerical experiments on different scales of\ntransportation networks with different TNC objectives to generate policy\ninsights on how spatial pricing could impact transportation systems.","author":[{"dropping-particle":"","family":"Afifah","given":"Fatima","non-dropping-particle":"","parse-names":false,"suffix":""},{"dropping-particle":"","family":"Guo","given":"Zhaomiao","non-dropping-particle":"","parse-names":false,"suffix":""}],"id":"ITEM-2","issued":{"date-parts":[["2020","5","30"]]},"title":"Spatial Pricing of Ride-sourcing Services in a CongestedTransportation Network","type":"article-journal"},"uris":["http://www.mendeley.com/documents/?uuid=61ebfb12-7237-31e7-887b-521fdff3a4b3"]},{"id":"ITEM-3","itemData":{"DOI":"10.1287/MNSC.2018.3050","ISSN":"15265501","abstract":"On-demand platforms (e.g., Uber, Lyft) often rely on independent workers, who are not directly under the platform’s control, to be available at the “right” time and locations to serve consumers at ...","author":[{"dropping-particle":"","family":"Guda","given":"Harish","non-dropping-particle":"","parse-names":false,"suffix":""},{"dropping-particle":"","family":"Subramaniana","given":"Upender","non-dropping-particle":"","parse-names":false,"suffix":""}],"container-title":"https://doi.org/10.1287/mnsc.2018.3050","id":"ITEM-3","issue":"5","issued":{"date-parts":[["2019","2","12"]]},"page":"1995-2014","publisher":" INFORMS ","title":"Your Uber Is Arriving: Managing On-Demand Workers Through Surge Pricing, Forecast Communication, and Worker Incentives","type":"article-journal","volume":"65"},"uris":["http://www.mendeley.com/documents/?uuid=47a0d84e-8db4-369f-89b3-c0c020782524"]}],"mendeley":{"formattedCitation":"(&lt;i&gt;24&lt;/i&gt;–&lt;i&gt;26&lt;/i&gt;)","plainTextFormattedCitation":"(24–26)","previouslyFormattedCitation":"(&lt;i&gt;24&lt;/i&gt;–&lt;i&gt;26&lt;/i&gt;)"},"properties":{"noteIndex":0},"schema":"https://github.com/citation-style-language/schema/raw/master/csl-citation.json"}</w:instrText>
      </w:r>
      <w:r w:rsidR="009A5744">
        <w:fldChar w:fldCharType="separate"/>
      </w:r>
      <w:r w:rsidR="0076717B" w:rsidRPr="0076717B">
        <w:rPr>
          <w:noProof/>
        </w:rPr>
        <w:t>(</w:t>
      </w:r>
      <w:r w:rsidR="0076717B" w:rsidRPr="0076717B">
        <w:rPr>
          <w:i/>
          <w:noProof/>
        </w:rPr>
        <w:t>24</w:t>
      </w:r>
      <w:r w:rsidR="0076717B" w:rsidRPr="0076717B">
        <w:rPr>
          <w:noProof/>
        </w:rPr>
        <w:t>–</w:t>
      </w:r>
      <w:r w:rsidR="0076717B" w:rsidRPr="0076717B">
        <w:rPr>
          <w:i/>
          <w:noProof/>
        </w:rPr>
        <w:t>26</w:t>
      </w:r>
      <w:r w:rsidR="0076717B" w:rsidRPr="0076717B">
        <w:rPr>
          <w:noProof/>
        </w:rPr>
        <w:t>)</w:t>
      </w:r>
      <w:r w:rsidR="009A5744">
        <w:fldChar w:fldCharType="end"/>
      </w:r>
      <w:r w:rsidR="001E47D1">
        <w:t xml:space="preserve">. </w:t>
      </w:r>
      <w:r w:rsidR="00023303">
        <w:t xml:space="preserve">The approaches </w:t>
      </w:r>
      <w:r w:rsidR="00AE5504">
        <w:t xml:space="preserve">provide elegant </w:t>
      </w:r>
      <w:r w:rsidR="00117766">
        <w:t>mathematical formulation</w:t>
      </w:r>
      <w:r w:rsidR="00AE5504">
        <w:t>s</w:t>
      </w:r>
      <w:r w:rsidR="00117766">
        <w:t xml:space="preserve"> </w:t>
      </w:r>
      <w:r w:rsidR="000E35B5">
        <w:t>for profit maximization</w:t>
      </w:r>
      <w:r w:rsidR="0072116D">
        <w:t xml:space="preserve"> or</w:t>
      </w:r>
      <w:r w:rsidR="000E35B5">
        <w:t xml:space="preserve"> </w:t>
      </w:r>
      <w:r w:rsidR="0072116D">
        <w:t xml:space="preserve">demand imbalance </w:t>
      </w:r>
      <w:r w:rsidR="000E35B5">
        <w:t xml:space="preserve">minimization </w:t>
      </w:r>
      <w:r w:rsidR="00117766">
        <w:t xml:space="preserve">in the context of </w:t>
      </w:r>
      <w:proofErr w:type="gramStart"/>
      <w:r w:rsidR="00117766">
        <w:t>a</w:t>
      </w:r>
      <w:proofErr w:type="gramEnd"/>
      <w:r w:rsidR="00117766">
        <w:t xml:space="preserve"> equilibrium based optimization model</w:t>
      </w:r>
      <w:r w:rsidR="0072116D">
        <w:t>s</w:t>
      </w:r>
      <w:r w:rsidR="00117766">
        <w:t xml:space="preserve"> to estimate price</w:t>
      </w:r>
      <w:r w:rsidR="00CD02F8">
        <w:t xml:space="preserve"> and/or demand</w:t>
      </w:r>
      <w:r w:rsidR="00117766">
        <w:t xml:space="preserve">. </w:t>
      </w:r>
      <w:r w:rsidR="00AE5504">
        <w:t xml:space="preserve">The mathematical formulations are applicable under a </w:t>
      </w:r>
      <w:r w:rsidR="0072116D">
        <w:t xml:space="preserve">host </w:t>
      </w:r>
      <w:r w:rsidR="00AE5504">
        <w:t>of assumption</w:t>
      </w:r>
      <w:r w:rsidR="0072116D">
        <w:t>s</w:t>
      </w:r>
      <w:r w:rsidR="00AE5504">
        <w:t xml:space="preserve"> such as </w:t>
      </w:r>
      <w:r w:rsidR="001B1915">
        <w:t>restricted number of TNCs</w:t>
      </w:r>
      <w:r w:rsidR="0016741F">
        <w:t xml:space="preserve"> </w:t>
      </w:r>
      <w:r w:rsidR="00E7092A">
        <w:fldChar w:fldCharType="begin" w:fldLock="1"/>
      </w:r>
      <w:r w:rsidR="00BB1448">
        <w:instrText>ADDIN CSL_CITATION {"citationItems":[{"id":"ITEM-1","itemData":{"DOI":"10.48550/arxiv.2006.00164","abstract":"We investigate the impacts of spatial pricing for ride-sourcing services in a\nStackelberg framework considering traffic congestion. In the lower level, we\nuse combined distribution and assignment approaches to explicitly capture the\ninteractions between drivers' relocation, riders' mode choice, and all\ntravelers' routing decisions. In the upper level, a single transportation\nnetwork company (TNC) determines spatial pricing strategies to minimize\nimbalance in a two-sided market. We show the existence of the optimal pricing\nstrategies for locational imbalance minimization, and propose effective\nalgorithms with reliable convergence properties. Furthermore, the optimal\npricing is unique and can be solved in a convex reformulation when matching\ntime can be ignored. We conduct numerical experiments on different scales of\ntransportation networks with different TNC objectives to generate policy\ninsights on how spatial pricing could impact transportation systems.","author":[{"dropping-particle":"","family":"Afifah","given":"Fatima","non-dropping-particle":"","parse-names":false,"suffix":""},{"dropping-particle":"","family":"Guo","given":"Zhaomiao","non-dropping-particle":"","parse-names":false,"suffix":""}],"id":"ITEM-1","issued":{"date-parts":[["2020","5","30"]]},"title":"Spatial Pricing of Ride-sourcing Services in a CongestedTransportation Network","type":"article-journal"},"uris":["http://www.mendeley.com/documents/?uuid=61ebfb12-7237-31e7-887b-521fdff3a4b3"]}],"mendeley":{"formattedCitation":"(&lt;i&gt;25&lt;/i&gt;)","plainTextFormattedCitation":"(25)","previouslyFormattedCitation":"(&lt;i&gt;25&lt;/i&gt;)"},"properties":{"noteIndex":0},"schema":"https://github.com/citation-style-language/schema/raw/master/csl-citation.json"}</w:instrText>
      </w:r>
      <w:r w:rsidR="00E7092A">
        <w:fldChar w:fldCharType="separate"/>
      </w:r>
      <w:r w:rsidR="0076717B" w:rsidRPr="0076717B">
        <w:rPr>
          <w:noProof/>
        </w:rPr>
        <w:t>(</w:t>
      </w:r>
      <w:r w:rsidR="0076717B" w:rsidRPr="0076717B">
        <w:rPr>
          <w:i/>
          <w:noProof/>
        </w:rPr>
        <w:t>25</w:t>
      </w:r>
      <w:r w:rsidR="0076717B" w:rsidRPr="0076717B">
        <w:rPr>
          <w:noProof/>
        </w:rPr>
        <w:t>)</w:t>
      </w:r>
      <w:r w:rsidR="00E7092A">
        <w:fldChar w:fldCharType="end"/>
      </w:r>
      <w:r w:rsidR="001B1915">
        <w:t xml:space="preserve">, </w:t>
      </w:r>
      <w:r w:rsidR="00FA258B">
        <w:t>neglect</w:t>
      </w:r>
      <w:r w:rsidR="0072116D">
        <w:t>ing</w:t>
      </w:r>
      <w:r w:rsidR="00FA258B">
        <w:t xml:space="preserve"> spatial variations </w:t>
      </w:r>
      <w:r w:rsidR="00E7092A">
        <w:fldChar w:fldCharType="begin" w:fldLock="1"/>
      </w:r>
      <w:r w:rsidR="00BB1448">
        <w:instrText>ADDIN CSL_CITATION {"citationItems":[{"id":"ITEM-1","itemData":{"DOI":"10.1016/J.TRPRO.2017.05.002","ISSN":"2352-1465","abstract":"This study proposes equilibrium models under different behavioral assumptions of labor supply in a ride-sourcing market and then investigates the performance of surge pricing. A time-expanded network is first proposed to delineate possible work schedules of drivers. Based on the proposed network, we provide formulations and algorithms for both neoclassical and income-targeting hypotheses to characterize the labor supply of ride-sourcing drivers, i.e., their choices of work hours. We then investigate the impact of surge pricing using a bi-level programing framework, with the lower-level problem capturing the equilibrium work hour choices while the upper-level one representing revenue-maximizing surge pricing. Compared to static pricing, the platform and drivers in general enjoy higher revenue while customers may be made worse off during highly surged periods. A simple regulation scheme to reduce market power is discussed.","author":[{"dropping-particle":"","family":"Zha","given":"Liteng","non-dropping-particle":"","parse-names":false,"suffix":""},{"dropping-particle":"","family":"Yin","given":"Yafeng","non-dropping-particle":"","parse-names":false,"suffix":""},{"dropping-particle":"","family":"Du","given":"Yuchuan","non-dropping-particle":"","parse-names":false,"suffix":""}],"container-title":"Transportation Research Procedia","id":"ITEM-1","issued":{"date-parts":[["2017","1","1"]]},"page":"2-21","publisher":"Elsevier","title":"Surge Pricing and Labor Supply in the Ride-Sourcing Market","type":"article-journal","volume":"23"},"uris":["http://www.mendeley.com/documents/?uuid=0f8faa90-7eb7-3595-9085-ff76bb1f6480"]}],"mendeley":{"formattedCitation":"(&lt;i&gt;27&lt;/i&gt;)","plainTextFormattedCitation":"(27)","previouslyFormattedCitation":"(&lt;i&gt;27&lt;/i&gt;)"},"properties":{"noteIndex":0},"schema":"https://github.com/citation-style-language/schema/raw/master/csl-citation.json"}</w:instrText>
      </w:r>
      <w:r w:rsidR="00E7092A">
        <w:fldChar w:fldCharType="separate"/>
      </w:r>
      <w:r w:rsidR="0076717B" w:rsidRPr="0076717B">
        <w:rPr>
          <w:noProof/>
        </w:rPr>
        <w:t>(</w:t>
      </w:r>
      <w:r w:rsidR="0076717B" w:rsidRPr="0076717B">
        <w:rPr>
          <w:i/>
          <w:noProof/>
        </w:rPr>
        <w:t>27</w:t>
      </w:r>
      <w:r w:rsidR="0076717B" w:rsidRPr="0076717B">
        <w:rPr>
          <w:noProof/>
        </w:rPr>
        <w:t>)</w:t>
      </w:r>
      <w:r w:rsidR="00E7092A">
        <w:fldChar w:fldCharType="end"/>
      </w:r>
      <w:r w:rsidR="00FA258B">
        <w:t xml:space="preserve">, </w:t>
      </w:r>
      <w:r w:rsidR="00E72ABE">
        <w:t>the distances in the network are equidistant</w:t>
      </w:r>
      <w:r w:rsidR="0016741F">
        <w:t xml:space="preserve"> </w:t>
      </w:r>
      <w:r w:rsidR="00E7092A">
        <w:fldChar w:fldCharType="begin" w:fldLock="1"/>
      </w:r>
      <w:r w:rsidR="00BB1448">
        <w:instrText>ADDIN CSL_CITATION {"citationItems":[{"id":"ITEM-1","itemData":{"DOI":"10.1287/OPRE.2018.1800","ISSN":"15265463","abstract":"Motivated by the prevalence of ride-sharing platforms, in “Spatial Pricing in Ride-Sharing Networks,” Bimpikis, Candogan, and Saban explore the impact of the demand pattern for rides across a netwo...","author":[{"dropping-particle":"","family":"Bimpikis","given":"Kostas","non-dropping-particle":"","parse-names":false,"suffix":""},{"dropping-particle":"","family":"Candogan","given":"Ozan","non-dropping-particle":"","parse-names":false,"suffix":""},{"dropping-particle":"","family":"Saban","given":"Daniela","non-dropping-particle":"","parse-names":false,"suffix":""}],"container-title":"https://doi.org/10.1287/opre.2018.1800","id":"ITEM-1","issue":"3","issued":{"date-parts":[["2019","5","3"]]},"page":"744-769","publisher":"INFORMS","title":"Spatial Pricing in Ride-Sharing Networks","type":"article-journal","volume":"67"},"uris":["http://www.mendeley.com/documents/?uuid=80685324-3fc0-3e98-a740-b40cb8916066"]}],"mendeley":{"formattedCitation":"(&lt;i&gt;24&lt;/i&gt;)","plainTextFormattedCitation":"(24)","previouslyFormattedCitation":"(&lt;i&gt;24&lt;/i&gt;)"},"properties":{"noteIndex":0},"schema":"https://github.com/citation-style-language/schema/raw/master/csl-citation.json"}</w:instrText>
      </w:r>
      <w:r w:rsidR="00E7092A">
        <w:fldChar w:fldCharType="separate"/>
      </w:r>
      <w:r w:rsidR="0076717B" w:rsidRPr="0076717B">
        <w:rPr>
          <w:noProof/>
        </w:rPr>
        <w:t>(</w:t>
      </w:r>
      <w:r w:rsidR="0076717B" w:rsidRPr="0076717B">
        <w:rPr>
          <w:i/>
          <w:noProof/>
        </w:rPr>
        <w:t>24</w:t>
      </w:r>
      <w:r w:rsidR="0076717B" w:rsidRPr="0076717B">
        <w:rPr>
          <w:noProof/>
        </w:rPr>
        <w:t>)</w:t>
      </w:r>
      <w:r w:rsidR="00E7092A">
        <w:fldChar w:fldCharType="end"/>
      </w:r>
      <w:r w:rsidR="00E72ABE">
        <w:t xml:space="preserve">, </w:t>
      </w:r>
      <w:r w:rsidR="002071FE">
        <w:t xml:space="preserve">and </w:t>
      </w:r>
      <w:r w:rsidR="001B1915">
        <w:t>limit</w:t>
      </w:r>
      <w:r w:rsidR="0072116D">
        <w:t>s</w:t>
      </w:r>
      <w:r w:rsidR="001B1915">
        <w:t xml:space="preserve"> on </w:t>
      </w:r>
      <w:r w:rsidR="0072116D">
        <w:t xml:space="preserve">the number of </w:t>
      </w:r>
      <w:r w:rsidR="001B1915">
        <w:t xml:space="preserve">modal alternatives (for example only Drive vs </w:t>
      </w:r>
      <w:proofErr w:type="spellStart"/>
      <w:r w:rsidR="001B1915">
        <w:t>TNC</w:t>
      </w:r>
      <w:proofErr w:type="spellEnd"/>
      <w:r w:rsidR="00FA258B">
        <w:t xml:space="preserve"> in </w:t>
      </w:r>
      <w:r w:rsidR="00E7092A">
        <w:t>Afifah and</w:t>
      </w:r>
      <w:r w:rsidR="00FA258B">
        <w:t xml:space="preserve"> Guo</w:t>
      </w:r>
      <w:r w:rsidR="00E7092A">
        <w:t xml:space="preserve"> </w:t>
      </w:r>
      <w:r w:rsidR="00E7092A">
        <w:fldChar w:fldCharType="begin" w:fldLock="1"/>
      </w:r>
      <w:r w:rsidR="00BB1448">
        <w:instrText>ADDIN CSL_CITATION {"citationItems":[{"id":"ITEM-1","itemData":{"DOI":"10.48550/arxiv.2006.00164","abstract":"We investigate the impacts of spatial pricing for ride-sourcing services in a\nStackelberg framework considering traffic congestion. In the lower level, we\nuse combined distribution and assignment approaches to explicitly capture the\ninteractions between drivers' relocation, riders' mode choice, and all\ntravelers' routing decisions. In the upper level, a single transportation\nnetwork company (TNC) determines spatial pricing strategies to minimize\nimbalance in a two-sided market. We show the existence of the optimal pricing\nstrategies for locational imbalance minimization, and propose effective\nalgorithms with reliable convergence properties. Furthermore, the optimal\npricing is unique and can be solved in a convex reformulation when matching\ntime can be ignored. We conduct numerical experiments on different scales of\ntransportation networks with different TNC objectives to generate policy\ninsights on how spatial pricing could impact transportation systems.","author":[{"dropping-particle":"","family":"Afifah","given":"Fatima","non-dropping-particle":"","parse-names":false,"suffix":""},{"dropping-particle":"","family":"Guo","given":"Zhaomiao","non-dropping-particle":"","parse-names":false,"suffix":""}],"id":"ITEM-1","issued":{"date-parts":[["2020","5","30"]]},"title":"Spatial Pricing of Ride-sourcing Services in a CongestedTransportation Network","type":"article-journal"},"uris":["http://www.mendeley.com/documents/?uuid=61ebfb12-7237-31e7-887b-521fdff3a4b3"]}],"mendeley":{"formattedCitation":"(&lt;i&gt;25&lt;/i&gt;)","plainTextFormattedCitation":"(25)","previouslyFormattedCitation":"(&lt;i&gt;25&lt;/i&gt;)"},"properties":{"noteIndex":0},"schema":"https://github.com/citation-style-language/schema/raw/master/csl-citation.json"}</w:instrText>
      </w:r>
      <w:r w:rsidR="00E7092A">
        <w:fldChar w:fldCharType="separate"/>
      </w:r>
      <w:r w:rsidR="0076717B" w:rsidRPr="0076717B">
        <w:rPr>
          <w:noProof/>
        </w:rPr>
        <w:t>(</w:t>
      </w:r>
      <w:r w:rsidR="0076717B" w:rsidRPr="0076717B">
        <w:rPr>
          <w:i/>
          <w:noProof/>
        </w:rPr>
        <w:t>25</w:t>
      </w:r>
      <w:r w:rsidR="0076717B" w:rsidRPr="0076717B">
        <w:rPr>
          <w:noProof/>
        </w:rPr>
        <w:t>)</w:t>
      </w:r>
      <w:r w:rsidR="00E7092A">
        <w:fldChar w:fldCharType="end"/>
      </w:r>
      <w:r w:rsidR="001B1915">
        <w:t>)</w:t>
      </w:r>
      <w:r w:rsidR="002071FE">
        <w:t xml:space="preserve">. </w:t>
      </w:r>
      <w:r w:rsidR="00A433AC">
        <w:t xml:space="preserve">The demand, price and model choice equations in these approaches are simplified and focus on a small set of variables such as </w:t>
      </w:r>
      <w:r w:rsidR="00AE5504">
        <w:t>trip length</w:t>
      </w:r>
      <w:r w:rsidR="00DC6DCC">
        <w:t xml:space="preserve"> </w:t>
      </w:r>
      <w:r w:rsidR="00E7092A">
        <w:fldChar w:fldCharType="begin" w:fldLock="1"/>
      </w:r>
      <w:r w:rsidR="00BB1448">
        <w:instrText>ADDIN CSL_CITATION {"citationItems":[{"id":"ITEM-1","itemData":{"DOI":"10.1016/J.EJOR.2021.03.058","ISSN":"0377-2217","abstract":"A ride-sharing platform (RSP), such as Uber or Lyft, can sometimes offer passengers an option to share (pool) the ride with fellow passengers. On the one hand, a passenger who pools benefits from paying a lower fare and the RSP benefits from increasing occupancy per car, thereby serving more passengers. On the other hand, a passenger who pools takes more time, on average, to reach her destination and may have to share the ride with a stranger, and the RSP gets a lower profit margin per passenger than from solo rides. We develop a queueing model to find the RSP's optimal revenue in equilibrium when passengers are strategic and drivers are independent agents, and design the RSP's revenue-maximizing price-service menu. We find that offering both solo and pooled rides is optimal when the distribution of passenger-type is not skewed and congestion is not high. Counter intuitively, when congestion is high, the RSP benefits from offering only one ride choice. Simulation-based results extend these findings when more than one route exists. We provide a numerical example based on real-life data. When the number of drivers is endogenous, equilibrium revenue per driver can decrease when the passenger arrival rate increases.","author":[{"dropping-particle":"","family":"Jacob","given":"Jagan","non-dropping-particle":"","parse-names":false,"suffix":""},{"dropping-particle":"","family":"Roet-Green","given":"Ricky","non-dropping-particle":"","parse-names":false,"suffix":""}],"container-title":"European Journal of Operational Research","id":"ITEM-1","issue":"3","issued":{"date-parts":[["2021","12","16"]]},"page":"1008-1024","publisher":"North-Holland","title":"Ride solo or pool: Designing price-service menus for a ride-sharing platform","type":"article-journal","volume":"295"},"uris":["http://www.mendeley.com/documents/?uuid=9d324996-a6c6-3c7f-9185-0ef49abc32f5"]}],"mendeley":{"formattedCitation":"(&lt;i&gt;11&lt;/i&gt;)","plainTextFormattedCitation":"(11)","previouslyFormattedCitation":"(&lt;i&gt;11&lt;/i&gt;)"},"properties":{"noteIndex":0},"schema":"https://github.com/citation-style-language/schema/raw/master/csl-citation.json"}</w:instrText>
      </w:r>
      <w:r w:rsidR="00E7092A">
        <w:fldChar w:fldCharType="separate"/>
      </w:r>
      <w:r w:rsidR="0076717B" w:rsidRPr="0076717B">
        <w:rPr>
          <w:noProof/>
        </w:rPr>
        <w:t>(</w:t>
      </w:r>
      <w:r w:rsidR="0076717B" w:rsidRPr="0076717B">
        <w:rPr>
          <w:i/>
          <w:noProof/>
        </w:rPr>
        <w:t>11</w:t>
      </w:r>
      <w:r w:rsidR="0076717B" w:rsidRPr="0076717B">
        <w:rPr>
          <w:noProof/>
        </w:rPr>
        <w:t>)</w:t>
      </w:r>
      <w:r w:rsidR="00E7092A">
        <w:fldChar w:fldCharType="end"/>
      </w:r>
      <w:r w:rsidR="00AE5504">
        <w:t>. While these approaches are very helpful, applying these methods for large urban regions</w:t>
      </w:r>
      <w:r w:rsidR="002071FE">
        <w:t xml:space="preserve"> with temporal and spatial variations are</w:t>
      </w:r>
      <w:r w:rsidR="00CD02F8">
        <w:t xml:space="preserve"> not</w:t>
      </w:r>
      <w:r w:rsidR="002071FE">
        <w:t xml:space="preserve"> readily practical. </w:t>
      </w:r>
      <w:r w:rsidR="00580553">
        <w:t xml:space="preserve">In our review, we found only 3 studies that developed direct fare models using TNC data </w:t>
      </w:r>
      <w:r w:rsidR="00947700">
        <w:fldChar w:fldCharType="begin" w:fldLock="1"/>
      </w:r>
      <w:r w:rsidR="00BB1448">
        <w:instrText>ADDIN CSL_CITATION {"citationItems":[{"id":"ITEM-1","itemData":{"DOI":"10.1287/MNSC.2020.3721","ISSN":"15265501","abstract":"Digital platforms provide a variety of technology-enabled tools that enhance market transparency, such as real-time monitoring, ratings of buyers and sellers, and low-cost complaint channels. How d...","author":[{"dropping-particle":"","family":"Liu","given":"Meng","non-dropping-particle":"","parse-names":false,"suffix":""},{"dropping-particle":"","family":"Brynjolfsson","given":"Erik","non-dropping-particle":"","parse-names":false,"suffix":""},{"dropping-particle":"","family":"Dowlatabadi","given":"Jason","non-dropping-particle":"","parse-names":false,"suffix":""}],"container-title":"https://doi.org/10.1287/mnsc.2020.3721","id":"ITEM-1","issue":"8","issued":{"date-parts":[["2021","2","26"]]},"page":"4665-4685","publisher":" INFORMS ","title":"Do Digital Platforms Reduce Moral Hazard? The Case of Uber and Taxis","type":"article-journal","volume":"67"},"uris":["http://www.mendeley.com/documents/?uuid=2ffbfd3a-2786-30bc-a595-3f6f7a9ac9fa"]},{"id":"ITEM-2","itemData":{"DOI":"10.7251/ACE1828123P","ISSN":"2232-738X","abstract":"The popular ride sharing service Uber has undoubtedly a?ected the taxi industry by o?ering lower prices, faster and more quality service, as well as a higher degree of transparency in terms of choosing drivers and determining fares. A question arises inevitably: does Uber present loyal or unloyal price competition to taxi companies by o?ering signifcantly lower prices, cutting fxed costs and bypassing middlemen? Is there a tax loophole at play? The hypothesis this paper aims to examine is whether Uber is a new way of providing transportation services, thus bringing more transparency and fair competition to the industry, or it is a disruptor on a previously fair market. If the second case is correct, not all hope should be lost – perhaps with the right amount of regulation, Uber could become a new standard in service transportation.\nThis paper is divided into three parts. The frst part brie?y explores the concept of the sharing economy; a relatively new term and even newer foundation for business models of contemporary startups. Special signifcance is given to the reduced costs in companies which operate based on the sharing economy versus the so-called traditional companies. The second part of the paper examines Uber’s business model through costs, the pricing system, driver earnings and working conditions. Finally, the third part of the paper estimates the present and future impact of Uber on traditional taxi companies, taking into account its legal status, competition and the changing labor market.","author":[{"dropping-particle":"","family":"Pepić","given":"Lana","non-dropping-particle":"","parse-names":false,"suffix":""}],"container-title":"Acta Economica","id":"ITEM-2","issue":"28","issued":{"date-parts":[["2018","10","28"]]},"page":"123-136","publisher":"National and University Library of the Republic of Srpska","title":"The sharing economy: Uber and its e?ect on taxi companies","type":"article-journal","volume":"16"},"uris":["http://www.mendeley.com/documents/?uuid=cc0bd560-8f39-337a-a5cf-ae53a539e727"]},{"id":"ITEM-3","itemData":{"DOI":"10.1016/J.EJOR.2021.03.058","ISSN":"0377-2217","abstract":"A ride-sharing platform (RSP), such as Uber or Lyft, can sometimes offer passengers an option to share (pool) the ride with fellow passengers. On the one hand, a passenger who pools benefits from paying a lower fare and the RSP benefits from increasing occupancy per car, thereby serving more passengers. On the other hand, a passenger who pools takes more time, on average, to reach her destination and may have to share the ride with a stranger, and the RSP gets a lower profit margin per passenger than from solo rides. We develop a queueing model to find the RSP's optimal revenue in equilibrium when passengers are strategic and drivers are independent agents, and design the RSP's revenue-maximizing price-service menu. We find that offering both solo and pooled rides is optimal when the distribution of passenger-type is not skewed and congestion is not high. Counter intuitively, when congestion is high, the RSP benefits from offering only one ride choice. Simulation-based results extend these findings when more than one route exists. We provide a numerical example based on real-life data. When the number of drivers is endogenous, equilibrium revenue per driver can decrease when the passenger arrival rate increases.","author":[{"dropping-particle":"","family":"Jacob","given":"Jagan","non-dropping-particle":"","parse-names":false,"suffix":""},{"dropping-particle":"","family":"Roet-Green","given":"Ricky","non-dropping-particle":"","parse-names":false,"suffix":""}],"container-title":"European Journal of Operational Research","id":"ITEM-3","issue":"3","issued":{"date-parts":[["2021","12","16"]]},"page":"1008-1024","publisher":"North-Holland","title":"Ride solo or pool: Designing price-service menus for a ride-sharing platform","type":"article-journal","volume":"295"},"uris":["http://www.mendeley.com/documents/?uuid=9d324996-a6c6-3c7f-9185-0ef49abc32f5"]}],"mendeley":{"formattedCitation":"(&lt;i&gt;11&lt;/i&gt;, &lt;i&gt;28&lt;/i&gt;, &lt;i&gt;29&lt;/i&gt;)","plainTextFormattedCitation":"(11, 28, 29)","previouslyFormattedCitation":"(&lt;i&gt;11&lt;/i&gt;, &lt;i&gt;28&lt;/i&gt;, &lt;i&gt;29&lt;/i&gt;)"},"properties":{"noteIndex":0},"schema":"https://github.com/citation-style-language/schema/raw/master/csl-citation.json"}</w:instrText>
      </w:r>
      <w:r w:rsidR="00947700">
        <w:fldChar w:fldCharType="separate"/>
      </w:r>
      <w:r w:rsidR="0076717B" w:rsidRPr="0076717B">
        <w:rPr>
          <w:noProof/>
        </w:rPr>
        <w:t>(</w:t>
      </w:r>
      <w:r w:rsidR="0076717B" w:rsidRPr="0076717B">
        <w:rPr>
          <w:i/>
          <w:noProof/>
        </w:rPr>
        <w:t>11</w:t>
      </w:r>
      <w:r w:rsidR="0076717B" w:rsidRPr="0076717B">
        <w:rPr>
          <w:noProof/>
        </w:rPr>
        <w:t xml:space="preserve">, </w:t>
      </w:r>
      <w:r w:rsidR="0076717B" w:rsidRPr="0076717B">
        <w:rPr>
          <w:i/>
          <w:noProof/>
        </w:rPr>
        <w:t>28</w:t>
      </w:r>
      <w:r w:rsidR="0076717B" w:rsidRPr="0076717B">
        <w:rPr>
          <w:noProof/>
        </w:rPr>
        <w:t xml:space="preserve">, </w:t>
      </w:r>
      <w:r w:rsidR="0076717B" w:rsidRPr="0076717B">
        <w:rPr>
          <w:i/>
          <w:noProof/>
        </w:rPr>
        <w:t>29</w:t>
      </w:r>
      <w:r w:rsidR="0076717B" w:rsidRPr="0076717B">
        <w:rPr>
          <w:noProof/>
        </w:rPr>
        <w:t>)</w:t>
      </w:r>
      <w:r w:rsidR="00947700">
        <w:fldChar w:fldCharType="end"/>
      </w:r>
      <w:r w:rsidR="009129AC">
        <w:t xml:space="preserve"> where </w:t>
      </w:r>
      <w:r w:rsidR="00F83FB7">
        <w:t xml:space="preserve">a small set of variables such as trip distance, trip time, tolls and additional charges </w:t>
      </w:r>
      <w:r w:rsidR="00E7151D">
        <w:t xml:space="preserve">were considered. </w:t>
      </w:r>
    </w:p>
    <w:p w14:paraId="2B247331" w14:textId="06D0A375" w:rsidR="00CC52A8" w:rsidRDefault="008527A1" w:rsidP="00284A03">
      <w:pPr>
        <w:spacing w:after="0"/>
        <w:ind w:firstLine="720"/>
      </w:pPr>
      <w:r>
        <w:t xml:space="preserve">Destination </w:t>
      </w:r>
      <w:r w:rsidR="00395A98">
        <w:t xml:space="preserve">selection </w:t>
      </w:r>
      <w:r>
        <w:t xml:space="preserve">behavior </w:t>
      </w:r>
      <w:r w:rsidR="00395A98">
        <w:t>has been examined</w:t>
      </w:r>
      <w:r>
        <w:t xml:space="preserve"> </w:t>
      </w:r>
      <w:r w:rsidR="00395A98">
        <w:t xml:space="preserve">in multiple </w:t>
      </w:r>
      <w:r w:rsidR="00CC52A8">
        <w:t xml:space="preserve">ride </w:t>
      </w:r>
      <w:r w:rsidR="00395A98">
        <w:t xml:space="preserve">sharing domains including </w:t>
      </w:r>
      <w:r>
        <w:t xml:space="preserve">bicycle-sharing system </w:t>
      </w:r>
      <w:r w:rsidR="007822C5">
        <w:fldChar w:fldCharType="begin" w:fldLock="1"/>
      </w:r>
      <w:r w:rsidR="00BB1448">
        <w:instrText>ADDIN CSL_CITATION {"citationItems":[{"id":"ITEM-1","itemData":{"DOI":"10.1016/J.JTRANGEO.2015.03.005","ISSN":"0966-6923","abstract":"In recent years, there has been increasing attention on bicycle-sharing systems (BSS) as a viable and sustainable mode of transportation for short trips. However, due to the relatively recent adoption of BSS, there is very little research exploring how people consider these systems within existing transportation options. Given recent BSS growth around the world, there is substantial interest in identifying contributing factors that encourage individuals to use these systems. The current study contributes to this growing literature by examining BSS behavior at the trip level to analyze bicyclists' destination preferences. Specifically, we study the decision process involved in identifying destination locations after picking up a bicycle at a BSS station, using a random utility maximization approach in the form of a multinomial logit model (MNL). The quantitative frameworks developed have been estimated using 2013 data from the Chicago's Divvy system. In our modeling effort, we distinguish between BSS users with annual membership and short-term customers with daily passes. The developed model should allow bicycle-sharing system operators to plan services more effectively by examining the impact of travel distance, land use, built environment, and access to public transportation infrastructure on users' destination preferences. Using the estimated model, we generated utility profiles as a function of distance and various other attributes, allowing us to represent visually the trade-offs that individuals make in the decision process. To illustrate further the applicability of the proposed framework for planning purposes, destination station-choice probability prediction is undertaken.","author":[{"dropping-particle":"","family":"Faghih-Imani","given":"Ahmadreza","non-dropping-particle":"","parse-names":false,"suffix":""},{"dropping-particle":"","family":"Eluru","given":"Naveen","non-dropping-particle":"","parse-names":false,"suffix":""}],"container-title":"Journal of Transport Geography","id":"ITEM-1","issued":{"date-parts":[["2015","4","1"]]},"page":"53-64","publisher":"Pergamon","title":"Analysing bicycle-sharing system user destination choice preferences: Chicago’s Divvy system","type":"article-journal","volume":"44"},"uris":["http://www.mendeley.com/documents/?uuid=dce32047-d4a3-365f-b2d6-637334296f73"]},{"id":"ITEM-2","itemData":{"DOI":"10.1177/0361198120950315","ISSN":"21694052","abstract":"This study investigates trip-level destination choice behavior of users of the dockless bike sharing service (DBS). A random parameter latent segmentation-based logit (RPLSL) model is developed uti...","author":[{"dropping-particle":"","family":"Mehadil Orvin","given":"Muntahith","non-dropping-particle":"","parse-names":false,"suffix":""},{"dropping-particle":"","family":"Rahman Fatmi","given":"Mahmudur","non-dropping-particle":"","parse-names":false,"suffix":""}],"container-title":"https://doi.org/10.1177/0361198120950315","id":"ITEM-2","issue":"11","issued":{"date-parts":[["2020","9","16"]]},"page":"875-887","publisher":"SAGE PublicationsSage CA: Los Angeles, CA","title":"Modeling Destination Choice Behavior of the Dockless Bike Sharing Service Users:","type":"article-journal","volume":"2674"},"uris":["http://www.mendeley.com/documents/?uuid=43a1fa8e-3a57-31e5-8284-0c195c1e1255"]},{"id":"ITEM-3","itemData":{"DOI":"10.1016/J.TRA.2020.12.014","ISSN":"0965-8564","abstract":"Given the burgeoning growth in bikeshare system installations and their growing adoption for trip making, it is important to develop modeling frameworks to understand bikeshare demand flows in the system. The current study examines two choice dimensions for capturing the system level bikeshare system demand: (1) total station level demand and (2) distribution of bike flows from an origin station across the network. A linear mixed model is used to estimate the first choice and Multiple Discrete Continuous Extreme Value (MDCEV) model is used to analyze the latter. The data is drawn from the New York City bikeshare system (CitiBike) for six months (January through June 2017). For our analysis, we examine demand and distribution patterns on a weekly basis controlling for a host of independent variables (trip, socio-demographics, bicycle infrastructure, land use and built environment, temporal and weather). Model validation exercise results revealed that the proposed model performs well for low demand destinations. A policy exercise evaluating destination choice behavior demonstrated how the impact of distance is compensated by additional bicycling infrastructure in the farther locations. The results from the study help bikesharing system planners and operators to better evaluate and improve bikeshare systems.","author":[{"dropping-particle":"","family":"Kumar Dey","given":"Bibhas","non-dropping-particle":"","parse-names":false,"suffix":""},{"dropping-particle":"","family":"Anowar","given":"Sabreena","non-dropping-particle":"","parse-names":false,"suffix":""},{"dropping-particle":"","family":"Eluru","given":"Naveen","non-dropping-particle":"","parse-names":false,"suffix":""}],"container-title":"Transportation Research Part A: Policy and Practice","id":"ITEM-3","issued":{"date-parts":[["2021","2","1"]]},"page":"119-133","publisher":"Pergamon","title":"A framework for estimating bikeshare origin destination flows using a multiple discrete continuous system","type":"article-journal","volume":"144"},"uris":["http://www.mendeley.com/documents/?uuid=842a215b-ed2c-35d6-89e6-bb84df4fad29"]}],"mendeley":{"formattedCitation":"(&lt;i&gt;30&lt;/i&gt;–&lt;i&gt;32&lt;/i&gt;)","plainTextFormattedCitation":"(30–32)","previouslyFormattedCitation":"(&lt;i&gt;30&lt;/i&gt;–&lt;i&gt;32&lt;/i&gt;)"},"properties":{"noteIndex":0},"schema":"https://github.com/citation-style-language/schema/raw/master/csl-citation.json"}</w:instrText>
      </w:r>
      <w:r w:rsidR="007822C5">
        <w:fldChar w:fldCharType="separate"/>
      </w:r>
      <w:r w:rsidR="0076717B" w:rsidRPr="0076717B">
        <w:rPr>
          <w:noProof/>
        </w:rPr>
        <w:t>(</w:t>
      </w:r>
      <w:r w:rsidR="0076717B" w:rsidRPr="0076717B">
        <w:rPr>
          <w:i/>
          <w:noProof/>
        </w:rPr>
        <w:t>30</w:t>
      </w:r>
      <w:r w:rsidR="0076717B" w:rsidRPr="0076717B">
        <w:rPr>
          <w:noProof/>
        </w:rPr>
        <w:t>–</w:t>
      </w:r>
      <w:r w:rsidR="0076717B" w:rsidRPr="0076717B">
        <w:rPr>
          <w:i/>
          <w:noProof/>
        </w:rPr>
        <w:t>32</w:t>
      </w:r>
      <w:r w:rsidR="0076717B" w:rsidRPr="0076717B">
        <w:rPr>
          <w:noProof/>
        </w:rPr>
        <w:t>)</w:t>
      </w:r>
      <w:r w:rsidR="007822C5">
        <w:fldChar w:fldCharType="end"/>
      </w:r>
      <w:r w:rsidR="007822C5">
        <w:t xml:space="preserve">, </w:t>
      </w:r>
      <w:r w:rsidR="00167CC2">
        <w:t xml:space="preserve">taxi </w:t>
      </w:r>
      <w:r w:rsidR="00167CC2">
        <w:fldChar w:fldCharType="begin" w:fldLock="1"/>
      </w:r>
      <w:r w:rsidR="00BB1448">
        <w:instrText>ADDIN CSL_CITATION {"citationItems":[{"id":"ITEM-1","itemData":{"DOI":"10.1061/9780784480915.414","ISBN":"9780784480915","abstract":"In this paper, a destination choice model is developed for taxi passengers based on taxi GPS data from Shanghai, China. Taxi GPS data belong to passively collected big data that can avoid possible biases in traditional travel surveys limited by the sampling process, and potential discrepancies between respondents' actual behaviors and their responses. As a discrete choice model, a destination choice model can involve policy-sensitive variables in a flexible way, so as to predict and evaluate policy impacts. The developed model incorporates a variety of explanatory variables, including travel impedance variables (travel time and monetary cost), location indicator variables (whether an airport or passenger railway station is in the traffic analysis zone, i.e. TAZ) and attraction variables in trip destination ends (population and employment). Finally, the factors influencing taxi passengers' destination choice behaviors are analyzed based on the model estimation results.","author":[{"dropping-particle":"","family":"Zhu","given":"Jiayu","non-dropping-particle":"","parse-names":false,"suffix":""},{"dropping-particle":"","family":"Ye","given":"Xin","non-dropping-particle":"","parse-names":false,"suffix":""}],"container-title":"CICTP 2017: Transportation Reform and Change - Equity, Inclusiveness, Sharing, and Innovation - Proceedings of the 17th COTA International Conference of Transportation Professionals","id":"ITEM-1","issued":{"date-parts":[["2018"]]},"page":"3989-3997","publisher":"American Society of Civil Engineers","title":"Development of Destination Choice Model for Taxi Passengers in Shanghai, China","type":"article-journal","volume":"2018-January"},"uris":["http://www.mendeley.com/documents/?uuid=6d79648e-ed41-3aca-b0eb-93e203575ef9"]},{"id":"ITEM-2","itemData":{"DOI":"10.1016/J.PHYSA.2018.08.034","ISSN":"0378-4371","abstract":"Trip purpose inference is critical in transportation demand management (TDM) as well as traffic congestion alleviation. However, destination choice can be affected by a variety of factors, many of which are difficult to determine (e.g. socio-demographics). Besides, the spatio-temporal variation and correlation inherent in travel patterns further intensify the difficulty of understanding destination choice behavior. To this end, this research proposes a Bayesian hierarchical approach for modeling the destination choice behavior through time and space. The proposed method can take into account both the unavailable factors and spatio-temporal correlations by introducing random fields. Moreover, the implementation of the Integrated Nested Laplace Approximations (INLA) combined with the Stochastic Partial Differential Equation (SPDE) makes it computationally feasible to model large-scale spatio-temporal correlation structures. The model is further applied to two-week data from more than 8000 taxis in Harbin. The empirical results indicate that the proposed approach is capable to capture spatio-temporal variability in destination distribution, and the inclusion of spatial and temporal random effects is of great help to improve the model performance. The case study also examines how the land-use types influence the destination choice. It is believed that the modeling method and the exploratory spatial–temporal analysis of destination distribution in this study can enriches the methodologies for travel demand modeling as well as decision support for transport policy development.","author":[{"dropping-particle":"","family":"Zhang","given":"Shen","non-dropping-particle":"","parse-names":false,"suffix":""},{"dropping-particle":"","family":"Liu","given":"Xin","non-dropping-particle":"","parse-names":false,"suffix":""},{"dropping-particle":"","family":"Tang","given":"Jinjun","non-dropping-particle":"","parse-names":false,"suffix":""},{"dropping-particle":"","family":"Cheng","given":"Shaowu","non-dropping-particle":"","parse-names":false,"suffix":""},{"dropping-particle":"","family":"Qi","given":"Yong","non-dropping-particle":"","parse-names":false,"suffix":""},{"dropping-particle":"","family":"Wang","given":"Yinhai","non-dropping-particle":"","parse-names":false,"suffix":""}],"container-title":"Physica A: Statistical Mechanics and its Applications","id":"ITEM-2","issued":{"date-parts":[["2018","12","15"]]},"page":"537-551","publisher":"North-Holland","title":"Spatio-temporal modeling of destination choice behavior through the Bayesian hierarchical approach","type":"article-journal","volume":"512"},"uris":["http://www.mendeley.com/documents/?uuid=839179da-48dc-3468-bdc3-b0a10d76c1ba"]},{"id":"ITEM-3","itemData":{"DOI":"10.1016/J.TRC.2018.06.016","ISSN":"0968-090X","abstract":"In this paper, a destination choice model with pairwise district-level constants is proposed for trip distribution based on a nearly complete OD trip matrix in a region. It is found that the coefficients are weakly identified in a destination choice model with pairwise zone-level constants. Thus, a destination choice model with pairwise district-level constants is then proposed and an iterative algorithm is developed for model estimation. Herein, the “district” means a spatial aggregation of a number of zones. The proposed model is demonstrated through simulation experiments. Then, destination choice models with and without pairwise district-level constants are estimated based on GPS data of taxi passenger trips collected during morning peak hours within the Inner Ring Road of Shanghai, China. The datasets comprise 504,187 trip records and a sample of 10,000 taxi trips for model development. The zones used in the study are actually 961 residents’ committees while the districts are 52 residential districts that are spatial aggregations and upper-level administrative units of residents’ committees. It is found that the estimated value of time dramatically drops after the involvement of district-level constants, indicating that the traditional model tends to overestimate the value of time when ignoring pairwise associations between two zones in trip distribution. The proposed destination choice model can ensure its predicted trip OD matrix to match the observed one at district level. Thus, the proposed model has potential to be widely applied for trip distribution under the situation where a complete OD trip matrix can be observed.","author":[{"dropping-particle":"","family":"Zhu","given":"Jiayu","non-dropping-particle":"","parse-names":false,"suffix":""},{"dropping-particle":"","family":"Ye","given":"Xin","non-dropping-particle":"","parse-names":false,"suffix":""}],"container-title":"Transportation Research Part C: Emerging Technologies","id":"ITEM-3","issued":{"date-parts":[["2018","8","1"]]},"page":"410-424","publisher":"Pergamon","title":"Development of destination choice model with pairwise district-level constants using taxi GPS data","type":"article-journal","volume":"93"},"uris":["http://www.mendeley.com/documents/?uuid=8782c77d-b821-3f93-8728-21d0713fe201"]}],"mendeley":{"formattedCitation":"(&lt;i&gt;33&lt;/i&gt;–&lt;i&gt;35&lt;/i&gt;)","plainTextFormattedCitation":"(33–35)","previouslyFormattedCitation":"(&lt;i&gt;33&lt;/i&gt;–&lt;i&gt;35&lt;/i&gt;)"},"properties":{"noteIndex":0},"schema":"https://github.com/citation-style-language/schema/raw/master/csl-citation.json"}</w:instrText>
      </w:r>
      <w:r w:rsidR="00167CC2">
        <w:fldChar w:fldCharType="separate"/>
      </w:r>
      <w:r w:rsidR="0076717B" w:rsidRPr="0076717B">
        <w:rPr>
          <w:noProof/>
        </w:rPr>
        <w:t>(</w:t>
      </w:r>
      <w:r w:rsidR="0076717B" w:rsidRPr="0076717B">
        <w:rPr>
          <w:i/>
          <w:noProof/>
        </w:rPr>
        <w:t>33</w:t>
      </w:r>
      <w:r w:rsidR="0076717B" w:rsidRPr="0076717B">
        <w:rPr>
          <w:noProof/>
        </w:rPr>
        <w:t>–</w:t>
      </w:r>
      <w:r w:rsidR="0076717B" w:rsidRPr="0076717B">
        <w:rPr>
          <w:i/>
          <w:noProof/>
        </w:rPr>
        <w:t>35</w:t>
      </w:r>
      <w:r w:rsidR="0076717B" w:rsidRPr="0076717B">
        <w:rPr>
          <w:noProof/>
        </w:rPr>
        <w:t>)</w:t>
      </w:r>
      <w:r w:rsidR="00167CC2">
        <w:fldChar w:fldCharType="end"/>
      </w:r>
      <w:r w:rsidR="00167CC2">
        <w:t>, TNC</w:t>
      </w:r>
      <w:r w:rsidR="008031B8">
        <w:t xml:space="preserve"> and Shared Autonomous Vehicle (SAV) </w:t>
      </w:r>
      <w:r w:rsidR="008031B8">
        <w:fldChar w:fldCharType="begin" w:fldLock="1"/>
      </w:r>
      <w:r w:rsidR="00BB1448">
        <w:instrText>ADDIN CSL_CITATION {"citationItems":[{"id":"ITEM-1","itemData":{"DOI":"10.1016/J.TRC.2017.03.004","ISSN":"0968-090X","abstract":"Major technological and infrastructural changes over the next decades, such as the introduction of autonomous vehicles, implementation of mileage-based fees, carsharing and ridesharing are expected to have a profound impact on lifestyles and travel behavior. Current travel demand models are unable to predict long-range trends in travel behavior as they do not entail a mechanism that projects membership and market share of new modes of transport (Uber, Lyft, etc.). We propose integrating discrete choice and technology adoption models to address the aforementioned issue. In order to do so, we build on the formulation of discrete mixture models and specifically Latent Class Choice Models (LCCMs), which were integrated with a network effect model. The network effect model quantifies the impact of the spatial/network effect of the new technology on the utility of adoption. We adopted a confirmatory approach to estimating our dynamic LCCM based on findings from the technology diffusion literature that focus on defining two distinct types of adoptersinnovator/early adopters and imitators. LCCMs allow for heterogeneity in the utility of adoption for the various market segments i.e. innovators/early adopters, imitators and non-adopters. We make use of revealed preference (RP) time series data from a one-way carsharing system in a major city in the United States to estimate model parameters. The data entails a complete set of member enrollment for the carsharing service for a time period of 2.5 years after being launched. Consistent with the technology diffusion literature, our model identifies three latent classes whose utility of adoption have a well-defined set of preferences that are significant and behaviorally consistent. The technology adoption model predicts the probability that a certain individual will adopt the service at a certain time period, and is explained by social influences, network effect, socio-demographics and level-of-service attributes. Finally, the model was calibrated and then used to forecast adoption of the carsharing system for potential investment strategy scenarios. A couple of takeaways from the adoption forecasts were(1) placing a new station/pod for the carsharing system outside a major technology firm induces the highest expected increase in the monthly number of adopters; and (2) no significant difference in the expected number of monthly adopters for the downtown region will exist between having a station or on-street parking.","author":[{"dropping-particle":"","family":"Zarwi","given":"Feras","non-dropping-particle":"El","parse-names":false,"suffix":""},{"dropping-particle":"","family":"Vij","given":"Akshay","non-dropping-particle":"","parse-names":false,"suffix":""},{"dropping-particle":"","family":"Walker","given":"Joan L.","non-dropping-particle":"","parse-names":false,"suffix":""}],"container-title":"Transportation Research Part C: Emerging Technologies","id":"ITEM-1","issued":{"date-parts":[["2017","6","1"]]},"page":"207-223","publisher":"Pergamon","title":"A discrete choice framework for modeling and forecasting the adoption and diffusion of new transportation services","type":"article-journal","volume":"79"},"uris":["http://www.mendeley.com/documents/?uuid=b4594bed-2a0b-30d7-b828-e257951c5c24"]},{"id":"ITEM-2","itemData":{"DOI":"10.1016/J.JTRANGEO.2019.102547","ISSN":"0966-6923","abstract":"Increasing population and travel demand has prompted new efforts to model travel demand across the United States. One such model is rJourney that estimates travel demand among thousands of regions and models mode and destination choice. rJourney includes records representing 1.17 billion long-distance trips throughout the year 2010. Although inter-regional impacts caused by an increase of automated vehicles (AVs) has been investigated, there is little research on inter-regional travel and how longer distance destination and mode choices will change. Because of conveniences offered by AVs, the value of travel time of drivers is expected to fall, thus reducing the generalized cost of AV travel. To initially analyze the impacts of AVs in the United States, a new AV mode was added to a subset of the rJourney mode and destination choice models. With an initial scenario assuming an operating cost of AVs that is 118% of traditional cars, two outcomes are observed that are solely based on model results. First, the attractiveness of AVs severely digs into the airline travel market, reducing airline revenues to 53%. Second, the introduction of AVs results in a shift of destination choice, increasing travel in further distances for personal vehicles, but favoring closer distances across all modes, for an overall 6.7% decline in US passenger-miles traveled on existing long-distance trips. While this preliminary research has revealed an initial perspective on how an existing model can support AVs, the increasing availability of data as AVs emerge will refine nationwide long-distance modeling.","author":[{"dropping-particle":"","family":"Perrine","given":"Kenneth A.","non-dropping-particle":"","parse-names":false,"suffix":""},{"dropping-particle":"","family":"Kockelman","given":"Kara M.","non-dropping-particle":"","parse-names":false,"suffix":""},{"dropping-particle":"","family":"Huang","given":"Yantao","non-dropping-particle":"","parse-names":false,"suffix":""}],"container-title":"Journal of Transport Geography","id":"ITEM-2","issued":{"date-parts":[["2020","1","1"]]},"page":"102547","publisher":"Pergamon","title":"Anticipating long-distance travel shifts due to self-driving vehicles","type":"article-journal","volume":"82"},"uris":["http://www.mendeley.com/documents/?uuid=13c0eff4-54e3-33cc-a3ea-c3992bd3b018"]}],"mendeley":{"formattedCitation":"(&lt;i&gt;36&lt;/i&gt;, &lt;i&gt;37&lt;/i&gt;)","plainTextFormattedCitation":"(36, 37)","previouslyFormattedCitation":"(&lt;i&gt;36&lt;/i&gt;, &lt;i&gt;37&lt;/i&gt;)"},"properties":{"noteIndex":0},"schema":"https://github.com/citation-style-language/schema/raw/master/csl-citation.json"}</w:instrText>
      </w:r>
      <w:r w:rsidR="008031B8">
        <w:fldChar w:fldCharType="separate"/>
      </w:r>
      <w:r w:rsidR="0076717B" w:rsidRPr="0076717B">
        <w:rPr>
          <w:noProof/>
        </w:rPr>
        <w:t>(</w:t>
      </w:r>
      <w:r w:rsidR="0076717B" w:rsidRPr="0076717B">
        <w:rPr>
          <w:i/>
          <w:noProof/>
        </w:rPr>
        <w:t>36</w:t>
      </w:r>
      <w:r w:rsidR="0076717B" w:rsidRPr="0076717B">
        <w:rPr>
          <w:noProof/>
        </w:rPr>
        <w:t xml:space="preserve">, </w:t>
      </w:r>
      <w:r w:rsidR="0076717B" w:rsidRPr="0076717B">
        <w:rPr>
          <w:i/>
          <w:noProof/>
        </w:rPr>
        <w:t>37</w:t>
      </w:r>
      <w:r w:rsidR="0076717B" w:rsidRPr="0076717B">
        <w:rPr>
          <w:noProof/>
        </w:rPr>
        <w:t>)</w:t>
      </w:r>
      <w:r w:rsidR="008031B8">
        <w:fldChar w:fldCharType="end"/>
      </w:r>
      <w:r w:rsidR="00D23795">
        <w:t xml:space="preserve">. </w:t>
      </w:r>
      <w:r w:rsidR="00CC52A8">
        <w:t>The preferred approach employed at the disaggregate level is the Multinomial Logit Model (MNL) based on the random utility maximization approach</w:t>
      </w:r>
      <w:r w:rsidR="009E2E22">
        <w:t xml:space="preserve"> </w:t>
      </w:r>
      <w:r w:rsidR="007524A8">
        <w:fldChar w:fldCharType="begin" w:fldLock="1"/>
      </w:r>
      <w:r w:rsidR="00BB1448">
        <w:instrText>ADDIN CSL_CITATION {"citationItems":[{"id":"ITEM-1","itemData":{"DOI":"10.1016/J.JTRANGEO.2015.03.005","ISSN":"0966-6923","abstract":"In recent years, there has been increasing attention on bicycle-sharing systems (BSS) as a viable and sustainable mode of transportation for short trips. However, due to the relatively recent adoption of BSS, there is very little research exploring how people consider these systems within existing transportation options. Given recent BSS growth around the world, there is substantial interest in identifying contributing factors that encourage individuals to use these systems. The current study contributes to this growing literature by examining BSS behavior at the trip level to analyze bicyclists' destination preferences. Specifically, we study the decision process involved in identifying destination locations after picking up a bicycle at a BSS station, using a random utility maximization approach in the form of a multinomial logit model (MNL). The quantitative frameworks developed have been estimated using 2013 data from the Chicago's Divvy system. In our modeling effort, we distinguish between BSS users with annual membership and short-term customers with daily passes. The developed model should allow bicycle-sharing system operators to plan services more effectively by examining the impact of travel distance, land use, built environment, and access to public transportation infrastructure on users' destination preferences. Using the estimated model, we generated utility profiles as a function of distance and various other attributes, allowing us to represent visually the trade-offs that individuals make in the decision process. To illustrate further the applicability of the proposed framework for planning purposes, destination station-choice probability prediction is undertaken.","author":[{"dropping-particle":"","family":"Faghih-Imani","given":"Ahmadreza","non-dropping-particle":"","parse-names":false,"suffix":""},{"dropping-particle":"","family":"Eluru","given":"Naveen","non-dropping-particle":"","parse-names":false,"suffix":""}],"container-title":"Journal of Transport Geography","id":"ITEM-1","issued":{"date-parts":[["2015","4","1"]]},"page":"53-64","publisher":"Pergamon","title":"Analysing bicycle-sharing system user destination choice preferences: Chicago’s Divvy system","type":"article-journal","volume":"44"},"uris":["http://www.mendeley.com/documents/?uuid=dce32047-d4a3-365f-b2d6-637334296f73"]}],"mendeley":{"formattedCitation":"(&lt;i&gt;30&lt;/i&gt;)","plainTextFormattedCitation":"(30)","previouslyFormattedCitation":"(&lt;i&gt;30&lt;/i&gt;)"},"properties":{"noteIndex":0},"schema":"https://github.com/citation-style-language/schema/raw/master/csl-citation.json"}</w:instrText>
      </w:r>
      <w:r w:rsidR="007524A8">
        <w:fldChar w:fldCharType="separate"/>
      </w:r>
      <w:r w:rsidR="0076717B" w:rsidRPr="0076717B">
        <w:rPr>
          <w:noProof/>
        </w:rPr>
        <w:t>(</w:t>
      </w:r>
      <w:r w:rsidR="0076717B" w:rsidRPr="0076717B">
        <w:rPr>
          <w:i/>
          <w:noProof/>
        </w:rPr>
        <w:t>30</w:t>
      </w:r>
      <w:r w:rsidR="0076717B" w:rsidRPr="0076717B">
        <w:rPr>
          <w:noProof/>
        </w:rPr>
        <w:t>)</w:t>
      </w:r>
      <w:r w:rsidR="007524A8">
        <w:fldChar w:fldCharType="end"/>
      </w:r>
      <w:r w:rsidR="00CC52A8">
        <w:t xml:space="preserve">. </w:t>
      </w:r>
      <w:r w:rsidR="00E54FF1">
        <w:t xml:space="preserve">Other model </w:t>
      </w:r>
      <w:r w:rsidR="00B65068">
        <w:t>structures</w:t>
      </w:r>
      <w:r w:rsidR="00E54FF1">
        <w:t xml:space="preserve"> employed for analysis </w:t>
      </w:r>
      <w:r w:rsidR="007F398E">
        <w:t>o</w:t>
      </w:r>
      <w:r w:rsidR="00CE0D2D">
        <w:t xml:space="preserve">f destination </w:t>
      </w:r>
      <w:r w:rsidR="00620B67">
        <w:t>dimensions such as</w:t>
      </w:r>
      <w:r w:rsidR="00AC21EE">
        <w:t xml:space="preserve"> Traffic Analysis Zone (TAZ) </w:t>
      </w:r>
      <w:r w:rsidR="00AC21EE">
        <w:fldChar w:fldCharType="begin" w:fldLock="1"/>
      </w:r>
      <w:r w:rsidR="00BB1448">
        <w:instrText>ADDIN CSL_CITATION {"citationItems":[{"id":"ITEM-1","itemData":{"DOI":"10.1016/J.JTRANGEO.2010.03.013","ISSN":"0966-6923","abstract":"This paper presents a modeling methodology capable of accounting for spatial correlation across choice alternatives in discrete choice modeling applications. Many location choice (e.g., residential location, workplace location, destination location) modeling contexts involve choice sets where alternatives are spatially correlated with one another due to unobserved factors. In the presence of such spatial correlation, traditional discrete choice modeling methods that are often based on the assumption of independence among choice alternatives are not appropriate. In this paper, a Generalized Spatially Correlated Logit (GSCL) model that allows one to represent the degree of spatial correlation as a function of a multi-dimensional vector of attributes characterizing each pair of location choice alternatives is formulated and presented. The formulation of the GSCL model allows one to accommodate alternative correlation mechanisms rather than pre-imposing restrictive correlation assumptions on the location choice alternatives. The model is applied to the analysis of residential location choice behavior using a sample of households drawn from the 2000 San Francisco Bay Area Travel Survey (BATS) data set. Model estimation results obtained from the GSCL are compared against those obtained using the standard multinomial logit (MNL) model and the spatially correlated logit (SCL) model where only correlations across neighboring (or adjacent) alternatives are accommodated. Model findings suggest that there is significant spatial correlation across alternatives that do not share a common boundary, and that the GSCL offers the ability to more accurately capture spatial location choice behavior. © 2010 Elsevier Ltd.","author":[{"dropping-particle":"","family":"Sener","given":"Ipek N.","non-dropping-particle":"","parse-names":false,"suffix":""},{"dropping-particle":"","family":"Pendyala","given":"Ram M.","non-dropping-particle":"","parse-names":false,"suffix":""},{"dropping-particle":"","family":"Bhat","given":"Chandra R.","non-dropping-particle":"","parse-names":false,"suffix":""}],"container-title":"Journal of Transport Geography","id":"ITEM-1","issue":"2","issued":{"date-parts":[["2011","3","1"]]},"page":"294-303","publisher":"Pergamon","title":"Accommodating spatial correlation across choice alternatives in discrete choice models: an application to modeling residential location choice behavior","type":"article-journal","volume":"19"},"uris":["http://www.mendeley.com/documents/?uuid=8d8e410d-2970-359a-bf1e-5ec7f377c3d3"]}],"mendeley":{"formattedCitation":"(&lt;i&gt;38&lt;/i&gt;)","plainTextFormattedCitation":"(38)","previouslyFormattedCitation":"(&lt;i&gt;38&lt;/i&gt;)"},"properties":{"noteIndex":0},"schema":"https://github.com/citation-style-language/schema/raw/master/csl-citation.json"}</w:instrText>
      </w:r>
      <w:r w:rsidR="00AC21EE">
        <w:fldChar w:fldCharType="separate"/>
      </w:r>
      <w:r w:rsidR="0076717B" w:rsidRPr="0076717B">
        <w:rPr>
          <w:noProof/>
        </w:rPr>
        <w:t>(</w:t>
      </w:r>
      <w:r w:rsidR="0076717B" w:rsidRPr="0076717B">
        <w:rPr>
          <w:i/>
          <w:noProof/>
        </w:rPr>
        <w:t>38</w:t>
      </w:r>
      <w:r w:rsidR="0076717B" w:rsidRPr="0076717B">
        <w:rPr>
          <w:noProof/>
        </w:rPr>
        <w:t>)</w:t>
      </w:r>
      <w:r w:rsidR="00AC21EE">
        <w:fldChar w:fldCharType="end"/>
      </w:r>
      <w:r w:rsidR="00AC21EE">
        <w:t xml:space="preserve"> includes</w:t>
      </w:r>
      <w:r w:rsidR="00BB776F">
        <w:t xml:space="preserve"> a</w:t>
      </w:r>
      <w:r w:rsidR="00AC21EE">
        <w:t xml:space="preserve"> Generalized Spatially Correlated Logit</w:t>
      </w:r>
      <w:r w:rsidR="004C51BC">
        <w:t xml:space="preserve"> (GSCL)</w:t>
      </w:r>
      <w:r w:rsidR="00AC21EE">
        <w:t xml:space="preserve"> </w:t>
      </w:r>
      <w:r w:rsidR="004C51BC">
        <w:t>Model</w:t>
      </w:r>
      <w:r w:rsidR="00620B67">
        <w:t xml:space="preserve">. </w:t>
      </w:r>
      <w:r w:rsidR="0036224A">
        <w:t>In some studies, aggregate destination allocations are analyzed using Multiple Extreme Continuous Extreme Value (MDCEV) models</w:t>
      </w:r>
      <w:r w:rsidR="009E2E22">
        <w:t xml:space="preserve"> </w:t>
      </w:r>
      <w:r w:rsidR="007524A8">
        <w:fldChar w:fldCharType="begin" w:fldLock="1"/>
      </w:r>
      <w:r w:rsidR="00BB1448">
        <w:instrText>ADDIN CSL_CITATION {"citationItems":[{"id":"ITEM-1","itemData":{"DOI":"10.1016/J.TRA.2020.12.014","ISSN":"0965-8564","abstract":"Given the burgeoning growth in bikeshare system installations and their growing adoption for trip making, it is important to develop modeling frameworks to understand bikeshare demand flows in the system. The current study examines two choice dimensions for capturing the system level bikeshare system demand: (1) total station level demand and (2) distribution of bike flows from an origin station across the network. A linear mixed model is used to estimate the first choice and Multiple Discrete Continuous Extreme Value (MDCEV) model is used to analyze the latter. The data is drawn from the New York City bikeshare system (CitiBike) for six months (January through June 2017). For our analysis, we examine demand and distribution patterns on a weekly basis controlling for a host of independent variables (trip, socio-demographics, bicycle infrastructure, land use and built environment, temporal and weather). Model validation exercise results revealed that the proposed model performs well for low demand destinations. A policy exercise evaluating destination choice behavior demonstrated how the impact of distance is compensated by additional bicycling infrastructure in the farther locations. The results from the study help bikesharing system planners and operators to better evaluate and improve bikeshare systems.","author":[{"dropping-particle":"","family":"Kumar Dey","given":"Bibhas","non-dropping-particle":"","parse-names":false,"suffix":""},{"dropping-particle":"","family":"Anowar","given":"Sabreena","non-dropping-particle":"","parse-names":false,"suffix":""},{"dropping-particle":"","family":"Eluru","given":"Naveen","non-dropping-particle":"","parse-names":false,"suffix":""}],"container-title":"Transportation Research Part A: Policy and Practice","id":"ITEM-1","issued":{"date-parts":[["2021","2","1"]]},"page":"119-133","publisher":"Pergamon","title":"A framework for estimating bikeshare origin destination flows using a multiple discrete continuous system","type":"article-journal","volume":"144"},"uris":["http://www.mendeley.com/documents/?uuid=842a215b-ed2c-35d6-89e6-bb84df4fad29"]}],"mendeley":{"formattedCitation":"(&lt;i&gt;32&lt;/i&gt;)","plainTextFormattedCitation":"(32)","previouslyFormattedCitation":"(&lt;i&gt;32&lt;/i&gt;)"},"properties":{"noteIndex":0},"schema":"https://github.com/citation-style-language/schema/raw/master/csl-citation.json"}</w:instrText>
      </w:r>
      <w:r w:rsidR="007524A8">
        <w:fldChar w:fldCharType="separate"/>
      </w:r>
      <w:r w:rsidR="0076717B" w:rsidRPr="0076717B">
        <w:rPr>
          <w:noProof/>
        </w:rPr>
        <w:t>(</w:t>
      </w:r>
      <w:r w:rsidR="0076717B" w:rsidRPr="0076717B">
        <w:rPr>
          <w:i/>
          <w:noProof/>
        </w:rPr>
        <w:t>32</w:t>
      </w:r>
      <w:r w:rsidR="0076717B" w:rsidRPr="0076717B">
        <w:rPr>
          <w:noProof/>
        </w:rPr>
        <w:t>)</w:t>
      </w:r>
      <w:r w:rsidR="007524A8">
        <w:fldChar w:fldCharType="end"/>
      </w:r>
      <w:r w:rsidR="0036224A">
        <w:t xml:space="preserve">. </w:t>
      </w:r>
      <w:r w:rsidR="002A26C1">
        <w:t xml:space="preserve">Important findings on destination choice preferences include: (a) destination choice is highly correlated with employment status </w:t>
      </w:r>
      <w:r w:rsidR="007524A8">
        <w:fldChar w:fldCharType="begin" w:fldLock="1"/>
      </w:r>
      <w:r w:rsidR="00BB1448">
        <w:instrText>ADDIN CSL_CITATION {"citationItems":[{"id":"ITEM-1","itemData":{"DOI":"10.3929/ETHZ-A-005226366","ISBN":"8646562670","author":[{"dropping-particle":"","family":"Schönfelder","given":"Stefan ;","non-dropping-particle":"","parse-names":false,"suffix":""},{"dropping-particle":"","family":"Li","given":"Hainan ;","non-dropping-particle":"","parse-names":false,"suffix":""},{"dropping-particle":"","family":"Guensler","given":"Randali ;","non-dropping-particle":"","parse-names":false,"suffix":""},{"dropping-particle":"","family":"Ogle","given":"Jennifer ;","non-dropping-particle":"","parse-names":false,"suffix":""},{"dropping-particle":"","family":"Axhausen","given":"Kay W","non-dropping-particle":"","parse-names":false,"suffix":""}],"container-title":"Arbeitsberichte Verkehrs- und Raumplanung","id":"ITEM-1","issued":{"date-parts":[["2006"]]},"publisher":"ETH, Eidgenössische Technische Hochschule Zürich, IVT, Institut für Verkehrsplanung und Transportsysteme","title":"Analysis of commute Atlanta instrumented vehicle GPS data","type":"article-journal","volume":"350"},"uris":["http://www.mendeley.com/documents/?uuid=eb6178fe-af70-3adb-9d03-0d44cd45b3e1"]}],"mendeley":{"formattedCitation":"(&lt;i&gt;39&lt;/i&gt;)","plainTextFormattedCitation":"(39)","previouslyFormattedCitation":"(&lt;i&gt;39&lt;/i&gt;)"},"properties":{"noteIndex":0},"schema":"https://github.com/citation-style-language/schema/raw/master/csl-citation.json"}</w:instrText>
      </w:r>
      <w:r w:rsidR="007524A8">
        <w:fldChar w:fldCharType="separate"/>
      </w:r>
      <w:r w:rsidR="0076717B" w:rsidRPr="0076717B">
        <w:rPr>
          <w:noProof/>
        </w:rPr>
        <w:t>(</w:t>
      </w:r>
      <w:r w:rsidR="0076717B" w:rsidRPr="0076717B">
        <w:rPr>
          <w:i/>
          <w:noProof/>
        </w:rPr>
        <w:t>39</w:t>
      </w:r>
      <w:r w:rsidR="0076717B" w:rsidRPr="0076717B">
        <w:rPr>
          <w:noProof/>
        </w:rPr>
        <w:t>)</w:t>
      </w:r>
      <w:r w:rsidR="007524A8">
        <w:fldChar w:fldCharType="end"/>
      </w:r>
      <w:r w:rsidR="002A26C1">
        <w:t xml:space="preserve">, (b) </w:t>
      </w:r>
      <w:r w:rsidR="007575AA">
        <w:t xml:space="preserve">presence of high </w:t>
      </w:r>
      <w:r w:rsidR="002A26C1">
        <w:t>demand i</w:t>
      </w:r>
      <w:r w:rsidR="007575AA">
        <w:t>n the neighborhood is a strong contributor of demand</w:t>
      </w:r>
      <w:r w:rsidR="00F02BE3">
        <w:t xml:space="preserve"> </w:t>
      </w:r>
      <w:r w:rsidR="00F02BE3">
        <w:fldChar w:fldCharType="begin" w:fldLock="1"/>
      </w:r>
      <w:r w:rsidR="00BB1448">
        <w:instrText>ADDIN CSL_CITATION {"citationItems":[{"id":"ITEM-1","itemData":{"DOI":"10.1016/J.TRA.2020.12.014","ISSN":"0965-8564","abstract":"Given the burgeoning growth in bikeshare system installations and their growing adoption for trip making, it is important to develop modeling frameworks to understand bikeshare demand flows in the system. The current study examines two choice dimensions for capturing the system level bikeshare system demand: (1) total station level demand and (2) distribution of bike flows from an origin station across the network. A linear mixed model is used to estimate the first choice and Multiple Discrete Continuous Extreme Value (MDCEV) model is used to analyze the latter. The data is drawn from the New York City bikeshare system (CitiBike) for six months (January through June 2017). For our analysis, we examine demand and distribution patterns on a weekly basis controlling for a host of independent variables (trip, socio-demographics, bicycle infrastructure, land use and built environment, temporal and weather). Model validation exercise results revealed that the proposed model performs well for low demand destinations. A policy exercise evaluating destination choice behavior demonstrated how the impact of distance is compensated by additional bicycling infrastructure in the farther locations. The results from the study help bikesharing system planners and operators to better evaluate and improve bikeshare systems.","author":[{"dropping-particle":"","family":"Kumar Dey","given":"Bibhas","non-dropping-particle":"","parse-names":false,"suffix":""},{"dropping-particle":"","family":"Anowar","given":"Sabreena","non-dropping-particle":"","parse-names":false,"suffix":""},{"dropping-particle":"","family":"Eluru","given":"Naveen","non-dropping-particle":"","parse-names":false,"suffix":""}],"container-title":"Transportation Research Part A: Policy and Practice","id":"ITEM-1","issued":{"date-parts":[["2021","2","1"]]},"page":"119-133","publisher":"Pergamon","title":"A framework for estimating bikeshare origin destination flows using a multiple discrete continuous system","type":"article-journal","volume":"144"},"uris":["http://www.mendeley.com/documents/?uuid=842a215b-ed2c-35d6-89e6-bb84df4fad29"]}],"mendeley":{"formattedCitation":"(&lt;i&gt;32&lt;/i&gt;)","plainTextFormattedCitation":"(32)","previouslyFormattedCitation":"(&lt;i&gt;32&lt;/i&gt;)"},"properties":{"noteIndex":0},"schema":"https://github.com/citation-style-language/schema/raw/master/csl-citation.json"}</w:instrText>
      </w:r>
      <w:r w:rsidR="00F02BE3">
        <w:fldChar w:fldCharType="separate"/>
      </w:r>
      <w:r w:rsidR="0076717B" w:rsidRPr="0076717B">
        <w:rPr>
          <w:noProof/>
        </w:rPr>
        <w:t>(</w:t>
      </w:r>
      <w:r w:rsidR="0076717B" w:rsidRPr="0076717B">
        <w:rPr>
          <w:i/>
          <w:noProof/>
        </w:rPr>
        <w:t>32</w:t>
      </w:r>
      <w:r w:rsidR="0076717B" w:rsidRPr="0076717B">
        <w:rPr>
          <w:noProof/>
        </w:rPr>
        <w:t>)</w:t>
      </w:r>
      <w:r w:rsidR="00F02BE3">
        <w:fldChar w:fldCharType="end"/>
      </w:r>
      <w:r w:rsidR="007575AA">
        <w:t>, (c)</w:t>
      </w:r>
      <w:r w:rsidR="003F0E42">
        <w:t xml:space="preserve">lower </w:t>
      </w:r>
      <w:r w:rsidR="00700536">
        <w:t xml:space="preserve">fare </w:t>
      </w:r>
      <w:r w:rsidR="003F0E42">
        <w:t>price increases the utility of a destination</w:t>
      </w:r>
      <w:r w:rsidR="007B7756">
        <w:t xml:space="preserve"> </w:t>
      </w:r>
      <w:r w:rsidR="007B7756">
        <w:fldChar w:fldCharType="begin" w:fldLock="1"/>
      </w:r>
      <w:r w:rsidR="00BB1448">
        <w:instrText>ADDIN CSL_CITATION {"citationItems":[{"id":"ITEM-1","itemData":{"DOI":"10.1016/J.TOURMAN.2008.01.004","ISSN":"0261-5177","abstract":"The literature of destination choice has so far studied multi-stage decision making processes that are more representative of the general choice behavior of tourists (e.g. going on vacation, going abroad, and destination country). Alternatively, this study proposes a multi-stage decision process to the choice of tourist destination types (going on vacation, coastal character, and urban character of the destination) as these choice sets are more idiosyncratic to tourists who prefer a specific type of tourist destination (e.g. Spain with clear coastal and inland variations). In order to test this multi-stage choice process as well as the sequential order of both decisions, coastal character and urban character, the current study analyses decision processes vs. different hierarchical multi-stage processes (going on vacation and coastal character preceding urban character; and going on vacation and urban character preceding coastal character). The empirical findings support the existence of a multi-stage choice process where coastal character precedes the urban character destination choice. The main implication of these findings is that, given the limited human analytical capability, a hierarchical choice process can be useful to handle the information overload and the complexity inherent to the destination type choice. © 2008 Elsevier Ltd. All rights reserved.","author":[{"dropping-particle":"","family":"Nicolau","given":"Juan L.","non-dropping-particle":"","parse-names":false,"suffix":""},{"dropping-particle":"","family":"Más","given":"Francisco J.","non-dropping-particle":"","parse-names":false,"suffix":""}],"container-title":"Tourism Management","id":"ITEM-1","issue":"5","issued":{"date-parts":[["2008","10","1"]]},"page":"1023-1034","publisher":"Pergamon","title":"Sequential choice behavior: Going on vacation and type of destination","type":"article-journal","volume":"29"},"uris":["http://www.mendeley.com/documents/?uuid=8bc080b0-5af8-3bfa-a8ab-1c09c14a818b"]}],"mendeley":{"formattedCitation":"(&lt;i&gt;40&lt;/i&gt;)","plainTextFormattedCitation":"(40)","previouslyFormattedCitation":"(&lt;i&gt;40&lt;/i&gt;)"},"properties":{"noteIndex":0},"schema":"https://github.com/citation-style-language/schema/raw/master/csl-citation.json"}</w:instrText>
      </w:r>
      <w:r w:rsidR="007B7756">
        <w:fldChar w:fldCharType="separate"/>
      </w:r>
      <w:r w:rsidR="0076717B" w:rsidRPr="0076717B">
        <w:rPr>
          <w:noProof/>
        </w:rPr>
        <w:t>(</w:t>
      </w:r>
      <w:r w:rsidR="0076717B" w:rsidRPr="0076717B">
        <w:rPr>
          <w:i/>
          <w:noProof/>
        </w:rPr>
        <w:t>40</w:t>
      </w:r>
      <w:r w:rsidR="0076717B" w:rsidRPr="0076717B">
        <w:rPr>
          <w:noProof/>
        </w:rPr>
        <w:t>)</w:t>
      </w:r>
      <w:r w:rsidR="007B7756">
        <w:fldChar w:fldCharType="end"/>
      </w:r>
      <w:r w:rsidR="00301937">
        <w:t xml:space="preserve">, (d) duration of stay and home location </w:t>
      </w:r>
      <w:r w:rsidR="00B97831">
        <w:t xml:space="preserve">prior to the activity </w:t>
      </w:r>
      <w:r w:rsidR="00301937">
        <w:t>affect destination choice</w:t>
      </w:r>
      <w:r w:rsidR="007B7756">
        <w:t xml:space="preserve"> </w:t>
      </w:r>
      <w:r w:rsidR="007B7756">
        <w:fldChar w:fldCharType="begin" w:fldLock="1"/>
      </w:r>
      <w:r w:rsidR="00BB1448">
        <w:instrText>ADDIN CSL_CITATION {"citationItems":[{"id":"ITEM-1","itemData":{"DOI":"10.3141/1645-10","ISSN":"03611981","abstract":"Multinomial logit destination choice models are developed and the following hypotheses are examined: (a) time of day affects destination choice behavior, (b) the duration of stay at the destination...","author":[{"dropping-particle":"","family":"Kitamura","given":"Ryuichi","non-dropping-particle":"","parse-names":false,"suffix":""},{"dropping-particle":"","family":"Chen","given":"Cynthia","non-dropping-particle":"","parse-names":false,"suffix":""},{"dropping-particle":"","family":"Narayanan","given":"Ravi","non-dropping-particle":"","parse-names":false,"suffix":""}],"container-title":"https://doi.org/10.3141/1645-10","id":"ITEM-1","issue":"1645","issued":{"date-parts":[["1998","1","1"]]},"page":"76-81","publisher":"SAGE PublicationsSage CA: Los Angeles, CA","title":"Traveler Destination Choice Behavior: Effects of Time of Day, Activity Duration, and Home Location:","type":"article-journal"},"uris":["http://www.mendeley.com/documents/?uuid=774d8556-6153-3626-b166-fb76b1f2a830"]}],"mendeley":{"formattedCitation":"(&lt;i&gt;41&lt;/i&gt;)","plainTextFormattedCitation":"(41)","previouslyFormattedCitation":"(&lt;i&gt;41&lt;/i&gt;)"},"properties":{"noteIndex":0},"schema":"https://github.com/citation-style-language/schema/raw/master/csl-citation.json"}</w:instrText>
      </w:r>
      <w:r w:rsidR="007B7756">
        <w:fldChar w:fldCharType="separate"/>
      </w:r>
      <w:r w:rsidR="0076717B" w:rsidRPr="0076717B">
        <w:rPr>
          <w:noProof/>
        </w:rPr>
        <w:t>(</w:t>
      </w:r>
      <w:r w:rsidR="0076717B" w:rsidRPr="0076717B">
        <w:rPr>
          <w:i/>
          <w:noProof/>
        </w:rPr>
        <w:t>41</w:t>
      </w:r>
      <w:r w:rsidR="0076717B" w:rsidRPr="0076717B">
        <w:rPr>
          <w:noProof/>
        </w:rPr>
        <w:t>)</w:t>
      </w:r>
      <w:r w:rsidR="007B7756">
        <w:fldChar w:fldCharType="end"/>
      </w:r>
      <w:r w:rsidR="00301937">
        <w:t>,</w:t>
      </w:r>
      <w:r w:rsidR="007B7756">
        <w:t xml:space="preserve"> </w:t>
      </w:r>
      <w:r w:rsidR="00B97831">
        <w:t xml:space="preserve">and </w:t>
      </w:r>
      <w:r w:rsidR="007B7756">
        <w:t xml:space="preserve">(e) destination choice behavior is influenced by the </w:t>
      </w:r>
      <w:r w:rsidR="00E26E0A">
        <w:t xml:space="preserve">perceived </w:t>
      </w:r>
      <w:r w:rsidR="007B7756">
        <w:t xml:space="preserve">destination image from </w:t>
      </w:r>
      <w:r w:rsidR="00516F8F">
        <w:t xml:space="preserve">individual’s </w:t>
      </w:r>
      <w:r w:rsidR="007B7756">
        <w:t xml:space="preserve">social network </w:t>
      </w:r>
      <w:r w:rsidR="007B7756">
        <w:fldChar w:fldCharType="begin" w:fldLock="1"/>
      </w:r>
      <w:r w:rsidR="00BB1448">
        <w:instrText>ADDIN CSL_CITATION {"citationItems":[{"id":"ITEM-1","itemData":{"DOI":"10.1016/J.TOURMAN.2020.104217","ISSN":"0261-5177","abstract":"This paper aims to investigate tourist destination choice, focusing on the research question how and to what extent the destination images of tourists' social network members influence their choice behavior. To this end, data were collected using a sequential stated adaptation choice experiment, in which respondents were requested to choose a tourist destination from a single choice set twice, once before and once after being informed about the destination image of social network members. A discrete choice model was estimated to investigate tourists’ choices. The estimation results revealed that the destination image of social network members allow tourists to update their existing knowledge toward destinations, through which their choice behavior is influenced. Tourists tend to adopt their destination image of social network members no matter whether they have a prior image or not. The magnitude of this social influence depends on the properties of the social networks.","author":[{"dropping-particle":"","family":"Pan","given":"Xiaofeng","non-dropping-particle":"","parse-names":false,"suffix":""},{"dropping-particle":"","family":"Rasouli","given":"Soora","non-dropping-particle":"","parse-names":false,"suffix":""},{"dropping-particle":"","family":"Timmermans","given":"Harry","non-dropping-particle":"","parse-names":false,"suffix":""}],"container-title":"Tourism Management","id":"ITEM-1","issued":{"date-parts":[["2021","4","1"]]},"page":"104217","publisher":"Pergamon","title":"Investigating tourist destination choice: Effect of destination image from social network members","type":"article-journal","volume":"83"},"uris":["http://www.mendeley.com/documents/?uuid=9ab1ce62-3961-312e-9970-00f0b6e38b9a"]}],"mendeley":{"formattedCitation":"(&lt;i&gt;42&lt;/i&gt;)","plainTextFormattedCitation":"(42)","previouslyFormattedCitation":"(&lt;i&gt;42&lt;/i&gt;)"},"properties":{"noteIndex":0},"schema":"https://github.com/citation-style-language/schema/raw/master/csl-citation.json"}</w:instrText>
      </w:r>
      <w:r w:rsidR="007B7756">
        <w:fldChar w:fldCharType="separate"/>
      </w:r>
      <w:r w:rsidR="0076717B" w:rsidRPr="0076717B">
        <w:rPr>
          <w:noProof/>
        </w:rPr>
        <w:t>(</w:t>
      </w:r>
      <w:r w:rsidR="0076717B" w:rsidRPr="0076717B">
        <w:rPr>
          <w:i/>
          <w:noProof/>
        </w:rPr>
        <w:t>42</w:t>
      </w:r>
      <w:r w:rsidR="0076717B" w:rsidRPr="0076717B">
        <w:rPr>
          <w:noProof/>
        </w:rPr>
        <w:t>)</w:t>
      </w:r>
      <w:r w:rsidR="007B7756">
        <w:fldChar w:fldCharType="end"/>
      </w:r>
      <w:r w:rsidR="00B65FB6">
        <w:t>.</w:t>
      </w:r>
      <w:r w:rsidR="003F0E42">
        <w:t xml:space="preserve"> </w:t>
      </w:r>
    </w:p>
    <w:p w14:paraId="58A6BE17" w14:textId="77777777" w:rsidR="00761522" w:rsidRDefault="00761522" w:rsidP="00DA79B8">
      <w:pPr>
        <w:spacing w:after="0"/>
      </w:pPr>
    </w:p>
    <w:p w14:paraId="7046499C" w14:textId="6C04B067" w:rsidR="00933E3A" w:rsidRDefault="00546CA9" w:rsidP="001D4A7A">
      <w:pPr>
        <w:pStyle w:val="Heading2"/>
      </w:pPr>
      <w:r>
        <w:lastRenderedPageBreak/>
        <w:t>Contribution</w:t>
      </w:r>
      <w:r w:rsidR="00360C46">
        <w:t>s</w:t>
      </w:r>
      <w:r>
        <w:t xml:space="preserve"> of the </w:t>
      </w:r>
      <w:r w:rsidR="00360C46">
        <w:t xml:space="preserve">Current </w:t>
      </w:r>
      <w:r w:rsidR="00B92CA8">
        <w:t>Study</w:t>
      </w:r>
    </w:p>
    <w:p w14:paraId="743D17BA" w14:textId="2B48F660" w:rsidR="004570D2" w:rsidRDefault="00067402" w:rsidP="004834A1">
      <w:r>
        <w:t xml:space="preserve">Several studies have recognized that pricing algorithms are influenced by </w:t>
      </w:r>
      <w:proofErr w:type="spellStart"/>
      <w:r>
        <w:t>spatio</w:t>
      </w:r>
      <w:proofErr w:type="spellEnd"/>
      <w:r>
        <w:t xml:space="preserve">-temporal demand </w:t>
      </w:r>
      <w:r w:rsidR="00485500">
        <w:t>(such as demand at origin in preceding 15 minutes)</w:t>
      </w:r>
      <w:r>
        <w:t xml:space="preserve">, </w:t>
      </w:r>
      <w:r w:rsidR="00E43C30">
        <w:t xml:space="preserve">origin and destination </w:t>
      </w:r>
      <w:r>
        <w:t xml:space="preserve">land use and built environment factors, transportation infrastructure attributes, and weather attributes </w:t>
      </w:r>
      <w:r>
        <w:fldChar w:fldCharType="begin" w:fldLock="1"/>
      </w:r>
      <w:r w:rsidR="00BB1448">
        <w:instrText>ADDIN CSL_CITATION {"citationItems":[{"id":"ITEM-1","itemData":{"DOI":"10.1016/J.TRC.2018.04.015","ISSN":"0968-090X","abstract":"This paper develops a model to investigate the effects of spatial pricing on ride-sourcing markets. The model is built upon a discrete time geometric matching framework that matches customers with drivers nearby. We demonstrate that a customer may be matched to a distant vehicle when demand surges, yielding an inefficient supply state. We further investigate market equilibrium under spatial pricing assuming a revenue maximizing platform, and find that the platform may resort to relatively higher price to avoid the inefficient supply state if spatial price differentiation is not allowed. Although spatial pricing facilitates market clearing, the platform may still set price more than the efficient level, which compromises the public interest. We then propose a commission rate cap regulation that reaps the flexibility of spatial pricing and can achieve the second best under some homogeneity assumptions.","author":[{"dropping-particle":"","family":"Zha","given":"Liteng","non-dropping-particle":"","parse-names":false,"suffix":""},{"dropping-particle":"","family":"Yin","given":"Yafeng","non-dropping-particle":"","parse-names":false,"suffix":""},{"dropping-particle":"","family":"Xu","given":"Zhengtian","non-dropping-particle":"","parse-names":false,"suffix":""}],"container-title":"Transportation Research Part C: Emerging Technologies","id":"ITEM-1","issued":{"date-parts":[["2018","7","1"]]},"page":"58-75","publisher":"Pergamon","title":"Geometric matching and spatial pricing in ride-sourcing markets","type":"article-journal","volume":"92"},"uris":["http://www.mendeley.com/documents/?uuid=9b7ae189-f5d6-331a-977b-171d1719226d"]},{"id":"ITEM-2","itemData":{"DOI":"10.1287/OPRE.2018.1800","ISSN":"15265463","abstract":"Motivated by the prevalence of ride-sharing platforms, in “Spatial Pricing in Ride-Sharing Networks,” Bimpikis, Candogan, and Saban explore the impact of the demand pattern for rides across a netwo...","author":[{"dropping-particle":"","family":"Bimpikis","given":"Kostas","non-dropping-particle":"","parse-names":false,"suffix":""},{"dropping-particle":"","family":"Candogan","given":"Ozan","non-dropping-particle":"","parse-names":false,"suffix":""},{"dropping-particle":"","family":"Saban","given":"Daniela","non-dropping-particle":"","parse-names":false,"suffix":""}],"container-title":"https://doi.org/10.1287/opre.2018.1800","id":"ITEM-2","issue":"3","issued":{"date-parts":[["2019","5","3"]]},"page":"744-769","publisher":"INFORMS","title":"Spatial Pricing in Ride-Sharing Networks","type":"article-journal","volume":"67"},"uris":["http://www.mendeley.com/documents/?uuid=80685324-3fc0-3e98-a740-b40cb8916066"]}],"mendeley":{"formattedCitation":"(&lt;i&gt;24&lt;/i&gt;, &lt;i&gt;43&lt;/i&gt;)","plainTextFormattedCitation":"(24, 43)","previouslyFormattedCitation":"(&lt;i&gt;24&lt;/i&gt;, &lt;i&gt;43&lt;/i&gt;)"},"properties":{"noteIndex":0},"schema":"https://github.com/citation-style-language/schema/raw/master/csl-citation.json"}</w:instrText>
      </w:r>
      <w:r>
        <w:fldChar w:fldCharType="separate"/>
      </w:r>
      <w:r w:rsidR="0076717B" w:rsidRPr="0076717B">
        <w:rPr>
          <w:noProof/>
        </w:rPr>
        <w:t>(</w:t>
      </w:r>
      <w:r w:rsidR="0076717B" w:rsidRPr="0076717B">
        <w:rPr>
          <w:i/>
          <w:noProof/>
        </w:rPr>
        <w:t>24</w:t>
      </w:r>
      <w:r w:rsidR="0076717B" w:rsidRPr="0076717B">
        <w:rPr>
          <w:noProof/>
        </w:rPr>
        <w:t xml:space="preserve">, </w:t>
      </w:r>
      <w:r w:rsidR="0076717B" w:rsidRPr="0076717B">
        <w:rPr>
          <w:i/>
          <w:noProof/>
        </w:rPr>
        <w:t>43</w:t>
      </w:r>
      <w:r w:rsidR="0076717B" w:rsidRPr="0076717B">
        <w:rPr>
          <w:noProof/>
        </w:rPr>
        <w:t>)</w:t>
      </w:r>
      <w:r>
        <w:fldChar w:fldCharType="end"/>
      </w:r>
      <w:r>
        <w:t xml:space="preserve">. However, none of the earlier research studies have incorporated a wide range of attributes in modeling </w:t>
      </w:r>
      <w:r w:rsidR="00546CA9">
        <w:t xml:space="preserve">TNC </w:t>
      </w:r>
      <w:r>
        <w:t xml:space="preserve">fare. </w:t>
      </w:r>
      <w:r w:rsidR="00011EA1">
        <w:t xml:space="preserve">The </w:t>
      </w:r>
      <w:r w:rsidR="00011EA1" w:rsidRPr="00755C33">
        <w:rPr>
          <w:u w:val="single"/>
        </w:rPr>
        <w:t>first contribution</w:t>
      </w:r>
      <w:r w:rsidR="00011EA1">
        <w:t xml:space="preserve"> of our study is to develop a comprehensive trip fare model while accounting for a host of independent variables. </w:t>
      </w:r>
      <w:r w:rsidR="00F9184F">
        <w:t xml:space="preserve">In this study, we recognize that trip fare values are closely aligned with trip destination. Hence, the </w:t>
      </w:r>
      <w:r w:rsidR="00F9184F" w:rsidRPr="00755C33">
        <w:rPr>
          <w:u w:val="single"/>
        </w:rPr>
        <w:t>second contribution</w:t>
      </w:r>
      <w:r w:rsidR="00F9184F">
        <w:t xml:space="preserve"> of our study is to develop a joint model system that accounts for common unobserved factors affecting </w:t>
      </w:r>
      <w:r w:rsidR="00FC7A0D">
        <w:t>fare and destination. The study develops a joint linear regression</w:t>
      </w:r>
      <w:r w:rsidR="0075203F">
        <w:t xml:space="preserve"> (LR)</w:t>
      </w:r>
      <w:r w:rsidR="00FC7A0D">
        <w:t xml:space="preserve"> for fare</w:t>
      </w:r>
      <w:r w:rsidR="0075203F">
        <w:t xml:space="preserve"> </w:t>
      </w:r>
      <w:r w:rsidR="00FC7A0D">
        <w:t>and multinomial logit</w:t>
      </w:r>
      <w:r w:rsidR="0075203F">
        <w:t xml:space="preserve"> (MNL)</w:t>
      </w:r>
      <w:r w:rsidR="00FC7A0D">
        <w:t xml:space="preserve"> model for destination</w:t>
      </w:r>
      <w:r w:rsidR="00BE7EE6">
        <w:t xml:space="preserve"> labelled as the LR-MNL model</w:t>
      </w:r>
      <w:r w:rsidR="00FC7A0D">
        <w:t xml:space="preserve">. </w:t>
      </w:r>
      <w:r w:rsidR="00C36CD7">
        <w:t>The model system is developed using TNC trip data from Chicago</w:t>
      </w:r>
      <w:r w:rsidR="009B3811">
        <w:t xml:space="preserve"> for the year 2019</w:t>
      </w:r>
      <w:r w:rsidR="00C36CD7">
        <w:t>.</w:t>
      </w:r>
      <w:r w:rsidR="00440DE5">
        <w:t xml:space="preserve"> </w:t>
      </w:r>
      <w:r w:rsidR="00C36CD7">
        <w:t xml:space="preserve"> </w:t>
      </w:r>
      <w:r w:rsidR="00F858E3">
        <w:t xml:space="preserve">Chicago data has been employed in the literature to study </w:t>
      </w:r>
      <w:r w:rsidR="0075203F">
        <w:t xml:space="preserve">various TNC dimensions including </w:t>
      </w:r>
      <w:r w:rsidR="00F858E3">
        <w:t>spatial demand variations</w:t>
      </w:r>
      <w:r w:rsidR="0064581F">
        <w:t xml:space="preserve"> and willingness to use pool alternative</w:t>
      </w:r>
      <w:r w:rsidR="00EB3F46">
        <w:t xml:space="preserve"> </w:t>
      </w:r>
      <w:r w:rsidR="00FF7271">
        <w:fldChar w:fldCharType="begin" w:fldLock="1"/>
      </w:r>
      <w:r w:rsidR="00BB1448">
        <w:instrText>ADDIN CSL_CITATION {"citationItems":[{"id":"ITEM-1","itemData":{"DOI":"10.1016/J.JTRANGEO.2020.102944","ISSN":"0966-6923","abstract":"As ride-hailing becomes more common in cities, public agencies increasingly seek transportation network company (TNC) service data to understand (and potentially regulate) demand and service response. Despite the increase in ride-hailing or TNC demand and subsequent research into its determinants, there remains little research on shared TNC trips and the spatial distribution of trip demand across demographic and land use variables. Using Chicago as a case study, shared TNC trip data from 2019 was used to estimate the count and ratio of shared ride services, based on built environment, demographic, location, time of day, and trip details. Findings reveal that trip length, day of week designation, density of pedestrian and multi-modal infrastructure, and underlying socioeconomic characteristics of the origin zones influence the proportion and count of shared ride-hail trips. Of concern is that those using transit or active modes may be taking more ride-hailing trips, but these Chicago-region results indicate that the provision of pedestrian infrastructure and remoteness to transit stops result in fewer shared trips.","author":[{"dropping-particle":"","family":"Dean","given":"Matthew D.","non-dropping-particle":"","parse-names":false,"suffix":""},{"dropping-particle":"","family":"Kockelman","given":"Kara M.","non-dropping-particle":"","parse-names":false,"suffix":""}],"container-title":"Journal of Transport Geography","id":"ITEM-1","issued":{"date-parts":[["2021","2","1"]]},"page":"102944","publisher":"Pergamon","title":"Spatial variation in shared ride-hail trip demand and factors contributing to sharing: Lessons from Chicago","type":"article-journal","volume":"91"},"uris":["http://www.mendeley.com/documents/?uuid=b5a9db5c-50cd-33ec-9000-064c28eced3d"]},{"id":"ITEM-2","itemData":{"DOI":"10.1177/0361198120915886","ISSN":"21694052","abstract":"In the past decade, transportation network companies (TNCs) such as Uber, Lyft, and Via have established themselves as a viable transportation alternative to other modes. However, the popularity of...","author":[{"dropping-particle":"","family":"Hou","given":"Yi","non-dropping-particle":"","parse-names":false,"suffix":""},{"dropping-particle":"","family":"Garikapati","given":"Venu","non-dropping-particle":"","parse-names":false,"suffix":""},{"dropping-particle":"","family":"Weigl","given":"Dustin","non-dropping-particle":"","parse-names":false,"suffix":""},{"dropping-particle":"","family":"Henao","given":"Alejandro","non-dropping-particle":"","parse-names":false,"suffix":""},{"dropping-particle":"","family":"Moniot","given":"Matthew","non-dropping-particle":"","parse-names":false,"suffix":""},{"dropping-particle":"","family":"Sperling","given":"Joshua","non-dropping-particle":"","parse-names":false,"suffix":""}],"container-title":"https://doi.org/10.1177/0361198120915886","id":"ITEM-2","issue":"5","issued":{"date-parts":[["2020","5","1"]]},"page":"419-429","publisher":"SAGE PublicationsSage CA: Los Angeles, CA","title":"Factors Influencing Willingness to Pool in Ride-Hailing Trips:","type":"article-journal","volume":"2674"},"uris":["http://www.mendeley.com/documents/?uuid=880e4206-6c1c-3d46-9dc9-0bb19e6c81f2"]},{"id":"ITEM-3","itemData":{"DOI":"10.1016/J.CSTP.2021.11.010","ISSN":"2213-624X","abstract":"With the rapid increase in ride-hailing, a need to better understand and regulate the industry arises. Conflicting results have been published by researchers and policy makers regarding ride-hailing's impact on congestion, public transit, and other aspects of traffic systems. One of the obstacles to studying ride-hailing is the lack of granular operational data over a relatively long period of time. An efficient system that can coordinate ride-hailing and other travel modes to better serve travel needs and minimize negative impacts on the transportation system requires sufficient ride-hailing trip-by-trip data and an understanding of ride-hailing trip patterns. Such patterns include the times that travelers use ride-hailing, where they are traveling from and to, how weekend and weekday ride-hailing trips differ, etc. This paper analyzes a year's worth of ride-hailing trip data from the Greater Chicago Area, which included detailed time, date, trip length, origin, and destination information to study the ride-hailing trip patterns. More than 104 million trips were analyzed. For trip rates, the results show that the total number of trips remained stable over the year. People tend to use ride-hailing more on weekends compared to weekdays. Specifically, weekend ride-hailing trip counts (per day) are, on average, 20% higher than weekday trip counts. Spatial patterns of ride-hailing trips were analyzed in ArcGIS. The results show that longer ride-hailing trips, which have their origins and destinations located in different census tracts, are more statistically correlated to factors such as income, education level, and average transit commuting time in the area. They are also more spatially clustered compared to their shorter counterparts, which have their origins and destinations located in the same census tracts. Longer ride-hailing trips are more clustered around the central business district (CBD) and gradually become sparser while moving further away from the CBD. The results of this paper will help policy makers and transportation administrators better understand the nature of ride-hailing trips, which in turn allows for better regulation and guidance for the ride-hailing industry.","author":[{"dropping-particle":"","family":"Du","given":"Jianhe","non-dropping-particle":"","parse-names":false,"suffix":""},{"dropping-particle":"","family":"Rakha","given":"Hesham A.","non-dropping-particle":"","parse-names":false,"suffix":""},{"dropping-particle":"","family":"Breuer","given":"Helena","non-dropping-particle":"","parse-names":false,"suffix":""}],"container-title":"Case Studies on Transport Policy","id":"ITEM-3","issue":"1","issued":{"date-parts":[["2022","3","1"]]},"page":"118-129","publisher":"Elsevier","title":"An in-depth spatiotemporal analysis of ride-hailing travel: The Chicago case study","type":"article-journal","volume":"10"},"uris":["http://www.mendeley.com/documents/?uuid=e0a9105b-2c54-38bf-8f75-a7c952c1f5b4"]}],"mendeley":{"formattedCitation":"(&lt;i&gt;10&lt;/i&gt;, &lt;i&gt;21&lt;/i&gt;, &lt;i&gt;44&lt;/i&gt;)","plainTextFormattedCitation":"(10, 21, 44)","previouslyFormattedCitation":"(&lt;i&gt;10&lt;/i&gt;, &lt;i&gt;21&lt;/i&gt;, &lt;i&gt;44&lt;/i&gt;)"},"properties":{"noteIndex":0},"schema":"https://github.com/citation-style-language/schema/raw/master/csl-citation.json"}</w:instrText>
      </w:r>
      <w:r w:rsidR="00FF7271">
        <w:fldChar w:fldCharType="separate"/>
      </w:r>
      <w:r w:rsidR="0076717B" w:rsidRPr="0076717B">
        <w:rPr>
          <w:noProof/>
        </w:rPr>
        <w:t>(</w:t>
      </w:r>
      <w:r w:rsidR="0076717B" w:rsidRPr="0076717B">
        <w:rPr>
          <w:i/>
          <w:noProof/>
        </w:rPr>
        <w:t>10</w:t>
      </w:r>
      <w:r w:rsidR="0076717B" w:rsidRPr="0076717B">
        <w:rPr>
          <w:noProof/>
        </w:rPr>
        <w:t xml:space="preserve">, </w:t>
      </w:r>
      <w:r w:rsidR="0076717B" w:rsidRPr="0076717B">
        <w:rPr>
          <w:i/>
          <w:noProof/>
        </w:rPr>
        <w:t>21</w:t>
      </w:r>
      <w:r w:rsidR="0076717B" w:rsidRPr="0076717B">
        <w:rPr>
          <w:noProof/>
        </w:rPr>
        <w:t xml:space="preserve">, </w:t>
      </w:r>
      <w:r w:rsidR="0076717B" w:rsidRPr="0076717B">
        <w:rPr>
          <w:i/>
          <w:noProof/>
        </w:rPr>
        <w:t>44</w:t>
      </w:r>
      <w:r w:rsidR="0076717B" w:rsidRPr="0076717B">
        <w:rPr>
          <w:noProof/>
        </w:rPr>
        <w:t>)</w:t>
      </w:r>
      <w:r w:rsidR="00FF7271">
        <w:fldChar w:fldCharType="end"/>
      </w:r>
      <w:r w:rsidR="0064581F">
        <w:t xml:space="preserve">. </w:t>
      </w:r>
      <w:r w:rsidR="00546CA9" w:rsidRPr="00755C33">
        <w:rPr>
          <w:u w:val="single"/>
        </w:rPr>
        <w:t>Finally</w:t>
      </w:r>
      <w:r w:rsidR="00546CA9">
        <w:t>, t</w:t>
      </w:r>
      <w:r w:rsidR="00EB3F46">
        <w:t xml:space="preserve">he current study contributes empirically by </w:t>
      </w:r>
      <w:r w:rsidR="005E173A">
        <w:t xml:space="preserve">allowing us to understand Chicago TNC pricing </w:t>
      </w:r>
      <w:r w:rsidR="007D74A3">
        <w:t xml:space="preserve">model </w:t>
      </w:r>
      <w:r w:rsidR="00FA4445">
        <w:t xml:space="preserve">and destination choice behavior. The framework can potentially allow us to generate TNC fare for mode choice </w:t>
      </w:r>
      <w:r w:rsidR="006D02B0">
        <w:t>model</w:t>
      </w:r>
      <w:r w:rsidR="00FA4445">
        <w:t xml:space="preserve">. </w:t>
      </w:r>
      <w:r w:rsidR="003A164C">
        <w:t xml:space="preserve">In application, the model developed can be </w:t>
      </w:r>
      <w:r w:rsidR="00476464">
        <w:t>employed</w:t>
      </w:r>
      <w:r w:rsidR="003A164C">
        <w:t xml:space="preserve"> in a sequence – destination choice outcome followed by trip fare prediction. </w:t>
      </w:r>
      <w:r w:rsidR="00271B52">
        <w:t xml:space="preserve">The model framework can also allow us to </w:t>
      </w:r>
      <w:r w:rsidR="00E63C4B">
        <w:t xml:space="preserve">identify systemic differences across the </w:t>
      </w:r>
      <w:r w:rsidR="00271B52">
        <w:t xml:space="preserve">Chicago </w:t>
      </w:r>
      <w:r w:rsidR="00E63C4B">
        <w:t xml:space="preserve">city in pricing (if any) and how various destination attributes </w:t>
      </w:r>
      <w:r w:rsidR="009A1E2B">
        <w:t>influence destination</w:t>
      </w:r>
      <w:r w:rsidR="00271B52">
        <w:t xml:space="preserve"> preferences</w:t>
      </w:r>
      <w:r w:rsidR="009A1E2B">
        <w:t xml:space="preserve">. </w:t>
      </w:r>
    </w:p>
    <w:p w14:paraId="2878DB0C" w14:textId="2D05EF74" w:rsidR="00FB0D84" w:rsidRDefault="00FB0D84" w:rsidP="005C1EF4">
      <w:pPr>
        <w:spacing w:after="0"/>
      </w:pPr>
    </w:p>
    <w:p w14:paraId="6AEF2EBA" w14:textId="681DF7A7" w:rsidR="00B92CA8" w:rsidRDefault="002424AF" w:rsidP="00972ACB">
      <w:pPr>
        <w:pStyle w:val="Heading1"/>
      </w:pPr>
      <w:r>
        <w:t>DATA PREPARATION</w:t>
      </w:r>
    </w:p>
    <w:p w14:paraId="4CA6A5E3" w14:textId="27C1450F" w:rsidR="00D652E1" w:rsidRPr="00B92CA8" w:rsidRDefault="00D652E1" w:rsidP="001D4A7A">
      <w:pPr>
        <w:pStyle w:val="Heading2"/>
      </w:pPr>
      <w:r>
        <w:t>Data Source</w:t>
      </w:r>
    </w:p>
    <w:p w14:paraId="39E26BF5" w14:textId="4F49AFDB" w:rsidR="00933E3A" w:rsidRPr="00F70DFD" w:rsidRDefault="00B92CA8" w:rsidP="009D4043">
      <w:r w:rsidRPr="00B40C15">
        <w:t xml:space="preserve">City of Chicago has </w:t>
      </w:r>
      <w:r w:rsidR="006B546D" w:rsidRPr="00B40C15">
        <w:t xml:space="preserve">made TNC data available for analysis beginning in November 2018. </w:t>
      </w:r>
      <w:r w:rsidR="009C797A" w:rsidRPr="00B40C15">
        <w:t>As of 2019, three TNC</w:t>
      </w:r>
      <w:r w:rsidR="006B546D" w:rsidRPr="00B40C15">
        <w:t>s</w:t>
      </w:r>
      <w:r w:rsidR="00B5717B" w:rsidRPr="00B40C15">
        <w:t xml:space="preserve"> were operating </w:t>
      </w:r>
      <w:r w:rsidR="009C797A" w:rsidRPr="00B40C15">
        <w:t xml:space="preserve">in </w:t>
      </w:r>
      <w:r w:rsidR="006B546D" w:rsidRPr="00B40C15">
        <w:t xml:space="preserve">the </w:t>
      </w:r>
      <w:r w:rsidR="009C797A" w:rsidRPr="00B40C15">
        <w:t>Chicago</w:t>
      </w:r>
      <w:r w:rsidR="006B546D" w:rsidRPr="00B40C15">
        <w:t xml:space="preserve"> area</w:t>
      </w:r>
      <w:r w:rsidR="009C797A" w:rsidRPr="00B40C15">
        <w:t xml:space="preserve">: Uber, Lyft and Via </w:t>
      </w:r>
      <w:r w:rsidR="009C797A" w:rsidRPr="00CA7C9C">
        <w:fldChar w:fldCharType="begin" w:fldLock="1"/>
      </w:r>
      <w:r w:rsidR="00BB1448">
        <w:instrText>ADDIN CSL_CITATION {"citationItems":[{"id":"ITEM-1","itemData":{"URL":"https://data.cityofchicago.org/Transportation/Transportation-Network-Providers-Trips/m6dm-c72p","accessed":{"date-parts":[["2022","7","5"]]},"id":"ITEM-1","issued":{"date-parts":[["0"]]},"title":"Transportation Network Providers - Trips | City of Chicago | Data Portal","type":"webpage"},"uris":["http://www.mendeley.com/documents/?uuid=fd39f851-2716-362d-9ba9-a4a760f900ec"]}],"mendeley":{"formattedCitation":"(&lt;i&gt;45&lt;/i&gt;)","plainTextFormattedCitation":"(45)","previouslyFormattedCitation":"(&lt;i&gt;45&lt;/i&gt;)"},"properties":{"noteIndex":0},"schema":"https://github.com/citation-style-language/schema/raw/master/csl-citation.json"}</w:instrText>
      </w:r>
      <w:r w:rsidR="009C797A" w:rsidRPr="00CA7C9C">
        <w:fldChar w:fldCharType="separate"/>
      </w:r>
      <w:r w:rsidR="0076717B" w:rsidRPr="0076717B">
        <w:rPr>
          <w:noProof/>
        </w:rPr>
        <w:t>(</w:t>
      </w:r>
      <w:r w:rsidR="0076717B" w:rsidRPr="0076717B">
        <w:rPr>
          <w:i/>
          <w:noProof/>
        </w:rPr>
        <w:t>45</w:t>
      </w:r>
      <w:r w:rsidR="0076717B" w:rsidRPr="0076717B">
        <w:rPr>
          <w:noProof/>
        </w:rPr>
        <w:t>)</w:t>
      </w:r>
      <w:r w:rsidR="009C797A" w:rsidRPr="00CA7C9C">
        <w:fldChar w:fldCharType="end"/>
      </w:r>
      <w:r w:rsidR="009C797A" w:rsidRPr="00B40C15">
        <w:t>.</w:t>
      </w:r>
      <w:r w:rsidR="00015749" w:rsidRPr="00CA7C9C">
        <w:t xml:space="preserve"> </w:t>
      </w:r>
      <w:r w:rsidR="00904646" w:rsidRPr="006F5421">
        <w:t>For this current study, daily</w:t>
      </w:r>
      <w:r w:rsidR="00F96F2B" w:rsidRPr="00B40C15">
        <w:t xml:space="preserve"> weekday</w:t>
      </w:r>
      <w:r w:rsidR="00904646" w:rsidRPr="00B40C15">
        <w:t xml:space="preserve"> trip data</w:t>
      </w:r>
      <w:r w:rsidR="008D507A" w:rsidRPr="00B40C15">
        <w:t xml:space="preserve"> of more than 50 million records for </w:t>
      </w:r>
      <w:r w:rsidR="00904646" w:rsidRPr="00B40C15">
        <w:t xml:space="preserve">12 months </w:t>
      </w:r>
      <w:r w:rsidR="00AD6FEC" w:rsidRPr="00B40C15">
        <w:t xml:space="preserve">starting </w:t>
      </w:r>
      <w:r w:rsidR="00904646" w:rsidRPr="00B40C15">
        <w:t xml:space="preserve">from January 2019 to December 2019 </w:t>
      </w:r>
      <w:r w:rsidR="006B546D" w:rsidRPr="00B40C15">
        <w:t>was compiled for our analysis</w:t>
      </w:r>
      <w:r w:rsidR="00007A3A" w:rsidRPr="00CA7C9C">
        <w:fldChar w:fldCharType="begin" w:fldLock="1"/>
      </w:r>
      <w:r w:rsidR="00BB1448">
        <w:instrText>ADDIN CSL_CITATION {"citationItems":[{"id":"ITEM-1","itemData":{"URL":"https://data.cityofchicago.org/Transportation/Transportation-Network-Providers-Trips/m6dm-c72p","accessed":{"date-parts":[["2022","7","5"]]},"id":"ITEM-1","issued":{"date-parts":[["0"]]},"title":"Transportation Network Providers - Trips | City of Chicago | Data Portal","type":"webpage"},"uris":["http://www.mendeley.com/documents/?uuid=fd39f851-2716-362d-9ba9-a4a760f900ec"]}],"mendeley":{"formattedCitation":"(&lt;i&gt;45&lt;/i&gt;)","plainTextFormattedCitation":"(45)","previouslyFormattedCitation":"(&lt;i&gt;45&lt;/i&gt;)"},"properties":{"noteIndex":0},"schema":"https://github.com/citation-style-language/schema/raw/master/csl-citation.json"}</w:instrText>
      </w:r>
      <w:r w:rsidR="00007A3A" w:rsidRPr="00CA7C9C">
        <w:fldChar w:fldCharType="separate"/>
      </w:r>
      <w:r w:rsidR="0076717B" w:rsidRPr="0076717B">
        <w:rPr>
          <w:noProof/>
        </w:rPr>
        <w:t>(</w:t>
      </w:r>
      <w:r w:rsidR="0076717B" w:rsidRPr="0076717B">
        <w:rPr>
          <w:i/>
          <w:noProof/>
        </w:rPr>
        <w:t>45</w:t>
      </w:r>
      <w:r w:rsidR="0076717B" w:rsidRPr="0076717B">
        <w:rPr>
          <w:noProof/>
        </w:rPr>
        <w:t>)</w:t>
      </w:r>
      <w:r w:rsidR="00007A3A" w:rsidRPr="00CA7C9C">
        <w:fldChar w:fldCharType="end"/>
      </w:r>
      <w:r w:rsidR="00904646" w:rsidRPr="00B40C15">
        <w:t xml:space="preserve">. </w:t>
      </w:r>
      <w:r w:rsidR="00015749" w:rsidRPr="00CA7C9C">
        <w:t>Origin a</w:t>
      </w:r>
      <w:r w:rsidR="00015749" w:rsidRPr="006F5421">
        <w:t xml:space="preserve">nd destination for each of these trips have been aggregated </w:t>
      </w:r>
      <w:r w:rsidR="008D507A" w:rsidRPr="00B40C15">
        <w:t xml:space="preserve">at the </w:t>
      </w:r>
      <w:r w:rsidR="00015749" w:rsidRPr="00B40C15">
        <w:t>census tract level while trip times (start</w:t>
      </w:r>
      <w:r w:rsidR="009C797A" w:rsidRPr="00B40C15">
        <w:t xml:space="preserve"> time</w:t>
      </w:r>
      <w:r w:rsidR="00015749" w:rsidRPr="00B40C15">
        <w:t xml:space="preserve"> &amp; end</w:t>
      </w:r>
      <w:r w:rsidR="009C797A" w:rsidRPr="00B40C15">
        <w:t xml:space="preserve"> time</w:t>
      </w:r>
      <w:r w:rsidR="00015749" w:rsidRPr="00B40C15">
        <w:t xml:space="preserve">), trip fare are rounded to nearest 15 minutes and 2.50 USD respectively. </w:t>
      </w:r>
      <w:r w:rsidR="00007A3A" w:rsidRPr="00B40C15">
        <w:t>The trip dataset is further augmented by trip attributes</w:t>
      </w:r>
      <w:r w:rsidR="00695667" w:rsidRPr="00B40C15">
        <w:t xml:space="preserve"> such as trip start &amp; end time, trip distance, shared trip indicator</w:t>
      </w:r>
      <w:r w:rsidR="0074114C" w:rsidRPr="00B40C15">
        <w:t xml:space="preserve"> </w:t>
      </w:r>
      <w:r w:rsidR="00DA36F0" w:rsidRPr="00B40C15">
        <w:t xml:space="preserve">provided by </w:t>
      </w:r>
      <w:r w:rsidR="00007A3A" w:rsidRPr="00755C33">
        <w:t>Transportation Network Providers-Chicago Data Portal</w:t>
      </w:r>
      <w:r w:rsidR="00007A3A" w:rsidRPr="00B40C15">
        <w:t xml:space="preserve"> </w:t>
      </w:r>
      <w:r w:rsidR="00007A3A" w:rsidRPr="00CA7C9C">
        <w:fldChar w:fldCharType="begin" w:fldLock="1"/>
      </w:r>
      <w:r w:rsidR="00BB1448">
        <w:instrText>ADDIN CSL_CITATION {"citationItems":[{"id":"ITEM-1","itemData":{"URL":"https://data.cityofchicago.org/Transportation/Transportation-Network-Providers-Trips/m6dm-c72p","accessed":{"date-parts":[["2022","7","5"]]},"id":"ITEM-1","issued":{"date-parts":[["0"]]},"title":"Transportation Network Providers - Trips | City of Chicago | Data Portal","type":"webpage"},"uris":["http://www.mendeley.com/documents/?uuid=fd39f851-2716-362d-9ba9-a4a760f900ec"]}],"mendeley":{"formattedCitation":"(&lt;i&gt;45&lt;/i&gt;)","plainTextFormattedCitation":"(45)","previouslyFormattedCitation":"(&lt;i&gt;45&lt;/i&gt;)"},"properties":{"noteIndex":0},"schema":"https://github.com/citation-style-language/schema/raw/master/csl-citation.json"}</w:instrText>
      </w:r>
      <w:r w:rsidR="00007A3A" w:rsidRPr="00CA7C9C">
        <w:fldChar w:fldCharType="separate"/>
      </w:r>
      <w:r w:rsidR="0076717B" w:rsidRPr="0076717B">
        <w:rPr>
          <w:noProof/>
        </w:rPr>
        <w:t>(</w:t>
      </w:r>
      <w:r w:rsidR="0076717B" w:rsidRPr="0076717B">
        <w:rPr>
          <w:i/>
          <w:noProof/>
        </w:rPr>
        <w:t>45</w:t>
      </w:r>
      <w:r w:rsidR="0076717B" w:rsidRPr="0076717B">
        <w:rPr>
          <w:noProof/>
        </w:rPr>
        <w:t>)</w:t>
      </w:r>
      <w:r w:rsidR="00007A3A" w:rsidRPr="00CA7C9C">
        <w:fldChar w:fldCharType="end"/>
      </w:r>
      <w:r w:rsidR="00007A3A" w:rsidRPr="00755C33">
        <w:t>,</w:t>
      </w:r>
      <w:r w:rsidR="00007A3A" w:rsidRPr="00B40C15">
        <w:t xml:space="preserve"> land use and bu</w:t>
      </w:r>
      <w:r w:rsidR="00B25465" w:rsidRPr="00CA7C9C">
        <w:t>i</w:t>
      </w:r>
      <w:r w:rsidR="00007A3A" w:rsidRPr="006F5421">
        <w:t>lt environment variables</w:t>
      </w:r>
      <w:r w:rsidR="00695667" w:rsidRPr="00B40C15">
        <w:t xml:space="preserve"> </w:t>
      </w:r>
      <w:r w:rsidR="000526E8" w:rsidRPr="00B40C15">
        <w:t xml:space="preserve">including </w:t>
      </w:r>
      <w:r w:rsidR="00695667" w:rsidRPr="00B40C15">
        <w:t xml:space="preserve">distance from Central Business District (CBD), residential area, commercial area, institutional area, recreational area </w:t>
      </w:r>
      <w:r w:rsidR="00DA36F0" w:rsidRPr="00B40C15">
        <w:t xml:space="preserve">accessed </w:t>
      </w:r>
      <w:r w:rsidR="00007A3A" w:rsidRPr="00B40C15">
        <w:t xml:space="preserve">from </w:t>
      </w:r>
      <w:r w:rsidR="00007A3A" w:rsidRPr="00755C33">
        <w:t>Chicago Data portal and Chicago Metro</w:t>
      </w:r>
      <w:r w:rsidR="00B761FF" w:rsidRPr="00755C33">
        <w:t>politan</w:t>
      </w:r>
      <w:r w:rsidR="00007A3A" w:rsidRPr="00755C33">
        <w:t xml:space="preserve"> Agency for Planning (CMAP)</w:t>
      </w:r>
      <w:r w:rsidR="00007A3A" w:rsidRPr="00B40C15">
        <w:t xml:space="preserve"> </w:t>
      </w:r>
      <w:r w:rsidR="00007A3A" w:rsidRPr="00CA7C9C">
        <w:fldChar w:fldCharType="begin" w:fldLock="1"/>
      </w:r>
      <w:r w:rsidR="00BB1448">
        <w:instrText>ADDIN CSL_CITATION {"citationItems":[{"id":"ITEM-1","itemData":{"URL":"https://data.cityofchicago.org/Transportation/Transportation-Network-Providers-Trips/m6dm-c72p","accessed":{"date-parts":[["2022","7","5"]]},"id":"ITEM-1","issued":{"date-parts":[["0"]]},"title":"Transportation Network Providers - Trips | City of Chicago | Data Portal","type":"webpage"},"uris":["http://www.mendeley.com/documents/?uuid=fd39f851-2716-362d-9ba9-a4a760f900ec"]},{"id":"ITEM-2","itemData":{"URL":"https://www.cmap.illinois.gov/data/land-use/inventory","accessed":{"date-parts":[["2022","7","5"]]},"id":"ITEM-2","issued":{"date-parts":[["0"]]},"title":"Land Use Inventory - CMAP","type":"webpage"},"uris":["http://www.mendeley.com/documents/?uuid=1de75d70-6fec-3587-9c56-96d585bf496c"]}],"mendeley":{"formattedCitation":"(&lt;i&gt;45&lt;/i&gt;, &lt;i&gt;46&lt;/i&gt;)","manualFormatting":"(44, 46)","plainTextFormattedCitation":"(45, 46)","previouslyFormattedCitation":"(&lt;i&gt;45&lt;/i&gt;, &lt;i&gt;46&lt;/i&gt;)"},"properties":{"noteIndex":0},"schema":"https://github.com/citation-style-language/schema/raw/master/csl-citation.json"}</w:instrText>
      </w:r>
      <w:r w:rsidR="00007A3A" w:rsidRPr="00CA7C9C">
        <w:fldChar w:fldCharType="separate"/>
      </w:r>
      <w:r w:rsidR="003071F6" w:rsidRPr="00CA7C9C">
        <w:rPr>
          <w:noProof/>
        </w:rPr>
        <w:t>(44,</w:t>
      </w:r>
      <w:r w:rsidR="00DA36F0" w:rsidRPr="006F5421">
        <w:rPr>
          <w:noProof/>
        </w:rPr>
        <w:t xml:space="preserve"> </w:t>
      </w:r>
      <w:r w:rsidR="003071F6" w:rsidRPr="00B03C4D">
        <w:rPr>
          <w:noProof/>
        </w:rPr>
        <w:t>46)</w:t>
      </w:r>
      <w:r w:rsidR="00007A3A" w:rsidRPr="00CA7C9C">
        <w:fldChar w:fldCharType="end"/>
      </w:r>
      <w:r w:rsidR="00007A3A" w:rsidRPr="00B40C15">
        <w:t>, Transportation infrastructure attributes</w:t>
      </w:r>
      <w:r w:rsidR="00B25465" w:rsidRPr="00B40C15">
        <w:t xml:space="preserve"> including bike lane density, street length, number of bus stops, number of transit stations, number of divvy stations</w:t>
      </w:r>
      <w:r w:rsidR="003878F2" w:rsidRPr="00B40C15">
        <w:t xml:space="preserve"> walk score, transit score </w:t>
      </w:r>
      <w:r w:rsidR="00DA36F0" w:rsidRPr="00B40C15">
        <w:t xml:space="preserve">compiled </w:t>
      </w:r>
      <w:r w:rsidR="003878F2" w:rsidRPr="00B40C15">
        <w:t xml:space="preserve">from </w:t>
      </w:r>
      <w:r w:rsidR="00FE1325" w:rsidRPr="00755C33">
        <w:t xml:space="preserve">Chicago Data portal and </w:t>
      </w:r>
      <w:r w:rsidR="00BF5236">
        <w:t>Chicago Metropolitan Agency for Planning</w:t>
      </w:r>
      <w:r w:rsidR="00FE1325" w:rsidRPr="00755C33">
        <w:t>(CMAP)</w:t>
      </w:r>
      <w:r w:rsidR="00FE1325" w:rsidRPr="00B40C15">
        <w:t xml:space="preserve"> </w:t>
      </w:r>
      <w:r w:rsidR="00FE1325" w:rsidRPr="00CA7C9C">
        <w:fldChar w:fldCharType="begin" w:fldLock="1"/>
      </w:r>
      <w:r w:rsidR="00BB1448">
        <w:instrText>ADDIN CSL_CITATION {"citationItems":[{"id":"ITEM-1","itemData":{"URL":"https://data.cityofchicago.org/Transportation/Transportation-Network-Providers-Trips/m6dm-c72p","accessed":{"date-parts":[["2022","7","5"]]},"id":"ITEM-1","issued":{"date-parts":[["0"]]},"title":"Transportation Network Providers - Trips | City of Chicago | Data Portal","type":"webpage"},"uris":["http://www.mendeley.com/documents/?uuid=fd39f851-2716-362d-9ba9-a4a760f900ec"]},{"id":"ITEM-2","itemData":{"URL":"https://www.cmap.illinois.gov/data/land-use/inventory","accessed":{"date-parts":[["2022","7","5"]]},"id":"ITEM-2","issued":{"date-parts":[["0"]]},"title":"Land Use Inventory - CMAP","type":"webpage"},"uris":["http://www.mendeley.com/documents/?uuid=1de75d70-6fec-3587-9c56-96d585bf496c"]}],"mendeley":{"formattedCitation":"(&lt;i&gt;45&lt;/i&gt;, &lt;i&gt;46&lt;/i&gt;)","plainTextFormattedCitation":"(45, 46)","previouslyFormattedCitation":"(&lt;i&gt;45&lt;/i&gt;, &lt;i&gt;46&lt;/i&gt;)"},"properties":{"noteIndex":0},"schema":"https://github.com/citation-style-language/schema/raw/master/csl-citation.json"}</w:instrText>
      </w:r>
      <w:r w:rsidR="00FE1325" w:rsidRPr="00CA7C9C">
        <w:fldChar w:fldCharType="separate"/>
      </w:r>
      <w:r w:rsidR="0076717B" w:rsidRPr="0076717B">
        <w:rPr>
          <w:noProof/>
        </w:rPr>
        <w:t>(</w:t>
      </w:r>
      <w:r w:rsidR="0076717B" w:rsidRPr="0076717B">
        <w:rPr>
          <w:i/>
          <w:noProof/>
        </w:rPr>
        <w:t>45</w:t>
      </w:r>
      <w:r w:rsidR="0076717B" w:rsidRPr="0076717B">
        <w:rPr>
          <w:noProof/>
        </w:rPr>
        <w:t xml:space="preserve">, </w:t>
      </w:r>
      <w:r w:rsidR="0076717B" w:rsidRPr="0076717B">
        <w:rPr>
          <w:i/>
          <w:noProof/>
        </w:rPr>
        <w:t>46</w:t>
      </w:r>
      <w:r w:rsidR="0076717B" w:rsidRPr="0076717B">
        <w:rPr>
          <w:noProof/>
        </w:rPr>
        <w:t>)</w:t>
      </w:r>
      <w:r w:rsidR="00FE1325" w:rsidRPr="00CA7C9C">
        <w:fldChar w:fldCharType="end"/>
      </w:r>
      <w:r w:rsidR="00FE1325" w:rsidRPr="00B40C15">
        <w:t xml:space="preserve"> and </w:t>
      </w:r>
      <w:r w:rsidR="00B25465" w:rsidRPr="00CA7C9C">
        <w:t>sociodemographi</w:t>
      </w:r>
      <w:r w:rsidR="00B25465" w:rsidRPr="006F5421">
        <w:t xml:space="preserve">c attributes </w:t>
      </w:r>
      <w:r w:rsidR="00B761FF" w:rsidRPr="00B03C4D">
        <w:t>s</w:t>
      </w:r>
      <w:r w:rsidR="00B761FF" w:rsidRPr="00786E89">
        <w:t>u</w:t>
      </w:r>
      <w:r w:rsidR="00B761FF" w:rsidRPr="00F70DFD">
        <w:t>c</w:t>
      </w:r>
      <w:r w:rsidR="00B761FF" w:rsidRPr="00151FF1">
        <w:t>h</w:t>
      </w:r>
      <w:r w:rsidR="00B761FF" w:rsidRPr="00B9317F">
        <w:t xml:space="preserve"> </w:t>
      </w:r>
      <w:r w:rsidR="00B761FF" w:rsidRPr="005A6C09">
        <w:t>a</w:t>
      </w:r>
      <w:r w:rsidR="00B761FF" w:rsidRPr="00330DB6">
        <w:t>s</w:t>
      </w:r>
      <w:r w:rsidR="00B25465" w:rsidRPr="00B40C15">
        <w:t xml:space="preserve"> low income indicator, employment density </w:t>
      </w:r>
      <w:r w:rsidR="00B40C15" w:rsidRPr="00B40C15">
        <w:t xml:space="preserve">drawn </w:t>
      </w:r>
      <w:r w:rsidR="00B25465" w:rsidRPr="00B40C15">
        <w:t xml:space="preserve">from </w:t>
      </w:r>
      <w:r w:rsidR="00B25465" w:rsidRPr="00755C33">
        <w:t>US Census Bureau</w:t>
      </w:r>
      <w:r w:rsidR="00B25465" w:rsidRPr="00B40C15">
        <w:t xml:space="preserve"> </w:t>
      </w:r>
      <w:r w:rsidR="00B25465" w:rsidRPr="00CA7C9C">
        <w:fldChar w:fldCharType="begin" w:fldLock="1"/>
      </w:r>
      <w:r w:rsidR="00BB1448">
        <w:instrText>ADDIN CSL_CITATION {"citationItems":[{"id":"ITEM-1","itemData":{"URL":"https://data.census.gov/cedsci/","accessed":{"date-parts":[["2022","7","10"]]},"id":"ITEM-1","issued":{"date-parts":[["0"]]},"title":"Census Bureau Data","type":"webpage"},"uris":["http://www.mendeley.com/documents/?uuid=a5eb359c-a3f9-38fc-b35c-9a3a4baf2fb3"]}],"mendeley":{"formattedCitation":"(&lt;i&gt;47&lt;/i&gt;)","plainTextFormattedCitation":"(47)","previouslyFormattedCitation":"(&lt;i&gt;47&lt;/i&gt;)"},"properties":{"noteIndex":0},"schema":"https://github.com/citation-style-language/schema/raw/master/csl-citation.json"}</w:instrText>
      </w:r>
      <w:r w:rsidR="00B25465" w:rsidRPr="00CA7C9C">
        <w:fldChar w:fldCharType="separate"/>
      </w:r>
      <w:r w:rsidR="0076717B" w:rsidRPr="0076717B">
        <w:rPr>
          <w:noProof/>
        </w:rPr>
        <w:t>(</w:t>
      </w:r>
      <w:r w:rsidR="0076717B" w:rsidRPr="0076717B">
        <w:rPr>
          <w:i/>
          <w:noProof/>
        </w:rPr>
        <w:t>47</w:t>
      </w:r>
      <w:r w:rsidR="0076717B" w:rsidRPr="0076717B">
        <w:rPr>
          <w:noProof/>
        </w:rPr>
        <w:t>)</w:t>
      </w:r>
      <w:r w:rsidR="00B25465" w:rsidRPr="00CA7C9C">
        <w:fldChar w:fldCharType="end"/>
      </w:r>
      <w:r w:rsidR="00B25465" w:rsidRPr="00B40C15">
        <w:t xml:space="preserve"> and </w:t>
      </w:r>
      <w:r w:rsidR="00FE1325" w:rsidRPr="00B40C15">
        <w:t xml:space="preserve">weather attributes </w:t>
      </w:r>
      <w:r w:rsidR="00B40C15" w:rsidRPr="00B40C15">
        <w:t xml:space="preserve">such as snow depth obtained </w:t>
      </w:r>
      <w:r w:rsidR="00FE1325" w:rsidRPr="00B40C15">
        <w:t xml:space="preserve">from </w:t>
      </w:r>
      <w:r w:rsidR="00FE1325" w:rsidRPr="00755C33">
        <w:t>National Climatic Data Center (NCDC)</w:t>
      </w:r>
      <w:r w:rsidR="00FE1325" w:rsidRPr="00B40C15">
        <w:t xml:space="preserve"> </w:t>
      </w:r>
      <w:r w:rsidR="00FE1325" w:rsidRPr="00CA7C9C">
        <w:fldChar w:fldCharType="begin" w:fldLock="1"/>
      </w:r>
      <w:r w:rsidR="00BB1448">
        <w:instrText>ADDIN CSL_CITATION {"citationItems":[{"id":"ITEM-1","itemData":{"URL":"https://www.ncei.noaa.gov/cdo-web/datasets","accessed":{"date-parts":[["2022","7","5"]]},"id":"ITEM-1","issued":{"date-parts":[["0"]]},"title":"Datasets | Climate Data Online (CDO) | National Climatic Data Center (NCDC)","type":"webpage"},"uris":["http://www.mendeley.com/documents/?uuid=8e4a0ba1-8fd2-3055-af42-05d73503de39"]}],"mendeley":{"formattedCitation":"(&lt;i&gt;48&lt;/i&gt;)","plainTextFormattedCitation":"(48)","previouslyFormattedCitation":"(&lt;i&gt;48&lt;/i&gt;)"},"properties":{"noteIndex":0},"schema":"https://github.com/citation-style-language/schema/raw/master/csl-citation.json"}</w:instrText>
      </w:r>
      <w:r w:rsidR="00FE1325" w:rsidRPr="00CA7C9C">
        <w:fldChar w:fldCharType="separate"/>
      </w:r>
      <w:r w:rsidR="0076717B" w:rsidRPr="0076717B">
        <w:rPr>
          <w:noProof/>
        </w:rPr>
        <w:t>(</w:t>
      </w:r>
      <w:r w:rsidR="0076717B" w:rsidRPr="0076717B">
        <w:rPr>
          <w:i/>
          <w:noProof/>
        </w:rPr>
        <w:t>48</w:t>
      </w:r>
      <w:r w:rsidR="0076717B" w:rsidRPr="0076717B">
        <w:rPr>
          <w:noProof/>
        </w:rPr>
        <w:t>)</w:t>
      </w:r>
      <w:r w:rsidR="00FE1325" w:rsidRPr="00CA7C9C">
        <w:fldChar w:fldCharType="end"/>
      </w:r>
      <w:r w:rsidR="00F70DFD">
        <w:t xml:space="preserve">. A summary of the </w:t>
      </w:r>
      <w:r w:rsidR="008A1001">
        <w:t>independent variables is provided in Table 1</w:t>
      </w:r>
      <w:r w:rsidR="000223C9" w:rsidRPr="00786E89">
        <w:t>.</w:t>
      </w:r>
    </w:p>
    <w:p w14:paraId="5BDF6983" w14:textId="6A75108F" w:rsidR="00933E3A" w:rsidRDefault="00933E3A" w:rsidP="000223C9">
      <w:pPr>
        <w:spacing w:after="0"/>
      </w:pPr>
    </w:p>
    <w:p w14:paraId="2AE6AAA7" w14:textId="77777777" w:rsidR="00B25465" w:rsidRDefault="00B25465" w:rsidP="00B25465">
      <w:pPr>
        <w:pStyle w:val="Heading2"/>
      </w:pPr>
      <w:r>
        <w:t>Sample Formation</w:t>
      </w:r>
    </w:p>
    <w:p w14:paraId="0D66DB9F" w14:textId="0685DF9D" w:rsidR="00054FE4" w:rsidRDefault="00BB4241" w:rsidP="00535C9A">
      <w:r>
        <w:t xml:space="preserve">The data processing </w:t>
      </w:r>
      <w:r w:rsidR="00732E20">
        <w:t>procedures were implemented in the following sequence</w:t>
      </w:r>
      <w:r w:rsidR="00B25465">
        <w:t xml:space="preserve">. </w:t>
      </w:r>
      <w:r w:rsidR="00732E20">
        <w:t>First</w:t>
      </w:r>
      <w:r w:rsidR="00B25465">
        <w:t xml:space="preserve">, records with missing and inconsistent information were dropped from the dataset. </w:t>
      </w:r>
      <w:r w:rsidR="00411E34">
        <w:t>Second</w:t>
      </w:r>
      <w:r w:rsidR="00B25465">
        <w:t xml:space="preserve">, trips that originated or destined outside of Chicago city area were removed from the dataset. Finally, </w:t>
      </w:r>
      <w:r w:rsidR="00BD306E">
        <w:t xml:space="preserve">weekday </w:t>
      </w:r>
      <w:r w:rsidR="00B25465">
        <w:t xml:space="preserve">trips were retained </w:t>
      </w:r>
      <w:r w:rsidR="00BD306E">
        <w:t xml:space="preserve">amounting </w:t>
      </w:r>
      <w:r w:rsidR="00B25465">
        <w:t xml:space="preserve">to more than 44 million of records. </w:t>
      </w:r>
      <w:r w:rsidR="00C14572">
        <w:t xml:space="preserve">The </w:t>
      </w:r>
      <w:r w:rsidR="004D4CE8">
        <w:t xml:space="preserve">spatial distribution of weekday </w:t>
      </w:r>
      <w:r w:rsidR="004D4CE8">
        <w:lastRenderedPageBreak/>
        <w:t xml:space="preserve">trips by origin and destination </w:t>
      </w:r>
      <w:r w:rsidR="007E6F6C">
        <w:t xml:space="preserve">census tract </w:t>
      </w:r>
      <w:r w:rsidR="004D4CE8">
        <w:t xml:space="preserve">are presented </w:t>
      </w:r>
      <w:r w:rsidR="007E6F6C">
        <w:t xml:space="preserve">in </w:t>
      </w:r>
      <w:r w:rsidR="007E6F6C" w:rsidRPr="00CD6544">
        <w:rPr>
          <w:b/>
          <w:bCs/>
        </w:rPr>
        <w:t>Figure 1(a)</w:t>
      </w:r>
      <w:r w:rsidR="007E6F6C">
        <w:t xml:space="preserve"> and </w:t>
      </w:r>
      <w:r w:rsidR="007E6F6C" w:rsidRPr="00CD6544">
        <w:rPr>
          <w:b/>
          <w:bCs/>
        </w:rPr>
        <w:t>Figure 1(b)</w:t>
      </w:r>
      <w:r w:rsidR="007E6F6C">
        <w:t xml:space="preserve"> respectively. </w:t>
      </w:r>
      <w:r w:rsidR="006F5421">
        <w:t>Employing the full set of records (44 million) would in</w:t>
      </w:r>
      <w:r w:rsidR="00054FE4">
        <w:t>crease computational time for modeling exercise significantly. Further, using such large datasets in econometric models might lead to overfitting. To address th</w:t>
      </w:r>
      <w:r w:rsidR="00B03C4D">
        <w:t>e</w:t>
      </w:r>
      <w:r w:rsidR="00054FE4">
        <w:t>s</w:t>
      </w:r>
      <w:r w:rsidR="00B03C4D">
        <w:t>e</w:t>
      </w:r>
      <w:r w:rsidR="00054FE4">
        <w:t xml:space="preserve"> issues, we </w:t>
      </w:r>
      <w:r w:rsidR="00CA7437">
        <w:t xml:space="preserve">randomly select 25 samples of 10,000 records for our model estimation exercise. </w:t>
      </w:r>
      <w:r w:rsidR="00B03C4D">
        <w:t>These samples will allow us to e</w:t>
      </w:r>
      <w:r w:rsidR="00685A6F">
        <w:t xml:space="preserve">nsure that </w:t>
      </w:r>
      <w:r w:rsidR="00B03C4D">
        <w:t xml:space="preserve">the parameters estimated using one sample </w:t>
      </w:r>
      <w:r w:rsidR="00685A6F">
        <w:t xml:space="preserve">are not </w:t>
      </w:r>
      <w:r w:rsidR="008639AB">
        <w:t xml:space="preserve">significantly different from other samples of data. Towards this end, we conduct a rigorous statistically valid comparison of model estimates across all 25 samples prior to selecting a </w:t>
      </w:r>
      <w:r w:rsidR="00DB3279">
        <w:t xml:space="preserve">sample for further analysis. </w:t>
      </w:r>
    </w:p>
    <w:p w14:paraId="477572A5" w14:textId="5D713CE9" w:rsidR="00D47382" w:rsidRDefault="00531BC5" w:rsidP="00A5269A">
      <w:pPr>
        <w:spacing w:after="0"/>
        <w:ind w:firstLine="720"/>
      </w:pPr>
      <w:r>
        <w:t xml:space="preserve">For the destination choice models, all census tracts in the region are potential </w:t>
      </w:r>
      <w:r w:rsidR="00947700">
        <w:t>alternatives</w:t>
      </w:r>
      <w:r>
        <w:t>. In our data for Chicago</w:t>
      </w:r>
      <w:r w:rsidR="00F70DFD">
        <w:t xml:space="preserve"> we identified </w:t>
      </w:r>
      <w:r w:rsidR="00B25465">
        <w:t>801 census tract</w:t>
      </w:r>
      <w:r w:rsidR="00F70DFD">
        <w:t>s</w:t>
      </w:r>
      <w:r w:rsidR="00B25465">
        <w:t xml:space="preserve"> </w:t>
      </w:r>
      <w:r w:rsidR="00B25465">
        <w:fldChar w:fldCharType="begin" w:fldLock="1"/>
      </w:r>
      <w:r w:rsidR="00BB1448">
        <w:instrText>ADDIN CSL_CITATION {"citationItems":[{"id":"ITEM-1","itemData":{"URL":"https://data.cityofchicago.org/Facilities-Geographic-Boundaries/Boundaries-Census-Tracts-2010/5jrd-6zik","accessed":{"date-parts":[["2022","7","5"]]},"id":"ITEM-1","issued":{"date-parts":[["0"]]},"title":"Boundaries - Census Tracts - 2010 | City of Chicago | Data Portal","type":"webpage"},"uris":["http://www.mendeley.com/documents/?uuid=0750e1cf-a6e7-3242-8b5c-4093bb71fc79"]}],"mendeley":{"formattedCitation":"(&lt;i&gt;49&lt;/i&gt;)","plainTextFormattedCitation":"(49)","previouslyFormattedCitation":"(&lt;i&gt;49&lt;/i&gt;)"},"properties":{"noteIndex":0},"schema":"https://github.com/citation-style-language/schema/raw/master/csl-citation.json"}</w:instrText>
      </w:r>
      <w:r w:rsidR="00B25465">
        <w:fldChar w:fldCharType="separate"/>
      </w:r>
      <w:r w:rsidR="0076717B" w:rsidRPr="0076717B">
        <w:rPr>
          <w:noProof/>
        </w:rPr>
        <w:t>(</w:t>
      </w:r>
      <w:r w:rsidR="0076717B" w:rsidRPr="0076717B">
        <w:rPr>
          <w:i/>
          <w:noProof/>
        </w:rPr>
        <w:t>49</w:t>
      </w:r>
      <w:r w:rsidR="0076717B" w:rsidRPr="0076717B">
        <w:rPr>
          <w:noProof/>
        </w:rPr>
        <w:t>)</w:t>
      </w:r>
      <w:r w:rsidR="00B25465">
        <w:fldChar w:fldCharType="end"/>
      </w:r>
      <w:r w:rsidR="00B25465">
        <w:t xml:space="preserve">. </w:t>
      </w:r>
      <w:r w:rsidR="00F70DFD">
        <w:t xml:space="preserve">From this broad set of alternatives, destination choice models are developed employing a random sample of 30 alternatives (inclusive of the chosen alternative). </w:t>
      </w:r>
      <w:r w:rsidR="007E6F6C">
        <w:t xml:space="preserve">Similar random sampling process has been adopted in earlier literature </w:t>
      </w:r>
      <w:r w:rsidR="00F70DFD">
        <w:t>for destination choice models</w:t>
      </w:r>
      <w:r w:rsidR="007E6F6C">
        <w:fldChar w:fldCharType="begin" w:fldLock="1"/>
      </w:r>
      <w:r w:rsidR="00BB1448">
        <w:instrText>ADDIN CSL_CITATION {"citationItems":[{"id":"ITEM-1","itemData":{"DOI":"10.3141/1777-05","ISSN":"03611981","abstract":"Attraction-end choice studies have primarily focused on nonurban recreational trips or nonrecreational urban trips. Relatively little attention has been focused in the literature on urban recreatio...","author":[{"dropping-particle":"","family":"Pozsgay","given":"Michael A.","non-dropping-particle":"","parse-names":false,"suffix":""},{"dropping-particle":"","family":"Bhat","given":"Chandra R.","non-dropping-particle":"","parse-names":false,"suffix":""}],"container-title":"https://doi.org/10.3141/1777-05","id":"ITEM-1","issue":"1777","issued":{"date-parts":[["2001","1","1"]]},"page":"47-54","publisher":"SAGE PublicationsSage CA: Los Angeles, CA","title":"Destination Choice Modeling for Home-Based Recreational Trips: Analysis and Implications for Land Use, Transportation, and Air Quality Planning:","type":"article-journal"},"uris":["http://www.mendeley.com/documents/?uuid=2cb2fa1b-1a64-3a8b-94f4-b3760f65dc27"]},{"id":"ITEM-2","itemData":{"DOI":"10.1111/J.0022-4146.2005.00366.X","ISSN":"1467-9787","abstract":"This paper examines the initial location choice of legal employment-based immigrants to the United States using Immigration and Naturalization Service data on individual immigrants, as well as economic, demographic, and social data to characterize the 298 metropolitan areas we define as the universal choice set. Focusing on interactions between place characteristics and immigrant characteristics, we provide multinomial logit model estimates for the location choices of about 38,000 employment-based immigrants to the United States in 1995, focusing on the top 10 source countries. We find that, as groups, immigrants from nearly all countries are attracted to large cities with superior climates, and to cities with relatively well-educated adults and high wages. We also find evidence that employment-based immigrants tend to choose cities where there are relatively few immigrants of nationalities other than their own. However, when we introduce interaction terms to account for the sociodemographic characteristics of the individual immigrants, we find that the estimated effects of location destination factors can reverse as one takes account of the age, gender, marital status, and previous occupation of the immigrants. © Blackwell Publishing, Inc. 2005.","author":[{"dropping-particle":"","family":"Scott","given":"Darren M.","non-dropping-particle":"","parse-names":false,"suffix":""},{"dropping-particle":"","family":"Coomes","given":"Paul A.","non-dropping-particle":"","parse-names":false,"suffix":""},{"dropping-particle":"","family":"Izyumov","given":"Alexei I.","non-dropping-particle":"","parse-names":false,"suffix":""}],"container-title":"Journal of Regional Science","id":"ITEM-2","issue":"1","issued":{"date-parts":[["2005","2","1"]]},"page":"113-145","publisher":"John Wiley &amp; Sons, Ltd","title":"The Location Choice of Employment-based Immigrants among U.S. Metro Areas*","type":"article-journal","volume":"45"},"uris":["http://www.mendeley.com/documents/?uuid=115d9d95-ed8c-31dc-960a-f023a8603136"]},{"id":"ITEM-3","itemData":{"DOI":"10.1016/J.JTRANGEO.2012.03.021","ISSN":"0966-6923","abstract":"For accurate prediction, a shopping destination choice model must rely on a realistic representation of available opportunities. Thus, spatio-temporal constraints are indispensable in specifying a realistic choice set. Failure to take into account such constraints results in misspecification of shopping alternatives, erroneous inferences, and misunderstanding of individual travel behavior. However, due to lack of data, heavy computational burden, and algorithm complexity, spatio-temporal constraints have often been ignored in shopping destination choice modeling. In our study, we use the potential path area, which is the projection of a space-time prism onto a plane, to determine an individual's destination choice set given their spatio-temporal constraints. In this way, the destination choice set is a more realistic representation of the shopping alternatives available to the individual. We select 616 shopping trips from a travel survey conducted in five counties of the Louisville KY-IN MSA in 2000, and aggregate shopping opportunities to traffic analysis zones (TAZs) for analysis. Multinomial logit models are estimated to understand the determinants of shopping destination choice. The results are compared to those of a conventional, unconstrained destination choice model. © 2012 Elsevier Ltd.","author":[{"dropping-particle":"","family":"Scott","given":"Darren M.","non-dropping-particle":"","parse-names":false,"suffix":""},{"dropping-particle":"","family":"He","given":"Sylvia Y.","non-dropping-particle":"","parse-names":false,"suffix":""}],"container-title":"Journal of Transport Geography","id":"ITEM-3","issued":{"date-parts":[["2012","7","1"]]},"page":"60-71","publisher":"Pergamon","title":"Modeling constrained destination choice for shopping: a GIS-based, time-geographic approach","type":"article-journal","volume":"23"},"uris":["http://www.mendeley.com/documents/?uuid=b1bd7d42-ff94-367d-bf52-816a72e2e27d"]},{"id":"ITEM-4","itemData":{"author":[{"dropping-particle":"","family":"Mcfadden","given":"Daniel","non-dropping-particle":"","parse-names":false,"suffix":""}],"id":"ITEM-4","issued":{"date-parts":[["1977"]]},"title":"Modelling the choice of residential location","type":"article-journal"},"uris":["http://www.mendeley.com/documents/?uuid=e2382558-36b3-3d02-b2f8-0997ab63f9ee"]}],"mendeley":{"formattedCitation":"(&lt;i&gt;50&lt;/i&gt;–&lt;i&gt;53&lt;/i&gt;)","manualFormatting":"(see 57–60 for details)","plainTextFormattedCitation":"(50–53)","previouslyFormattedCitation":"(&lt;i&gt;50&lt;/i&gt;–&lt;i&gt;53&lt;/i&gt;)"},"properties":{"noteIndex":0},"schema":"https://github.com/citation-style-language/schema/raw/master/csl-citation.json"}</w:instrText>
      </w:r>
      <w:r w:rsidR="007E6F6C">
        <w:fldChar w:fldCharType="separate"/>
      </w:r>
      <w:r w:rsidR="007E6F6C" w:rsidRPr="007E6F6C">
        <w:rPr>
          <w:noProof/>
        </w:rPr>
        <w:t>(</w:t>
      </w:r>
      <w:r w:rsidR="00F96F2B">
        <w:rPr>
          <w:noProof/>
        </w:rPr>
        <w:t xml:space="preserve">see </w:t>
      </w:r>
      <w:r w:rsidR="007E6F6C" w:rsidRPr="007E6F6C">
        <w:rPr>
          <w:noProof/>
        </w:rPr>
        <w:t>57–60</w:t>
      </w:r>
      <w:r w:rsidR="00F96F2B">
        <w:rPr>
          <w:noProof/>
        </w:rPr>
        <w:t xml:space="preserve"> for details</w:t>
      </w:r>
      <w:r w:rsidR="007E6F6C" w:rsidRPr="007E6F6C">
        <w:rPr>
          <w:noProof/>
        </w:rPr>
        <w:t>)</w:t>
      </w:r>
      <w:r w:rsidR="007E6F6C">
        <w:fldChar w:fldCharType="end"/>
      </w:r>
      <w:r w:rsidR="007E6F6C">
        <w:t xml:space="preserve">. </w:t>
      </w:r>
    </w:p>
    <w:p w14:paraId="543BD218" w14:textId="77777777" w:rsidR="00D53B57" w:rsidRDefault="00D53B57" w:rsidP="000223C9">
      <w:pPr>
        <w:spacing w:after="0"/>
      </w:pPr>
    </w:p>
    <w:p w14:paraId="17E007BE" w14:textId="2BC71BE3" w:rsidR="00C935B1" w:rsidRDefault="00C935B1" w:rsidP="00C935B1">
      <w:pPr>
        <w:pStyle w:val="Caption"/>
      </w:pPr>
      <w:r>
        <w:t>TABLE 1 Descriptive Statistics of Variables</w:t>
      </w:r>
    </w:p>
    <w:tbl>
      <w:tblPr>
        <w:tblW w:w="9335" w:type="dxa"/>
        <w:tblLook w:val="04A0" w:firstRow="1" w:lastRow="0" w:firstColumn="1" w:lastColumn="0" w:noHBand="0" w:noVBand="1"/>
      </w:tblPr>
      <w:tblGrid>
        <w:gridCol w:w="3552"/>
        <w:gridCol w:w="3402"/>
        <w:gridCol w:w="966"/>
        <w:gridCol w:w="1467"/>
      </w:tblGrid>
      <w:tr w:rsidR="00117980" w:rsidRPr="001022AF" w14:paraId="05D5BDD0" w14:textId="77777777" w:rsidTr="001022AF">
        <w:trPr>
          <w:trHeight w:val="266"/>
          <w:tblHeader/>
        </w:trPr>
        <w:tc>
          <w:tcPr>
            <w:tcW w:w="3552"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521F0F58"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Variables</w:t>
            </w:r>
          </w:p>
        </w:tc>
        <w:tc>
          <w:tcPr>
            <w:tcW w:w="3402"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0C9C7FF5"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Variable Descriptions</w:t>
            </w:r>
          </w:p>
        </w:tc>
        <w:tc>
          <w:tcPr>
            <w:tcW w:w="2380"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6AE59D70" w14:textId="77777777" w:rsidR="00117980" w:rsidRPr="001022AF" w:rsidRDefault="00117980" w:rsidP="00117980">
            <w:pPr>
              <w:spacing w:after="0"/>
              <w:contextualSpacing w:val="0"/>
              <w:jc w:val="left"/>
              <w:rPr>
                <w:rFonts w:eastAsia="Times New Roman" w:cs="Times New Roman"/>
                <w:b/>
                <w:bCs/>
                <w:sz w:val="20"/>
                <w:szCs w:val="20"/>
              </w:rPr>
            </w:pPr>
            <w:r w:rsidRPr="001022AF">
              <w:rPr>
                <w:rFonts w:eastAsia="Times New Roman" w:cs="Times New Roman"/>
                <w:b/>
                <w:bCs/>
                <w:sz w:val="20"/>
                <w:szCs w:val="20"/>
              </w:rPr>
              <w:t>Descriptive Statistics</w:t>
            </w:r>
          </w:p>
        </w:tc>
      </w:tr>
      <w:tr w:rsidR="00117980" w:rsidRPr="001022AF" w14:paraId="6F8A554E" w14:textId="77777777" w:rsidTr="001022AF">
        <w:trPr>
          <w:trHeight w:val="251"/>
          <w:tblHeader/>
        </w:trPr>
        <w:tc>
          <w:tcPr>
            <w:tcW w:w="3552" w:type="dxa"/>
            <w:vMerge/>
            <w:tcBorders>
              <w:top w:val="double" w:sz="6" w:space="0" w:color="auto"/>
              <w:left w:val="double" w:sz="6" w:space="0" w:color="auto"/>
              <w:bottom w:val="single" w:sz="4" w:space="0" w:color="auto"/>
              <w:right w:val="single" w:sz="4" w:space="0" w:color="auto"/>
            </w:tcBorders>
            <w:vAlign w:val="center"/>
            <w:hideMark/>
          </w:tcPr>
          <w:p w14:paraId="73DF8C3B" w14:textId="77777777" w:rsidR="00117980" w:rsidRPr="001022AF" w:rsidRDefault="00117980" w:rsidP="00117980">
            <w:pPr>
              <w:spacing w:after="0"/>
              <w:contextualSpacing w:val="0"/>
              <w:jc w:val="left"/>
              <w:rPr>
                <w:rFonts w:eastAsia="Times New Roman" w:cs="Times New Roman"/>
                <w:b/>
                <w:bCs/>
                <w:color w:val="000000"/>
                <w:sz w:val="20"/>
                <w:szCs w:val="20"/>
              </w:rPr>
            </w:pPr>
          </w:p>
        </w:tc>
        <w:tc>
          <w:tcPr>
            <w:tcW w:w="3402" w:type="dxa"/>
            <w:vMerge/>
            <w:tcBorders>
              <w:top w:val="double" w:sz="6" w:space="0" w:color="auto"/>
              <w:left w:val="single" w:sz="4" w:space="0" w:color="auto"/>
              <w:bottom w:val="single" w:sz="4" w:space="0" w:color="auto"/>
              <w:right w:val="single" w:sz="4" w:space="0" w:color="auto"/>
            </w:tcBorders>
            <w:vAlign w:val="center"/>
            <w:hideMark/>
          </w:tcPr>
          <w:p w14:paraId="6213B210" w14:textId="77777777" w:rsidR="00117980" w:rsidRPr="001022AF" w:rsidRDefault="00117980" w:rsidP="00117980">
            <w:pPr>
              <w:spacing w:after="0"/>
              <w:contextualSpacing w:val="0"/>
              <w:jc w:val="left"/>
              <w:rPr>
                <w:rFonts w:eastAsia="Times New Roman" w:cs="Times New Roman"/>
                <w:b/>
                <w:bCs/>
                <w:color w:val="000000"/>
                <w:sz w:val="20"/>
                <w:szCs w:val="20"/>
              </w:rPr>
            </w:pPr>
          </w:p>
        </w:tc>
        <w:tc>
          <w:tcPr>
            <w:tcW w:w="913" w:type="dxa"/>
            <w:tcBorders>
              <w:top w:val="nil"/>
              <w:left w:val="nil"/>
              <w:bottom w:val="single" w:sz="4" w:space="0" w:color="auto"/>
              <w:right w:val="single" w:sz="4" w:space="0" w:color="auto"/>
            </w:tcBorders>
            <w:shd w:val="clear" w:color="auto" w:fill="auto"/>
            <w:vAlign w:val="center"/>
            <w:hideMark/>
          </w:tcPr>
          <w:p w14:paraId="28A2E8C1" w14:textId="77777777" w:rsidR="00117980" w:rsidRPr="001022AF" w:rsidRDefault="00117980" w:rsidP="00117980">
            <w:pPr>
              <w:spacing w:after="0"/>
              <w:contextualSpacing w:val="0"/>
              <w:jc w:val="left"/>
              <w:rPr>
                <w:rFonts w:eastAsia="Times New Roman" w:cs="Times New Roman"/>
                <w:b/>
                <w:bCs/>
                <w:sz w:val="20"/>
                <w:szCs w:val="20"/>
              </w:rPr>
            </w:pPr>
            <w:r w:rsidRPr="001022AF">
              <w:rPr>
                <w:rFonts w:eastAsia="Times New Roman" w:cs="Times New Roman"/>
                <w:b/>
                <w:bCs/>
                <w:sz w:val="20"/>
                <w:szCs w:val="20"/>
              </w:rPr>
              <w:t>Mean</w:t>
            </w:r>
          </w:p>
        </w:tc>
        <w:tc>
          <w:tcPr>
            <w:tcW w:w="1467" w:type="dxa"/>
            <w:tcBorders>
              <w:top w:val="nil"/>
              <w:left w:val="nil"/>
              <w:bottom w:val="single" w:sz="4" w:space="0" w:color="auto"/>
              <w:right w:val="double" w:sz="6" w:space="0" w:color="auto"/>
            </w:tcBorders>
            <w:shd w:val="clear" w:color="auto" w:fill="auto"/>
            <w:vAlign w:val="center"/>
            <w:hideMark/>
          </w:tcPr>
          <w:p w14:paraId="0CC7FEE5" w14:textId="242BF4A6" w:rsidR="00117980" w:rsidRPr="001022AF" w:rsidRDefault="00394F53" w:rsidP="00117980">
            <w:pPr>
              <w:spacing w:after="0"/>
              <w:contextualSpacing w:val="0"/>
              <w:jc w:val="left"/>
              <w:rPr>
                <w:rFonts w:eastAsia="Times New Roman" w:cs="Times New Roman"/>
                <w:b/>
                <w:bCs/>
                <w:sz w:val="20"/>
                <w:szCs w:val="20"/>
              </w:rPr>
            </w:pPr>
            <w:r w:rsidRPr="001022AF">
              <w:rPr>
                <w:rFonts w:eastAsia="Times New Roman" w:cs="Times New Roman"/>
                <w:b/>
                <w:bCs/>
                <w:sz w:val="20"/>
                <w:szCs w:val="20"/>
              </w:rPr>
              <w:t>Std. dev.</w:t>
            </w:r>
          </w:p>
        </w:tc>
      </w:tr>
      <w:tr w:rsidR="00117980" w:rsidRPr="001022AF" w14:paraId="3A2D289C"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28F7816E" w14:textId="77777777" w:rsidR="00117980" w:rsidRPr="001022AF" w:rsidRDefault="00117980" w:rsidP="00117980">
            <w:pPr>
              <w:spacing w:after="0"/>
              <w:contextualSpacing w:val="0"/>
              <w:jc w:val="center"/>
              <w:rPr>
                <w:rFonts w:eastAsia="Times New Roman" w:cs="Times New Roman"/>
                <w:b/>
                <w:bCs/>
                <w:color w:val="000000"/>
                <w:sz w:val="20"/>
                <w:szCs w:val="20"/>
              </w:rPr>
            </w:pPr>
            <w:r w:rsidRPr="001022AF">
              <w:rPr>
                <w:rFonts w:eastAsia="Times New Roman" w:cs="Times New Roman"/>
                <w:b/>
                <w:bCs/>
                <w:color w:val="000000"/>
                <w:sz w:val="20"/>
                <w:szCs w:val="20"/>
              </w:rPr>
              <w:t>DEPENDENT VARIABLES</w:t>
            </w:r>
          </w:p>
        </w:tc>
      </w:tr>
      <w:tr w:rsidR="00117980" w:rsidRPr="001022AF" w14:paraId="345D87B4"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717BC5BB"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Trip fare model</w:t>
            </w:r>
          </w:p>
        </w:tc>
      </w:tr>
      <w:tr w:rsidR="00117980" w:rsidRPr="001022AF" w14:paraId="77920D6B"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032BC61B"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fare</w:t>
            </w:r>
          </w:p>
        </w:tc>
        <w:tc>
          <w:tcPr>
            <w:tcW w:w="3402" w:type="dxa"/>
            <w:tcBorders>
              <w:top w:val="nil"/>
              <w:left w:val="nil"/>
              <w:bottom w:val="single" w:sz="4" w:space="0" w:color="auto"/>
              <w:right w:val="single" w:sz="4" w:space="0" w:color="auto"/>
            </w:tcBorders>
            <w:shd w:val="clear" w:color="auto" w:fill="auto"/>
            <w:vAlign w:val="center"/>
            <w:hideMark/>
          </w:tcPr>
          <w:p w14:paraId="415BB8C0"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Ln (Trip fare)</w:t>
            </w:r>
          </w:p>
        </w:tc>
        <w:tc>
          <w:tcPr>
            <w:tcW w:w="913" w:type="dxa"/>
            <w:tcBorders>
              <w:top w:val="nil"/>
              <w:left w:val="nil"/>
              <w:bottom w:val="single" w:sz="4" w:space="0" w:color="auto"/>
              <w:right w:val="single" w:sz="4" w:space="0" w:color="auto"/>
            </w:tcBorders>
            <w:shd w:val="clear" w:color="auto" w:fill="auto"/>
            <w:noWrap/>
            <w:vAlign w:val="center"/>
            <w:hideMark/>
          </w:tcPr>
          <w:p w14:paraId="76CB6767" w14:textId="714E39BF"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2.079</w:t>
            </w:r>
          </w:p>
        </w:tc>
        <w:tc>
          <w:tcPr>
            <w:tcW w:w="1467" w:type="dxa"/>
            <w:tcBorders>
              <w:top w:val="nil"/>
              <w:left w:val="nil"/>
              <w:bottom w:val="single" w:sz="4" w:space="0" w:color="auto"/>
              <w:right w:val="double" w:sz="6" w:space="0" w:color="auto"/>
            </w:tcBorders>
            <w:shd w:val="clear" w:color="auto" w:fill="auto"/>
            <w:noWrap/>
            <w:vAlign w:val="center"/>
            <w:hideMark/>
          </w:tcPr>
          <w:p w14:paraId="744AE076" w14:textId="1B6373C2" w:rsidR="00117980" w:rsidRPr="001022AF" w:rsidRDefault="00394F53" w:rsidP="003C7321">
            <w:pPr>
              <w:spacing w:after="0"/>
              <w:contextualSpacing w:val="0"/>
              <w:jc w:val="left"/>
              <w:rPr>
                <w:rFonts w:eastAsia="Times New Roman" w:cs="Times New Roman"/>
                <w:sz w:val="20"/>
                <w:szCs w:val="20"/>
              </w:rPr>
            </w:pPr>
            <w:r w:rsidRPr="001022AF">
              <w:rPr>
                <w:rFonts w:eastAsia="Times New Roman" w:cs="Times New Roman"/>
                <w:sz w:val="20"/>
                <w:szCs w:val="20"/>
              </w:rPr>
              <w:t>0.577</w:t>
            </w:r>
          </w:p>
        </w:tc>
      </w:tr>
      <w:tr w:rsidR="00117980" w:rsidRPr="001022AF" w14:paraId="2B06725C"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3919BA22" w14:textId="77777777" w:rsidR="00117980" w:rsidRPr="001022AF" w:rsidRDefault="00117980" w:rsidP="00117980">
            <w:pPr>
              <w:spacing w:after="0"/>
              <w:contextualSpacing w:val="0"/>
              <w:jc w:val="center"/>
              <w:rPr>
                <w:rFonts w:eastAsia="Times New Roman" w:cs="Times New Roman"/>
                <w:b/>
                <w:bCs/>
                <w:color w:val="000000"/>
                <w:sz w:val="20"/>
                <w:szCs w:val="20"/>
              </w:rPr>
            </w:pPr>
            <w:r w:rsidRPr="001022AF">
              <w:rPr>
                <w:rFonts w:eastAsia="Times New Roman" w:cs="Times New Roman"/>
                <w:b/>
                <w:bCs/>
                <w:color w:val="000000"/>
                <w:sz w:val="20"/>
                <w:szCs w:val="20"/>
              </w:rPr>
              <w:t>INDEPENDENT VARIABLES (CONTINUOUS)</w:t>
            </w:r>
          </w:p>
        </w:tc>
      </w:tr>
      <w:tr w:rsidR="00117980" w:rsidRPr="001022AF" w14:paraId="7DA3125D"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315DFC41" w14:textId="31F3C652"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Trip Attributes</w:t>
            </w:r>
          </w:p>
        </w:tc>
      </w:tr>
      <w:tr w:rsidR="00117980" w:rsidRPr="001022AF" w14:paraId="02134AF9"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7404884C"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distance</w:t>
            </w:r>
          </w:p>
        </w:tc>
        <w:tc>
          <w:tcPr>
            <w:tcW w:w="3402" w:type="dxa"/>
            <w:tcBorders>
              <w:top w:val="nil"/>
              <w:left w:val="nil"/>
              <w:bottom w:val="single" w:sz="4" w:space="0" w:color="auto"/>
              <w:right w:val="single" w:sz="4" w:space="0" w:color="auto"/>
            </w:tcBorders>
            <w:shd w:val="clear" w:color="auto" w:fill="auto"/>
            <w:vAlign w:val="center"/>
            <w:hideMark/>
          </w:tcPr>
          <w:p w14:paraId="6CEDB807"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Distance traveled in each trip</w:t>
            </w:r>
          </w:p>
        </w:tc>
        <w:tc>
          <w:tcPr>
            <w:tcW w:w="913" w:type="dxa"/>
            <w:tcBorders>
              <w:top w:val="nil"/>
              <w:left w:val="nil"/>
              <w:bottom w:val="single" w:sz="4" w:space="0" w:color="auto"/>
              <w:right w:val="single" w:sz="4" w:space="0" w:color="auto"/>
            </w:tcBorders>
            <w:shd w:val="clear" w:color="auto" w:fill="auto"/>
            <w:noWrap/>
            <w:vAlign w:val="center"/>
            <w:hideMark/>
          </w:tcPr>
          <w:p w14:paraId="76B9DE73" w14:textId="77777777" w:rsidR="00117980" w:rsidRPr="001022AF" w:rsidRDefault="00117980" w:rsidP="00394F53">
            <w:pPr>
              <w:spacing w:after="0"/>
              <w:contextualSpacing w:val="0"/>
              <w:jc w:val="left"/>
              <w:rPr>
                <w:rFonts w:eastAsia="Times New Roman" w:cs="Times New Roman"/>
                <w:sz w:val="20"/>
                <w:szCs w:val="20"/>
              </w:rPr>
            </w:pPr>
            <w:r w:rsidRPr="001022AF">
              <w:rPr>
                <w:rFonts w:eastAsia="Times New Roman" w:cs="Times New Roman"/>
                <w:sz w:val="20"/>
                <w:szCs w:val="20"/>
              </w:rPr>
              <w:t>4.149</w:t>
            </w:r>
          </w:p>
        </w:tc>
        <w:tc>
          <w:tcPr>
            <w:tcW w:w="1467" w:type="dxa"/>
            <w:tcBorders>
              <w:top w:val="nil"/>
              <w:left w:val="nil"/>
              <w:bottom w:val="single" w:sz="4" w:space="0" w:color="auto"/>
              <w:right w:val="double" w:sz="6" w:space="0" w:color="auto"/>
            </w:tcBorders>
            <w:shd w:val="clear" w:color="auto" w:fill="auto"/>
            <w:noWrap/>
            <w:vAlign w:val="center"/>
            <w:hideMark/>
          </w:tcPr>
          <w:p w14:paraId="5397CFFF" w14:textId="4A2C9CF7" w:rsidR="00117980"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4.129</w:t>
            </w:r>
          </w:p>
        </w:tc>
      </w:tr>
      <w:tr w:rsidR="00117980" w:rsidRPr="001022AF" w14:paraId="4C1103E6"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392FE40F"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Network distance</w:t>
            </w:r>
          </w:p>
        </w:tc>
        <w:tc>
          <w:tcPr>
            <w:tcW w:w="3402" w:type="dxa"/>
            <w:tcBorders>
              <w:top w:val="nil"/>
              <w:left w:val="nil"/>
              <w:bottom w:val="single" w:sz="4" w:space="0" w:color="auto"/>
              <w:right w:val="single" w:sz="4" w:space="0" w:color="auto"/>
            </w:tcBorders>
            <w:shd w:val="clear" w:color="auto" w:fill="auto"/>
            <w:vAlign w:val="center"/>
            <w:hideMark/>
          </w:tcPr>
          <w:p w14:paraId="7D4CF6BA"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Ln (Shortest distance between census tracts)</w:t>
            </w:r>
          </w:p>
        </w:tc>
        <w:tc>
          <w:tcPr>
            <w:tcW w:w="913" w:type="dxa"/>
            <w:tcBorders>
              <w:top w:val="nil"/>
              <w:left w:val="nil"/>
              <w:bottom w:val="single" w:sz="4" w:space="0" w:color="auto"/>
              <w:right w:val="single" w:sz="4" w:space="0" w:color="auto"/>
            </w:tcBorders>
            <w:shd w:val="clear" w:color="auto" w:fill="auto"/>
            <w:noWrap/>
            <w:vAlign w:val="center"/>
            <w:hideMark/>
          </w:tcPr>
          <w:p w14:paraId="0CA24844" w14:textId="3C3EFD63" w:rsidR="00117980" w:rsidRPr="001022AF" w:rsidRDefault="00117980" w:rsidP="00394F53">
            <w:pPr>
              <w:spacing w:after="0"/>
              <w:contextualSpacing w:val="0"/>
              <w:jc w:val="left"/>
              <w:rPr>
                <w:rFonts w:eastAsia="Times New Roman" w:cs="Times New Roman"/>
                <w:sz w:val="20"/>
                <w:szCs w:val="20"/>
              </w:rPr>
            </w:pPr>
            <w:r w:rsidRPr="001022AF">
              <w:rPr>
                <w:rFonts w:eastAsia="Times New Roman" w:cs="Times New Roman"/>
                <w:sz w:val="20"/>
                <w:szCs w:val="20"/>
              </w:rPr>
              <w:t>1.8</w:t>
            </w:r>
            <w:r w:rsidR="00394F53" w:rsidRPr="001022AF">
              <w:rPr>
                <w:rFonts w:eastAsia="Times New Roman" w:cs="Times New Roman"/>
                <w:sz w:val="20"/>
                <w:szCs w:val="20"/>
              </w:rPr>
              <w:t>95</w:t>
            </w:r>
          </w:p>
        </w:tc>
        <w:tc>
          <w:tcPr>
            <w:tcW w:w="1467" w:type="dxa"/>
            <w:tcBorders>
              <w:top w:val="nil"/>
              <w:left w:val="nil"/>
              <w:bottom w:val="single" w:sz="4" w:space="0" w:color="auto"/>
              <w:right w:val="double" w:sz="6" w:space="0" w:color="auto"/>
            </w:tcBorders>
            <w:shd w:val="clear" w:color="auto" w:fill="auto"/>
            <w:noWrap/>
            <w:vAlign w:val="center"/>
            <w:hideMark/>
          </w:tcPr>
          <w:p w14:paraId="48BB1492" w14:textId="6D7673E3" w:rsidR="00117980"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0.494</w:t>
            </w:r>
          </w:p>
        </w:tc>
      </w:tr>
      <w:tr w:rsidR="00394F53" w:rsidRPr="001022AF" w14:paraId="14F6AA0A"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43CF66BF" w14:textId="77777777" w:rsidR="00394F53" w:rsidRPr="001022AF" w:rsidRDefault="00394F53" w:rsidP="00394F53">
            <w:pPr>
              <w:spacing w:after="0"/>
              <w:ind w:firstLineChars="100" w:firstLine="200"/>
              <w:contextualSpacing w:val="0"/>
              <w:jc w:val="left"/>
              <w:rPr>
                <w:rFonts w:eastAsia="Times New Roman" w:cs="Times New Roman"/>
                <w:sz w:val="20"/>
                <w:szCs w:val="20"/>
              </w:rPr>
            </w:pPr>
            <w:r w:rsidRPr="001022AF">
              <w:rPr>
                <w:rFonts w:eastAsia="Times New Roman" w:cs="Times New Roman"/>
                <w:sz w:val="20"/>
                <w:szCs w:val="20"/>
              </w:rPr>
              <w:t>Demand in last 15 minutes at origin</w:t>
            </w:r>
          </w:p>
        </w:tc>
        <w:tc>
          <w:tcPr>
            <w:tcW w:w="3402" w:type="dxa"/>
            <w:tcBorders>
              <w:top w:val="nil"/>
              <w:left w:val="nil"/>
              <w:bottom w:val="single" w:sz="4" w:space="0" w:color="auto"/>
              <w:right w:val="single" w:sz="4" w:space="0" w:color="auto"/>
            </w:tcBorders>
            <w:shd w:val="clear" w:color="auto" w:fill="auto"/>
            <w:vAlign w:val="center"/>
            <w:hideMark/>
          </w:tcPr>
          <w:p w14:paraId="06A57F36" w14:textId="0ADAEE78"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 xml:space="preserve">Ln (Demand in last 15 minutes in each origin census tract) </w:t>
            </w:r>
          </w:p>
        </w:tc>
        <w:tc>
          <w:tcPr>
            <w:tcW w:w="913" w:type="dxa"/>
            <w:tcBorders>
              <w:top w:val="nil"/>
              <w:left w:val="nil"/>
              <w:bottom w:val="single" w:sz="4" w:space="0" w:color="auto"/>
              <w:right w:val="single" w:sz="4" w:space="0" w:color="auto"/>
            </w:tcBorders>
            <w:shd w:val="clear" w:color="auto" w:fill="auto"/>
            <w:noWrap/>
            <w:vAlign w:val="center"/>
            <w:hideMark/>
          </w:tcPr>
          <w:p w14:paraId="160DFB95" w14:textId="77777777"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2.006</w:t>
            </w:r>
          </w:p>
        </w:tc>
        <w:tc>
          <w:tcPr>
            <w:tcW w:w="1467" w:type="dxa"/>
            <w:tcBorders>
              <w:top w:val="nil"/>
              <w:left w:val="nil"/>
              <w:bottom w:val="single" w:sz="4" w:space="0" w:color="auto"/>
              <w:right w:val="double" w:sz="6" w:space="0" w:color="auto"/>
            </w:tcBorders>
            <w:shd w:val="clear" w:color="auto" w:fill="auto"/>
            <w:noWrap/>
            <w:vAlign w:val="center"/>
            <w:hideMark/>
          </w:tcPr>
          <w:p w14:paraId="3179491D" w14:textId="01979E8B"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1.482</w:t>
            </w:r>
          </w:p>
        </w:tc>
      </w:tr>
      <w:tr w:rsidR="00394F53" w:rsidRPr="001022AF" w14:paraId="20997347"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308D6744" w14:textId="77777777" w:rsidR="003A17A2" w:rsidRPr="001022AF" w:rsidRDefault="00394F53" w:rsidP="00394F53">
            <w:pPr>
              <w:spacing w:after="0"/>
              <w:ind w:firstLineChars="100" w:firstLine="200"/>
              <w:contextualSpacing w:val="0"/>
              <w:jc w:val="left"/>
              <w:rPr>
                <w:rFonts w:eastAsia="Times New Roman" w:cs="Times New Roman"/>
                <w:sz w:val="20"/>
                <w:szCs w:val="20"/>
              </w:rPr>
            </w:pPr>
            <w:r w:rsidRPr="001022AF">
              <w:rPr>
                <w:rFonts w:eastAsia="Times New Roman" w:cs="Times New Roman"/>
                <w:sz w:val="20"/>
                <w:szCs w:val="20"/>
              </w:rPr>
              <w:t xml:space="preserve">Demand in last 15 minutes at </w:t>
            </w:r>
          </w:p>
          <w:p w14:paraId="55E60691" w14:textId="07096A93" w:rsidR="00394F53" w:rsidRPr="001022AF" w:rsidRDefault="003A17A2" w:rsidP="003A17A2">
            <w:pPr>
              <w:spacing w:after="0"/>
              <w:contextualSpacing w:val="0"/>
              <w:jc w:val="left"/>
              <w:rPr>
                <w:rFonts w:eastAsia="Times New Roman" w:cs="Times New Roman"/>
                <w:sz w:val="20"/>
                <w:szCs w:val="20"/>
              </w:rPr>
            </w:pPr>
            <w:r w:rsidRPr="001022AF">
              <w:rPr>
                <w:rFonts w:eastAsia="Times New Roman" w:cs="Times New Roman"/>
                <w:sz w:val="20"/>
                <w:szCs w:val="20"/>
              </w:rPr>
              <w:t xml:space="preserve">    </w:t>
            </w:r>
            <w:r w:rsidR="00394F53" w:rsidRPr="001022AF">
              <w:rPr>
                <w:rFonts w:eastAsia="Times New Roman" w:cs="Times New Roman"/>
                <w:sz w:val="20"/>
                <w:szCs w:val="20"/>
              </w:rPr>
              <w:t>destination</w:t>
            </w:r>
          </w:p>
        </w:tc>
        <w:tc>
          <w:tcPr>
            <w:tcW w:w="3402" w:type="dxa"/>
            <w:tcBorders>
              <w:top w:val="nil"/>
              <w:left w:val="nil"/>
              <w:bottom w:val="single" w:sz="4" w:space="0" w:color="auto"/>
              <w:right w:val="single" w:sz="4" w:space="0" w:color="auto"/>
            </w:tcBorders>
            <w:shd w:val="clear" w:color="auto" w:fill="auto"/>
            <w:vAlign w:val="center"/>
            <w:hideMark/>
          </w:tcPr>
          <w:p w14:paraId="7496C6B5" w14:textId="3F481880"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Ln (Demand in last 15 minutes in each destination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57520C62" w14:textId="77777777"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2.032</w:t>
            </w:r>
          </w:p>
        </w:tc>
        <w:tc>
          <w:tcPr>
            <w:tcW w:w="1467" w:type="dxa"/>
            <w:tcBorders>
              <w:top w:val="nil"/>
              <w:left w:val="nil"/>
              <w:bottom w:val="single" w:sz="4" w:space="0" w:color="auto"/>
              <w:right w:val="double" w:sz="6" w:space="0" w:color="auto"/>
            </w:tcBorders>
            <w:shd w:val="clear" w:color="auto" w:fill="auto"/>
            <w:noWrap/>
            <w:vAlign w:val="center"/>
            <w:hideMark/>
          </w:tcPr>
          <w:p w14:paraId="01B1E48C" w14:textId="0166234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1.537</w:t>
            </w:r>
          </w:p>
        </w:tc>
      </w:tr>
      <w:tr w:rsidR="00117980" w:rsidRPr="001022AF" w14:paraId="1A765361"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9E828E9"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Land Use and Built Environment Attributes</w:t>
            </w:r>
          </w:p>
        </w:tc>
      </w:tr>
      <w:tr w:rsidR="00394F53" w:rsidRPr="001022AF" w14:paraId="3A13DF32"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486976D2"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Network distance from CBD</w:t>
            </w:r>
          </w:p>
        </w:tc>
        <w:tc>
          <w:tcPr>
            <w:tcW w:w="3402" w:type="dxa"/>
            <w:tcBorders>
              <w:top w:val="nil"/>
              <w:left w:val="nil"/>
              <w:bottom w:val="single" w:sz="4" w:space="0" w:color="auto"/>
              <w:right w:val="single" w:sz="4" w:space="0" w:color="auto"/>
            </w:tcBorders>
            <w:shd w:val="clear" w:color="auto" w:fill="auto"/>
            <w:vAlign w:val="center"/>
            <w:hideMark/>
          </w:tcPr>
          <w:p w14:paraId="1100342D"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Ln (Network distance to census tract from Central Business District (CBD))</w:t>
            </w:r>
          </w:p>
        </w:tc>
        <w:tc>
          <w:tcPr>
            <w:tcW w:w="913" w:type="dxa"/>
            <w:tcBorders>
              <w:top w:val="nil"/>
              <w:left w:val="nil"/>
              <w:bottom w:val="single" w:sz="4" w:space="0" w:color="auto"/>
              <w:right w:val="single" w:sz="4" w:space="0" w:color="auto"/>
            </w:tcBorders>
            <w:shd w:val="clear" w:color="auto" w:fill="auto"/>
            <w:noWrap/>
            <w:vAlign w:val="center"/>
            <w:hideMark/>
          </w:tcPr>
          <w:p w14:paraId="4FDE6CAD" w14:textId="6C24267D"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1.871</w:t>
            </w:r>
          </w:p>
        </w:tc>
        <w:tc>
          <w:tcPr>
            <w:tcW w:w="1467" w:type="dxa"/>
            <w:tcBorders>
              <w:top w:val="nil"/>
              <w:left w:val="nil"/>
              <w:bottom w:val="single" w:sz="4" w:space="0" w:color="auto"/>
              <w:right w:val="double" w:sz="6" w:space="0" w:color="auto"/>
            </w:tcBorders>
            <w:shd w:val="clear" w:color="auto" w:fill="auto"/>
            <w:noWrap/>
            <w:vAlign w:val="center"/>
            <w:hideMark/>
          </w:tcPr>
          <w:p w14:paraId="22FC09E2" w14:textId="1B33DC82"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0.560</w:t>
            </w:r>
          </w:p>
        </w:tc>
      </w:tr>
      <w:tr w:rsidR="00394F53" w:rsidRPr="001022AF" w14:paraId="25D65A43"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27664E91"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Residential area</w:t>
            </w:r>
          </w:p>
        </w:tc>
        <w:tc>
          <w:tcPr>
            <w:tcW w:w="3402" w:type="dxa"/>
            <w:tcBorders>
              <w:top w:val="nil"/>
              <w:left w:val="nil"/>
              <w:bottom w:val="single" w:sz="4" w:space="0" w:color="auto"/>
              <w:right w:val="single" w:sz="4" w:space="0" w:color="auto"/>
            </w:tcBorders>
            <w:shd w:val="clear" w:color="auto" w:fill="auto"/>
            <w:vAlign w:val="center"/>
            <w:hideMark/>
          </w:tcPr>
          <w:p w14:paraId="1AE0DC81"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Total residential area in each census tract (area/100) in acre</w:t>
            </w:r>
          </w:p>
        </w:tc>
        <w:tc>
          <w:tcPr>
            <w:tcW w:w="913" w:type="dxa"/>
            <w:tcBorders>
              <w:top w:val="nil"/>
              <w:left w:val="nil"/>
              <w:bottom w:val="single" w:sz="4" w:space="0" w:color="auto"/>
              <w:right w:val="single" w:sz="4" w:space="0" w:color="auto"/>
            </w:tcBorders>
            <w:shd w:val="clear" w:color="auto" w:fill="auto"/>
            <w:noWrap/>
            <w:vAlign w:val="center"/>
            <w:hideMark/>
          </w:tcPr>
          <w:p w14:paraId="3F7813CF" w14:textId="0A792765"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0.602</w:t>
            </w:r>
          </w:p>
        </w:tc>
        <w:tc>
          <w:tcPr>
            <w:tcW w:w="1467" w:type="dxa"/>
            <w:tcBorders>
              <w:top w:val="nil"/>
              <w:left w:val="nil"/>
              <w:bottom w:val="single" w:sz="4" w:space="0" w:color="auto"/>
              <w:right w:val="double" w:sz="6" w:space="0" w:color="auto"/>
            </w:tcBorders>
            <w:shd w:val="clear" w:color="auto" w:fill="auto"/>
            <w:noWrap/>
            <w:vAlign w:val="center"/>
            <w:hideMark/>
          </w:tcPr>
          <w:p w14:paraId="7C9CC8F5" w14:textId="5C376543"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0.519</w:t>
            </w:r>
          </w:p>
        </w:tc>
      </w:tr>
      <w:tr w:rsidR="00394F53" w:rsidRPr="001022AF" w14:paraId="5A097C7C"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2B518E8A"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Commercial area</w:t>
            </w:r>
          </w:p>
        </w:tc>
        <w:tc>
          <w:tcPr>
            <w:tcW w:w="3402" w:type="dxa"/>
            <w:tcBorders>
              <w:top w:val="nil"/>
              <w:left w:val="nil"/>
              <w:bottom w:val="single" w:sz="4" w:space="0" w:color="auto"/>
              <w:right w:val="single" w:sz="4" w:space="0" w:color="auto"/>
            </w:tcBorders>
            <w:shd w:val="clear" w:color="auto" w:fill="auto"/>
            <w:vAlign w:val="center"/>
            <w:hideMark/>
          </w:tcPr>
          <w:p w14:paraId="72D60192"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Total commercial area in each census tract (area/100) in acre</w:t>
            </w:r>
          </w:p>
        </w:tc>
        <w:tc>
          <w:tcPr>
            <w:tcW w:w="913" w:type="dxa"/>
            <w:tcBorders>
              <w:top w:val="nil"/>
              <w:left w:val="nil"/>
              <w:bottom w:val="single" w:sz="4" w:space="0" w:color="auto"/>
              <w:right w:val="single" w:sz="4" w:space="0" w:color="auto"/>
            </w:tcBorders>
            <w:shd w:val="clear" w:color="auto" w:fill="auto"/>
            <w:noWrap/>
            <w:vAlign w:val="center"/>
            <w:hideMark/>
          </w:tcPr>
          <w:p w14:paraId="17073C25" w14:textId="036253D2"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0.115</w:t>
            </w:r>
          </w:p>
        </w:tc>
        <w:tc>
          <w:tcPr>
            <w:tcW w:w="1467" w:type="dxa"/>
            <w:tcBorders>
              <w:top w:val="nil"/>
              <w:left w:val="nil"/>
              <w:bottom w:val="single" w:sz="4" w:space="0" w:color="auto"/>
              <w:right w:val="double" w:sz="6" w:space="0" w:color="auto"/>
            </w:tcBorders>
            <w:shd w:val="clear" w:color="auto" w:fill="auto"/>
            <w:noWrap/>
            <w:vAlign w:val="center"/>
            <w:hideMark/>
          </w:tcPr>
          <w:p w14:paraId="0B9B25E5" w14:textId="37A43D43"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0.174</w:t>
            </w:r>
          </w:p>
        </w:tc>
      </w:tr>
      <w:tr w:rsidR="00394F53" w:rsidRPr="001022AF" w14:paraId="4C1B40CD"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38F98706"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Institutional area</w:t>
            </w:r>
          </w:p>
        </w:tc>
        <w:tc>
          <w:tcPr>
            <w:tcW w:w="3402" w:type="dxa"/>
            <w:tcBorders>
              <w:top w:val="nil"/>
              <w:left w:val="nil"/>
              <w:bottom w:val="single" w:sz="4" w:space="0" w:color="auto"/>
              <w:right w:val="single" w:sz="4" w:space="0" w:color="auto"/>
            </w:tcBorders>
            <w:shd w:val="clear" w:color="auto" w:fill="auto"/>
            <w:vAlign w:val="center"/>
            <w:hideMark/>
          </w:tcPr>
          <w:p w14:paraId="57BDD32F"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Total institutional area in each census tract (area/100) in acre</w:t>
            </w:r>
          </w:p>
        </w:tc>
        <w:tc>
          <w:tcPr>
            <w:tcW w:w="913" w:type="dxa"/>
            <w:tcBorders>
              <w:top w:val="nil"/>
              <w:left w:val="nil"/>
              <w:bottom w:val="single" w:sz="4" w:space="0" w:color="auto"/>
              <w:right w:val="single" w:sz="4" w:space="0" w:color="auto"/>
            </w:tcBorders>
            <w:shd w:val="clear" w:color="auto" w:fill="auto"/>
            <w:noWrap/>
            <w:vAlign w:val="center"/>
            <w:hideMark/>
          </w:tcPr>
          <w:p w14:paraId="285BA265" w14:textId="48B897BB"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0.113</w:t>
            </w:r>
          </w:p>
        </w:tc>
        <w:tc>
          <w:tcPr>
            <w:tcW w:w="1467" w:type="dxa"/>
            <w:tcBorders>
              <w:top w:val="nil"/>
              <w:left w:val="nil"/>
              <w:bottom w:val="single" w:sz="4" w:space="0" w:color="auto"/>
              <w:right w:val="double" w:sz="6" w:space="0" w:color="auto"/>
            </w:tcBorders>
            <w:shd w:val="clear" w:color="auto" w:fill="auto"/>
            <w:noWrap/>
            <w:vAlign w:val="center"/>
            <w:hideMark/>
          </w:tcPr>
          <w:p w14:paraId="5E71BAE1" w14:textId="166CAE3D"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0.280</w:t>
            </w:r>
          </w:p>
        </w:tc>
      </w:tr>
      <w:tr w:rsidR="00394F53" w:rsidRPr="001022AF" w14:paraId="4EFE8288"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4C91C400"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Recreational area</w:t>
            </w:r>
          </w:p>
        </w:tc>
        <w:tc>
          <w:tcPr>
            <w:tcW w:w="3402" w:type="dxa"/>
            <w:tcBorders>
              <w:top w:val="nil"/>
              <w:left w:val="nil"/>
              <w:bottom w:val="single" w:sz="4" w:space="0" w:color="auto"/>
              <w:right w:val="single" w:sz="4" w:space="0" w:color="auto"/>
            </w:tcBorders>
            <w:shd w:val="clear" w:color="auto" w:fill="auto"/>
            <w:vAlign w:val="center"/>
            <w:hideMark/>
          </w:tcPr>
          <w:p w14:paraId="0F191170"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Total recreational area in each census tract (area/100) in acre</w:t>
            </w:r>
          </w:p>
        </w:tc>
        <w:tc>
          <w:tcPr>
            <w:tcW w:w="913" w:type="dxa"/>
            <w:tcBorders>
              <w:top w:val="nil"/>
              <w:left w:val="nil"/>
              <w:bottom w:val="single" w:sz="4" w:space="0" w:color="auto"/>
              <w:right w:val="single" w:sz="4" w:space="0" w:color="auto"/>
            </w:tcBorders>
            <w:shd w:val="clear" w:color="auto" w:fill="auto"/>
            <w:noWrap/>
            <w:vAlign w:val="center"/>
            <w:hideMark/>
          </w:tcPr>
          <w:p w14:paraId="4FBEBC92" w14:textId="5B5B65C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0.074</w:t>
            </w:r>
          </w:p>
        </w:tc>
        <w:tc>
          <w:tcPr>
            <w:tcW w:w="1467" w:type="dxa"/>
            <w:tcBorders>
              <w:top w:val="nil"/>
              <w:left w:val="nil"/>
              <w:bottom w:val="single" w:sz="4" w:space="0" w:color="auto"/>
              <w:right w:val="double" w:sz="6" w:space="0" w:color="auto"/>
            </w:tcBorders>
            <w:shd w:val="clear" w:color="auto" w:fill="auto"/>
            <w:noWrap/>
            <w:vAlign w:val="center"/>
            <w:hideMark/>
          </w:tcPr>
          <w:p w14:paraId="6355006F" w14:textId="63E2B42B"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0.232</w:t>
            </w:r>
          </w:p>
        </w:tc>
      </w:tr>
      <w:tr w:rsidR="00394F53" w:rsidRPr="001022AF" w14:paraId="7AA3F6EF" w14:textId="77777777" w:rsidTr="001022AF">
        <w:trPr>
          <w:trHeight w:val="1510"/>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14E27DF1"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Land use mix</w:t>
            </w:r>
          </w:p>
        </w:tc>
        <w:tc>
          <w:tcPr>
            <w:tcW w:w="3402" w:type="dxa"/>
            <w:tcBorders>
              <w:top w:val="nil"/>
              <w:left w:val="nil"/>
              <w:bottom w:val="single" w:sz="4" w:space="0" w:color="auto"/>
              <w:right w:val="single" w:sz="4" w:space="0" w:color="auto"/>
            </w:tcBorders>
            <w:shd w:val="clear" w:color="auto" w:fill="auto"/>
            <w:vAlign w:val="center"/>
            <w:hideMark/>
          </w:tcPr>
          <w:p w14:paraId="46B6AC04" w14:textId="77777777" w:rsidR="00394F53" w:rsidRPr="001022AF" w:rsidRDefault="00394F53" w:rsidP="00394F53">
            <w:pPr>
              <w:rPr>
                <w:rFonts w:eastAsia="Times New Roman" w:cs="Times New Roman"/>
                <w:color w:val="000000"/>
                <w:sz w:val="20"/>
                <w:szCs w:val="20"/>
              </w:rPr>
            </w:pPr>
            <w:r w:rsidRPr="001022AF">
              <w:rPr>
                <w:rFonts w:eastAsia="Times New Roman" w:cs="Times New Roman"/>
                <w:color w:val="000000"/>
                <w:sz w:val="20"/>
                <w:szCs w:val="20"/>
              </w:rPr>
              <w:t>Land use mix =</w:t>
            </w:r>
          </w:p>
          <w:p w14:paraId="68F1FFB3" w14:textId="77777777" w:rsidR="00394F53" w:rsidRPr="001022AF" w:rsidRDefault="00394F53" w:rsidP="00394F53">
            <w:pPr>
              <w:rPr>
                <w:rFonts w:eastAsia="Times New Roman" w:cs="Times New Roman"/>
                <w:color w:val="000000"/>
                <w:sz w:val="20"/>
                <w:szCs w:val="20"/>
              </w:rPr>
            </w:pPr>
            <w:r w:rsidRPr="001022AF">
              <w:rPr>
                <w:rFonts w:eastAsia="Times New Roman" w:cs="Times New Roman"/>
                <w:color w:val="000000"/>
                <w:sz w:val="20"/>
                <w:szCs w:val="20"/>
              </w:rPr>
              <w:t>[</w:t>
            </w:r>
            <m:oMath>
              <m:f>
                <m:fPr>
                  <m:ctrlPr>
                    <w:rPr>
                      <w:rFonts w:ascii="Cambria Math" w:eastAsia="Times New Roman" w:hAnsi="Cambria Math" w:cs="Times New Roman"/>
                      <w:i/>
                      <w:color w:val="000000"/>
                      <w:sz w:val="20"/>
                      <w:szCs w:val="20"/>
                    </w:rPr>
                  </m:ctrlPr>
                </m:fPr>
                <m:num>
                  <m:r>
                    <w:rPr>
                      <w:rFonts w:ascii="Cambria Math" w:eastAsia="Times New Roman" w:hAnsi="Cambria Math" w:cs="Times New Roman"/>
                      <w:color w:val="000000"/>
                      <w:sz w:val="20"/>
                      <w:szCs w:val="20"/>
                    </w:rPr>
                    <m:t>-</m:t>
                  </m:r>
                  <m:nary>
                    <m:naryPr>
                      <m:chr m:val="∑"/>
                      <m:limLoc m:val="subSup"/>
                      <m:supHide m:val="1"/>
                      <m:ctrlPr>
                        <w:rPr>
                          <w:rFonts w:ascii="Cambria Math" w:eastAsia="Times New Roman" w:hAnsi="Cambria Math" w:cs="Times New Roman"/>
                          <w:i/>
                          <w:color w:val="000000"/>
                          <w:sz w:val="20"/>
                          <w:szCs w:val="20"/>
                        </w:rPr>
                      </m:ctrlPr>
                    </m:naryPr>
                    <m:sub>
                      <m:r>
                        <w:rPr>
                          <w:rFonts w:ascii="Cambria Math" w:eastAsia="Times New Roman" w:hAnsi="Cambria Math" w:cs="Times New Roman"/>
                          <w:color w:val="000000"/>
                          <w:sz w:val="20"/>
                          <w:szCs w:val="20"/>
                        </w:rPr>
                        <m:t>k</m:t>
                      </m:r>
                    </m:sub>
                    <m:sup/>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k</m:t>
                          </m:r>
                        </m:sub>
                      </m:sSub>
                      <m:r>
                        <w:rPr>
                          <w:rFonts w:ascii="Cambria Math" w:eastAsia="Times New Roman" w:hAnsi="Cambria Math" w:cs="Times New Roman"/>
                          <w:color w:val="000000"/>
                          <w:sz w:val="20"/>
                          <w:szCs w:val="20"/>
                        </w:rPr>
                        <m:t>(ln</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P</m:t>
                          </m:r>
                        </m:e>
                        <m:sub>
                          <m:r>
                            <w:rPr>
                              <w:rFonts w:ascii="Cambria Math" w:eastAsia="Times New Roman" w:hAnsi="Cambria Math" w:cs="Times New Roman"/>
                              <w:color w:val="000000"/>
                              <w:sz w:val="20"/>
                              <w:szCs w:val="20"/>
                            </w:rPr>
                            <m:t>k</m:t>
                          </m:r>
                        </m:sub>
                      </m:sSub>
                      <m:r>
                        <w:rPr>
                          <w:rFonts w:ascii="Cambria Math" w:eastAsia="Times New Roman" w:hAnsi="Cambria Math" w:cs="Times New Roman"/>
                          <w:color w:val="000000"/>
                          <w:sz w:val="20"/>
                          <w:szCs w:val="20"/>
                        </w:rPr>
                        <m:t>))</m:t>
                      </m:r>
                    </m:e>
                  </m:nary>
                </m:num>
                <m:den>
                  <m:r>
                    <w:rPr>
                      <w:rFonts w:ascii="Cambria Math" w:eastAsia="Times New Roman" w:hAnsi="Cambria Math" w:cs="Times New Roman"/>
                      <w:color w:val="000000"/>
                      <w:sz w:val="20"/>
                      <w:szCs w:val="20"/>
                    </w:rPr>
                    <m:t>lnN</m:t>
                  </m:r>
                </m:den>
              </m:f>
            </m:oMath>
            <w:r w:rsidRPr="001022AF">
              <w:rPr>
                <w:rFonts w:eastAsia="Times New Roman" w:cs="Times New Roman"/>
                <w:color w:val="000000"/>
                <w:sz w:val="20"/>
                <w:szCs w:val="20"/>
              </w:rPr>
              <w:t>]</w:t>
            </w:r>
          </w:p>
          <w:p w14:paraId="26EB6599" w14:textId="77777777" w:rsidR="00394F53" w:rsidRPr="001022AF" w:rsidRDefault="00394F53" w:rsidP="00394F53">
            <w:pPr>
              <w:rPr>
                <w:rFonts w:eastAsia="Times New Roman" w:cs="Times New Roman"/>
                <w:color w:val="000000"/>
                <w:sz w:val="20"/>
                <w:szCs w:val="20"/>
              </w:rPr>
            </w:pPr>
            <w:r w:rsidRPr="001022AF">
              <w:rPr>
                <w:rFonts w:eastAsia="Times New Roman" w:cs="Times New Roman"/>
                <w:color w:val="000000"/>
                <w:sz w:val="20"/>
                <w:szCs w:val="20"/>
              </w:rPr>
              <w:t>, where k is the category of land-use, p is</w:t>
            </w:r>
          </w:p>
          <w:p w14:paraId="2FA563D1" w14:textId="77777777" w:rsidR="00394F53" w:rsidRPr="001022AF" w:rsidRDefault="00394F53" w:rsidP="00394F53">
            <w:pPr>
              <w:rPr>
                <w:rFonts w:eastAsia="Times New Roman" w:cs="Times New Roman"/>
                <w:color w:val="000000"/>
                <w:sz w:val="20"/>
                <w:szCs w:val="20"/>
              </w:rPr>
            </w:pPr>
            <w:r w:rsidRPr="001022AF">
              <w:rPr>
                <w:rFonts w:eastAsia="Times New Roman" w:cs="Times New Roman"/>
                <w:color w:val="000000"/>
                <w:sz w:val="20"/>
                <w:szCs w:val="20"/>
              </w:rPr>
              <w:t>the proportion of the developed land area for specific land-use, N is</w:t>
            </w:r>
          </w:p>
          <w:p w14:paraId="5006348E" w14:textId="76F31C78"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the number of land-use categories</w:t>
            </w:r>
          </w:p>
        </w:tc>
        <w:tc>
          <w:tcPr>
            <w:tcW w:w="913" w:type="dxa"/>
            <w:tcBorders>
              <w:top w:val="nil"/>
              <w:left w:val="nil"/>
              <w:bottom w:val="single" w:sz="4" w:space="0" w:color="auto"/>
              <w:right w:val="single" w:sz="4" w:space="0" w:color="auto"/>
            </w:tcBorders>
            <w:shd w:val="clear" w:color="auto" w:fill="auto"/>
            <w:noWrap/>
            <w:vAlign w:val="center"/>
            <w:hideMark/>
          </w:tcPr>
          <w:p w14:paraId="191B19A9" w14:textId="6AA3DFCE"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0.134</w:t>
            </w:r>
          </w:p>
        </w:tc>
        <w:tc>
          <w:tcPr>
            <w:tcW w:w="1467" w:type="dxa"/>
            <w:tcBorders>
              <w:top w:val="nil"/>
              <w:left w:val="nil"/>
              <w:bottom w:val="single" w:sz="4" w:space="0" w:color="auto"/>
              <w:right w:val="double" w:sz="6" w:space="0" w:color="auto"/>
            </w:tcBorders>
            <w:shd w:val="clear" w:color="auto" w:fill="auto"/>
            <w:noWrap/>
            <w:vAlign w:val="center"/>
            <w:hideMark/>
          </w:tcPr>
          <w:p w14:paraId="3FB4155A" w14:textId="14822A04"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0.045</w:t>
            </w:r>
          </w:p>
        </w:tc>
      </w:tr>
      <w:tr w:rsidR="00117980" w:rsidRPr="001022AF" w14:paraId="1855BD78"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7F451579"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Transportation Infrastructure Attributes</w:t>
            </w:r>
          </w:p>
        </w:tc>
      </w:tr>
      <w:tr w:rsidR="00394F53" w:rsidRPr="001022AF" w14:paraId="7739984F"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2C525779"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lastRenderedPageBreak/>
              <w:t>Bike lane density</w:t>
            </w:r>
          </w:p>
        </w:tc>
        <w:tc>
          <w:tcPr>
            <w:tcW w:w="3402" w:type="dxa"/>
            <w:tcBorders>
              <w:top w:val="nil"/>
              <w:left w:val="nil"/>
              <w:bottom w:val="single" w:sz="4" w:space="0" w:color="auto"/>
              <w:right w:val="single" w:sz="4" w:space="0" w:color="auto"/>
            </w:tcBorders>
            <w:shd w:val="clear" w:color="auto" w:fill="auto"/>
            <w:vAlign w:val="center"/>
            <w:hideMark/>
          </w:tcPr>
          <w:p w14:paraId="6DF27D3E"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Length of bike lane in each census tract per acre (Density*100) (mi/acre)</w:t>
            </w:r>
          </w:p>
        </w:tc>
        <w:tc>
          <w:tcPr>
            <w:tcW w:w="913" w:type="dxa"/>
            <w:tcBorders>
              <w:top w:val="nil"/>
              <w:left w:val="nil"/>
              <w:bottom w:val="single" w:sz="4" w:space="0" w:color="auto"/>
              <w:right w:val="single" w:sz="4" w:space="0" w:color="auto"/>
            </w:tcBorders>
            <w:shd w:val="clear" w:color="auto" w:fill="auto"/>
            <w:noWrap/>
            <w:vAlign w:val="center"/>
            <w:hideMark/>
          </w:tcPr>
          <w:p w14:paraId="0ABBADE3" w14:textId="0D6BE2BE"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0.321</w:t>
            </w:r>
          </w:p>
        </w:tc>
        <w:tc>
          <w:tcPr>
            <w:tcW w:w="1467" w:type="dxa"/>
            <w:tcBorders>
              <w:top w:val="nil"/>
              <w:left w:val="nil"/>
              <w:bottom w:val="single" w:sz="4" w:space="0" w:color="auto"/>
              <w:right w:val="double" w:sz="6" w:space="0" w:color="auto"/>
            </w:tcBorders>
            <w:shd w:val="clear" w:color="auto" w:fill="auto"/>
            <w:noWrap/>
            <w:vAlign w:val="center"/>
            <w:hideMark/>
          </w:tcPr>
          <w:p w14:paraId="5D0A8267" w14:textId="65F72DF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0.352</w:t>
            </w:r>
          </w:p>
        </w:tc>
      </w:tr>
      <w:tr w:rsidR="00394F53" w:rsidRPr="001022AF" w14:paraId="5CAD1C0F"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7795084E"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Length of street</w:t>
            </w:r>
          </w:p>
        </w:tc>
        <w:tc>
          <w:tcPr>
            <w:tcW w:w="3402" w:type="dxa"/>
            <w:tcBorders>
              <w:top w:val="nil"/>
              <w:left w:val="nil"/>
              <w:bottom w:val="single" w:sz="4" w:space="0" w:color="auto"/>
              <w:right w:val="single" w:sz="4" w:space="0" w:color="auto"/>
            </w:tcBorders>
            <w:shd w:val="clear" w:color="auto" w:fill="auto"/>
            <w:vAlign w:val="center"/>
            <w:hideMark/>
          </w:tcPr>
          <w:p w14:paraId="2B6C910C"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Length of street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7F0544CF" w14:textId="087D7E77"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5.597</w:t>
            </w:r>
          </w:p>
        </w:tc>
        <w:tc>
          <w:tcPr>
            <w:tcW w:w="1467" w:type="dxa"/>
            <w:tcBorders>
              <w:top w:val="nil"/>
              <w:left w:val="nil"/>
              <w:bottom w:val="single" w:sz="4" w:space="0" w:color="auto"/>
              <w:right w:val="double" w:sz="6" w:space="0" w:color="auto"/>
            </w:tcBorders>
            <w:shd w:val="clear" w:color="auto" w:fill="auto"/>
            <w:noWrap/>
            <w:vAlign w:val="center"/>
            <w:hideMark/>
          </w:tcPr>
          <w:p w14:paraId="082DB609" w14:textId="4E149D69"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4.953</w:t>
            </w:r>
          </w:p>
        </w:tc>
      </w:tr>
      <w:tr w:rsidR="00394F53" w:rsidRPr="001022AF" w14:paraId="61DDFC0E"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781A4C67"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bus stops</w:t>
            </w:r>
          </w:p>
        </w:tc>
        <w:tc>
          <w:tcPr>
            <w:tcW w:w="3402" w:type="dxa"/>
            <w:tcBorders>
              <w:top w:val="nil"/>
              <w:left w:val="nil"/>
              <w:bottom w:val="single" w:sz="4" w:space="0" w:color="auto"/>
              <w:right w:val="single" w:sz="4" w:space="0" w:color="auto"/>
            </w:tcBorders>
            <w:shd w:val="clear" w:color="auto" w:fill="auto"/>
            <w:vAlign w:val="center"/>
            <w:hideMark/>
          </w:tcPr>
          <w:p w14:paraId="23F20D45"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bus stops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17F3E1AB" w14:textId="5D3AEAAA"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12.486</w:t>
            </w:r>
          </w:p>
        </w:tc>
        <w:tc>
          <w:tcPr>
            <w:tcW w:w="1467" w:type="dxa"/>
            <w:tcBorders>
              <w:top w:val="nil"/>
              <w:left w:val="nil"/>
              <w:bottom w:val="single" w:sz="4" w:space="0" w:color="auto"/>
              <w:right w:val="double" w:sz="6" w:space="0" w:color="auto"/>
            </w:tcBorders>
            <w:shd w:val="clear" w:color="auto" w:fill="auto"/>
            <w:noWrap/>
            <w:vAlign w:val="center"/>
            <w:hideMark/>
          </w:tcPr>
          <w:p w14:paraId="0225092F" w14:textId="71C45079"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8.330</w:t>
            </w:r>
          </w:p>
        </w:tc>
      </w:tr>
      <w:tr w:rsidR="00394F53" w:rsidRPr="001022AF" w14:paraId="65E8D64B"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1C1B96D5"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L stations</w:t>
            </w:r>
          </w:p>
        </w:tc>
        <w:tc>
          <w:tcPr>
            <w:tcW w:w="3402" w:type="dxa"/>
            <w:tcBorders>
              <w:top w:val="nil"/>
              <w:left w:val="nil"/>
              <w:bottom w:val="single" w:sz="4" w:space="0" w:color="auto"/>
              <w:right w:val="single" w:sz="4" w:space="0" w:color="auto"/>
            </w:tcBorders>
            <w:shd w:val="clear" w:color="auto" w:fill="auto"/>
            <w:vAlign w:val="center"/>
            <w:hideMark/>
          </w:tcPr>
          <w:p w14:paraId="69762984"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stations of L transit system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7523995F" w14:textId="05F4A86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0.156</w:t>
            </w:r>
          </w:p>
        </w:tc>
        <w:tc>
          <w:tcPr>
            <w:tcW w:w="1467" w:type="dxa"/>
            <w:tcBorders>
              <w:top w:val="nil"/>
              <w:left w:val="nil"/>
              <w:bottom w:val="single" w:sz="4" w:space="0" w:color="auto"/>
              <w:right w:val="double" w:sz="6" w:space="0" w:color="auto"/>
            </w:tcBorders>
            <w:shd w:val="clear" w:color="auto" w:fill="auto"/>
            <w:noWrap/>
            <w:vAlign w:val="center"/>
            <w:hideMark/>
          </w:tcPr>
          <w:p w14:paraId="71BFCB58" w14:textId="4A1CDC20"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0.529</w:t>
            </w:r>
          </w:p>
        </w:tc>
      </w:tr>
      <w:tr w:rsidR="00394F53" w:rsidRPr="001022AF" w14:paraId="238FC32C"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3071E7AB"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divvy stations</w:t>
            </w:r>
          </w:p>
        </w:tc>
        <w:tc>
          <w:tcPr>
            <w:tcW w:w="3402" w:type="dxa"/>
            <w:tcBorders>
              <w:top w:val="nil"/>
              <w:left w:val="nil"/>
              <w:bottom w:val="single" w:sz="4" w:space="0" w:color="auto"/>
              <w:right w:val="single" w:sz="4" w:space="0" w:color="auto"/>
            </w:tcBorders>
            <w:shd w:val="clear" w:color="auto" w:fill="auto"/>
            <w:vAlign w:val="center"/>
            <w:hideMark/>
          </w:tcPr>
          <w:p w14:paraId="1CD15E98"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divvy stations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2726AE09" w14:textId="32F7A9F2"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1.029</w:t>
            </w:r>
          </w:p>
        </w:tc>
        <w:tc>
          <w:tcPr>
            <w:tcW w:w="1467" w:type="dxa"/>
            <w:tcBorders>
              <w:top w:val="nil"/>
              <w:left w:val="nil"/>
              <w:bottom w:val="single" w:sz="4" w:space="0" w:color="auto"/>
              <w:right w:val="double" w:sz="6" w:space="0" w:color="auto"/>
            </w:tcBorders>
            <w:shd w:val="clear" w:color="auto" w:fill="auto"/>
            <w:noWrap/>
            <w:vAlign w:val="center"/>
            <w:hideMark/>
          </w:tcPr>
          <w:p w14:paraId="11EF4752" w14:textId="37E72A8A"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1.441</w:t>
            </w:r>
          </w:p>
        </w:tc>
      </w:tr>
      <w:tr w:rsidR="00394F53" w:rsidRPr="001022AF" w14:paraId="07988653"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5D3F332B"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Walk score</w:t>
            </w:r>
          </w:p>
        </w:tc>
        <w:tc>
          <w:tcPr>
            <w:tcW w:w="3402" w:type="dxa"/>
            <w:tcBorders>
              <w:top w:val="nil"/>
              <w:left w:val="nil"/>
              <w:bottom w:val="single" w:sz="4" w:space="0" w:color="auto"/>
              <w:right w:val="single" w:sz="4" w:space="0" w:color="auto"/>
            </w:tcBorders>
            <w:shd w:val="clear" w:color="auto" w:fill="auto"/>
            <w:vAlign w:val="center"/>
            <w:hideMark/>
          </w:tcPr>
          <w:p w14:paraId="5C9ADDB3" w14:textId="18D3FDED"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Walk score (a measure of serviceability of walkability)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3C37F724" w14:textId="526B23F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82.397</w:t>
            </w:r>
          </w:p>
        </w:tc>
        <w:tc>
          <w:tcPr>
            <w:tcW w:w="1467" w:type="dxa"/>
            <w:tcBorders>
              <w:top w:val="nil"/>
              <w:left w:val="nil"/>
              <w:bottom w:val="single" w:sz="4" w:space="0" w:color="auto"/>
              <w:right w:val="double" w:sz="6" w:space="0" w:color="auto"/>
            </w:tcBorders>
            <w:shd w:val="clear" w:color="auto" w:fill="auto"/>
            <w:noWrap/>
            <w:vAlign w:val="center"/>
            <w:hideMark/>
          </w:tcPr>
          <w:p w14:paraId="4A10F51F" w14:textId="546FD83F"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26.225</w:t>
            </w:r>
          </w:p>
        </w:tc>
      </w:tr>
      <w:tr w:rsidR="00394F53" w:rsidRPr="001022AF" w14:paraId="0A29229A"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0165CC63" w14:textId="77777777"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Transit score</w:t>
            </w:r>
          </w:p>
        </w:tc>
        <w:tc>
          <w:tcPr>
            <w:tcW w:w="3402" w:type="dxa"/>
            <w:tcBorders>
              <w:top w:val="nil"/>
              <w:left w:val="nil"/>
              <w:bottom w:val="single" w:sz="4" w:space="0" w:color="auto"/>
              <w:right w:val="single" w:sz="4" w:space="0" w:color="auto"/>
            </w:tcBorders>
            <w:shd w:val="clear" w:color="auto" w:fill="auto"/>
            <w:vAlign w:val="center"/>
            <w:hideMark/>
          </w:tcPr>
          <w:p w14:paraId="395EA837" w14:textId="4C4E75C4"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Transit score (a measure of serviceability of public transit) in each census tract</w:t>
            </w:r>
          </w:p>
        </w:tc>
        <w:tc>
          <w:tcPr>
            <w:tcW w:w="913" w:type="dxa"/>
            <w:tcBorders>
              <w:top w:val="nil"/>
              <w:left w:val="nil"/>
              <w:bottom w:val="single" w:sz="4" w:space="0" w:color="auto"/>
              <w:right w:val="single" w:sz="4" w:space="0" w:color="auto"/>
            </w:tcBorders>
            <w:shd w:val="clear" w:color="auto" w:fill="auto"/>
            <w:noWrap/>
            <w:vAlign w:val="center"/>
            <w:hideMark/>
          </w:tcPr>
          <w:p w14:paraId="7F680CEF" w14:textId="48216442"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8.260</w:t>
            </w:r>
          </w:p>
        </w:tc>
        <w:tc>
          <w:tcPr>
            <w:tcW w:w="1467" w:type="dxa"/>
            <w:tcBorders>
              <w:top w:val="nil"/>
              <w:left w:val="nil"/>
              <w:bottom w:val="single" w:sz="4" w:space="0" w:color="auto"/>
              <w:right w:val="double" w:sz="6" w:space="0" w:color="auto"/>
            </w:tcBorders>
            <w:shd w:val="clear" w:color="auto" w:fill="auto"/>
            <w:noWrap/>
            <w:vAlign w:val="center"/>
            <w:hideMark/>
          </w:tcPr>
          <w:p w14:paraId="55C53904" w14:textId="389C442F"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0.996</w:t>
            </w:r>
          </w:p>
        </w:tc>
      </w:tr>
      <w:tr w:rsidR="00117980" w:rsidRPr="001022AF" w14:paraId="7CF21F11"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672120BF"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Sociodemographic Attributes</w:t>
            </w:r>
          </w:p>
        </w:tc>
      </w:tr>
      <w:tr w:rsidR="00394F53" w:rsidRPr="001022AF" w14:paraId="30DEB472"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6F9ECDA7" w14:textId="0F42CB73" w:rsidR="00394F53" w:rsidRPr="001022AF" w:rsidRDefault="00394F53" w:rsidP="00394F53">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Employment density</w:t>
            </w:r>
          </w:p>
        </w:tc>
        <w:tc>
          <w:tcPr>
            <w:tcW w:w="3402" w:type="dxa"/>
            <w:tcBorders>
              <w:top w:val="nil"/>
              <w:left w:val="nil"/>
              <w:bottom w:val="single" w:sz="4" w:space="0" w:color="auto"/>
              <w:right w:val="single" w:sz="4" w:space="0" w:color="auto"/>
            </w:tcBorders>
            <w:shd w:val="clear" w:color="auto" w:fill="auto"/>
            <w:vAlign w:val="center"/>
            <w:hideMark/>
          </w:tcPr>
          <w:p w14:paraId="3A4470E3" w14:textId="10186BBD"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Number of employments in each census tract per acre (Density/100)</w:t>
            </w:r>
          </w:p>
        </w:tc>
        <w:tc>
          <w:tcPr>
            <w:tcW w:w="913" w:type="dxa"/>
            <w:tcBorders>
              <w:top w:val="nil"/>
              <w:left w:val="nil"/>
              <w:bottom w:val="single" w:sz="4" w:space="0" w:color="auto"/>
              <w:right w:val="single" w:sz="4" w:space="0" w:color="auto"/>
            </w:tcBorders>
            <w:shd w:val="clear" w:color="auto" w:fill="auto"/>
            <w:noWrap/>
            <w:vAlign w:val="center"/>
            <w:hideMark/>
          </w:tcPr>
          <w:p w14:paraId="6EAB799F" w14:textId="486BD370"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0.236</w:t>
            </w:r>
          </w:p>
        </w:tc>
        <w:tc>
          <w:tcPr>
            <w:tcW w:w="1467" w:type="dxa"/>
            <w:tcBorders>
              <w:top w:val="nil"/>
              <w:left w:val="nil"/>
              <w:bottom w:val="single" w:sz="4" w:space="0" w:color="auto"/>
              <w:right w:val="double" w:sz="6" w:space="0" w:color="auto"/>
            </w:tcBorders>
            <w:shd w:val="clear" w:color="auto" w:fill="auto"/>
            <w:noWrap/>
            <w:vAlign w:val="center"/>
            <w:hideMark/>
          </w:tcPr>
          <w:p w14:paraId="4365BBB4" w14:textId="3EAE59BC"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0.381</w:t>
            </w:r>
          </w:p>
        </w:tc>
      </w:tr>
      <w:tr w:rsidR="00117980" w:rsidRPr="001022AF" w14:paraId="78898050"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6ABD3AE6"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Weather Attributes</w:t>
            </w:r>
          </w:p>
        </w:tc>
      </w:tr>
      <w:tr w:rsidR="00394F53" w:rsidRPr="001022AF" w14:paraId="37620765" w14:textId="77777777" w:rsidTr="001022AF">
        <w:trPr>
          <w:trHeight w:val="503"/>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4E0C7971" w14:textId="77777777" w:rsidR="00394F53" w:rsidRPr="001022AF" w:rsidRDefault="00394F53" w:rsidP="00BE5A0A">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Snow depth</w:t>
            </w:r>
          </w:p>
        </w:tc>
        <w:tc>
          <w:tcPr>
            <w:tcW w:w="3402" w:type="dxa"/>
            <w:tcBorders>
              <w:top w:val="nil"/>
              <w:left w:val="nil"/>
              <w:bottom w:val="single" w:sz="4" w:space="0" w:color="auto"/>
              <w:right w:val="single" w:sz="4" w:space="0" w:color="auto"/>
            </w:tcBorders>
            <w:shd w:val="clear" w:color="auto" w:fill="auto"/>
            <w:vAlign w:val="center"/>
            <w:hideMark/>
          </w:tcPr>
          <w:p w14:paraId="239193DB" w14:textId="7777777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Standard score (</w:t>
            </w:r>
            <m:oMath>
              <m:f>
                <m:fPr>
                  <m:ctrlPr>
                    <w:rPr>
                      <w:rFonts w:ascii="Cambria Math" w:eastAsia="Times New Roman" w:hAnsi="Cambria Math" w:cs="Times New Roman"/>
                      <w:i/>
                      <w:color w:val="000000"/>
                      <w:sz w:val="20"/>
                      <w:szCs w:val="20"/>
                    </w:rPr>
                  </m:ctrlPr>
                </m:fPr>
                <m:num>
                  <m:r>
                    <w:rPr>
                      <w:rFonts w:ascii="Cambria Math" w:eastAsia="Times New Roman" w:hAnsi="Cambria Math" w:cs="Times New Roman"/>
                      <w:color w:val="000000"/>
                      <w:sz w:val="20"/>
                      <w:szCs w:val="20"/>
                    </w:rPr>
                    <m:t>x-µ</m:t>
                  </m:r>
                </m:num>
                <m:den>
                  <m:r>
                    <w:rPr>
                      <w:rFonts w:ascii="Cambria Math" w:eastAsia="Times New Roman" w:hAnsi="Cambria Math" w:cs="Times New Roman"/>
                      <w:color w:val="000000"/>
                      <w:sz w:val="20"/>
                      <w:szCs w:val="20"/>
                    </w:rPr>
                    <m:t>σ</m:t>
                  </m:r>
                </m:den>
              </m:f>
            </m:oMath>
            <w:r w:rsidRPr="001022AF">
              <w:rPr>
                <w:rFonts w:eastAsia="Times New Roman" w:cs="Times New Roman"/>
                <w:color w:val="000000"/>
                <w:sz w:val="20"/>
                <w:szCs w:val="20"/>
              </w:rPr>
              <w:t>) of snow depth in each census tract.</w:t>
            </w:r>
          </w:p>
          <w:p w14:paraId="4F9BD1F8" w14:textId="27D58187" w:rsidR="00394F53" w:rsidRPr="001022AF" w:rsidRDefault="00394F53" w:rsidP="00394F53">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Where x is the observed value of snow depth, µ is the mean of the distribution of the values of snow depth and σ is the standard deviation of the distribution of the values of snow depth</w:t>
            </w:r>
          </w:p>
        </w:tc>
        <w:tc>
          <w:tcPr>
            <w:tcW w:w="913" w:type="dxa"/>
            <w:tcBorders>
              <w:top w:val="nil"/>
              <w:left w:val="nil"/>
              <w:bottom w:val="single" w:sz="4" w:space="0" w:color="auto"/>
              <w:right w:val="single" w:sz="4" w:space="0" w:color="auto"/>
            </w:tcBorders>
            <w:shd w:val="clear" w:color="auto" w:fill="auto"/>
            <w:noWrap/>
            <w:vAlign w:val="center"/>
            <w:hideMark/>
          </w:tcPr>
          <w:p w14:paraId="27D302D8" w14:textId="76936BA8"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0.004</w:t>
            </w:r>
          </w:p>
        </w:tc>
        <w:tc>
          <w:tcPr>
            <w:tcW w:w="1467" w:type="dxa"/>
            <w:tcBorders>
              <w:top w:val="nil"/>
              <w:left w:val="nil"/>
              <w:bottom w:val="single" w:sz="4" w:space="0" w:color="auto"/>
              <w:right w:val="double" w:sz="6" w:space="0" w:color="auto"/>
            </w:tcBorders>
            <w:shd w:val="clear" w:color="auto" w:fill="auto"/>
            <w:noWrap/>
            <w:vAlign w:val="center"/>
            <w:hideMark/>
          </w:tcPr>
          <w:p w14:paraId="6520D396" w14:textId="683AA1B6" w:rsidR="00394F53" w:rsidRPr="001022AF" w:rsidRDefault="00394F53" w:rsidP="00394F53">
            <w:pPr>
              <w:spacing w:after="0"/>
              <w:contextualSpacing w:val="0"/>
              <w:jc w:val="left"/>
              <w:rPr>
                <w:rFonts w:eastAsia="Times New Roman" w:cs="Times New Roman"/>
                <w:sz w:val="20"/>
                <w:szCs w:val="20"/>
              </w:rPr>
            </w:pPr>
            <w:r w:rsidRPr="001022AF">
              <w:rPr>
                <w:rFonts w:eastAsia="Times New Roman" w:cs="Times New Roman"/>
                <w:sz w:val="20"/>
                <w:szCs w:val="20"/>
              </w:rPr>
              <w:t>1.034</w:t>
            </w:r>
          </w:p>
        </w:tc>
      </w:tr>
      <w:tr w:rsidR="00117980" w:rsidRPr="001022AF" w14:paraId="30043C03"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46C288BB" w14:textId="77777777" w:rsidR="00117980" w:rsidRPr="001022AF" w:rsidRDefault="00117980" w:rsidP="00117980">
            <w:pPr>
              <w:spacing w:after="0"/>
              <w:contextualSpacing w:val="0"/>
              <w:jc w:val="center"/>
              <w:rPr>
                <w:rFonts w:eastAsia="Times New Roman" w:cs="Times New Roman"/>
                <w:b/>
                <w:bCs/>
                <w:color w:val="000000"/>
                <w:sz w:val="20"/>
                <w:szCs w:val="20"/>
              </w:rPr>
            </w:pPr>
            <w:r w:rsidRPr="001022AF">
              <w:rPr>
                <w:rFonts w:eastAsia="Times New Roman" w:cs="Times New Roman"/>
                <w:b/>
                <w:bCs/>
                <w:color w:val="000000"/>
                <w:sz w:val="20"/>
                <w:szCs w:val="20"/>
              </w:rPr>
              <w:t>INDEPENDENT VARIABLES (CATEGORICAL)</w:t>
            </w:r>
          </w:p>
        </w:tc>
      </w:tr>
      <w:tr w:rsidR="00117980" w:rsidRPr="001022AF" w14:paraId="1DE7A6DF"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2D7EFCE8"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Variables</w:t>
            </w:r>
          </w:p>
        </w:tc>
        <w:tc>
          <w:tcPr>
            <w:tcW w:w="3402" w:type="dxa"/>
            <w:tcBorders>
              <w:top w:val="nil"/>
              <w:left w:val="nil"/>
              <w:bottom w:val="single" w:sz="4" w:space="0" w:color="auto"/>
              <w:right w:val="single" w:sz="4" w:space="0" w:color="auto"/>
            </w:tcBorders>
            <w:shd w:val="clear" w:color="auto" w:fill="auto"/>
            <w:vAlign w:val="center"/>
            <w:hideMark/>
          </w:tcPr>
          <w:p w14:paraId="7BB9247F" w14:textId="7777777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Variable Descriptions</w:t>
            </w:r>
          </w:p>
        </w:tc>
        <w:tc>
          <w:tcPr>
            <w:tcW w:w="913" w:type="dxa"/>
            <w:tcBorders>
              <w:top w:val="nil"/>
              <w:left w:val="nil"/>
              <w:bottom w:val="single" w:sz="4" w:space="0" w:color="auto"/>
              <w:right w:val="single" w:sz="4" w:space="0" w:color="auto"/>
            </w:tcBorders>
            <w:shd w:val="clear" w:color="auto" w:fill="auto"/>
            <w:vAlign w:val="center"/>
            <w:hideMark/>
          </w:tcPr>
          <w:p w14:paraId="08BA22A3" w14:textId="77777777" w:rsidR="00117980" w:rsidRPr="001022AF" w:rsidRDefault="00117980" w:rsidP="00117980">
            <w:pPr>
              <w:spacing w:after="0"/>
              <w:contextualSpacing w:val="0"/>
              <w:jc w:val="center"/>
              <w:rPr>
                <w:rFonts w:eastAsia="Times New Roman" w:cs="Times New Roman"/>
                <w:b/>
                <w:bCs/>
                <w:color w:val="000000"/>
                <w:sz w:val="20"/>
                <w:szCs w:val="20"/>
              </w:rPr>
            </w:pPr>
            <w:r w:rsidRPr="001022AF">
              <w:rPr>
                <w:rFonts w:eastAsia="Times New Roman" w:cs="Times New Roman"/>
                <w:b/>
                <w:bCs/>
                <w:color w:val="000000"/>
                <w:sz w:val="20"/>
                <w:szCs w:val="20"/>
              </w:rPr>
              <w:t>Freq.</w:t>
            </w:r>
          </w:p>
        </w:tc>
        <w:tc>
          <w:tcPr>
            <w:tcW w:w="1467" w:type="dxa"/>
            <w:tcBorders>
              <w:top w:val="nil"/>
              <w:left w:val="nil"/>
              <w:bottom w:val="single" w:sz="4" w:space="0" w:color="auto"/>
              <w:right w:val="double" w:sz="6" w:space="0" w:color="auto"/>
            </w:tcBorders>
            <w:shd w:val="clear" w:color="auto" w:fill="auto"/>
            <w:vAlign w:val="center"/>
            <w:hideMark/>
          </w:tcPr>
          <w:p w14:paraId="67CF7C7D" w14:textId="77777777" w:rsidR="00117980" w:rsidRPr="001022AF" w:rsidRDefault="00117980" w:rsidP="00117980">
            <w:pPr>
              <w:spacing w:after="0"/>
              <w:contextualSpacing w:val="0"/>
              <w:jc w:val="center"/>
              <w:rPr>
                <w:rFonts w:eastAsia="Times New Roman" w:cs="Times New Roman"/>
                <w:b/>
                <w:bCs/>
                <w:color w:val="000000"/>
                <w:sz w:val="20"/>
                <w:szCs w:val="20"/>
              </w:rPr>
            </w:pPr>
            <w:r w:rsidRPr="001022AF">
              <w:rPr>
                <w:rFonts w:eastAsia="Times New Roman" w:cs="Times New Roman"/>
                <w:b/>
                <w:bCs/>
                <w:color w:val="000000"/>
                <w:sz w:val="20"/>
                <w:szCs w:val="20"/>
              </w:rPr>
              <w:t>Percentage</w:t>
            </w:r>
          </w:p>
        </w:tc>
      </w:tr>
      <w:tr w:rsidR="00117980" w:rsidRPr="001022AF" w14:paraId="301F6DED"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5AF97C39" w14:textId="66FECE97" w:rsidR="00117980" w:rsidRPr="001022AF" w:rsidRDefault="00117980" w:rsidP="00117980">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Trip Attributes</w:t>
            </w:r>
          </w:p>
        </w:tc>
      </w:tr>
      <w:tr w:rsidR="00117980" w:rsidRPr="001022AF" w14:paraId="264DB0C3"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40C8E10F"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at AM peak</w:t>
            </w:r>
          </w:p>
        </w:tc>
        <w:tc>
          <w:tcPr>
            <w:tcW w:w="3402" w:type="dxa"/>
            <w:tcBorders>
              <w:top w:val="nil"/>
              <w:left w:val="nil"/>
              <w:bottom w:val="single" w:sz="4" w:space="0" w:color="auto"/>
              <w:right w:val="single" w:sz="4" w:space="0" w:color="auto"/>
            </w:tcBorders>
            <w:shd w:val="clear" w:color="auto" w:fill="auto"/>
            <w:vAlign w:val="center"/>
            <w:hideMark/>
          </w:tcPr>
          <w:p w14:paraId="756ECC9F"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within AM peak period</w:t>
            </w:r>
          </w:p>
        </w:tc>
        <w:tc>
          <w:tcPr>
            <w:tcW w:w="913" w:type="dxa"/>
            <w:tcBorders>
              <w:top w:val="nil"/>
              <w:left w:val="nil"/>
              <w:bottom w:val="single" w:sz="4" w:space="0" w:color="auto"/>
              <w:right w:val="single" w:sz="4" w:space="0" w:color="auto"/>
            </w:tcBorders>
            <w:shd w:val="clear" w:color="auto" w:fill="auto"/>
            <w:noWrap/>
            <w:vAlign w:val="center"/>
            <w:hideMark/>
          </w:tcPr>
          <w:p w14:paraId="36ACD73D"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1965.000</w:t>
            </w:r>
          </w:p>
        </w:tc>
        <w:tc>
          <w:tcPr>
            <w:tcW w:w="1467" w:type="dxa"/>
            <w:tcBorders>
              <w:top w:val="nil"/>
              <w:left w:val="nil"/>
              <w:bottom w:val="single" w:sz="4" w:space="0" w:color="auto"/>
              <w:right w:val="double" w:sz="6" w:space="0" w:color="auto"/>
            </w:tcBorders>
            <w:shd w:val="clear" w:color="auto" w:fill="auto"/>
            <w:noWrap/>
            <w:vAlign w:val="center"/>
            <w:hideMark/>
          </w:tcPr>
          <w:p w14:paraId="1FCA1328"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19.650</w:t>
            </w:r>
          </w:p>
        </w:tc>
      </w:tr>
      <w:tr w:rsidR="00117980" w:rsidRPr="001022AF" w14:paraId="778FCD24"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0D82EA68"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at PM peak</w:t>
            </w:r>
          </w:p>
        </w:tc>
        <w:tc>
          <w:tcPr>
            <w:tcW w:w="3402" w:type="dxa"/>
            <w:tcBorders>
              <w:top w:val="nil"/>
              <w:left w:val="nil"/>
              <w:bottom w:val="single" w:sz="4" w:space="0" w:color="auto"/>
              <w:right w:val="single" w:sz="4" w:space="0" w:color="auto"/>
            </w:tcBorders>
            <w:shd w:val="clear" w:color="auto" w:fill="auto"/>
            <w:vAlign w:val="center"/>
            <w:hideMark/>
          </w:tcPr>
          <w:p w14:paraId="726748C8"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within PM peak period</w:t>
            </w:r>
          </w:p>
        </w:tc>
        <w:tc>
          <w:tcPr>
            <w:tcW w:w="913" w:type="dxa"/>
            <w:tcBorders>
              <w:top w:val="nil"/>
              <w:left w:val="nil"/>
              <w:bottom w:val="single" w:sz="4" w:space="0" w:color="auto"/>
              <w:right w:val="single" w:sz="4" w:space="0" w:color="auto"/>
            </w:tcBorders>
            <w:shd w:val="clear" w:color="auto" w:fill="auto"/>
            <w:noWrap/>
            <w:vAlign w:val="center"/>
            <w:hideMark/>
          </w:tcPr>
          <w:p w14:paraId="7F6018EA"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2560.000</w:t>
            </w:r>
          </w:p>
        </w:tc>
        <w:tc>
          <w:tcPr>
            <w:tcW w:w="1467" w:type="dxa"/>
            <w:tcBorders>
              <w:top w:val="nil"/>
              <w:left w:val="nil"/>
              <w:bottom w:val="single" w:sz="4" w:space="0" w:color="auto"/>
              <w:right w:val="double" w:sz="6" w:space="0" w:color="auto"/>
            </w:tcBorders>
            <w:shd w:val="clear" w:color="auto" w:fill="auto"/>
            <w:noWrap/>
            <w:vAlign w:val="center"/>
            <w:hideMark/>
          </w:tcPr>
          <w:p w14:paraId="24A8B761"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25.600</w:t>
            </w:r>
          </w:p>
        </w:tc>
      </w:tr>
      <w:tr w:rsidR="00117980" w:rsidRPr="001022AF" w14:paraId="4FF42CAA"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62BDD42A"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at other time</w:t>
            </w:r>
          </w:p>
        </w:tc>
        <w:tc>
          <w:tcPr>
            <w:tcW w:w="3402" w:type="dxa"/>
            <w:tcBorders>
              <w:top w:val="nil"/>
              <w:left w:val="nil"/>
              <w:bottom w:val="single" w:sz="4" w:space="0" w:color="auto"/>
              <w:right w:val="single" w:sz="4" w:space="0" w:color="auto"/>
            </w:tcBorders>
            <w:shd w:val="clear" w:color="auto" w:fill="auto"/>
            <w:vAlign w:val="center"/>
            <w:hideMark/>
          </w:tcPr>
          <w:p w14:paraId="2781334A"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starts in other time period</w:t>
            </w:r>
          </w:p>
        </w:tc>
        <w:tc>
          <w:tcPr>
            <w:tcW w:w="913" w:type="dxa"/>
            <w:tcBorders>
              <w:top w:val="nil"/>
              <w:left w:val="nil"/>
              <w:bottom w:val="single" w:sz="4" w:space="0" w:color="auto"/>
              <w:right w:val="single" w:sz="4" w:space="0" w:color="auto"/>
            </w:tcBorders>
            <w:shd w:val="clear" w:color="auto" w:fill="auto"/>
            <w:noWrap/>
            <w:vAlign w:val="center"/>
            <w:hideMark/>
          </w:tcPr>
          <w:p w14:paraId="2299642B"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5475.000</w:t>
            </w:r>
          </w:p>
        </w:tc>
        <w:tc>
          <w:tcPr>
            <w:tcW w:w="1467" w:type="dxa"/>
            <w:tcBorders>
              <w:top w:val="nil"/>
              <w:left w:val="nil"/>
              <w:bottom w:val="single" w:sz="4" w:space="0" w:color="auto"/>
              <w:right w:val="double" w:sz="6" w:space="0" w:color="auto"/>
            </w:tcBorders>
            <w:shd w:val="clear" w:color="auto" w:fill="auto"/>
            <w:noWrap/>
            <w:vAlign w:val="center"/>
            <w:hideMark/>
          </w:tcPr>
          <w:p w14:paraId="71A487A1"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54.750</w:t>
            </w:r>
          </w:p>
        </w:tc>
      </w:tr>
      <w:tr w:rsidR="00117980" w:rsidRPr="001022AF" w14:paraId="02FDC9A8"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6562554A"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at AM peak</w:t>
            </w:r>
          </w:p>
        </w:tc>
        <w:tc>
          <w:tcPr>
            <w:tcW w:w="3402" w:type="dxa"/>
            <w:tcBorders>
              <w:top w:val="nil"/>
              <w:left w:val="nil"/>
              <w:bottom w:val="single" w:sz="4" w:space="0" w:color="auto"/>
              <w:right w:val="single" w:sz="4" w:space="0" w:color="auto"/>
            </w:tcBorders>
            <w:shd w:val="clear" w:color="auto" w:fill="auto"/>
            <w:vAlign w:val="center"/>
            <w:hideMark/>
          </w:tcPr>
          <w:p w14:paraId="086EE86E"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within AM peak period</w:t>
            </w:r>
          </w:p>
        </w:tc>
        <w:tc>
          <w:tcPr>
            <w:tcW w:w="913" w:type="dxa"/>
            <w:tcBorders>
              <w:top w:val="nil"/>
              <w:left w:val="nil"/>
              <w:bottom w:val="single" w:sz="4" w:space="0" w:color="auto"/>
              <w:right w:val="single" w:sz="4" w:space="0" w:color="auto"/>
            </w:tcBorders>
            <w:shd w:val="clear" w:color="auto" w:fill="auto"/>
            <w:noWrap/>
            <w:vAlign w:val="center"/>
            <w:hideMark/>
          </w:tcPr>
          <w:p w14:paraId="21D770B2"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1876.000</w:t>
            </w:r>
          </w:p>
        </w:tc>
        <w:tc>
          <w:tcPr>
            <w:tcW w:w="1467" w:type="dxa"/>
            <w:tcBorders>
              <w:top w:val="nil"/>
              <w:left w:val="nil"/>
              <w:bottom w:val="single" w:sz="4" w:space="0" w:color="auto"/>
              <w:right w:val="double" w:sz="6" w:space="0" w:color="auto"/>
            </w:tcBorders>
            <w:shd w:val="clear" w:color="auto" w:fill="auto"/>
            <w:noWrap/>
            <w:vAlign w:val="center"/>
            <w:hideMark/>
          </w:tcPr>
          <w:p w14:paraId="610B20FF"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18.760</w:t>
            </w:r>
          </w:p>
        </w:tc>
      </w:tr>
      <w:tr w:rsidR="00117980" w:rsidRPr="001022AF" w14:paraId="2166BAF3"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5D2DDE8A"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at PM peak</w:t>
            </w:r>
          </w:p>
        </w:tc>
        <w:tc>
          <w:tcPr>
            <w:tcW w:w="3402" w:type="dxa"/>
            <w:tcBorders>
              <w:top w:val="nil"/>
              <w:left w:val="nil"/>
              <w:bottom w:val="single" w:sz="4" w:space="0" w:color="auto"/>
              <w:right w:val="single" w:sz="4" w:space="0" w:color="auto"/>
            </w:tcBorders>
            <w:shd w:val="clear" w:color="auto" w:fill="auto"/>
            <w:vAlign w:val="center"/>
            <w:hideMark/>
          </w:tcPr>
          <w:p w14:paraId="43BF29EE"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within PM peak period</w:t>
            </w:r>
          </w:p>
        </w:tc>
        <w:tc>
          <w:tcPr>
            <w:tcW w:w="913" w:type="dxa"/>
            <w:tcBorders>
              <w:top w:val="nil"/>
              <w:left w:val="nil"/>
              <w:bottom w:val="single" w:sz="4" w:space="0" w:color="auto"/>
              <w:right w:val="single" w:sz="4" w:space="0" w:color="auto"/>
            </w:tcBorders>
            <w:shd w:val="clear" w:color="auto" w:fill="auto"/>
            <w:noWrap/>
            <w:vAlign w:val="center"/>
            <w:hideMark/>
          </w:tcPr>
          <w:p w14:paraId="17B8591E"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2481.000</w:t>
            </w:r>
          </w:p>
        </w:tc>
        <w:tc>
          <w:tcPr>
            <w:tcW w:w="1467" w:type="dxa"/>
            <w:tcBorders>
              <w:top w:val="nil"/>
              <w:left w:val="nil"/>
              <w:bottom w:val="single" w:sz="4" w:space="0" w:color="auto"/>
              <w:right w:val="double" w:sz="6" w:space="0" w:color="auto"/>
            </w:tcBorders>
            <w:shd w:val="clear" w:color="auto" w:fill="auto"/>
            <w:noWrap/>
            <w:vAlign w:val="center"/>
            <w:hideMark/>
          </w:tcPr>
          <w:p w14:paraId="163F9C95"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24.810</w:t>
            </w:r>
          </w:p>
        </w:tc>
      </w:tr>
      <w:tr w:rsidR="00117980" w:rsidRPr="001022AF" w14:paraId="491C1639"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hideMark/>
          </w:tcPr>
          <w:p w14:paraId="7D1EC64E" w14:textId="77777777" w:rsidR="00117980" w:rsidRPr="001022AF" w:rsidRDefault="00117980" w:rsidP="00117980">
            <w:pPr>
              <w:spacing w:after="0"/>
              <w:ind w:firstLineChars="100" w:firstLine="20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at other time</w:t>
            </w:r>
          </w:p>
        </w:tc>
        <w:tc>
          <w:tcPr>
            <w:tcW w:w="3402" w:type="dxa"/>
            <w:tcBorders>
              <w:top w:val="nil"/>
              <w:left w:val="nil"/>
              <w:bottom w:val="single" w:sz="4" w:space="0" w:color="auto"/>
              <w:right w:val="single" w:sz="4" w:space="0" w:color="auto"/>
            </w:tcBorders>
            <w:shd w:val="clear" w:color="auto" w:fill="auto"/>
            <w:vAlign w:val="center"/>
            <w:hideMark/>
          </w:tcPr>
          <w:p w14:paraId="20AA89DC" w14:textId="77777777" w:rsidR="00117980" w:rsidRPr="001022AF" w:rsidRDefault="00117980" w:rsidP="00117980">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ends in other time period</w:t>
            </w:r>
          </w:p>
        </w:tc>
        <w:tc>
          <w:tcPr>
            <w:tcW w:w="913" w:type="dxa"/>
            <w:tcBorders>
              <w:top w:val="nil"/>
              <w:left w:val="nil"/>
              <w:bottom w:val="single" w:sz="4" w:space="0" w:color="auto"/>
              <w:right w:val="single" w:sz="4" w:space="0" w:color="auto"/>
            </w:tcBorders>
            <w:shd w:val="clear" w:color="auto" w:fill="auto"/>
            <w:noWrap/>
            <w:vAlign w:val="center"/>
            <w:hideMark/>
          </w:tcPr>
          <w:p w14:paraId="49778993"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5643.000</w:t>
            </w:r>
          </w:p>
        </w:tc>
        <w:tc>
          <w:tcPr>
            <w:tcW w:w="1467" w:type="dxa"/>
            <w:tcBorders>
              <w:top w:val="nil"/>
              <w:left w:val="nil"/>
              <w:bottom w:val="single" w:sz="4" w:space="0" w:color="auto"/>
              <w:right w:val="double" w:sz="6" w:space="0" w:color="auto"/>
            </w:tcBorders>
            <w:shd w:val="clear" w:color="auto" w:fill="auto"/>
            <w:noWrap/>
            <w:vAlign w:val="center"/>
            <w:hideMark/>
          </w:tcPr>
          <w:p w14:paraId="09E59F47" w14:textId="77777777" w:rsidR="00117980" w:rsidRPr="001022AF" w:rsidRDefault="00117980" w:rsidP="003C7321">
            <w:pPr>
              <w:spacing w:after="0"/>
              <w:contextualSpacing w:val="0"/>
              <w:jc w:val="left"/>
              <w:rPr>
                <w:rFonts w:eastAsia="Times New Roman" w:cs="Times New Roman"/>
                <w:sz w:val="20"/>
                <w:szCs w:val="20"/>
              </w:rPr>
            </w:pPr>
            <w:r w:rsidRPr="001022AF">
              <w:rPr>
                <w:rFonts w:eastAsia="Times New Roman" w:cs="Times New Roman"/>
                <w:sz w:val="20"/>
                <w:szCs w:val="20"/>
              </w:rPr>
              <w:t>56.430</w:t>
            </w:r>
          </w:p>
        </w:tc>
      </w:tr>
      <w:tr w:rsidR="005B09C9" w:rsidRPr="001022AF" w14:paraId="49FED5EF" w14:textId="77777777" w:rsidTr="001022AF">
        <w:trPr>
          <w:trHeight w:val="251"/>
        </w:trPr>
        <w:tc>
          <w:tcPr>
            <w:tcW w:w="9335" w:type="dxa"/>
            <w:gridSpan w:val="4"/>
            <w:tcBorders>
              <w:top w:val="nil"/>
              <w:left w:val="double" w:sz="6" w:space="0" w:color="auto"/>
              <w:bottom w:val="single" w:sz="4" w:space="0" w:color="auto"/>
              <w:right w:val="double" w:sz="6" w:space="0" w:color="auto"/>
            </w:tcBorders>
            <w:shd w:val="clear" w:color="auto" w:fill="auto"/>
            <w:vAlign w:val="center"/>
            <w:hideMark/>
          </w:tcPr>
          <w:p w14:paraId="1C0A161B" w14:textId="7043462F" w:rsidR="005B09C9" w:rsidRPr="001022AF" w:rsidRDefault="005B09C9" w:rsidP="005B09C9">
            <w:pPr>
              <w:spacing w:after="0"/>
              <w:ind w:firstLineChars="100" w:firstLine="201"/>
              <w:contextualSpacing w:val="0"/>
              <w:jc w:val="left"/>
              <w:rPr>
                <w:rFonts w:eastAsia="Times New Roman" w:cs="Times New Roman"/>
                <w:b/>
                <w:bCs/>
                <w:sz w:val="20"/>
                <w:szCs w:val="20"/>
              </w:rPr>
            </w:pPr>
            <w:r w:rsidRPr="001022AF">
              <w:rPr>
                <w:rFonts w:eastAsia="Times New Roman" w:cs="Times New Roman"/>
                <w:b/>
                <w:bCs/>
                <w:color w:val="000000"/>
                <w:sz w:val="20"/>
                <w:szCs w:val="20"/>
              </w:rPr>
              <w:t>Shared trip indicator</w:t>
            </w:r>
          </w:p>
        </w:tc>
      </w:tr>
      <w:tr w:rsidR="00720B44" w:rsidRPr="001022AF" w14:paraId="1175452D"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tcPr>
          <w:p w14:paraId="095A6BEC" w14:textId="61867BBA" w:rsidR="00720B44" w:rsidRPr="001022AF" w:rsidRDefault="00720B44" w:rsidP="00720B44">
            <w:pPr>
              <w:spacing w:after="0"/>
              <w:ind w:firstLineChars="150" w:firstLine="300"/>
              <w:contextualSpacing w:val="0"/>
              <w:jc w:val="left"/>
              <w:rPr>
                <w:rFonts w:eastAsia="Times New Roman" w:cs="Times New Roman"/>
                <w:color w:val="000000"/>
                <w:sz w:val="20"/>
                <w:szCs w:val="20"/>
              </w:rPr>
            </w:pPr>
            <w:r w:rsidRPr="001022AF">
              <w:rPr>
                <w:rFonts w:eastAsia="Times New Roman" w:cs="Times New Roman"/>
                <w:color w:val="000000"/>
                <w:sz w:val="20"/>
                <w:szCs w:val="20"/>
              </w:rPr>
              <w:t>Yes</w:t>
            </w:r>
          </w:p>
        </w:tc>
        <w:tc>
          <w:tcPr>
            <w:tcW w:w="3402" w:type="dxa"/>
            <w:tcBorders>
              <w:top w:val="nil"/>
              <w:left w:val="nil"/>
              <w:bottom w:val="single" w:sz="4" w:space="0" w:color="auto"/>
              <w:right w:val="single" w:sz="4" w:space="0" w:color="auto"/>
            </w:tcBorders>
            <w:shd w:val="clear" w:color="auto" w:fill="auto"/>
            <w:vAlign w:val="center"/>
          </w:tcPr>
          <w:p w14:paraId="6CEAF35B" w14:textId="6B117A6A" w:rsidR="00720B44" w:rsidRPr="001022AF" w:rsidRDefault="00720B44" w:rsidP="00720B44">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 xml:space="preserve">Trip authorized as shared </w:t>
            </w:r>
          </w:p>
        </w:tc>
        <w:tc>
          <w:tcPr>
            <w:tcW w:w="913" w:type="dxa"/>
            <w:tcBorders>
              <w:top w:val="nil"/>
              <w:left w:val="nil"/>
              <w:bottom w:val="single" w:sz="4" w:space="0" w:color="auto"/>
              <w:right w:val="single" w:sz="4" w:space="0" w:color="auto"/>
            </w:tcBorders>
            <w:shd w:val="clear" w:color="auto" w:fill="auto"/>
            <w:noWrap/>
            <w:vAlign w:val="center"/>
          </w:tcPr>
          <w:p w14:paraId="0C86D3DC" w14:textId="014A8C07"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1507.000</w:t>
            </w:r>
          </w:p>
        </w:tc>
        <w:tc>
          <w:tcPr>
            <w:tcW w:w="1467" w:type="dxa"/>
            <w:tcBorders>
              <w:top w:val="nil"/>
              <w:left w:val="nil"/>
              <w:bottom w:val="single" w:sz="4" w:space="0" w:color="auto"/>
              <w:right w:val="double" w:sz="6" w:space="0" w:color="auto"/>
            </w:tcBorders>
            <w:shd w:val="clear" w:color="auto" w:fill="auto"/>
            <w:noWrap/>
            <w:vAlign w:val="center"/>
          </w:tcPr>
          <w:p w14:paraId="2B7A64AF" w14:textId="23EA92A8"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15.070</w:t>
            </w:r>
          </w:p>
        </w:tc>
      </w:tr>
      <w:tr w:rsidR="00720B44" w:rsidRPr="001022AF" w14:paraId="6AC8997B" w14:textId="77777777" w:rsidTr="001022AF">
        <w:trPr>
          <w:trHeight w:val="251"/>
        </w:trPr>
        <w:tc>
          <w:tcPr>
            <w:tcW w:w="3552" w:type="dxa"/>
            <w:tcBorders>
              <w:top w:val="nil"/>
              <w:left w:val="double" w:sz="6" w:space="0" w:color="auto"/>
              <w:bottom w:val="single" w:sz="4" w:space="0" w:color="auto"/>
              <w:right w:val="single" w:sz="4" w:space="0" w:color="auto"/>
            </w:tcBorders>
            <w:shd w:val="clear" w:color="auto" w:fill="auto"/>
            <w:vAlign w:val="center"/>
          </w:tcPr>
          <w:p w14:paraId="4FA4FA59" w14:textId="45990816" w:rsidR="00720B44" w:rsidRPr="001022AF" w:rsidRDefault="00720B44" w:rsidP="00720B44">
            <w:pPr>
              <w:spacing w:after="0"/>
              <w:ind w:firstLineChars="150" w:firstLine="300"/>
              <w:contextualSpacing w:val="0"/>
              <w:jc w:val="left"/>
              <w:rPr>
                <w:rFonts w:eastAsia="Times New Roman" w:cs="Times New Roman"/>
                <w:color w:val="000000"/>
                <w:sz w:val="20"/>
                <w:szCs w:val="20"/>
              </w:rPr>
            </w:pPr>
            <w:r w:rsidRPr="001022AF">
              <w:rPr>
                <w:rFonts w:eastAsia="Times New Roman" w:cs="Times New Roman"/>
                <w:color w:val="000000"/>
                <w:sz w:val="20"/>
                <w:szCs w:val="20"/>
              </w:rPr>
              <w:t>No</w:t>
            </w:r>
          </w:p>
        </w:tc>
        <w:tc>
          <w:tcPr>
            <w:tcW w:w="3402" w:type="dxa"/>
            <w:tcBorders>
              <w:top w:val="nil"/>
              <w:left w:val="nil"/>
              <w:bottom w:val="single" w:sz="4" w:space="0" w:color="auto"/>
              <w:right w:val="single" w:sz="4" w:space="0" w:color="auto"/>
            </w:tcBorders>
            <w:shd w:val="clear" w:color="auto" w:fill="auto"/>
            <w:vAlign w:val="center"/>
          </w:tcPr>
          <w:p w14:paraId="0724FD61" w14:textId="2FAB89F1" w:rsidR="00720B44" w:rsidRPr="001022AF" w:rsidRDefault="00720B44" w:rsidP="00720B44">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Trip is not authorized as shared</w:t>
            </w:r>
          </w:p>
        </w:tc>
        <w:tc>
          <w:tcPr>
            <w:tcW w:w="913" w:type="dxa"/>
            <w:tcBorders>
              <w:top w:val="nil"/>
              <w:left w:val="nil"/>
              <w:bottom w:val="single" w:sz="4" w:space="0" w:color="auto"/>
              <w:right w:val="single" w:sz="4" w:space="0" w:color="auto"/>
            </w:tcBorders>
            <w:shd w:val="clear" w:color="auto" w:fill="auto"/>
            <w:noWrap/>
            <w:vAlign w:val="center"/>
          </w:tcPr>
          <w:p w14:paraId="31192BEF" w14:textId="4B5D9C70"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8493.000</w:t>
            </w:r>
          </w:p>
        </w:tc>
        <w:tc>
          <w:tcPr>
            <w:tcW w:w="1467" w:type="dxa"/>
            <w:tcBorders>
              <w:top w:val="nil"/>
              <w:left w:val="nil"/>
              <w:bottom w:val="single" w:sz="4" w:space="0" w:color="auto"/>
              <w:right w:val="double" w:sz="6" w:space="0" w:color="auto"/>
            </w:tcBorders>
            <w:shd w:val="clear" w:color="auto" w:fill="auto"/>
            <w:noWrap/>
            <w:vAlign w:val="center"/>
          </w:tcPr>
          <w:p w14:paraId="2DB7446B" w14:textId="0DED8E8C"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84.930</w:t>
            </w:r>
          </w:p>
        </w:tc>
      </w:tr>
      <w:tr w:rsidR="00720B44" w:rsidRPr="001022AF" w14:paraId="5F8B2638" w14:textId="77777777" w:rsidTr="001022AF">
        <w:trPr>
          <w:trHeight w:val="251"/>
        </w:trPr>
        <w:tc>
          <w:tcPr>
            <w:tcW w:w="9335" w:type="dxa"/>
            <w:gridSpan w:val="4"/>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506220A4" w14:textId="77777777" w:rsidR="00720B44" w:rsidRPr="001022AF" w:rsidRDefault="00720B44" w:rsidP="00720B44">
            <w:pPr>
              <w:spacing w:after="0"/>
              <w:contextualSpacing w:val="0"/>
              <w:jc w:val="left"/>
              <w:rPr>
                <w:rFonts w:eastAsia="Times New Roman" w:cs="Times New Roman"/>
                <w:b/>
                <w:bCs/>
                <w:color w:val="000000"/>
                <w:sz w:val="20"/>
                <w:szCs w:val="20"/>
              </w:rPr>
            </w:pPr>
            <w:r w:rsidRPr="001022AF">
              <w:rPr>
                <w:rFonts w:eastAsia="Times New Roman" w:cs="Times New Roman"/>
                <w:b/>
                <w:bCs/>
                <w:color w:val="000000"/>
                <w:sz w:val="20"/>
                <w:szCs w:val="20"/>
              </w:rPr>
              <w:t>Sociodemographic Attributes</w:t>
            </w:r>
          </w:p>
        </w:tc>
      </w:tr>
      <w:tr w:rsidR="00720B44" w:rsidRPr="001022AF" w14:paraId="54E47718" w14:textId="77777777" w:rsidTr="001022AF">
        <w:trPr>
          <w:trHeight w:val="266"/>
        </w:trPr>
        <w:tc>
          <w:tcPr>
            <w:tcW w:w="9335" w:type="dxa"/>
            <w:gridSpan w:val="4"/>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1016C732" w14:textId="64F03A14" w:rsidR="00720B44" w:rsidRPr="001022AF" w:rsidRDefault="00720B44" w:rsidP="00720B44">
            <w:pPr>
              <w:spacing w:after="0"/>
              <w:ind w:firstLineChars="100" w:firstLine="201"/>
              <w:contextualSpacing w:val="0"/>
              <w:jc w:val="left"/>
              <w:rPr>
                <w:rFonts w:eastAsia="Times New Roman" w:cs="Times New Roman"/>
                <w:b/>
                <w:bCs/>
                <w:color w:val="000000"/>
                <w:sz w:val="20"/>
                <w:szCs w:val="20"/>
              </w:rPr>
            </w:pPr>
            <w:proofErr w:type="gramStart"/>
            <w:r w:rsidRPr="001022AF">
              <w:rPr>
                <w:rFonts w:eastAsia="Times New Roman" w:cs="Times New Roman"/>
                <w:b/>
                <w:bCs/>
                <w:color w:val="000000"/>
                <w:sz w:val="20"/>
                <w:szCs w:val="20"/>
              </w:rPr>
              <w:t>Low income</w:t>
            </w:r>
            <w:proofErr w:type="gramEnd"/>
            <w:r w:rsidRPr="001022AF">
              <w:rPr>
                <w:rFonts w:eastAsia="Times New Roman" w:cs="Times New Roman"/>
                <w:b/>
                <w:bCs/>
                <w:color w:val="000000"/>
                <w:sz w:val="20"/>
                <w:szCs w:val="20"/>
              </w:rPr>
              <w:t xml:space="preserve"> indicator</w:t>
            </w:r>
          </w:p>
        </w:tc>
      </w:tr>
      <w:tr w:rsidR="00720B44" w:rsidRPr="001022AF" w14:paraId="3956BB49" w14:textId="77777777" w:rsidTr="001022AF">
        <w:trPr>
          <w:trHeight w:val="266"/>
        </w:trPr>
        <w:tc>
          <w:tcPr>
            <w:tcW w:w="3552" w:type="dxa"/>
            <w:tcBorders>
              <w:top w:val="single" w:sz="4" w:space="0" w:color="auto"/>
              <w:left w:val="double" w:sz="6" w:space="0" w:color="auto"/>
              <w:bottom w:val="single" w:sz="4" w:space="0" w:color="auto"/>
              <w:right w:val="single" w:sz="4" w:space="0" w:color="auto"/>
            </w:tcBorders>
            <w:shd w:val="clear" w:color="auto" w:fill="auto"/>
            <w:noWrap/>
            <w:vAlign w:val="center"/>
          </w:tcPr>
          <w:p w14:paraId="7E264029" w14:textId="18B7855A" w:rsidR="00720B44" w:rsidRPr="001022AF" w:rsidRDefault="00720B44" w:rsidP="00720B44">
            <w:pPr>
              <w:spacing w:after="0"/>
              <w:ind w:firstLineChars="150" w:firstLine="300"/>
              <w:contextualSpacing w:val="0"/>
              <w:jc w:val="left"/>
              <w:rPr>
                <w:rFonts w:eastAsia="Times New Roman" w:cs="Times New Roman"/>
                <w:color w:val="000000"/>
                <w:sz w:val="20"/>
                <w:szCs w:val="20"/>
              </w:rPr>
            </w:pPr>
            <w:r w:rsidRPr="001022AF">
              <w:rPr>
                <w:rFonts w:eastAsia="Times New Roman" w:cs="Times New Roman"/>
                <w:color w:val="000000"/>
                <w:sz w:val="20"/>
                <w:szCs w:val="20"/>
              </w:rPr>
              <w:t>Yes</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1C784DDF" w14:textId="4DB0211F" w:rsidR="00720B44" w:rsidRPr="001022AF" w:rsidRDefault="00720B44" w:rsidP="00720B44">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Census tract with median income under $58 thousand USD (15th percentile)</w:t>
            </w:r>
          </w:p>
        </w:tc>
        <w:tc>
          <w:tcPr>
            <w:tcW w:w="913" w:type="dxa"/>
            <w:tcBorders>
              <w:top w:val="single" w:sz="4" w:space="0" w:color="auto"/>
              <w:left w:val="nil"/>
              <w:bottom w:val="single" w:sz="4" w:space="0" w:color="auto"/>
              <w:right w:val="single" w:sz="4" w:space="0" w:color="auto"/>
            </w:tcBorders>
            <w:shd w:val="clear" w:color="auto" w:fill="auto"/>
            <w:noWrap/>
            <w:vAlign w:val="center"/>
          </w:tcPr>
          <w:p w14:paraId="4E503575" w14:textId="4AA43BE5"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466.000</w:t>
            </w:r>
          </w:p>
        </w:tc>
        <w:tc>
          <w:tcPr>
            <w:tcW w:w="1467" w:type="dxa"/>
            <w:tcBorders>
              <w:top w:val="single" w:sz="4" w:space="0" w:color="auto"/>
              <w:left w:val="nil"/>
              <w:bottom w:val="single" w:sz="4" w:space="0" w:color="auto"/>
              <w:right w:val="double" w:sz="6" w:space="0" w:color="auto"/>
            </w:tcBorders>
            <w:shd w:val="clear" w:color="auto" w:fill="auto"/>
            <w:noWrap/>
            <w:vAlign w:val="center"/>
          </w:tcPr>
          <w:p w14:paraId="761FB459" w14:textId="199A929D"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58.543</w:t>
            </w:r>
          </w:p>
        </w:tc>
      </w:tr>
      <w:tr w:rsidR="00720B44" w:rsidRPr="001022AF" w14:paraId="5479EAA3" w14:textId="77777777" w:rsidTr="001022AF">
        <w:trPr>
          <w:trHeight w:val="266"/>
        </w:trPr>
        <w:tc>
          <w:tcPr>
            <w:tcW w:w="3552" w:type="dxa"/>
            <w:tcBorders>
              <w:top w:val="single" w:sz="4" w:space="0" w:color="auto"/>
              <w:left w:val="double" w:sz="6" w:space="0" w:color="auto"/>
              <w:bottom w:val="double" w:sz="6" w:space="0" w:color="auto"/>
              <w:right w:val="single" w:sz="4" w:space="0" w:color="auto"/>
            </w:tcBorders>
            <w:shd w:val="clear" w:color="auto" w:fill="auto"/>
            <w:noWrap/>
            <w:vAlign w:val="center"/>
          </w:tcPr>
          <w:p w14:paraId="4D5C16CF" w14:textId="7A3561AA" w:rsidR="00720B44" w:rsidRPr="001022AF" w:rsidRDefault="00720B44" w:rsidP="00720B44">
            <w:pPr>
              <w:spacing w:after="0"/>
              <w:ind w:firstLineChars="150" w:firstLine="300"/>
              <w:contextualSpacing w:val="0"/>
              <w:jc w:val="left"/>
              <w:rPr>
                <w:rFonts w:eastAsia="Times New Roman" w:cs="Times New Roman"/>
                <w:color w:val="000000"/>
                <w:sz w:val="20"/>
                <w:szCs w:val="20"/>
              </w:rPr>
            </w:pPr>
            <w:r w:rsidRPr="001022AF">
              <w:rPr>
                <w:rFonts w:eastAsia="Times New Roman" w:cs="Times New Roman"/>
                <w:color w:val="000000"/>
                <w:sz w:val="20"/>
                <w:szCs w:val="20"/>
              </w:rPr>
              <w:t>No</w:t>
            </w:r>
          </w:p>
        </w:tc>
        <w:tc>
          <w:tcPr>
            <w:tcW w:w="3402" w:type="dxa"/>
            <w:tcBorders>
              <w:top w:val="single" w:sz="4" w:space="0" w:color="auto"/>
              <w:left w:val="nil"/>
              <w:bottom w:val="double" w:sz="6" w:space="0" w:color="auto"/>
              <w:right w:val="single" w:sz="4" w:space="0" w:color="auto"/>
            </w:tcBorders>
            <w:shd w:val="clear" w:color="auto" w:fill="auto"/>
            <w:noWrap/>
            <w:vAlign w:val="center"/>
          </w:tcPr>
          <w:p w14:paraId="60E3F3E4" w14:textId="4BBD2EA9" w:rsidR="00720B44" w:rsidRPr="001022AF" w:rsidRDefault="00720B44" w:rsidP="00720B44">
            <w:pPr>
              <w:spacing w:after="0"/>
              <w:contextualSpacing w:val="0"/>
              <w:jc w:val="left"/>
              <w:rPr>
                <w:rFonts w:eastAsia="Times New Roman" w:cs="Times New Roman"/>
                <w:color w:val="000000"/>
                <w:sz w:val="20"/>
                <w:szCs w:val="20"/>
              </w:rPr>
            </w:pPr>
            <w:r w:rsidRPr="001022AF">
              <w:rPr>
                <w:rFonts w:eastAsia="Times New Roman" w:cs="Times New Roman"/>
                <w:color w:val="000000"/>
                <w:sz w:val="20"/>
                <w:szCs w:val="20"/>
              </w:rPr>
              <w:t>Census tract with median income over $58 thousand USD (15th percentile)</w:t>
            </w:r>
          </w:p>
        </w:tc>
        <w:tc>
          <w:tcPr>
            <w:tcW w:w="913" w:type="dxa"/>
            <w:tcBorders>
              <w:top w:val="single" w:sz="4" w:space="0" w:color="auto"/>
              <w:left w:val="nil"/>
              <w:bottom w:val="double" w:sz="6" w:space="0" w:color="auto"/>
              <w:right w:val="single" w:sz="4" w:space="0" w:color="auto"/>
            </w:tcBorders>
            <w:shd w:val="clear" w:color="auto" w:fill="auto"/>
            <w:noWrap/>
            <w:vAlign w:val="center"/>
          </w:tcPr>
          <w:p w14:paraId="241052DD" w14:textId="7C646B96"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330.000</w:t>
            </w:r>
          </w:p>
        </w:tc>
        <w:tc>
          <w:tcPr>
            <w:tcW w:w="1467" w:type="dxa"/>
            <w:tcBorders>
              <w:top w:val="single" w:sz="4" w:space="0" w:color="auto"/>
              <w:left w:val="nil"/>
              <w:bottom w:val="double" w:sz="6" w:space="0" w:color="auto"/>
              <w:right w:val="double" w:sz="6" w:space="0" w:color="auto"/>
            </w:tcBorders>
            <w:shd w:val="clear" w:color="auto" w:fill="auto"/>
            <w:noWrap/>
            <w:vAlign w:val="center"/>
          </w:tcPr>
          <w:p w14:paraId="2147A461" w14:textId="5569369E" w:rsidR="00720B44" w:rsidRPr="001022AF" w:rsidRDefault="00720B44" w:rsidP="00720B44">
            <w:pPr>
              <w:spacing w:after="0"/>
              <w:contextualSpacing w:val="0"/>
              <w:jc w:val="left"/>
              <w:rPr>
                <w:rFonts w:eastAsia="Times New Roman" w:cs="Times New Roman"/>
                <w:sz w:val="20"/>
                <w:szCs w:val="20"/>
              </w:rPr>
            </w:pPr>
            <w:r w:rsidRPr="001022AF">
              <w:rPr>
                <w:rFonts w:eastAsia="Times New Roman" w:cs="Times New Roman"/>
                <w:sz w:val="20"/>
                <w:szCs w:val="20"/>
              </w:rPr>
              <w:t>41.457</w:t>
            </w:r>
          </w:p>
        </w:tc>
      </w:tr>
    </w:tbl>
    <w:p w14:paraId="6202B673" w14:textId="77777777" w:rsidR="000B3CC4" w:rsidRDefault="000B3CC4" w:rsidP="00D03B35">
      <w:pPr>
        <w:spacing w:after="0"/>
      </w:pPr>
    </w:p>
    <w:p w14:paraId="2DEDC0B2" w14:textId="77777777" w:rsidR="00985753" w:rsidRDefault="00985753" w:rsidP="00985753"/>
    <w:p w14:paraId="6F35C9A5" w14:textId="29CDD0EB" w:rsidR="00985753" w:rsidRPr="00972B3B" w:rsidRDefault="00985753" w:rsidP="00985753">
      <w:pPr>
        <w:pStyle w:val="Caption"/>
        <w:sectPr w:rsidR="00985753" w:rsidRPr="00972B3B" w:rsidSect="004219D8">
          <w:headerReference w:type="default" r:id="rId12"/>
          <w:headerReference w:type="first" r:id="rId13"/>
          <w:pgSz w:w="12240" w:h="15840" w:code="1"/>
          <w:pgMar w:top="1440" w:right="1440" w:bottom="1440" w:left="1440" w:header="720" w:footer="720" w:gutter="0"/>
          <w:lnNumType w:countBy="1"/>
          <w:cols w:space="720"/>
          <w:titlePg/>
          <w:docGrid w:linePitch="360"/>
        </w:sectPr>
      </w:pPr>
      <w:r>
        <w:t xml:space="preserve">Figure </w:t>
      </w:r>
      <w:r w:rsidR="004F2FAE">
        <w:fldChar w:fldCharType="begin"/>
      </w:r>
      <w:r w:rsidR="004F2FAE">
        <w:instrText xml:space="preserve"> SEQ Figure \* ARABIC </w:instrText>
      </w:r>
      <w:r w:rsidR="004F2FAE">
        <w:fldChar w:fldCharType="separate"/>
      </w:r>
      <w:r w:rsidR="00E62890">
        <w:rPr>
          <w:noProof/>
        </w:rPr>
        <w:t>1</w:t>
      </w:r>
      <w:r w:rsidR="004F2FAE">
        <w:rPr>
          <w:noProof/>
        </w:rPr>
        <w:fldChar w:fldCharType="end"/>
      </w:r>
      <w:r>
        <w:t xml:space="preserve"> Total number of weekday trips (a) originated; (b) destined</w:t>
      </w:r>
    </w:p>
    <w:p w14:paraId="63855457" w14:textId="77777777" w:rsidR="00972B3B" w:rsidRDefault="00972B3B" w:rsidP="00972ACB">
      <w:pPr>
        <w:pStyle w:val="Heading1"/>
      </w:pPr>
      <w:r>
        <w:lastRenderedPageBreak/>
        <w:t>ECONOMETRIC METHODOLOGY</w:t>
      </w:r>
    </w:p>
    <w:p w14:paraId="3C23114C" w14:textId="05621206" w:rsidR="009E1E51" w:rsidRDefault="00972B3B" w:rsidP="00972B3B">
      <w:pPr>
        <w:rPr>
          <w:rFonts w:cs="Times New Roman"/>
          <w:szCs w:val="24"/>
        </w:rPr>
      </w:pPr>
      <w:r w:rsidRPr="001979ED">
        <w:rPr>
          <w:rFonts w:cs="Times New Roman"/>
          <w:szCs w:val="24"/>
        </w:rPr>
        <w:t xml:space="preserve">In this study, we develop a joint trip fare and trip destination model where trip fare is modelled using </w:t>
      </w:r>
      <w:r w:rsidR="00445C96">
        <w:rPr>
          <w:rFonts w:cs="Times New Roman"/>
          <w:szCs w:val="24"/>
        </w:rPr>
        <w:t xml:space="preserve">a </w:t>
      </w:r>
      <w:r w:rsidRPr="001979ED">
        <w:rPr>
          <w:rFonts w:cs="Times New Roman"/>
          <w:szCs w:val="24"/>
        </w:rPr>
        <w:t xml:space="preserve">linear regression model and trip destination is modelled using </w:t>
      </w:r>
      <w:r w:rsidR="00445C96">
        <w:rPr>
          <w:rFonts w:cs="Times New Roman"/>
          <w:szCs w:val="24"/>
        </w:rPr>
        <w:t xml:space="preserve">a </w:t>
      </w:r>
      <w:r w:rsidRPr="001979ED">
        <w:rPr>
          <w:rFonts w:cs="Times New Roman"/>
          <w:szCs w:val="24"/>
        </w:rPr>
        <w:t xml:space="preserve">multinomial logit model. Let, </w:t>
      </w:r>
      <m:oMath>
        <m:r>
          <w:rPr>
            <w:rFonts w:ascii="Cambria Math" w:hAnsi="Cambria Math" w:cs="Times New Roman"/>
            <w:szCs w:val="24"/>
          </w:rPr>
          <m:t>q</m:t>
        </m:r>
      </m:oMath>
      <w:r w:rsidRPr="001979ED">
        <w:rPr>
          <w:rFonts w:cs="Times New Roman"/>
          <w:szCs w:val="24"/>
        </w:rPr>
        <w:t xml:space="preserve"> (=1, 2, </w:t>
      </w:r>
      <w:proofErr w:type="gramStart"/>
      <w:r w:rsidRPr="001979ED">
        <w:rPr>
          <w:rFonts w:cs="Times New Roman"/>
          <w:szCs w:val="24"/>
        </w:rPr>
        <w:t>3,…</w:t>
      </w:r>
      <w:proofErr w:type="gramEnd"/>
      <w:r w:rsidRPr="001979ED">
        <w:rPr>
          <w:rFonts w:cs="Times New Roman"/>
          <w:szCs w:val="24"/>
        </w:rPr>
        <w:t xml:space="preserve">., Q=10,000) be an index to represent each individual trip, </w:t>
      </w: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m:t>
            </m:r>
          </m:sub>
        </m:sSub>
      </m:oMath>
      <w:r w:rsidRPr="001979ED">
        <w:rPr>
          <w:rFonts w:eastAsiaTheme="minorEastAsia" w:cs="Times New Roman"/>
          <w:szCs w:val="24"/>
        </w:rPr>
        <w:t xml:space="preserve"> </w:t>
      </w:r>
      <w:r>
        <w:rPr>
          <w:rFonts w:eastAsiaTheme="minorEastAsia" w:cs="Times New Roman"/>
          <w:szCs w:val="24"/>
        </w:rPr>
        <w:t xml:space="preserve">be an index to </w:t>
      </w:r>
      <w:r w:rsidRPr="001979ED">
        <w:rPr>
          <w:rFonts w:eastAsiaTheme="minorEastAsia" w:cs="Times New Roman"/>
          <w:szCs w:val="24"/>
        </w:rPr>
        <w:t xml:space="preserve">represent the fare associated with a trip </w:t>
      </w:r>
      <m:oMath>
        <m:r>
          <w:rPr>
            <w:rFonts w:ascii="Cambria Math" w:eastAsiaTheme="minorEastAsia" w:hAnsi="Cambria Math" w:cs="Times New Roman"/>
            <w:szCs w:val="24"/>
          </w:rPr>
          <m:t>q</m:t>
        </m:r>
      </m:oMath>
      <w:r w:rsidR="007E5354">
        <w:rPr>
          <w:rFonts w:eastAsiaTheme="minorEastAsia" w:cs="Times New Roman"/>
          <w:szCs w:val="24"/>
        </w:rPr>
        <w:t xml:space="preserve">, </w:t>
      </w:r>
      <w:r w:rsidRPr="001979ED">
        <w:rPr>
          <w:rFonts w:eastAsiaTheme="minorEastAsia" w:cs="Times New Roman"/>
          <w:szCs w:val="24"/>
        </w:rPr>
        <w:t xml:space="preserve">and </w:t>
      </w:r>
      <m:oMath>
        <m:r>
          <w:rPr>
            <w:rFonts w:ascii="Cambria Math" w:eastAsiaTheme="minorEastAsia" w:hAnsi="Cambria Math" w:cs="Times New Roman"/>
            <w:szCs w:val="24"/>
          </w:rPr>
          <m:t>s</m:t>
        </m:r>
      </m:oMath>
      <w:r w:rsidRPr="001979ED">
        <w:rPr>
          <w:rFonts w:cs="Times New Roman"/>
          <w:szCs w:val="24"/>
        </w:rPr>
        <w:t xml:space="preserve"> (= 1, 2, …, S=30) be an index to represent destination alternatives (census tracts). </w:t>
      </w:r>
      <w:r>
        <w:rPr>
          <w:rFonts w:cs="Times New Roman"/>
          <w:szCs w:val="24"/>
        </w:rPr>
        <w:t xml:space="preserve">In the following sections, we describe two model </w:t>
      </w:r>
      <w:r w:rsidR="004072B6">
        <w:rPr>
          <w:rFonts w:cs="Times New Roman"/>
          <w:szCs w:val="24"/>
        </w:rPr>
        <w:t>components</w:t>
      </w:r>
      <w:r>
        <w:rPr>
          <w:rFonts w:cs="Times New Roman"/>
          <w:szCs w:val="24"/>
        </w:rPr>
        <w:t xml:space="preserve"> and then present estimation procedure for the joint model.</w:t>
      </w:r>
    </w:p>
    <w:p w14:paraId="0D018C16" w14:textId="35F61226" w:rsidR="00972B3B" w:rsidRPr="001979ED" w:rsidRDefault="00972B3B" w:rsidP="009E1E51">
      <w:pPr>
        <w:spacing w:after="0"/>
        <w:rPr>
          <w:rFonts w:cs="Times New Roman"/>
          <w:szCs w:val="24"/>
        </w:rPr>
      </w:pPr>
      <w:r w:rsidRPr="001979ED">
        <w:rPr>
          <w:rFonts w:cs="Times New Roman"/>
          <w:szCs w:val="24"/>
        </w:rPr>
        <w:t xml:space="preserve">  </w:t>
      </w:r>
    </w:p>
    <w:p w14:paraId="0F67F2D9" w14:textId="77777777" w:rsidR="00972B3B" w:rsidRPr="00625956" w:rsidRDefault="00972B3B" w:rsidP="00972B3B">
      <w:pPr>
        <w:pStyle w:val="Heading2"/>
        <w:ind w:left="576" w:hanging="576"/>
      </w:pPr>
      <w:r>
        <w:t>Trip Fare Model</w:t>
      </w:r>
    </w:p>
    <w:p w14:paraId="21DC33EB" w14:textId="273161C3" w:rsidR="00972B3B" w:rsidRPr="00AA2FF4" w:rsidRDefault="00972B3B" w:rsidP="00972B3B">
      <w:pPr>
        <w:rPr>
          <w:rFonts w:eastAsiaTheme="minorEastAsia" w:cs="Times New Roman"/>
          <w:szCs w:val="24"/>
        </w:rPr>
      </w:pPr>
      <w:r w:rsidRPr="00AA2FF4">
        <w:rPr>
          <w:rFonts w:eastAsiaTheme="minorEastAsia" w:cs="Times New Roman"/>
          <w:szCs w:val="24"/>
        </w:rPr>
        <w:t xml:space="preserve">In </w:t>
      </w:r>
      <w:r w:rsidR="004072B6">
        <w:rPr>
          <w:rFonts w:eastAsiaTheme="minorEastAsia" w:cs="Times New Roman"/>
          <w:szCs w:val="24"/>
        </w:rPr>
        <w:t xml:space="preserve">the </w:t>
      </w:r>
      <w:r w:rsidRPr="00AA2FF4">
        <w:rPr>
          <w:rFonts w:eastAsiaTheme="minorEastAsia" w:cs="Times New Roman"/>
          <w:szCs w:val="24"/>
        </w:rPr>
        <w:t xml:space="preserve">linear regression formulation, we express </w:t>
      </w: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m:t>
            </m:r>
          </m:sub>
        </m:sSub>
      </m:oMath>
      <w:r w:rsidRPr="00AA2FF4">
        <w:rPr>
          <w:rFonts w:eastAsiaTheme="minorEastAsia" w:cs="Times New Roman"/>
          <w:szCs w:val="24"/>
        </w:rPr>
        <w:t xml:space="preserve"> as a function of independent variables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m:t>
            </m:r>
          </m:sub>
        </m:sSub>
      </m:oMath>
      <w:r w:rsidRPr="00AA2FF4">
        <w:rPr>
          <w:rFonts w:eastAsiaTheme="minorEastAsia" w:cs="Times New Roman"/>
          <w:szCs w:val="24"/>
        </w:rPr>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7"/>
        <w:gridCol w:w="1153"/>
      </w:tblGrid>
      <w:tr w:rsidR="00972B3B" w:rsidRPr="00AA2FF4" w14:paraId="7C723ECA" w14:textId="77777777" w:rsidTr="00972B3B">
        <w:tc>
          <w:tcPr>
            <w:tcW w:w="4384" w:type="pct"/>
            <w:vAlign w:val="center"/>
          </w:tcPr>
          <w:p w14:paraId="17C083FB" w14:textId="0AED4F59" w:rsidR="00972B3B" w:rsidRPr="00AA2FF4" w:rsidRDefault="004F2FAE" w:rsidP="00972B3B">
            <w:pPr>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α</m:t>
                    </m:r>
                  </m:e>
                  <m:sup>
                    <m:r>
                      <w:rPr>
                        <w:rFonts w:ascii="Cambria Math" w:hAnsi="Cambria Math" w:cs="Times New Roman"/>
                        <w:szCs w:val="24"/>
                      </w:rPr>
                      <m:t>'</m:t>
                    </m:r>
                  </m:sup>
                </m:sSup>
                <m:r>
                  <w:rPr>
                    <w:rFonts w:ascii="Cambria Math" w:hAnsi="Cambria Math" w:cs="Times New Roman"/>
                    <w:szCs w:val="24"/>
                  </w:rPr>
                  <m:t>+</m:t>
                </m:r>
                <m:r>
                  <w:rPr>
                    <w:rFonts w:ascii="Cambria Math" w:hAnsi="Cambria Math"/>
                  </w:rPr>
                  <m:t>η</m:t>
                </m:r>
                <m:r>
                  <w:rPr>
                    <w:rFonts w:ascii="Cambria Math" w:hAnsi="Cambria Math"/>
                  </w:rPr>
                  <m:t>')</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q</m:t>
                    </m:r>
                  </m:sub>
                </m:sSub>
              </m:oMath>
            </m:oMathPara>
          </w:p>
        </w:tc>
        <w:tc>
          <w:tcPr>
            <w:tcW w:w="616" w:type="pct"/>
            <w:vAlign w:val="center"/>
          </w:tcPr>
          <w:p w14:paraId="4F940435" w14:textId="77777777" w:rsidR="00972B3B" w:rsidRPr="00AA2FF4" w:rsidRDefault="00972B3B" w:rsidP="00972B3B">
            <w:pPr>
              <w:jc w:val="right"/>
              <w:rPr>
                <w:rFonts w:cs="Times New Roman"/>
                <w:szCs w:val="24"/>
              </w:rPr>
            </w:pPr>
            <w:r w:rsidRPr="00AA2FF4">
              <w:rPr>
                <w:rFonts w:cs="Times New Roman"/>
                <w:szCs w:val="24"/>
              </w:rPr>
              <w:t>(</w:t>
            </w:r>
            <w:r>
              <w:rPr>
                <w:rFonts w:cs="Times New Roman"/>
                <w:szCs w:val="24"/>
              </w:rPr>
              <w:t>1</w:t>
            </w:r>
            <w:r w:rsidRPr="00AA2FF4">
              <w:rPr>
                <w:rFonts w:cs="Times New Roman"/>
                <w:szCs w:val="24"/>
              </w:rPr>
              <w:t>)</w:t>
            </w:r>
          </w:p>
        </w:tc>
      </w:tr>
    </w:tbl>
    <w:p w14:paraId="45DFCDE8" w14:textId="77777777" w:rsidR="00972B3B" w:rsidRPr="00AA2FF4" w:rsidRDefault="00972B3B" w:rsidP="00972B3B">
      <w:pPr>
        <w:spacing w:after="0"/>
        <w:rPr>
          <w:rFonts w:cs="Times New Roman"/>
          <w:szCs w:val="24"/>
        </w:rPr>
      </w:pPr>
    </w:p>
    <w:p w14:paraId="35EB274E" w14:textId="01080AAE" w:rsidR="00972B3B" w:rsidRDefault="00AD299D" w:rsidP="00972B3B">
      <w:pPr>
        <w:ind w:firstLine="720"/>
        <w:rPr>
          <w:rFonts w:eastAsia="Calibri" w:cs="Times New Roman"/>
          <w:szCs w:val="24"/>
          <w:lang w:val="en-CA"/>
        </w:rPr>
      </w:pPr>
      <w:r>
        <w:rPr>
          <w:rFonts w:cs="Times New Roman"/>
          <w:szCs w:val="24"/>
        </w:rPr>
        <w:t>w</w:t>
      </w:r>
      <w:r w:rsidR="00972B3B" w:rsidRPr="00AA2FF4">
        <w:rPr>
          <w:rFonts w:cs="Times New Roman"/>
          <w:szCs w:val="24"/>
        </w:rPr>
        <w:t xml:space="preserve">here </w:t>
      </w:r>
      <m:oMath>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m:t>
            </m:r>
          </m:sup>
        </m:sSup>
      </m:oMath>
      <w:r w:rsidR="00972B3B" w:rsidRPr="00AA2FF4">
        <w:rPr>
          <w:rFonts w:eastAsiaTheme="minorEastAsia" w:cs="Times New Roman"/>
          <w:szCs w:val="24"/>
        </w:rPr>
        <w:t xml:space="preserve"> is </w:t>
      </w:r>
      <w:r w:rsidR="00B90C13">
        <w:rPr>
          <w:rFonts w:eastAsiaTheme="minorEastAsia" w:cs="Times New Roman"/>
          <w:szCs w:val="24"/>
        </w:rPr>
        <w:t xml:space="preserve">a </w:t>
      </w:r>
      <w:r w:rsidR="00972B3B" w:rsidRPr="00AA2FF4">
        <w:rPr>
          <w:rFonts w:eastAsiaTheme="minorEastAsia" w:cs="Times New Roman"/>
          <w:szCs w:val="24"/>
        </w:rPr>
        <w:t>vector of coefficient</w:t>
      </w:r>
      <w:r w:rsidR="00B90C13">
        <w:rPr>
          <w:rFonts w:eastAsiaTheme="minorEastAsia" w:cs="Times New Roman"/>
          <w:szCs w:val="24"/>
        </w:rPr>
        <w:t>s</w:t>
      </w:r>
      <w:r w:rsidR="00972B3B" w:rsidRPr="00AA2FF4">
        <w:rPr>
          <w:rFonts w:eastAsiaTheme="minorEastAsia" w:cs="Times New Roman"/>
          <w:szCs w:val="24"/>
        </w:rPr>
        <w:t xml:space="preserve"> to be estimated</w:t>
      </w:r>
      <w:r w:rsidR="00972B3B">
        <w:rPr>
          <w:rFonts w:eastAsiaTheme="minorEastAsia" w:cs="Times New Roman"/>
          <w:szCs w:val="24"/>
        </w:rPr>
        <w:t>,</w:t>
      </w:r>
      <w:r w:rsidR="002A38BE">
        <w:rPr>
          <w:rFonts w:eastAsiaTheme="minorEastAsia" w:cs="Times New Roman"/>
          <w:szCs w:val="24"/>
        </w:rPr>
        <w:t xml:space="preserve"> </w:t>
      </w:r>
      <m:oMath>
        <m:r>
          <w:rPr>
            <w:rFonts w:ascii="Cambria Math" w:hAnsi="Cambria Math"/>
          </w:rPr>
          <m:t>η</m:t>
        </m:r>
      </m:oMath>
      <w:r w:rsidR="002A38BE">
        <w:rPr>
          <w:rFonts w:eastAsia="Calibri" w:cs="Times New Roman"/>
        </w:rPr>
        <w:t xml:space="preserve"> represents the effect of common unobserved factors modifying the impact of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m:t>
            </m:r>
          </m:sub>
        </m:sSub>
      </m:oMath>
      <w:r w:rsidR="00972B3B" w:rsidRPr="00AA2FF4">
        <w:rPr>
          <w:rFonts w:eastAsiaTheme="minorEastAsia" w:cs="Times New Roman"/>
          <w:szCs w:val="24"/>
        </w:rPr>
        <w:t xml:space="preserve"> </w:t>
      </w:r>
      <w:r w:rsidR="00B56B15">
        <w:rPr>
          <w:rFonts w:eastAsiaTheme="minorEastAsia" w:cs="Times New Roman"/>
          <w:szCs w:val="24"/>
        </w:rPr>
        <w:t xml:space="preserve">in the trip fare and trip destination </w:t>
      </w:r>
      <w:r w:rsidR="001A3900">
        <w:rPr>
          <w:rFonts w:eastAsiaTheme="minorEastAsia" w:cs="Times New Roman"/>
          <w:szCs w:val="24"/>
        </w:rPr>
        <w:t xml:space="preserve">models (see Equation 2) </w:t>
      </w:r>
      <w:r w:rsidR="002A38BE">
        <w:rPr>
          <w:rFonts w:eastAsiaTheme="minorEastAsia" w:cs="Times New Roman"/>
          <w:szCs w:val="24"/>
        </w:rPr>
        <w:t xml:space="preserve">and </w:t>
      </w:r>
      <m:oMath>
        <m:sSub>
          <m:sSubPr>
            <m:ctrlPr>
              <w:rPr>
                <w:rFonts w:ascii="Cambria Math" w:eastAsia="Calibri" w:hAnsi="Cambria Math" w:cs="Times New Roman"/>
                <w:i/>
                <w:szCs w:val="24"/>
                <w:lang w:val="en-CA"/>
              </w:rPr>
            </m:ctrlPr>
          </m:sSubPr>
          <m:e>
            <m:r>
              <w:rPr>
                <w:rFonts w:ascii="Cambria Math" w:eastAsia="Calibri" w:hAnsi="Cambria Math" w:cs="Times New Roman"/>
                <w:szCs w:val="24"/>
                <w:lang w:val="en-CA"/>
              </w:rPr>
              <m:t>ε</m:t>
            </m:r>
          </m:e>
          <m:sub>
            <m:r>
              <w:rPr>
                <w:rFonts w:ascii="Cambria Math" w:eastAsia="Calibri" w:hAnsi="Cambria Math" w:cs="Times New Roman"/>
                <w:szCs w:val="24"/>
                <w:lang w:val="en-CA"/>
              </w:rPr>
              <m:t>q</m:t>
            </m:r>
          </m:sub>
        </m:sSub>
      </m:oMath>
      <w:r w:rsidR="00972B3B" w:rsidRPr="00AA2FF4">
        <w:rPr>
          <w:rFonts w:eastAsia="Yu Mincho" w:cs="Times New Roman"/>
          <w:szCs w:val="24"/>
          <w:lang w:val="en-CA"/>
        </w:rPr>
        <w:t xml:space="preserve"> is an idiosyncratic random error term assumed </w:t>
      </w:r>
      <w:r w:rsidR="00972B3B" w:rsidRPr="00AA2FF4">
        <w:rPr>
          <w:rFonts w:eastAsia="Calibri" w:cs="Times New Roman"/>
          <w:szCs w:val="24"/>
          <w:lang w:val="en-CA"/>
        </w:rPr>
        <w:t>independently normally distributed with variance</w:t>
      </w:r>
      <w:r w:rsidR="00972B3B">
        <w:rPr>
          <w:rFonts w:eastAsia="Calibri" w:cs="Times New Roman"/>
          <w:szCs w:val="24"/>
          <w:lang w:val="en-CA"/>
        </w:rPr>
        <w:t xml:space="preserve"> </w:t>
      </w:r>
      <m:oMath>
        <m:sSup>
          <m:sSupPr>
            <m:ctrlPr>
              <w:rPr>
                <w:rFonts w:ascii="Cambria Math" w:eastAsia="Calibri" w:hAnsi="Cambria Math" w:cs="Times New Roman"/>
                <w:i/>
                <w:szCs w:val="24"/>
                <w:lang w:val="en-CA"/>
              </w:rPr>
            </m:ctrlPr>
          </m:sSupPr>
          <m:e>
            <m:r>
              <w:rPr>
                <w:rFonts w:ascii="Cambria Math" w:eastAsia="Calibri" w:hAnsi="Cambria Math" w:cs="Times New Roman"/>
                <w:szCs w:val="24"/>
                <w:lang w:val="en-CA"/>
              </w:rPr>
              <m:t>γ</m:t>
            </m:r>
          </m:e>
          <m:sup>
            <m:r>
              <w:rPr>
                <w:rFonts w:ascii="Cambria Math" w:eastAsia="Calibri" w:hAnsi="Cambria Math" w:cs="Times New Roman"/>
                <w:szCs w:val="24"/>
                <w:lang w:val="en-CA"/>
              </w:rPr>
              <m:t>2</m:t>
            </m:r>
          </m:sup>
        </m:sSup>
      </m:oMath>
      <w:r w:rsidR="00972B3B">
        <w:rPr>
          <w:rFonts w:eastAsia="Calibri" w:cs="Times New Roman"/>
          <w:szCs w:val="24"/>
          <w:lang w:val="en-CA"/>
        </w:rPr>
        <w:t xml:space="preserve">. Now, we can express the probability of a trip, </w:t>
      </w:r>
      <m:oMath>
        <m:r>
          <w:rPr>
            <w:rFonts w:ascii="Cambria Math" w:eastAsia="Calibri" w:hAnsi="Cambria Math" w:cs="Times New Roman"/>
            <w:szCs w:val="24"/>
            <w:lang w:val="en-CA"/>
          </w:rPr>
          <m:t>q</m:t>
        </m:r>
      </m:oMath>
      <w:r w:rsidR="00972B3B">
        <w:rPr>
          <w:rFonts w:eastAsia="Calibri" w:cs="Times New Roman"/>
          <w:szCs w:val="24"/>
          <w:lang w:val="en-CA"/>
        </w:rPr>
        <w:t xml:space="preserve"> having fare, </w:t>
      </w:r>
      <m:oMath>
        <m:sSub>
          <m:sSubPr>
            <m:ctrlPr>
              <w:rPr>
                <w:rFonts w:ascii="Cambria Math" w:eastAsia="Calibri" w:hAnsi="Cambria Math" w:cs="Times New Roman"/>
                <w:i/>
                <w:szCs w:val="24"/>
                <w:lang w:val="en-CA"/>
              </w:rPr>
            </m:ctrlPr>
          </m:sSubPr>
          <m:e>
            <m:r>
              <w:rPr>
                <w:rFonts w:ascii="Cambria Math" w:eastAsia="Calibri" w:hAnsi="Cambria Math" w:cs="Times New Roman"/>
                <w:szCs w:val="24"/>
                <w:lang w:val="en-CA"/>
              </w:rPr>
              <m:t>y</m:t>
            </m:r>
          </m:e>
          <m:sub>
            <m:r>
              <w:rPr>
                <w:rFonts w:ascii="Cambria Math" w:eastAsia="Calibri" w:hAnsi="Cambria Math" w:cs="Times New Roman"/>
                <w:szCs w:val="24"/>
                <w:lang w:val="en-CA"/>
              </w:rPr>
              <m:t>q</m:t>
            </m:r>
          </m:sub>
        </m:sSub>
      </m:oMath>
      <w:r w:rsidR="00972B3B">
        <w:rPr>
          <w:rFonts w:eastAsia="Calibri" w:cs="Times New Roman"/>
          <w:szCs w:val="24"/>
          <w:lang w:val="en-CA"/>
        </w:rPr>
        <w:t xml:space="preserve"> as follows: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972B3B" w:rsidRPr="002F3398" w14:paraId="58C59301" w14:textId="77777777" w:rsidTr="00972B3B">
        <w:trPr>
          <w:trHeight w:val="20"/>
        </w:trPr>
        <w:tc>
          <w:tcPr>
            <w:tcW w:w="4281" w:type="pct"/>
            <w:vAlign w:val="center"/>
          </w:tcPr>
          <w:p w14:paraId="194FB600" w14:textId="34441550" w:rsidR="00972B3B" w:rsidRPr="002F3398" w:rsidRDefault="00972B3B" w:rsidP="00972B3B">
            <w:pPr>
              <w:spacing w:before="360"/>
              <w:rPr>
                <w:rFonts w:asciiTheme="majorBidi" w:eastAsiaTheme="minorEastAsia" w:hAnsiTheme="majorBidi" w:cstheme="majorBidi"/>
              </w:rPr>
            </w:pPr>
            <m:oMathPara>
              <m:oMathParaPr>
                <m:jc m:val="left"/>
              </m:oMathParaPr>
              <m:oMath>
                <m:r>
                  <w:rPr>
                    <w:rFonts w:ascii="Cambria Math" w:hAnsi="Cambria Math" w:cstheme="majorBidi"/>
                  </w:rPr>
                  <m:t>P</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y</m:t>
                        </m:r>
                      </m:e>
                      <m:sub>
                        <m:r>
                          <w:rPr>
                            <w:rFonts w:ascii="Cambria Math" w:hAnsi="Cambria Math" w:cstheme="majorBidi"/>
                          </w:rPr>
                          <m:t>q</m:t>
                        </m:r>
                      </m:sub>
                    </m:sSub>
                  </m:e>
                </m:d>
                <m:r>
                  <w:rPr>
                    <w:rFonts w:ascii="Cambria Math" w:eastAsiaTheme="minorEastAsia" w:hAnsi="Cambria Math" w:cstheme="majorBidi"/>
                  </w:rPr>
                  <m:t xml:space="preserve">= </m:t>
                </m:r>
                <m:f>
                  <m:fPr>
                    <m:ctrlPr>
                      <w:rPr>
                        <w:rFonts w:ascii="Cambria Math" w:eastAsiaTheme="minorEastAsia" w:hAnsi="Cambria Math" w:cstheme="majorBidi"/>
                        <w:i/>
                      </w:rPr>
                    </m:ctrlPr>
                  </m:fPr>
                  <m:num>
                    <m:r>
                      <m:rPr>
                        <m:sty m:val="p"/>
                      </m:rPr>
                      <w:rPr>
                        <w:rFonts w:ascii="Cambria Math" w:eastAsiaTheme="minorEastAsia" w:hAnsi="Cambria Math" w:cstheme="majorBidi"/>
                      </w:rPr>
                      <m:t>ϕ</m:t>
                    </m:r>
                    <m:d>
                      <m:dPr>
                        <m:begChr m:val="["/>
                        <m:endChr m:val="]"/>
                        <m:ctrlPr>
                          <w:rPr>
                            <w:rFonts w:ascii="Cambria Math" w:eastAsiaTheme="minorEastAsia" w:hAnsi="Cambria Math" w:cstheme="majorBidi"/>
                          </w:rPr>
                        </m:ctrlPr>
                      </m:dPr>
                      <m:e>
                        <m:f>
                          <m:fPr>
                            <m:ctrlPr>
                              <w:rPr>
                                <w:rFonts w:ascii="Cambria Math" w:eastAsiaTheme="minorEastAsia" w:hAnsi="Cambria Math" w:cstheme="majorBidi"/>
                              </w:rPr>
                            </m:ctrlPr>
                          </m:fPr>
                          <m:num>
                            <m:sSub>
                              <m:sSubPr>
                                <m:ctrlPr>
                                  <w:rPr>
                                    <w:rFonts w:ascii="Cambria Math" w:eastAsiaTheme="minorEastAsia" w:hAnsi="Cambria Math" w:cstheme="majorBidi"/>
                                    <w:i/>
                                  </w:rPr>
                                </m:ctrlPr>
                              </m:sSubPr>
                              <m:e>
                                <m:r>
                                  <w:rPr>
                                    <w:rFonts w:ascii="Cambria Math" w:eastAsiaTheme="minorEastAsia" w:hAnsi="Cambria Math" w:cstheme="majorBidi"/>
                                  </w:rPr>
                                  <m:t>y</m:t>
                                </m:r>
                              </m:e>
                              <m:sub>
                                <m:r>
                                  <w:rPr>
                                    <w:rFonts w:ascii="Cambria Math" w:eastAsiaTheme="minorEastAsia" w:hAnsi="Cambria Math" w:cstheme="majorBidi"/>
                                  </w:rPr>
                                  <m:t>q</m:t>
                                </m:r>
                              </m:sub>
                            </m:sSub>
                            <m:r>
                              <w:rPr>
                                <w:rFonts w:ascii="Cambria Math" w:eastAsiaTheme="minorEastAsia" w:hAnsi="Cambria Math" w:cstheme="majorBidi"/>
                              </w:rPr>
                              <m:t>-</m:t>
                            </m:r>
                            <m:sSup>
                              <m:sSupPr>
                                <m:ctrlPr>
                                  <w:rPr>
                                    <w:rFonts w:ascii="Cambria Math" w:hAnsi="Cambria Math"/>
                                    <w:i/>
                                    <w:lang w:val="en-US"/>
                                  </w:rPr>
                                </m:ctrlPr>
                              </m:sSupPr>
                              <m:e>
                                <m:r>
                                  <w:rPr>
                                    <w:rFonts w:ascii="Cambria Math" w:hAnsi="Cambria Math"/>
                                  </w:rPr>
                                  <m:t>(α</m:t>
                                </m:r>
                              </m:e>
                              <m:sup>
                                <m:r>
                                  <w:rPr>
                                    <w:rFonts w:ascii="Cambria Math" w:hAnsi="Cambria Math"/>
                                  </w:rPr>
                                  <m:t>'</m:t>
                                </m:r>
                              </m:sup>
                            </m:sSup>
                            <m:r>
                              <w:rPr>
                                <w:rFonts w:ascii="Cambria Math" w:hAnsi="Cambria Math"/>
                                <w:lang w:val="en-US"/>
                              </w:rPr>
                              <m:t>+</m:t>
                            </m:r>
                            <m:r>
                              <w:rPr>
                                <w:rFonts w:ascii="Cambria Math" w:hAnsi="Cambria Math"/>
                                <w:sz w:val="22"/>
                              </w:rPr>
                              <m:t>η'</m:t>
                            </m:r>
                            <m:r>
                              <w:rPr>
                                <w:rFonts w:ascii="Cambria Math" w:hAnsi="Cambria Math"/>
                              </w:rPr>
                              <m: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q</m:t>
                                </m:r>
                              </m:sub>
                            </m:sSub>
                          </m:num>
                          <m:den>
                            <m:r>
                              <w:rPr>
                                <w:rFonts w:ascii="Cambria Math" w:eastAsiaTheme="minorEastAsia" w:hAnsi="Cambria Math" w:cstheme="majorBidi"/>
                              </w:rPr>
                              <m:t>γ</m:t>
                            </m:r>
                          </m:den>
                        </m:f>
                      </m:e>
                    </m:d>
                  </m:num>
                  <m:den>
                    <m:r>
                      <w:rPr>
                        <w:rFonts w:ascii="Cambria Math" w:eastAsiaTheme="minorEastAsia" w:hAnsi="Cambria Math" w:cstheme="majorBidi"/>
                      </w:rPr>
                      <m:t>γ</m:t>
                    </m:r>
                  </m:den>
                </m:f>
                <m:r>
                  <w:rPr>
                    <w:rFonts w:ascii="Cambria Math" w:eastAsiaTheme="minorEastAsia" w:hAnsi="Cambria Math" w:cstheme="majorBidi"/>
                  </w:rPr>
                  <m:t xml:space="preserve">  </m:t>
                </m:r>
              </m:oMath>
            </m:oMathPara>
          </w:p>
        </w:tc>
        <w:tc>
          <w:tcPr>
            <w:tcW w:w="719" w:type="pct"/>
            <w:vAlign w:val="center"/>
          </w:tcPr>
          <w:p w14:paraId="2205EF99" w14:textId="77777777" w:rsidR="00972B3B" w:rsidRPr="002F3398" w:rsidRDefault="00972B3B" w:rsidP="00972B3B">
            <w:pPr>
              <w:spacing w:before="360"/>
              <w:ind w:left="850"/>
              <w:rPr>
                <w:rFonts w:asciiTheme="majorBidi" w:hAnsiTheme="majorBidi" w:cstheme="majorBidi"/>
              </w:rPr>
            </w:pPr>
            <w:r w:rsidRPr="002F3398">
              <w:rPr>
                <w:rFonts w:asciiTheme="majorBidi" w:hAnsiTheme="majorBidi" w:cstheme="majorBidi"/>
              </w:rPr>
              <w:t>(</w:t>
            </w:r>
            <w:r>
              <w:rPr>
                <w:rFonts w:asciiTheme="majorBidi" w:hAnsiTheme="majorBidi" w:cstheme="majorBidi"/>
              </w:rPr>
              <w:t>2</w:t>
            </w:r>
            <w:r w:rsidRPr="002F3398">
              <w:rPr>
                <w:rFonts w:asciiTheme="majorBidi" w:hAnsiTheme="majorBidi" w:cstheme="majorBidi"/>
              </w:rPr>
              <w:t>)</w:t>
            </w:r>
          </w:p>
        </w:tc>
      </w:tr>
    </w:tbl>
    <w:p w14:paraId="2EA55FB6" w14:textId="6FEB273E" w:rsidR="00972B3B" w:rsidRPr="00625956" w:rsidRDefault="00F51772" w:rsidP="00972B3B">
      <w:pPr>
        <w:spacing w:after="0"/>
        <w:rPr>
          <w:rFonts w:cs="Times New Roman"/>
          <w:szCs w:val="24"/>
          <w:lang w:val="en-CA"/>
        </w:rPr>
      </w:pPr>
      <w:r>
        <w:rPr>
          <w:rFonts w:cs="Times New Roman"/>
          <w:szCs w:val="24"/>
        </w:rPr>
        <w:t>w</w:t>
      </w:r>
      <w:r w:rsidR="00972B3B" w:rsidRPr="00625956">
        <w:rPr>
          <w:rFonts w:cs="Times New Roman"/>
          <w:szCs w:val="24"/>
        </w:rPr>
        <w:t xml:space="preserve">here </w:t>
      </w:r>
      <m:oMath>
        <m:r>
          <m:rPr>
            <m:sty m:val="p"/>
          </m:rPr>
          <w:rPr>
            <w:rFonts w:ascii="Cambria Math" w:eastAsiaTheme="minorEastAsia" w:hAnsi="Cambria Math" w:cs="Times New Roman"/>
            <w:szCs w:val="24"/>
          </w:rPr>
          <m:t>ϕ</m:t>
        </m:r>
      </m:oMath>
      <w:r w:rsidR="00972B3B" w:rsidRPr="00625956">
        <w:rPr>
          <w:rFonts w:cs="Times New Roman"/>
          <w:szCs w:val="24"/>
          <w:lang w:val="en-CA"/>
        </w:rPr>
        <w:t>(.) is the standard normal probability distribution function.</w:t>
      </w:r>
    </w:p>
    <w:p w14:paraId="1955947F" w14:textId="77777777" w:rsidR="00972B3B" w:rsidRDefault="00972B3B" w:rsidP="009E1E51">
      <w:pPr>
        <w:spacing w:after="0"/>
      </w:pPr>
    </w:p>
    <w:p w14:paraId="032E9BA4" w14:textId="77777777" w:rsidR="00972B3B" w:rsidRPr="007A04AD" w:rsidRDefault="00972B3B" w:rsidP="00972B3B">
      <w:pPr>
        <w:pStyle w:val="Heading2"/>
        <w:ind w:left="576" w:hanging="576"/>
        <w:rPr>
          <w:szCs w:val="24"/>
        </w:rPr>
      </w:pPr>
      <w:r>
        <w:t>Trip Destination Model</w:t>
      </w:r>
    </w:p>
    <w:p w14:paraId="2E158B57" w14:textId="308A8261" w:rsidR="00972B3B" w:rsidRDefault="00972B3B" w:rsidP="00972B3B">
      <w:pPr>
        <w:spacing w:after="0"/>
        <w:rPr>
          <w:rFonts w:cs="Times New Roman"/>
          <w:szCs w:val="24"/>
        </w:rPr>
      </w:pPr>
      <w:r>
        <w:rPr>
          <w:rFonts w:cs="Times New Roman"/>
          <w:szCs w:val="24"/>
        </w:rPr>
        <w:t xml:space="preserve">In </w:t>
      </w:r>
      <w:r w:rsidR="002B628B">
        <w:rPr>
          <w:rFonts w:cs="Times New Roman"/>
          <w:szCs w:val="24"/>
        </w:rPr>
        <w:t xml:space="preserve">the </w:t>
      </w:r>
      <w:r>
        <w:rPr>
          <w:rFonts w:cs="Times New Roman"/>
          <w:szCs w:val="24"/>
        </w:rPr>
        <w:t>MNL model, the</w:t>
      </w:r>
      <w:r w:rsidRPr="007A04AD">
        <w:rPr>
          <w:rFonts w:cs="Times New Roman"/>
          <w:szCs w:val="24"/>
        </w:rPr>
        <w:t xml:space="preserve"> random utility</w:t>
      </w:r>
      <w:r>
        <w:rPr>
          <w:rFonts w:cs="Times New Roman"/>
          <w:szCs w:val="24"/>
        </w:rPr>
        <w:t xml:space="preserve"> of an alternative </w:t>
      </w:r>
      <m:oMath>
        <m:r>
          <w:rPr>
            <w:rFonts w:ascii="Cambria Math" w:eastAsiaTheme="minorEastAsia" w:hAnsi="Cambria Math" w:cs="Times New Roman"/>
            <w:szCs w:val="24"/>
          </w:rPr>
          <m:t>s</m:t>
        </m:r>
      </m:oMath>
      <w:r w:rsidRPr="007A04AD">
        <w:rPr>
          <w:rFonts w:cs="Times New Roman"/>
          <w:szCs w:val="24"/>
        </w:rPr>
        <w:t xml:space="preserve"> </w:t>
      </w:r>
      <w:r>
        <w:rPr>
          <w:rFonts w:cs="Times New Roman"/>
          <w:szCs w:val="24"/>
        </w:rPr>
        <w:t>for trip</w:t>
      </w:r>
      <w:r w:rsidR="00A5269A">
        <w:rPr>
          <w:rFonts w:cs="Times New Roman"/>
          <w:szCs w:val="24"/>
        </w:rPr>
        <w:t xml:space="preserve"> q</w:t>
      </w:r>
      <w:r>
        <w:rPr>
          <w:rFonts w:cs="Times New Roman"/>
          <w:szCs w:val="24"/>
        </w:rPr>
        <w:t xml:space="preserve"> </w:t>
      </w:r>
      <w:r w:rsidRPr="007A04AD">
        <w:rPr>
          <w:rFonts w:cs="Times New Roman"/>
          <w:szCs w:val="24"/>
        </w:rPr>
        <w:t>takes the following form:</w:t>
      </w:r>
    </w:p>
    <w:p w14:paraId="0B8F5B42" w14:textId="77777777" w:rsidR="00972B3B" w:rsidRDefault="00972B3B" w:rsidP="00972B3B">
      <w:pPr>
        <w:spacing w:after="0"/>
        <w:rPr>
          <w:rFonts w:cs="Times New Roman"/>
          <w:szCs w:val="24"/>
        </w:rPr>
      </w:pPr>
    </w:p>
    <w:tbl>
      <w:tblPr>
        <w:tblStyle w:val="TableGrid2"/>
        <w:tblW w:w="9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8"/>
        <w:gridCol w:w="1406"/>
      </w:tblGrid>
      <w:tr w:rsidR="00972B3B" w:rsidRPr="00AA2FF4" w14:paraId="12AC20CC" w14:textId="77777777" w:rsidTr="00BE5A0A">
        <w:trPr>
          <w:trHeight w:val="315"/>
        </w:trPr>
        <w:tc>
          <w:tcPr>
            <w:tcW w:w="7968" w:type="dxa"/>
          </w:tcPr>
          <w:p w14:paraId="15ACA482" w14:textId="37BA560B" w:rsidR="00972B3B" w:rsidRPr="00AA2FF4" w:rsidRDefault="004F2FAE" w:rsidP="00972B3B">
            <w:pPr>
              <w:rPr>
                <w:rFonts w:cs="Times New Roman"/>
                <w:szCs w:val="24"/>
              </w:rPr>
            </w:pPr>
            <m:oMathPara>
              <m:oMathParaPr>
                <m:jc m:val="left"/>
              </m:oMathParaPr>
              <m:oMath>
                <m:sSub>
                  <m:sSubPr>
                    <m:ctrlPr>
                      <w:rPr>
                        <w:rFonts w:ascii="Cambria Math" w:hAnsi="Cambria Math" w:cs="Times New Roman"/>
                        <w:i/>
                        <w:szCs w:val="24"/>
                        <w:lang w:val="en-US"/>
                      </w:rPr>
                    </m:ctrlPr>
                  </m:sSubPr>
                  <m:e>
                    <m:r>
                      <w:rPr>
                        <w:rFonts w:ascii="Cambria Math" w:hAnsi="Cambria Math" w:cs="Times New Roman"/>
                        <w:szCs w:val="24"/>
                      </w:rPr>
                      <m:t>u</m:t>
                    </m:r>
                  </m:e>
                  <m:sub>
                    <m:r>
                      <w:rPr>
                        <w:rFonts w:ascii="Cambria Math" w:hAnsi="Cambria Math" w:cs="Times New Roman"/>
                        <w:szCs w:val="24"/>
                      </w:rPr>
                      <m:t>qs</m:t>
                    </m:r>
                  </m:sub>
                </m:sSub>
                <m:r>
                  <w:rPr>
                    <w:rFonts w:ascii="Cambria Math" w:hAnsi="Cambria Math" w:cs="Times New Roman"/>
                    <w:szCs w:val="24"/>
                  </w:rPr>
                  <m:t xml:space="preserve">= </m:t>
                </m:r>
                <m:sSup>
                  <m:sSupPr>
                    <m:ctrlPr>
                      <w:rPr>
                        <w:rFonts w:ascii="Cambria Math" w:hAnsi="Cambria Math" w:cs="Times New Roman"/>
                        <w:i/>
                        <w:szCs w:val="24"/>
                        <w:lang w:val="en-US"/>
                      </w:rPr>
                    </m:ctrlPr>
                  </m:sSupPr>
                  <m:e>
                    <m:r>
                      <w:rPr>
                        <w:rFonts w:ascii="Cambria Math" w:hAnsi="Cambria Math" w:cs="Times New Roman"/>
                        <w:szCs w:val="24"/>
                      </w:rPr>
                      <m:t>(</m:t>
                    </m:r>
                    <m:r>
                      <w:rPr>
                        <w:rFonts w:ascii="Cambria Math" w:hAnsi="Cambria Math" w:cs="Times New Roman"/>
                        <w:szCs w:val="24"/>
                      </w:rPr>
                      <m:t>β</m:t>
                    </m:r>
                  </m:e>
                  <m:sup>
                    <m:r>
                      <w:rPr>
                        <w:rFonts w:ascii="Cambria Math" w:hAnsi="Cambria Math" w:cs="Times New Roman"/>
                        <w:szCs w:val="24"/>
                      </w:rPr>
                      <m:t>'</m:t>
                    </m:r>
                  </m:sup>
                </m:sSup>
                <m:sSub>
                  <m:sSubPr>
                    <m:ctrlPr>
                      <w:rPr>
                        <w:rFonts w:ascii="Cambria Math" w:hAnsi="Cambria Math" w:cs="Times New Roman"/>
                        <w:i/>
                        <w:szCs w:val="24"/>
                        <w:lang w:val="en-US"/>
                      </w:rPr>
                    </m:ctrlPr>
                  </m:sSubPr>
                  <m:e>
                    <m:r>
                      <w:rPr>
                        <w:rFonts w:ascii="Cambria Math" w:hAnsi="Cambria Math" w:cs="Times New Roman"/>
                        <w:szCs w:val="24"/>
                      </w:rPr>
                      <m:t xml:space="preserve"> + </m:t>
                    </m:r>
                    <m:r>
                      <w:rPr>
                        <w:rFonts w:ascii="Cambria Math" w:hAnsi="Cambria Math"/>
                      </w:rPr>
                      <m:t>η</m:t>
                    </m:r>
                    <m:r>
                      <w:rPr>
                        <w:rFonts w:ascii="Cambria Math" w:hAnsi="Cambria Math"/>
                      </w:rPr>
                      <m:t>')</m:t>
                    </m:r>
                    <m:r>
                      <w:rPr>
                        <w:rFonts w:ascii="Cambria Math" w:hAnsi="Cambria Math" w:cs="Times New Roman"/>
                        <w:szCs w:val="24"/>
                      </w:rPr>
                      <m:t>x</m:t>
                    </m:r>
                  </m:e>
                  <m:sub>
                    <m:r>
                      <w:rPr>
                        <w:rFonts w:ascii="Cambria Math" w:hAnsi="Cambria Math" w:cs="Times New Roman"/>
                        <w:szCs w:val="24"/>
                      </w:rPr>
                      <m:t>qs</m:t>
                    </m:r>
                  </m:sub>
                </m:sSub>
                <m:r>
                  <w:rPr>
                    <w:rFonts w:ascii="Cambria Math" w:hAnsi="Cambria Math" w:cs="Times New Roman"/>
                    <w:szCs w:val="24"/>
                  </w:rPr>
                  <m:t xml:space="preserve">+ </m:t>
                </m:r>
                <m:sSub>
                  <m:sSubPr>
                    <m:ctrlPr>
                      <w:rPr>
                        <w:rFonts w:ascii="Cambria Math" w:hAnsi="Cambria Math" w:cs="Times New Roman"/>
                        <w:i/>
                        <w:szCs w:val="24"/>
                        <w:lang w:val="en-US"/>
                      </w:rPr>
                    </m:ctrlPr>
                  </m:sSubPr>
                  <m:e>
                    <m:r>
                      <w:rPr>
                        <w:rFonts w:ascii="Cambria Math" w:hAnsi="Cambria Math" w:cs="Times New Roman"/>
                        <w:szCs w:val="24"/>
                      </w:rPr>
                      <m:t>Є</m:t>
                    </m:r>
                  </m:e>
                  <m:sub>
                    <m:r>
                      <w:rPr>
                        <w:rFonts w:ascii="Cambria Math" w:hAnsi="Cambria Math" w:cs="Times New Roman"/>
                        <w:szCs w:val="24"/>
                      </w:rPr>
                      <m:t>qs</m:t>
                    </m:r>
                  </m:sub>
                </m:sSub>
              </m:oMath>
            </m:oMathPara>
          </w:p>
        </w:tc>
        <w:tc>
          <w:tcPr>
            <w:tcW w:w="1406" w:type="dxa"/>
          </w:tcPr>
          <w:p w14:paraId="1B2FC52D" w14:textId="77777777" w:rsidR="00972B3B" w:rsidRPr="00AA2FF4" w:rsidRDefault="00972B3B" w:rsidP="00972B3B">
            <w:pPr>
              <w:jc w:val="right"/>
              <w:rPr>
                <w:rFonts w:cs="Times New Roman"/>
                <w:szCs w:val="24"/>
              </w:rPr>
            </w:pPr>
            <w:r w:rsidRPr="00AA2FF4">
              <w:rPr>
                <w:rFonts w:cs="Times New Roman"/>
                <w:szCs w:val="24"/>
              </w:rPr>
              <w:t>(</w:t>
            </w:r>
            <w:r>
              <w:rPr>
                <w:rFonts w:cs="Times New Roman"/>
                <w:szCs w:val="24"/>
              </w:rPr>
              <w:t>3</w:t>
            </w:r>
            <w:r w:rsidRPr="00AA2FF4">
              <w:rPr>
                <w:rFonts w:cs="Times New Roman"/>
                <w:szCs w:val="24"/>
              </w:rPr>
              <w:t>)</w:t>
            </w:r>
          </w:p>
        </w:tc>
      </w:tr>
    </w:tbl>
    <w:p w14:paraId="7072F697" w14:textId="77777777" w:rsidR="00972B3B" w:rsidRDefault="00972B3B" w:rsidP="00972B3B">
      <w:pPr>
        <w:spacing w:after="0"/>
        <w:ind w:firstLine="720"/>
        <w:rPr>
          <w:rFonts w:cs="Times New Roman"/>
          <w:szCs w:val="24"/>
        </w:rPr>
      </w:pPr>
    </w:p>
    <w:p w14:paraId="056AFFD0" w14:textId="311F73CC" w:rsidR="00972B3B" w:rsidRDefault="00972B3B" w:rsidP="00972B3B">
      <w:pPr>
        <w:spacing w:after="0"/>
        <w:ind w:firstLine="720"/>
        <w:rPr>
          <w:rFonts w:cs="Times New Roman"/>
          <w:szCs w:val="24"/>
        </w:rPr>
      </w:pPr>
      <w:r w:rsidRPr="007A04AD">
        <w:rPr>
          <w:rFonts w:cs="Times New Roman"/>
          <w:szCs w:val="24"/>
        </w:rPr>
        <w:t>where </w:t>
      </w:r>
      <m:oMath>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qs</m:t>
            </m:r>
          </m:sub>
        </m:sSub>
      </m:oMath>
      <w:r>
        <w:rPr>
          <w:rFonts w:eastAsiaTheme="minorEastAsia" w:cs="Times New Roman"/>
          <w:szCs w:val="24"/>
        </w:rPr>
        <w:t xml:space="preserve"> </w:t>
      </w:r>
      <w:r w:rsidRPr="007A04AD">
        <w:rPr>
          <w:rFonts w:cs="Times New Roman"/>
          <w:szCs w:val="24"/>
        </w:rPr>
        <w:t xml:space="preserve">is the utility obtained by </w:t>
      </w:r>
      <w:r>
        <w:rPr>
          <w:rFonts w:cs="Times New Roman"/>
          <w:szCs w:val="24"/>
        </w:rPr>
        <w:t>user</w:t>
      </w:r>
      <w:r w:rsidRPr="007A04AD">
        <w:rPr>
          <w:rFonts w:cs="Times New Roman"/>
          <w:szCs w:val="24"/>
        </w:rPr>
        <w:t> </w:t>
      </w:r>
      <m:oMath>
        <m:r>
          <w:rPr>
            <w:rFonts w:ascii="Cambria Math" w:hAnsi="Cambria Math" w:cs="Times New Roman"/>
            <w:szCs w:val="24"/>
          </w:rPr>
          <m:t>q</m:t>
        </m:r>
      </m:oMath>
      <w:r w:rsidRPr="007A04AD">
        <w:rPr>
          <w:rFonts w:cs="Times New Roman"/>
          <w:szCs w:val="24"/>
        </w:rPr>
        <w:t xml:space="preserve"> by </w:t>
      </w:r>
      <w:r>
        <w:rPr>
          <w:rFonts w:cs="Times New Roman"/>
          <w:szCs w:val="24"/>
        </w:rPr>
        <w:t>choosing</w:t>
      </w:r>
      <w:r w:rsidRPr="007A04AD">
        <w:rPr>
          <w:rFonts w:cs="Times New Roman"/>
          <w:szCs w:val="24"/>
        </w:rPr>
        <w:t xml:space="preserve"> census tract </w:t>
      </w:r>
      <m:oMath>
        <m:r>
          <w:rPr>
            <w:rFonts w:ascii="Cambria Math" w:hAnsi="Cambria Math" w:cs="Times New Roman"/>
            <w:szCs w:val="24"/>
            <w:lang w:val="en-CA"/>
          </w:rPr>
          <m:t>s</m:t>
        </m:r>
      </m:oMath>
      <w:r w:rsidRPr="007A04AD">
        <w:rPr>
          <w:rFonts w:cs="Times New Roman"/>
          <w:szCs w:val="24"/>
        </w:rPr>
        <w:t> </w:t>
      </w:r>
      <w:r>
        <w:rPr>
          <w:rFonts w:cs="Times New Roman"/>
          <w:szCs w:val="24"/>
        </w:rPr>
        <w:t xml:space="preserve">as the destination </w:t>
      </w:r>
      <w:r w:rsidRPr="007A04AD">
        <w:rPr>
          <w:rFonts w:cs="Times New Roman"/>
          <w:szCs w:val="24"/>
        </w:rPr>
        <w:t xml:space="preserve">from </w:t>
      </w:r>
      <w:r>
        <w:rPr>
          <w:rFonts w:cs="Times New Roman"/>
          <w:szCs w:val="24"/>
        </w:rPr>
        <w:t>a</w:t>
      </w:r>
      <w:r w:rsidRPr="007A04AD">
        <w:rPr>
          <w:rFonts w:cs="Times New Roman"/>
          <w:szCs w:val="24"/>
        </w:rPr>
        <w:t xml:space="preserve"> choice set of 30 census tracts.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qs</m:t>
            </m:r>
          </m:sub>
        </m:sSub>
        <m:r>
          <w:rPr>
            <w:rFonts w:ascii="Cambria Math" w:hAnsi="Cambria Math" w:cs="Times New Roman"/>
            <w:szCs w:val="24"/>
          </w:rPr>
          <m:t xml:space="preserve"> </m:t>
        </m:r>
      </m:oMath>
      <w:r w:rsidRPr="007A04AD">
        <w:rPr>
          <w:rFonts w:cs="Times New Roman"/>
          <w:szCs w:val="24"/>
        </w:rPr>
        <w:t xml:space="preserve">is </w:t>
      </w:r>
      <w:r>
        <w:rPr>
          <w:rFonts w:cs="Times New Roman"/>
          <w:szCs w:val="24"/>
        </w:rPr>
        <w:t>a</w:t>
      </w:r>
      <w:r w:rsidRPr="007A04AD">
        <w:rPr>
          <w:rFonts w:cs="Times New Roman"/>
          <w:szCs w:val="24"/>
        </w:rPr>
        <w:t xml:space="preserve"> vector of attributes and </w:t>
      </w:r>
      <w:r w:rsidRPr="007A04AD">
        <w:rPr>
          <w:rStyle w:val="Emphasis"/>
          <w:rFonts w:cs="Times New Roman"/>
          <w:color w:val="2E2E2E"/>
          <w:szCs w:val="24"/>
        </w:rPr>
        <w:t>β</w:t>
      </w:r>
      <w:r w:rsidRPr="007A04AD">
        <w:rPr>
          <w:rFonts w:cs="Times New Roman"/>
          <w:szCs w:val="24"/>
        </w:rPr>
        <w:t xml:space="preserve"> is </w:t>
      </w:r>
      <w:r w:rsidR="0023101E">
        <w:rPr>
          <w:rFonts w:cs="Times New Roman"/>
          <w:szCs w:val="24"/>
        </w:rPr>
        <w:t>a vector of</w:t>
      </w:r>
      <w:r w:rsidR="0023101E" w:rsidRPr="007A04AD">
        <w:rPr>
          <w:rFonts w:cs="Times New Roman"/>
          <w:szCs w:val="24"/>
        </w:rPr>
        <w:t xml:space="preserve"> </w:t>
      </w:r>
      <w:r w:rsidRPr="007A04AD">
        <w:rPr>
          <w:rFonts w:cs="Times New Roman"/>
          <w:szCs w:val="24"/>
        </w:rPr>
        <w:t>model coefficients to be estimated. The random error term, </w:t>
      </w:r>
      <m:oMath>
        <m:sSub>
          <m:sSubPr>
            <m:ctrlPr>
              <w:rPr>
                <w:rFonts w:ascii="Cambria Math" w:hAnsi="Cambria Math" w:cs="Times New Roman"/>
                <w:i/>
                <w:szCs w:val="24"/>
              </w:rPr>
            </m:ctrlPr>
          </m:sSubPr>
          <m:e>
            <m:r>
              <w:rPr>
                <w:rFonts w:ascii="Cambria Math" w:hAnsi="Cambria Math" w:cs="Times New Roman"/>
                <w:szCs w:val="24"/>
              </w:rPr>
              <m:t>Є</m:t>
            </m:r>
          </m:e>
          <m:sub>
            <m:r>
              <w:rPr>
                <w:rFonts w:ascii="Cambria Math" w:hAnsi="Cambria Math" w:cs="Times New Roman"/>
                <w:szCs w:val="24"/>
              </w:rPr>
              <m:t>qs</m:t>
            </m:r>
          </m:sub>
        </m:sSub>
      </m:oMath>
      <w:r w:rsidRPr="007A04AD">
        <w:rPr>
          <w:rFonts w:cs="Times New Roman"/>
          <w:szCs w:val="24"/>
        </w:rPr>
        <w:t xml:space="preserve">, is assumed to be independent and Gumbel-distributed identically across the dataset. </w:t>
      </w:r>
      <w:r>
        <w:rPr>
          <w:rFonts w:cs="Times New Roman"/>
          <w:szCs w:val="24"/>
        </w:rPr>
        <w:t>In random utility maximization (RUM) approach, a</w:t>
      </w:r>
      <w:r w:rsidRPr="007A04AD">
        <w:rPr>
          <w:rFonts w:cs="Times New Roman"/>
          <w:szCs w:val="24"/>
        </w:rPr>
        <w:t xml:space="preserve"> user</w:t>
      </w:r>
      <w:r>
        <w:rPr>
          <w:rFonts w:cs="Times New Roman"/>
          <w:szCs w:val="24"/>
        </w:rPr>
        <w:t xml:space="preserve"> making the trip,</w:t>
      </w:r>
      <w:r w:rsidRPr="007A04AD">
        <w:rPr>
          <w:rFonts w:cs="Times New Roman"/>
          <w:szCs w:val="24"/>
        </w:rPr>
        <w:t> </w:t>
      </w:r>
      <w:r w:rsidRPr="007A04AD">
        <w:rPr>
          <w:rStyle w:val="Emphasis"/>
          <w:rFonts w:cs="Times New Roman"/>
          <w:color w:val="2E2E2E"/>
          <w:szCs w:val="24"/>
        </w:rPr>
        <w:t>q</w:t>
      </w:r>
      <w:r w:rsidRPr="007A04AD">
        <w:rPr>
          <w:rFonts w:cs="Times New Roman"/>
          <w:szCs w:val="24"/>
        </w:rPr>
        <w:t xml:space="preserve"> will choose a census tract as </w:t>
      </w:r>
      <w:r>
        <w:rPr>
          <w:rFonts w:cs="Times New Roman"/>
          <w:szCs w:val="24"/>
        </w:rPr>
        <w:t xml:space="preserve">the </w:t>
      </w:r>
      <w:r w:rsidRPr="007A04AD">
        <w:rPr>
          <w:rFonts w:cs="Times New Roman"/>
          <w:szCs w:val="24"/>
        </w:rPr>
        <w:t>destination that offers the highest utility. Therefore, the probability expression takes the following multinomial logit form:</w:t>
      </w:r>
    </w:p>
    <w:p w14:paraId="74E472E6" w14:textId="77777777" w:rsidR="00972B3B" w:rsidRDefault="00972B3B" w:rsidP="00972B3B">
      <w:pPr>
        <w:spacing w:after="0"/>
        <w:rPr>
          <w:rFonts w:cs="Times New Roman"/>
          <w:szCs w:val="24"/>
        </w:rPr>
      </w:pPr>
    </w:p>
    <w:tbl>
      <w:tblPr>
        <w:tblStyle w:val="TableGrid2"/>
        <w:tblW w:w="9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8"/>
        <w:gridCol w:w="1406"/>
      </w:tblGrid>
      <w:tr w:rsidR="00972B3B" w:rsidRPr="00AA2FF4" w14:paraId="30424CEA" w14:textId="77777777" w:rsidTr="00BE5A0A">
        <w:trPr>
          <w:trHeight w:val="751"/>
        </w:trPr>
        <w:tc>
          <w:tcPr>
            <w:tcW w:w="7968" w:type="dxa"/>
            <w:vAlign w:val="center"/>
          </w:tcPr>
          <w:p w14:paraId="7B18E56D" w14:textId="25278BF4" w:rsidR="00972B3B" w:rsidRPr="00AA2FF4" w:rsidRDefault="00972B3B" w:rsidP="00972B3B">
            <w:pPr>
              <w:jc w:val="left"/>
              <w:rPr>
                <w:rFonts w:cs="Times New Roman"/>
                <w:szCs w:val="24"/>
              </w:rPr>
            </w:pPr>
            <m:oMathPara>
              <m:oMathParaPr>
                <m:jc m:val="left"/>
              </m:oMathParaPr>
              <m:oMath>
                <m:r>
                  <w:rPr>
                    <w:rFonts w:ascii="Cambria Math" w:hAnsi="Cambria Math" w:cs="Times New Roman"/>
                    <w:szCs w:val="24"/>
                    <w:lang w:val="en-US"/>
                  </w:rPr>
                  <m:t>P(</m:t>
                </m:r>
                <m:sSub>
                  <m:sSubPr>
                    <m:ctrlPr>
                      <w:rPr>
                        <w:rFonts w:ascii="Cambria Math" w:hAnsi="Cambria Math" w:cs="Times New Roman"/>
                        <w:i/>
                        <w:szCs w:val="24"/>
                        <w:lang w:val="en-US"/>
                      </w:rPr>
                    </m:ctrlPr>
                  </m:sSubPr>
                  <m:e>
                    <m:r>
                      <w:rPr>
                        <w:rFonts w:ascii="Cambria Math" w:hAnsi="Cambria Math" w:cs="Times New Roman"/>
                        <w:szCs w:val="24"/>
                        <w:lang w:val="en-US"/>
                      </w:rPr>
                      <m:t>s</m:t>
                    </m:r>
                  </m:e>
                  <m:sub>
                    <m:r>
                      <w:rPr>
                        <w:rFonts w:ascii="Cambria Math" w:hAnsi="Cambria Math" w:cs="Times New Roman"/>
                        <w:szCs w:val="24"/>
                        <w:lang w:val="en-US"/>
                      </w:rPr>
                      <m:t>q</m:t>
                    </m:r>
                  </m:sub>
                </m:sSub>
                <m:r>
                  <w:rPr>
                    <w:rFonts w:ascii="Cambria Math" w:hAnsi="Cambria Math" w:cs="Times New Roman"/>
                    <w:szCs w:val="24"/>
                    <w:lang w:val="en-US"/>
                  </w:rPr>
                  <m:t>)=</m:t>
                </m:r>
                <m:f>
                  <m:fPr>
                    <m:ctrlPr>
                      <w:rPr>
                        <w:rFonts w:ascii="Cambria Math" w:hAnsi="Cambria Math" w:cs="Times New Roman"/>
                        <w:i/>
                        <w:szCs w:val="24"/>
                        <w:lang w:val="en-US"/>
                      </w:rPr>
                    </m:ctrlPr>
                  </m:fPr>
                  <m:num>
                    <m:r>
                      <w:rPr>
                        <w:rFonts w:ascii="Cambria Math" w:hAnsi="Cambria Math" w:cs="Times New Roman"/>
                        <w:szCs w:val="24"/>
                        <w:lang w:val="en-US"/>
                      </w:rPr>
                      <m:t>exp⁡(</m:t>
                    </m:r>
                    <m:sSup>
                      <m:sSupPr>
                        <m:ctrlPr>
                          <w:rPr>
                            <w:rFonts w:ascii="Cambria Math" w:hAnsi="Cambria Math" w:cs="Times New Roman"/>
                            <w:i/>
                            <w:szCs w:val="24"/>
                            <w:lang w:val="en-US"/>
                          </w:rPr>
                        </m:ctrlPr>
                      </m:sSupPr>
                      <m:e>
                        <m:r>
                          <w:rPr>
                            <w:rFonts w:ascii="Cambria Math" w:hAnsi="Cambria Math" w:cs="Times New Roman"/>
                            <w:szCs w:val="24"/>
                          </w:rPr>
                          <m:t>(β</m:t>
                        </m:r>
                      </m:e>
                      <m:sup>
                        <m:r>
                          <w:rPr>
                            <w:rFonts w:ascii="Cambria Math" w:hAnsi="Cambria Math" w:cs="Times New Roman"/>
                            <w:szCs w:val="24"/>
                          </w:rPr>
                          <m:t>'</m:t>
                        </m:r>
                      </m:sup>
                    </m:sSup>
                    <m:sSub>
                      <m:sSubPr>
                        <m:ctrlPr>
                          <w:rPr>
                            <w:rFonts w:ascii="Cambria Math" w:hAnsi="Cambria Math" w:cs="Times New Roman"/>
                            <w:i/>
                            <w:szCs w:val="24"/>
                            <w:lang w:val="en-US"/>
                          </w:rPr>
                        </m:ctrlPr>
                      </m:sSubPr>
                      <m:e>
                        <m:r>
                          <w:rPr>
                            <w:rFonts w:ascii="Cambria Math" w:hAnsi="Cambria Math" w:cs="Times New Roman"/>
                            <w:szCs w:val="24"/>
                          </w:rPr>
                          <m:t xml:space="preserve"> + </m:t>
                        </m:r>
                        <w:bookmarkStart w:id="3" w:name="_Hlk120989320"/>
                        <m:r>
                          <w:rPr>
                            <w:rFonts w:ascii="Cambria Math" w:hAnsi="Cambria Math"/>
                          </w:rPr>
                          <m:t>η</m:t>
                        </m:r>
                        <w:bookmarkEnd w:id="3"/>
                        <m:r>
                          <w:rPr>
                            <w:rFonts w:ascii="Cambria Math" w:hAnsi="Cambria Math"/>
                          </w:rPr>
                          <m:t>')</m:t>
                        </m:r>
                        <m:r>
                          <w:rPr>
                            <w:rFonts w:ascii="Cambria Math" w:hAnsi="Cambria Math" w:cs="Times New Roman"/>
                            <w:szCs w:val="24"/>
                          </w:rPr>
                          <m:t>x</m:t>
                        </m:r>
                      </m:e>
                      <m:sub>
                        <m:r>
                          <w:rPr>
                            <w:rFonts w:ascii="Cambria Math" w:hAnsi="Cambria Math" w:cs="Times New Roman"/>
                            <w:szCs w:val="24"/>
                          </w:rPr>
                          <m:t>qs</m:t>
                        </m:r>
                      </m:sub>
                    </m:sSub>
                    <m:r>
                      <w:rPr>
                        <w:rFonts w:ascii="Cambria Math" w:hAnsi="Cambria Math" w:cs="Times New Roman"/>
                        <w:szCs w:val="24"/>
                        <w:lang w:val="en-US"/>
                      </w:rPr>
                      <m:t>)</m:t>
                    </m:r>
                  </m:num>
                  <m:den>
                    <m:nary>
                      <m:naryPr>
                        <m:chr m:val="∑"/>
                        <m:limLoc m:val="undOvr"/>
                        <m:ctrlPr>
                          <w:rPr>
                            <w:rFonts w:ascii="Cambria Math" w:hAnsi="Cambria Math" w:cs="Times New Roman"/>
                            <w:i/>
                            <w:szCs w:val="24"/>
                            <w:lang w:val="en-US"/>
                          </w:rPr>
                        </m:ctrlPr>
                      </m:naryPr>
                      <m:sub>
                        <m:r>
                          <w:rPr>
                            <w:rFonts w:ascii="Cambria Math" w:hAnsi="Cambria Math" w:cs="Times New Roman"/>
                            <w:szCs w:val="24"/>
                            <w:lang w:val="en-US"/>
                          </w:rPr>
                          <m:t>s=1</m:t>
                        </m:r>
                      </m:sub>
                      <m:sup>
                        <m:r>
                          <w:rPr>
                            <w:rFonts w:ascii="Cambria Math" w:hAnsi="Cambria Math" w:cs="Times New Roman"/>
                            <w:szCs w:val="24"/>
                            <w:lang w:val="en-US"/>
                          </w:rPr>
                          <m:t>S</m:t>
                        </m:r>
                      </m:sup>
                      <m:e>
                        <m:r>
                          <w:rPr>
                            <w:rFonts w:ascii="Cambria Math" w:hAnsi="Cambria Math" w:cs="Times New Roman"/>
                            <w:szCs w:val="24"/>
                            <w:lang w:val="en-US"/>
                          </w:rPr>
                          <m:t>exp⁡(</m:t>
                        </m:r>
                        <m:sSup>
                          <m:sSupPr>
                            <m:ctrlPr>
                              <w:rPr>
                                <w:rFonts w:ascii="Cambria Math" w:hAnsi="Cambria Math" w:cs="Times New Roman"/>
                                <w:i/>
                                <w:szCs w:val="24"/>
                                <w:lang w:val="en-US"/>
                              </w:rPr>
                            </m:ctrlPr>
                          </m:sSupPr>
                          <m:e>
                            <m:r>
                              <w:rPr>
                                <w:rFonts w:ascii="Cambria Math" w:hAnsi="Cambria Math" w:cs="Times New Roman"/>
                                <w:szCs w:val="24"/>
                              </w:rPr>
                              <m:t>(β</m:t>
                            </m:r>
                          </m:e>
                          <m:sup>
                            <m:r>
                              <w:rPr>
                                <w:rFonts w:ascii="Cambria Math" w:hAnsi="Cambria Math" w:cs="Times New Roman"/>
                                <w:szCs w:val="24"/>
                              </w:rPr>
                              <m:t>'</m:t>
                            </m:r>
                          </m:sup>
                        </m:sSup>
                        <m:sSub>
                          <m:sSubPr>
                            <m:ctrlPr>
                              <w:rPr>
                                <w:rFonts w:ascii="Cambria Math" w:hAnsi="Cambria Math" w:cs="Times New Roman"/>
                                <w:i/>
                                <w:szCs w:val="24"/>
                                <w:lang w:val="en-US"/>
                              </w:rPr>
                            </m:ctrlPr>
                          </m:sSubPr>
                          <m:e>
                            <m:r>
                              <w:rPr>
                                <w:rFonts w:ascii="Cambria Math" w:hAnsi="Cambria Math" w:cs="Times New Roman"/>
                                <w:szCs w:val="24"/>
                              </w:rPr>
                              <m:t xml:space="preserve"> + </m:t>
                            </m:r>
                            <m:r>
                              <w:rPr>
                                <w:rFonts w:ascii="Cambria Math" w:hAnsi="Cambria Math"/>
                              </w:rPr>
                              <m:t>η')</m:t>
                            </m:r>
                            <m:r>
                              <w:rPr>
                                <w:rFonts w:ascii="Cambria Math" w:hAnsi="Cambria Math" w:cs="Times New Roman"/>
                                <w:szCs w:val="24"/>
                              </w:rPr>
                              <m:t>x</m:t>
                            </m:r>
                          </m:e>
                          <m:sub>
                            <m:r>
                              <w:rPr>
                                <w:rFonts w:ascii="Cambria Math" w:hAnsi="Cambria Math" w:cs="Times New Roman"/>
                                <w:szCs w:val="24"/>
                              </w:rPr>
                              <m:t>qs</m:t>
                            </m:r>
                          </m:sub>
                        </m:sSub>
                        <m:r>
                          <w:rPr>
                            <w:rFonts w:ascii="Cambria Math" w:hAnsi="Cambria Math" w:cs="Times New Roman"/>
                            <w:szCs w:val="24"/>
                            <w:lang w:val="en-US"/>
                          </w:rPr>
                          <m:t>)</m:t>
                        </m:r>
                      </m:e>
                    </m:nary>
                  </m:den>
                </m:f>
              </m:oMath>
            </m:oMathPara>
          </w:p>
        </w:tc>
        <w:tc>
          <w:tcPr>
            <w:tcW w:w="1406" w:type="dxa"/>
            <w:vAlign w:val="center"/>
          </w:tcPr>
          <w:p w14:paraId="05267AD1" w14:textId="77777777" w:rsidR="00972B3B" w:rsidRPr="00AA2FF4" w:rsidRDefault="00972B3B" w:rsidP="00972B3B">
            <w:pPr>
              <w:jc w:val="right"/>
              <w:rPr>
                <w:rFonts w:cs="Times New Roman"/>
                <w:szCs w:val="24"/>
              </w:rPr>
            </w:pPr>
            <w:r w:rsidRPr="00AA2FF4">
              <w:rPr>
                <w:rFonts w:cs="Times New Roman"/>
                <w:szCs w:val="24"/>
              </w:rPr>
              <w:t>(</w:t>
            </w:r>
            <w:r>
              <w:rPr>
                <w:rFonts w:cs="Times New Roman"/>
                <w:szCs w:val="24"/>
              </w:rPr>
              <w:t>4</w:t>
            </w:r>
            <w:r w:rsidRPr="00AA2FF4">
              <w:rPr>
                <w:rFonts w:cs="Times New Roman"/>
                <w:szCs w:val="24"/>
              </w:rPr>
              <w:t>)</w:t>
            </w:r>
          </w:p>
        </w:tc>
      </w:tr>
    </w:tbl>
    <w:p w14:paraId="7A8D6E31" w14:textId="77777777" w:rsidR="00972B3B" w:rsidRDefault="00972B3B" w:rsidP="00972B3B">
      <w:pPr>
        <w:spacing w:after="0"/>
        <w:ind w:firstLine="720"/>
        <w:rPr>
          <w:rFonts w:cs="Times New Roman"/>
          <w:szCs w:val="24"/>
        </w:rPr>
      </w:pPr>
    </w:p>
    <w:p w14:paraId="2BEA8C4D" w14:textId="308C93D4" w:rsidR="00972B3B" w:rsidRDefault="008F0BBA" w:rsidP="00945FEA">
      <w:pPr>
        <w:spacing w:after="0"/>
        <w:ind w:firstLine="720"/>
      </w:pPr>
      <w:r>
        <w:t xml:space="preserve">The destination alternatives </w:t>
      </w:r>
      <w:r w:rsidR="00F54D5B">
        <w:t xml:space="preserve">in our study context </w:t>
      </w:r>
      <w:r>
        <w:t xml:space="preserve">are not labelled </w:t>
      </w:r>
      <w:r w:rsidR="00F54D5B">
        <w:t>(</w:t>
      </w:r>
      <w:r w:rsidR="00542099">
        <w:t>i.e.,</w:t>
      </w:r>
      <w:r>
        <w:t xml:space="preserve"> the</w:t>
      </w:r>
      <w:r w:rsidR="00F54D5B">
        <w:t>y are not typical categorical alternatives such as travel mode (car, bike)).</w:t>
      </w:r>
      <w:r>
        <w:t xml:space="preserve"> </w:t>
      </w:r>
      <w:r w:rsidR="00F54D5B">
        <w:t xml:space="preserve">Hence, </w:t>
      </w:r>
      <w:r w:rsidR="00FF3F8B">
        <w:t xml:space="preserve">our </w:t>
      </w:r>
      <w:r w:rsidR="00F54D5B">
        <w:t>model estimation approach</w:t>
      </w:r>
      <w:r w:rsidR="00FF3F8B">
        <w:t xml:space="preserve"> </w:t>
      </w:r>
      <w:r w:rsidR="00F54D5B">
        <w:t>consider</w:t>
      </w:r>
      <w:r w:rsidR="00FF3F8B">
        <w:t>s</w:t>
      </w:r>
      <w:r w:rsidR="00F54D5B">
        <w:t xml:space="preserve"> a generic parameter struc</w:t>
      </w:r>
      <w:r w:rsidR="00E87AF6">
        <w:t>ture across all alternatives. The approach will allow for parameter estimation for variables that vary across destination alternatives such as destination employment or destination land use mix.</w:t>
      </w:r>
      <w:r w:rsidR="006921E2">
        <w:t xml:space="preserve"> In the model structure, accounting for variables at the </w:t>
      </w:r>
      <w:r w:rsidR="000D7648">
        <w:t xml:space="preserve">trip level such as trip start time or origin destination can be considered as an interaction term with </w:t>
      </w:r>
      <w:r w:rsidR="000D7648">
        <w:lastRenderedPageBreak/>
        <w:t>variables varying across the destination</w:t>
      </w:r>
      <w:r w:rsidR="00775C82">
        <w:t xml:space="preserve"> (such as </w:t>
      </w:r>
      <w:r w:rsidR="00501AE5">
        <w:t xml:space="preserve">Trip starts in </w:t>
      </w:r>
      <w:r w:rsidR="00775C82">
        <w:t xml:space="preserve">AM peak </w:t>
      </w:r>
      <w:r w:rsidR="00501AE5">
        <w:t>x Number of divvy stations in CT)</w:t>
      </w:r>
      <w:r w:rsidR="000D7648">
        <w:t xml:space="preserve">. </w:t>
      </w:r>
    </w:p>
    <w:p w14:paraId="1C0FF60C" w14:textId="77777777" w:rsidR="00542099" w:rsidRPr="007A04AD" w:rsidRDefault="00542099" w:rsidP="00945FEA">
      <w:pPr>
        <w:spacing w:after="0"/>
        <w:ind w:firstLine="720"/>
      </w:pPr>
    </w:p>
    <w:p w14:paraId="601532FF" w14:textId="77777777" w:rsidR="00972B3B" w:rsidRPr="007A04AD" w:rsidRDefault="00972B3B" w:rsidP="00945FEA">
      <w:pPr>
        <w:pStyle w:val="Heading2"/>
        <w:ind w:left="576" w:hanging="576"/>
      </w:pPr>
      <w:r w:rsidRPr="007A04AD">
        <w:t>Estimation Procedure</w:t>
      </w:r>
    </w:p>
    <w:p w14:paraId="2852565A" w14:textId="77777777" w:rsidR="00972B3B" w:rsidRPr="00D72519" w:rsidRDefault="00972B3B" w:rsidP="00945FEA">
      <w:pPr>
        <w:spacing w:after="0"/>
        <w:rPr>
          <w:rFonts w:cs="Times New Roman"/>
          <w:szCs w:val="24"/>
          <w:lang w:val="en-CA"/>
        </w:rPr>
      </w:pPr>
      <w:r w:rsidRPr="00D72519">
        <w:rPr>
          <w:rFonts w:cs="Times New Roman"/>
          <w:szCs w:val="24"/>
          <w:lang w:val="en-CA"/>
        </w:rPr>
        <w:t xml:space="preserve">To complete the model structure of the Equations (1) and (3), it is necessary to define the structure for the unobserved vector </w:t>
      </w:r>
      <m:oMath>
        <m:r>
          <w:rPr>
            <w:rFonts w:ascii="Cambria Math" w:hAnsi="Cambria Math" w:cs="Times New Roman"/>
            <w:szCs w:val="24"/>
          </w:rPr>
          <m:t>η</m:t>
        </m:r>
      </m:oMath>
      <w:r w:rsidRPr="00D72519">
        <w:rPr>
          <w:rFonts w:eastAsiaTheme="minorEastAsia" w:cs="Times New Roman"/>
          <w:szCs w:val="24"/>
          <w:lang w:val="en-CA"/>
        </w:rPr>
        <w:t xml:space="preserve">. In this paper, we assume that this vector is independent realizations from normal distributions as follows: </w:t>
      </w:r>
      <m:oMath>
        <m:r>
          <w:rPr>
            <w:rFonts w:ascii="Cambria Math" w:hAnsi="Cambria Math" w:cs="Times New Roman"/>
            <w:szCs w:val="24"/>
            <w:lang w:val="en-CA"/>
          </w:rPr>
          <m:t xml:space="preserve">η </m:t>
        </m:r>
        <m:r>
          <w:rPr>
            <w:rFonts w:ascii="Cambria Math" w:eastAsiaTheme="minorEastAsia" w:hAnsi="Cambria Math" w:cs="Times New Roman"/>
            <w:szCs w:val="24"/>
            <w:lang w:val="en-CA"/>
          </w:rPr>
          <m:t xml:space="preserve">~N(0, </m:t>
        </m:r>
        <m:sSup>
          <m:sSupPr>
            <m:ctrlPr>
              <w:rPr>
                <w:rFonts w:ascii="Cambria Math" w:eastAsiaTheme="minorEastAsia" w:hAnsi="Cambria Math" w:cs="Times New Roman"/>
                <w:i/>
                <w:szCs w:val="24"/>
                <w:lang w:val="en-CA"/>
              </w:rPr>
            </m:ctrlPr>
          </m:sSupPr>
          <m:e>
            <m:r>
              <w:rPr>
                <w:rFonts w:ascii="Cambria Math" w:eastAsiaTheme="minorEastAsia" w:hAnsi="Cambria Math" w:cs="Times New Roman"/>
                <w:szCs w:val="24"/>
                <w:lang w:val="en-CA"/>
              </w:rPr>
              <m:t>σ</m:t>
            </m:r>
          </m:e>
          <m:sup>
            <m:r>
              <w:rPr>
                <w:rFonts w:ascii="Cambria Math" w:eastAsiaTheme="minorEastAsia" w:hAnsi="Cambria Math" w:cs="Times New Roman"/>
                <w:szCs w:val="24"/>
                <w:lang w:val="en-CA"/>
              </w:rPr>
              <m:t>2</m:t>
            </m:r>
          </m:sup>
        </m:sSup>
        <m:r>
          <w:rPr>
            <w:rFonts w:ascii="Cambria Math" w:eastAsiaTheme="minorEastAsia" w:hAnsi="Cambria Math" w:cs="Times New Roman"/>
            <w:szCs w:val="24"/>
            <w:lang w:val="en-CA"/>
          </w:rPr>
          <m:t>)</m:t>
        </m:r>
      </m:oMath>
      <w:r w:rsidRPr="00D72519">
        <w:rPr>
          <w:rFonts w:eastAsiaTheme="minorEastAsia" w:cs="Times New Roman"/>
          <w:szCs w:val="24"/>
          <w:lang w:val="en-CA"/>
        </w:rPr>
        <w:t xml:space="preserve">. </w:t>
      </w:r>
      <w:r w:rsidRPr="00D72519">
        <w:rPr>
          <w:rFonts w:cs="Times New Roman"/>
          <w:szCs w:val="24"/>
          <w:lang w:val="en-CA"/>
        </w:rPr>
        <w:t>With th</w:t>
      </w:r>
      <w:r>
        <w:rPr>
          <w:rFonts w:cs="Times New Roman"/>
          <w:szCs w:val="24"/>
          <w:lang w:val="en-CA"/>
        </w:rPr>
        <w:t>is</w:t>
      </w:r>
      <w:r w:rsidRPr="00D72519">
        <w:rPr>
          <w:rFonts w:cs="Times New Roman"/>
          <w:szCs w:val="24"/>
          <w:lang w:val="en-CA"/>
        </w:rPr>
        <w:t xml:space="preserve"> assumption, the joint probability expression for trip fare and trip destination may be derived. Conditional on</w:t>
      </w:r>
      <w:r w:rsidRPr="00D72519">
        <w:rPr>
          <w:rFonts w:eastAsiaTheme="minorEastAsia" w:cs="Times New Roman"/>
          <w:szCs w:val="24"/>
          <w:lang w:val="en-CA"/>
        </w:rPr>
        <w:t xml:space="preserve"> </w:t>
      </w:r>
      <m:oMath>
        <m:r>
          <w:rPr>
            <w:rFonts w:ascii="Cambria Math" w:hAnsi="Cambria Math" w:cs="Times New Roman"/>
            <w:szCs w:val="24"/>
            <w:lang w:val="en-CA"/>
          </w:rPr>
          <m:t>η</m:t>
        </m:r>
      </m:oMath>
      <w:r w:rsidRPr="00D72519">
        <w:rPr>
          <w:rFonts w:cs="Times New Roman"/>
          <w:szCs w:val="24"/>
          <w:lang w:val="en-CA"/>
        </w:rPr>
        <w:t xml:space="preserve"> the probability for a trip, </w:t>
      </w:r>
      <w:r w:rsidRPr="00D72519">
        <w:rPr>
          <w:rFonts w:cs="Times New Roman"/>
          <w:i/>
          <w:szCs w:val="24"/>
          <w:lang w:val="en-CA"/>
        </w:rPr>
        <w:t>q</w:t>
      </w:r>
      <w:r w:rsidRPr="00D72519">
        <w:rPr>
          <w:rFonts w:cs="Times New Roman"/>
          <w:szCs w:val="24"/>
          <w:lang w:val="en-CA"/>
        </w:rPr>
        <w:t xml:space="preserve"> to have fare,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q</m:t>
            </m:r>
          </m:sub>
        </m:sSub>
      </m:oMath>
      <w:r w:rsidRPr="00D72519">
        <w:rPr>
          <w:rFonts w:cs="Times New Roman"/>
          <w:szCs w:val="24"/>
          <w:lang w:val="en-CA"/>
        </w:rPr>
        <w:t xml:space="preserve"> and destination </w:t>
      </w:r>
      <m:oMath>
        <m:r>
          <w:rPr>
            <w:rFonts w:ascii="Cambria Math" w:hAnsi="Cambria Math" w:cs="Times New Roman"/>
            <w:szCs w:val="24"/>
            <w:lang w:val="en-CA"/>
          </w:rPr>
          <m:t>s</m:t>
        </m:r>
      </m:oMath>
      <w:r w:rsidRPr="00D72519">
        <w:rPr>
          <w:rFonts w:eastAsiaTheme="minorEastAsia" w:cs="Times New Roman"/>
          <w:szCs w:val="24"/>
          <w:lang w:val="en-CA"/>
        </w:rPr>
        <w:t xml:space="preserve"> can be expressed as follows</w:t>
      </w:r>
      <w:r w:rsidRPr="00D72519">
        <w:rPr>
          <w:rFonts w:cs="Times New Roman"/>
          <w:szCs w:val="24"/>
          <w:lang w:val="en-CA"/>
        </w:rPr>
        <w:t>:</w:t>
      </w:r>
    </w:p>
    <w:p w14:paraId="79C77BE1" w14:textId="77777777" w:rsidR="00972B3B" w:rsidRPr="00D72519" w:rsidRDefault="00972B3B" w:rsidP="00972B3B">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972B3B" w:rsidRPr="00D72519" w14:paraId="3EF8F783" w14:textId="77777777" w:rsidTr="00972B3B">
        <w:trPr>
          <w:trHeight w:val="20"/>
        </w:trPr>
        <w:tc>
          <w:tcPr>
            <w:tcW w:w="4281" w:type="pct"/>
            <w:vAlign w:val="center"/>
          </w:tcPr>
          <w:p w14:paraId="74E867FD" w14:textId="77777777" w:rsidR="00972B3B" w:rsidRPr="00D72519" w:rsidRDefault="00972B3B" w:rsidP="00972B3B">
            <w:pPr>
              <w:spacing w:before="360" w:after="360"/>
              <w:rPr>
                <w:rFonts w:eastAsiaTheme="minorEastAsia"/>
              </w:rPr>
            </w:pPr>
            <m:oMathPara>
              <m:oMathParaPr>
                <m:jc m:val="left"/>
              </m:oMathPara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q</m:t>
                        </m:r>
                      </m:sub>
                    </m:sSub>
                  </m:e>
                </m:d>
                <m:r>
                  <w:rPr>
                    <w:rFonts w:ascii="Cambria Math" w:hAnsi="Cambria Math"/>
                  </w:rPr>
                  <m:t>|η</m:t>
                </m:r>
                <m:r>
                  <w:rPr>
                    <w:rFonts w:ascii="Cambria Math" w:eastAsiaTheme="minorEastAsia" w:hAnsi="Cambria Math"/>
                  </w:rPr>
                  <m:t xml:space="preserve">= </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q</m:t>
                        </m:r>
                      </m:sub>
                    </m:sSub>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q</m:t>
                        </m:r>
                      </m:sub>
                    </m:sSub>
                  </m:e>
                </m:d>
              </m:oMath>
            </m:oMathPara>
          </w:p>
        </w:tc>
        <w:tc>
          <w:tcPr>
            <w:tcW w:w="719" w:type="pct"/>
            <w:vAlign w:val="center"/>
          </w:tcPr>
          <w:p w14:paraId="12EA3B7D" w14:textId="77777777" w:rsidR="00972B3B" w:rsidRPr="00D72519" w:rsidRDefault="00972B3B" w:rsidP="00972B3B">
            <w:pPr>
              <w:spacing w:before="360" w:after="360"/>
              <w:ind w:left="850"/>
            </w:pPr>
            <w:r w:rsidRPr="00D72519">
              <w:t>(5)</w:t>
            </w:r>
          </w:p>
        </w:tc>
      </w:tr>
    </w:tbl>
    <w:p w14:paraId="65CA85E3" w14:textId="77777777" w:rsidR="00542099" w:rsidRDefault="00542099" w:rsidP="00972B3B">
      <w:pPr>
        <w:spacing w:after="0"/>
        <w:ind w:firstLine="720"/>
        <w:rPr>
          <w:rFonts w:cs="Times New Roman"/>
          <w:szCs w:val="24"/>
          <w:lang w:val="en-CA"/>
        </w:rPr>
      </w:pPr>
    </w:p>
    <w:p w14:paraId="703C32E8" w14:textId="16020019" w:rsidR="00972B3B" w:rsidRDefault="00972B3B" w:rsidP="00972B3B">
      <w:pPr>
        <w:spacing w:after="0"/>
        <w:ind w:firstLine="720"/>
        <w:rPr>
          <w:rFonts w:cs="Times New Roman"/>
          <w:szCs w:val="24"/>
          <w:lang w:val="en-CA"/>
        </w:rPr>
      </w:pPr>
      <w:r w:rsidRPr="00D72519">
        <w:rPr>
          <w:rFonts w:cs="Times New Roman"/>
          <w:szCs w:val="24"/>
          <w:lang w:val="en-CA"/>
        </w:rPr>
        <w:t>The complete set of parameters to be estimated in the model system of Equation (</w:t>
      </w:r>
      <w:r>
        <w:rPr>
          <w:rFonts w:cs="Times New Roman"/>
          <w:szCs w:val="24"/>
          <w:lang w:val="en-CA"/>
        </w:rPr>
        <w:t>5</w:t>
      </w:r>
      <w:r w:rsidRPr="00D72519">
        <w:rPr>
          <w:rFonts w:cs="Times New Roman"/>
          <w:szCs w:val="24"/>
          <w:lang w:val="en-CA"/>
        </w:rPr>
        <w:t xml:space="preserve">) are </w:t>
      </w:r>
      <m:oMath>
        <m:r>
          <w:rPr>
            <w:rFonts w:ascii="Cambria Math" w:hAnsi="Cambria Math" w:cs="Times New Roman"/>
            <w:szCs w:val="24"/>
          </w:rPr>
          <m:t>α</m:t>
        </m:r>
        <m:r>
          <w:rPr>
            <w:rFonts w:ascii="Cambria Math" w:hAnsi="Cambria Math" w:cs="Times New Roman"/>
            <w:szCs w:val="24"/>
            <w:lang w:val="en-CA"/>
          </w:rPr>
          <m:t>,</m:t>
        </m:r>
        <m:r>
          <w:rPr>
            <w:rFonts w:ascii="Cambria Math" w:hAnsi="Cambria Math" w:cs="Times New Roman"/>
            <w:szCs w:val="24"/>
          </w:rPr>
          <m:t>β</m:t>
        </m:r>
        <m:r>
          <w:rPr>
            <w:rFonts w:ascii="Cambria Math" w:hAnsi="Cambria Math" w:cs="Times New Roman"/>
            <w:szCs w:val="24"/>
            <w:lang w:val="en-CA"/>
          </w:rPr>
          <m:t xml:space="preserve"> </m:t>
        </m:r>
        <m:r>
          <m:rPr>
            <m:sty m:val="p"/>
          </m:rPr>
          <w:rPr>
            <w:rFonts w:ascii="Cambria Math" w:hAnsi="Cambria Math" w:cs="Times New Roman"/>
            <w:szCs w:val="24"/>
            <w:lang w:val="en-CA"/>
          </w:rPr>
          <m:t>and</m:t>
        </m:r>
        <m:r>
          <w:rPr>
            <w:rFonts w:ascii="Cambria Math" w:hAnsi="Cambria Math" w:cs="Times New Roman"/>
            <w:szCs w:val="24"/>
            <w:lang w:val="en-CA"/>
          </w:rPr>
          <m:t xml:space="preserve"> </m:t>
        </m:r>
        <m:r>
          <w:rPr>
            <w:rFonts w:ascii="Cambria Math" w:eastAsiaTheme="minorEastAsia" w:hAnsi="Cambria Math" w:cstheme="majorBidi"/>
          </w:rPr>
          <m:t>γ</m:t>
        </m:r>
      </m:oMath>
      <w:r w:rsidRPr="00D72519">
        <w:rPr>
          <w:rFonts w:cs="Times New Roman"/>
          <w:szCs w:val="24"/>
          <w:lang w:val="en-CA"/>
        </w:rPr>
        <w:t xml:space="preserve"> and standard error term</w:t>
      </w:r>
      <w:r>
        <w:rPr>
          <w:rFonts w:cs="Times New Roman"/>
          <w:szCs w:val="24"/>
          <w:lang w:val="en-CA"/>
        </w:rPr>
        <w:t>,</w:t>
      </w:r>
      <w:r w:rsidRPr="00D72519">
        <w:rPr>
          <w:rFonts w:cs="Times New Roman"/>
          <w:szCs w:val="24"/>
          <w:lang w:val="en-CA"/>
        </w:rPr>
        <w:t xml:space="preserve"> </w:t>
      </w:r>
      <m:oMath>
        <m:r>
          <w:rPr>
            <w:rFonts w:ascii="Cambria Math" w:eastAsiaTheme="minorEastAsia" w:hAnsi="Cambria Math" w:cs="Times New Roman"/>
            <w:szCs w:val="24"/>
            <w:lang w:val="en-CA"/>
          </w:rPr>
          <m:t>σ</m:t>
        </m:r>
      </m:oMath>
      <w:r w:rsidRPr="00D72519">
        <w:rPr>
          <w:rFonts w:eastAsiaTheme="minorEastAsia" w:cs="Times New Roman"/>
          <w:szCs w:val="24"/>
          <w:lang w:val="en-CA"/>
        </w:rPr>
        <w:t xml:space="preserve">. </w:t>
      </w:r>
      <w:r w:rsidRPr="00D72519">
        <w:rPr>
          <w:rFonts w:cs="Times New Roman"/>
          <w:szCs w:val="24"/>
          <w:lang w:val="en-CA"/>
        </w:rPr>
        <w:t>Let</w:t>
      </w:r>
      <w:r>
        <w:rPr>
          <w:rFonts w:cs="Times New Roman"/>
          <w:szCs w:val="24"/>
          <w:lang w:val="en-CA"/>
        </w:rPr>
        <w:t>,</w:t>
      </w:r>
      <w:r w:rsidRPr="00D72519">
        <w:rPr>
          <w:rFonts w:cs="Times New Roman"/>
          <w:szCs w:val="24"/>
          <w:lang w:val="en-CA"/>
        </w:rPr>
        <w:t xml:space="preserve"> </w:t>
      </w:r>
      <m:oMath>
        <m:r>
          <m:rPr>
            <m:sty m:val="p"/>
          </m:rPr>
          <w:rPr>
            <w:rFonts w:ascii="Cambria Math" w:hAnsi="Cambria Math" w:cs="Times New Roman"/>
            <w:szCs w:val="24"/>
            <w:lang w:val="en-CA"/>
          </w:rPr>
          <m:t>Ω</m:t>
        </m:r>
      </m:oMath>
      <w:r w:rsidRPr="00D72519">
        <w:rPr>
          <w:rFonts w:cs="Times New Roman"/>
          <w:szCs w:val="24"/>
          <w:lang w:val="en-CA"/>
        </w:rPr>
        <w:t xml:space="preserve">  represent</w:t>
      </w:r>
      <w:r>
        <w:rPr>
          <w:rFonts w:cs="Times New Roman"/>
          <w:szCs w:val="24"/>
          <w:lang w:val="en-CA"/>
        </w:rPr>
        <w:t>s</w:t>
      </w:r>
      <w:r w:rsidRPr="00D72519">
        <w:rPr>
          <w:rFonts w:cs="Times New Roman"/>
          <w:szCs w:val="24"/>
          <w:lang w:val="en-CA"/>
        </w:rPr>
        <w:t xml:space="preserve"> a vector that includes all the standard error parameters to be estimated. Given th</w:t>
      </w:r>
      <w:r>
        <w:rPr>
          <w:rFonts w:cs="Times New Roman"/>
          <w:szCs w:val="24"/>
          <w:lang w:val="en-CA"/>
        </w:rPr>
        <w:t>is</w:t>
      </w:r>
      <w:r w:rsidRPr="00D72519">
        <w:rPr>
          <w:rFonts w:cs="Times New Roman"/>
          <w:szCs w:val="24"/>
          <w:lang w:val="en-CA"/>
        </w:rPr>
        <w:t xml:space="preserve"> assumption</w:t>
      </w:r>
      <w:r>
        <w:rPr>
          <w:rFonts w:cs="Times New Roman"/>
          <w:szCs w:val="24"/>
          <w:lang w:val="en-CA"/>
        </w:rPr>
        <w:t>,</w:t>
      </w:r>
      <w:r w:rsidRPr="00D72519">
        <w:rPr>
          <w:rFonts w:cs="Times New Roman"/>
          <w:szCs w:val="24"/>
          <w:lang w:val="en-CA"/>
        </w:rPr>
        <w:t xml:space="preserve"> the joint likelihood for </w:t>
      </w:r>
      <w:r>
        <w:rPr>
          <w:rFonts w:cs="Times New Roman"/>
          <w:szCs w:val="24"/>
          <w:lang w:val="en-CA"/>
        </w:rPr>
        <w:t>trip fare</w:t>
      </w:r>
      <w:r w:rsidRPr="00D72519">
        <w:rPr>
          <w:rFonts w:cs="Times New Roman"/>
          <w:szCs w:val="24"/>
          <w:lang w:val="en-CA"/>
        </w:rPr>
        <w:t xml:space="preserve"> and </w:t>
      </w:r>
      <w:r>
        <w:rPr>
          <w:rFonts w:cs="Times New Roman"/>
          <w:szCs w:val="24"/>
          <w:lang w:val="en-CA"/>
        </w:rPr>
        <w:t xml:space="preserve">trip </w:t>
      </w:r>
      <w:r w:rsidRPr="00D72519">
        <w:rPr>
          <w:rFonts w:cs="Times New Roman"/>
          <w:szCs w:val="24"/>
          <w:lang w:val="en-CA"/>
        </w:rPr>
        <w:t>de</w:t>
      </w:r>
      <w:r>
        <w:rPr>
          <w:rFonts w:cs="Times New Roman"/>
          <w:szCs w:val="24"/>
          <w:lang w:val="en-CA"/>
        </w:rPr>
        <w:t>stination</w:t>
      </w:r>
      <w:r w:rsidRPr="00D72519">
        <w:rPr>
          <w:rFonts w:cs="Times New Roman"/>
          <w:szCs w:val="24"/>
          <w:lang w:val="en-CA"/>
        </w:rPr>
        <w:t xml:space="preserve"> is provided as follows:</w:t>
      </w:r>
    </w:p>
    <w:p w14:paraId="5079D1B6" w14:textId="77777777" w:rsidR="00972B3B" w:rsidRDefault="00972B3B" w:rsidP="00972B3B">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972B3B" w:rsidRPr="00D72519" w14:paraId="06E1E034" w14:textId="77777777" w:rsidTr="00972B3B">
        <w:trPr>
          <w:trHeight w:val="20"/>
        </w:trPr>
        <w:tc>
          <w:tcPr>
            <w:tcW w:w="4281" w:type="pct"/>
            <w:vAlign w:val="center"/>
          </w:tcPr>
          <w:p w14:paraId="6C6F0E74" w14:textId="77777777" w:rsidR="00972B3B" w:rsidRPr="00DC594B" w:rsidRDefault="004F2FAE" w:rsidP="00972B3B">
            <w:pPr>
              <w:ind w:firstLine="720"/>
              <w:rPr>
                <w:rFonts w:eastAsiaTheme="minorEastAsia"/>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m:t>
                </m:r>
                <m:r>
                  <m:rPr>
                    <m:sty m:val="p"/>
                  </m:rPr>
                  <w:rPr>
                    <w:rFonts w:ascii="Cambria Math" w:hAnsi="Cambria Math"/>
                  </w:rPr>
                  <m:t>Ω=</m:t>
                </m:r>
                <m:nary>
                  <m:naryPr>
                    <m:chr m:val="∏"/>
                    <m:limLoc m:val="subSup"/>
                    <m:ctrlPr>
                      <w:rPr>
                        <w:rFonts w:ascii="Cambria Math" w:hAnsi="Cambria Math"/>
                        <w:i/>
                      </w:rPr>
                    </m:ctrlPr>
                  </m:naryPr>
                  <m:sub>
                    <m:r>
                      <w:rPr>
                        <w:rFonts w:ascii="Cambria Math" w:hAnsi="Cambria Math"/>
                      </w:rPr>
                      <m:t>s</m:t>
                    </m:r>
                    <m:r>
                      <w:rPr>
                        <w:rFonts w:ascii="Cambria Math" w:hAnsi="Cambria Math"/>
                      </w:rPr>
                      <m:t>=1</m:t>
                    </m:r>
                  </m:sub>
                  <m:sup>
                    <m:r>
                      <w:rPr>
                        <w:rFonts w:ascii="Cambria Math" w:hAnsi="Cambria Math"/>
                      </w:rPr>
                      <m:t>S</m:t>
                    </m:r>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q</m:t>
                                    </m:r>
                                  </m:sub>
                                </m:sSub>
                              </m:e>
                            </m:d>
                            <m:r>
                              <w:rPr>
                                <w:rFonts w:ascii="Cambria Math" w:hAnsi="Cambria Math"/>
                              </w:rPr>
                              <m:t>|</m:t>
                            </m:r>
                            <m:r>
                              <w:rPr>
                                <w:rFonts w:ascii="Cambria Math" w:hAnsi="Cambria Math"/>
                              </w:rPr>
                              <m:t>η</m:t>
                            </m:r>
                          </m:e>
                        </m:d>
                      </m:e>
                      <m:sup>
                        <m:sSub>
                          <m:sSubPr>
                            <m:ctrlPr>
                              <w:rPr>
                                <w:rFonts w:ascii="Cambria Math" w:hAnsi="Cambria Math"/>
                                <w:i/>
                              </w:rPr>
                            </m:ctrlPr>
                          </m:sSubPr>
                          <m:e>
                            <m:r>
                              <w:rPr>
                                <w:rFonts w:ascii="Cambria Math" w:hAnsi="Cambria Math"/>
                              </w:rPr>
                              <m:t>d</m:t>
                            </m:r>
                          </m:e>
                          <m:sub>
                            <m:r>
                              <w:rPr>
                                <w:rFonts w:ascii="Cambria Math" w:hAnsi="Cambria Math"/>
                              </w:rPr>
                              <m:t>qs</m:t>
                            </m:r>
                          </m:sub>
                        </m:sSub>
                      </m:sup>
                    </m:sSup>
                    <m:r>
                      <w:rPr>
                        <w:rFonts w:ascii="Cambria Math" w:hAnsi="Cambria Math"/>
                      </w:rPr>
                      <m:t xml:space="preserve">  </m:t>
                    </m:r>
                  </m:e>
                </m:nary>
              </m:oMath>
            </m:oMathPara>
          </w:p>
        </w:tc>
        <w:tc>
          <w:tcPr>
            <w:tcW w:w="719" w:type="pct"/>
            <w:vAlign w:val="center"/>
          </w:tcPr>
          <w:p w14:paraId="7B8A6216" w14:textId="77777777" w:rsidR="00972B3B" w:rsidRPr="00D72519" w:rsidRDefault="00972B3B" w:rsidP="00972B3B">
            <w:pPr>
              <w:spacing w:before="360" w:after="360"/>
              <w:ind w:left="850"/>
            </w:pPr>
            <w:r w:rsidRPr="00D72519">
              <w:t>(</w:t>
            </w:r>
            <w:r>
              <w:t>6</w:t>
            </w:r>
            <w:r w:rsidRPr="00D72519">
              <w:t>)</w:t>
            </w:r>
          </w:p>
        </w:tc>
      </w:tr>
    </w:tbl>
    <w:p w14:paraId="2262E842" w14:textId="77777777" w:rsidR="00972B3B" w:rsidRPr="00DC594B" w:rsidRDefault="00972B3B" w:rsidP="00972B3B">
      <w:pPr>
        <w:spacing w:after="0"/>
        <w:rPr>
          <w:rFonts w:cs="Times New Roman"/>
          <w:szCs w:val="24"/>
          <w:lang w:val="en-CA"/>
        </w:rPr>
      </w:pPr>
    </w:p>
    <w:p w14:paraId="4774FCC0" w14:textId="77777777" w:rsidR="00972B3B" w:rsidRPr="00DC594B" w:rsidRDefault="00972B3B" w:rsidP="00972B3B">
      <w:pPr>
        <w:spacing w:after="0"/>
        <w:ind w:firstLine="720"/>
        <w:rPr>
          <w:rFonts w:cs="Times New Roman"/>
          <w:szCs w:val="24"/>
          <w:lang w:val="en-CA"/>
        </w:rPr>
      </w:pPr>
      <w:r w:rsidRPr="00DC594B">
        <w:rPr>
          <w:rFonts w:cs="Times New Roman"/>
          <w:szCs w:val="24"/>
          <w:lang w:val="en-CA"/>
        </w:rPr>
        <w:t xml:space="preserve">where </w:t>
      </w: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qs</m:t>
            </m:r>
          </m:sub>
        </m:sSub>
      </m:oMath>
      <w:r w:rsidRPr="00DC594B">
        <w:rPr>
          <w:rFonts w:cs="Times New Roman"/>
          <w:szCs w:val="24"/>
          <w:lang w:val="en-CA"/>
        </w:rPr>
        <w:t xml:space="preserve"> </w:t>
      </w:r>
      <w:r>
        <w:rPr>
          <w:rFonts w:cs="Times New Roman"/>
          <w:szCs w:val="24"/>
          <w:lang w:val="en-CA"/>
        </w:rPr>
        <w:t>is</w:t>
      </w:r>
      <w:r w:rsidRPr="00DC594B">
        <w:rPr>
          <w:rFonts w:cs="Times New Roman"/>
          <w:szCs w:val="24"/>
          <w:lang w:val="en-CA"/>
        </w:rPr>
        <w:t xml:space="preserve"> </w:t>
      </w:r>
      <w:r>
        <w:rPr>
          <w:rFonts w:cs="Times New Roman"/>
          <w:szCs w:val="24"/>
          <w:lang w:val="en-CA"/>
        </w:rPr>
        <w:t xml:space="preserve">a </w:t>
      </w:r>
      <w:r w:rsidRPr="00DC594B">
        <w:rPr>
          <w:rFonts w:cs="Times New Roman"/>
          <w:szCs w:val="24"/>
          <w:lang w:val="en-CA"/>
        </w:rPr>
        <w:t xml:space="preserve">dummy variable taking a value of 1 if </w:t>
      </w:r>
      <w:r>
        <w:rPr>
          <w:rFonts w:cs="Times New Roman"/>
          <w:szCs w:val="24"/>
          <w:lang w:val="en-CA"/>
        </w:rPr>
        <w:t>a user making the trip,</w:t>
      </w:r>
      <w:r w:rsidRPr="00DC594B">
        <w:rPr>
          <w:rFonts w:cs="Times New Roman"/>
          <w:szCs w:val="24"/>
          <w:lang w:val="en-CA"/>
        </w:rPr>
        <w:t xml:space="preserve"> </w:t>
      </w:r>
      <m:oMath>
        <m:r>
          <w:rPr>
            <w:rFonts w:ascii="Cambria Math" w:eastAsiaTheme="minorEastAsia" w:hAnsi="Cambria Math" w:cs="Times New Roman"/>
            <w:szCs w:val="24"/>
          </w:rPr>
          <m:t>q</m:t>
        </m:r>
      </m:oMath>
      <w:r w:rsidRPr="00DC594B">
        <w:rPr>
          <w:rFonts w:cs="Times New Roman"/>
          <w:szCs w:val="24"/>
          <w:lang w:val="en-CA"/>
        </w:rPr>
        <w:t xml:space="preserve"> </w:t>
      </w:r>
      <w:r>
        <w:rPr>
          <w:rFonts w:cs="Times New Roman"/>
          <w:szCs w:val="24"/>
          <w:lang w:val="en-CA"/>
        </w:rPr>
        <w:t>chooses the destination</w:t>
      </w:r>
      <w:r w:rsidRPr="00DC594B">
        <w:rPr>
          <w:rFonts w:cs="Times New Roman"/>
          <w:szCs w:val="24"/>
          <w:lang w:val="en-CA"/>
        </w:rPr>
        <w:t xml:space="preserve">, </w:t>
      </w:r>
      <m:oMath>
        <m:r>
          <w:rPr>
            <w:rFonts w:ascii="Cambria Math" w:eastAsiaTheme="minorEastAsia" w:hAnsi="Cambria Math" w:cs="Times New Roman"/>
            <w:szCs w:val="24"/>
          </w:rPr>
          <m:t>s</m:t>
        </m:r>
      </m:oMath>
      <w:r w:rsidRPr="00DC594B">
        <w:rPr>
          <w:rFonts w:cs="Times New Roman"/>
          <w:szCs w:val="24"/>
          <w:lang w:val="en-CA"/>
        </w:rPr>
        <w:t xml:space="preserve"> and 0 otherwise. Finally, </w:t>
      </w:r>
      <w:bookmarkStart w:id="4" w:name="_Hlk55927421"/>
      <w:r w:rsidRPr="00DC594B">
        <w:rPr>
          <w:rFonts w:cs="Times New Roman"/>
          <w:szCs w:val="24"/>
          <w:lang w:val="en-CA"/>
        </w:rPr>
        <w:t xml:space="preserve">the unconditional likelihood function may be computed for </w:t>
      </w:r>
      <w:r>
        <w:rPr>
          <w:rFonts w:cs="Times New Roman"/>
          <w:szCs w:val="24"/>
          <w:lang w:val="en-CA"/>
        </w:rPr>
        <w:t>a trip,</w:t>
      </w:r>
      <w:r w:rsidRPr="00DC594B">
        <w:rPr>
          <w:rFonts w:cs="Times New Roman"/>
          <w:szCs w:val="24"/>
          <w:lang w:val="en-CA"/>
        </w:rPr>
        <w:t xml:space="preserve"> </w:t>
      </w:r>
      <w:r w:rsidRPr="00DC594B">
        <w:rPr>
          <w:rFonts w:cs="Times New Roman"/>
          <w:i/>
          <w:szCs w:val="24"/>
          <w:lang w:val="en-CA"/>
        </w:rPr>
        <w:t>q</w:t>
      </w:r>
      <w:r w:rsidRPr="00DC594B">
        <w:rPr>
          <w:rFonts w:cs="Times New Roman"/>
          <w:szCs w:val="24"/>
          <w:lang w:val="en-CA"/>
        </w:rPr>
        <w:t xml:space="preserve"> as</w:t>
      </w:r>
      <w:bookmarkEnd w:id="4"/>
      <w:r>
        <w:rPr>
          <w:rFonts w:cs="Times New Roman"/>
          <w:szCs w:val="24"/>
          <w:lang w:val="en-CA"/>
        </w:rPr>
        <w:t xml:space="preserve"> follows</w:t>
      </w:r>
      <w:r w:rsidRPr="00DC594B">
        <w:rPr>
          <w:rFonts w:cs="Times New Roman"/>
          <w:szCs w:val="24"/>
          <w:lang w:val="en-CA"/>
        </w:rPr>
        <w:t>:</w:t>
      </w:r>
    </w:p>
    <w:p w14:paraId="6E11243E" w14:textId="77777777" w:rsidR="00972B3B" w:rsidRPr="00DC594B" w:rsidRDefault="00972B3B" w:rsidP="00972B3B">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972B3B" w:rsidRPr="00DC594B" w14:paraId="41B033D0" w14:textId="77777777" w:rsidTr="00972B3B">
        <w:tc>
          <w:tcPr>
            <w:tcW w:w="4349" w:type="pct"/>
            <w:vAlign w:val="center"/>
          </w:tcPr>
          <w:p w14:paraId="22A85E34" w14:textId="77777777" w:rsidR="00972B3B" w:rsidRPr="00DC594B" w:rsidRDefault="004F2FAE" w:rsidP="00972B3B">
            <w:pPr>
              <w:spacing w:before="360"/>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q</m:t>
                    </m:r>
                  </m:sub>
                </m:sSub>
                <m:r>
                  <m:rPr>
                    <m:sty m:val="p"/>
                  </m:rPr>
                  <w:rPr>
                    <w:rFonts w:ascii="Cambria Math" w:hAnsi="Cambria Math"/>
                  </w:rPr>
                  <m:t xml:space="preserve">= </m:t>
                </m:r>
                <m:nary>
                  <m:naryPr>
                    <m:limLoc m:val="subSup"/>
                    <m:ctrlPr>
                      <w:rPr>
                        <w:rFonts w:ascii="Cambria Math" w:hAnsi="Cambria Math"/>
                      </w:rPr>
                    </m:ctrlPr>
                  </m:naryPr>
                  <m:sub>
                    <m:r>
                      <m:rPr>
                        <m:sty m:val="p"/>
                      </m:rPr>
                      <w:rPr>
                        <w:rFonts w:ascii="Cambria Math" w:hAnsi="Cambria Math"/>
                      </w:rPr>
                      <m:t>Ω</m:t>
                    </m:r>
                  </m:sub>
                  <m:sup/>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m:t>
                        </m:r>
                        <m:r>
                          <m:rPr>
                            <m:sty m:val="p"/>
                          </m:rPr>
                          <w:rPr>
                            <w:rFonts w:ascii="Cambria Math" w:hAnsi="Cambria Math"/>
                          </w:rPr>
                          <m:t>Ω</m:t>
                        </m:r>
                      </m:e>
                    </m:d>
                    <m:r>
                      <w:rPr>
                        <w:rFonts w:ascii="Cambria Math" w:hAnsi="Cambria Math"/>
                      </w:rPr>
                      <m:t>d</m:t>
                    </m:r>
                    <m:r>
                      <m:rPr>
                        <m:sty m:val="p"/>
                      </m:rPr>
                      <w:rPr>
                        <w:rFonts w:ascii="Cambria Math" w:hAnsi="Cambria Math"/>
                      </w:rPr>
                      <m:t>Ω</m:t>
                    </m:r>
                  </m:e>
                </m:nary>
              </m:oMath>
            </m:oMathPara>
          </w:p>
          <w:p w14:paraId="3032B826" w14:textId="77777777" w:rsidR="00972B3B" w:rsidRPr="00DC594B" w:rsidRDefault="00972B3B" w:rsidP="00972B3B">
            <w:pPr>
              <w:rPr>
                <w:rFonts w:eastAsiaTheme="minorEastAsia"/>
              </w:rPr>
            </w:pPr>
          </w:p>
        </w:tc>
        <w:tc>
          <w:tcPr>
            <w:tcW w:w="651" w:type="pct"/>
            <w:vAlign w:val="center"/>
          </w:tcPr>
          <w:p w14:paraId="24CF59AE" w14:textId="77777777" w:rsidR="00972B3B" w:rsidRPr="00DC594B" w:rsidRDefault="00972B3B" w:rsidP="00972B3B">
            <w:pPr>
              <w:spacing w:before="360" w:after="360"/>
              <w:ind w:left="850"/>
            </w:pPr>
            <w:r w:rsidRPr="00DC594B">
              <w:t>(</w:t>
            </w:r>
            <w:r>
              <w:t>7</w:t>
            </w:r>
            <w:r w:rsidRPr="00DC594B">
              <w:t>)</w:t>
            </w:r>
          </w:p>
        </w:tc>
      </w:tr>
    </w:tbl>
    <w:p w14:paraId="1FC096F8" w14:textId="77777777" w:rsidR="00972B3B" w:rsidRPr="00DC594B" w:rsidRDefault="00972B3B" w:rsidP="00972B3B">
      <w:pPr>
        <w:spacing w:after="0"/>
        <w:rPr>
          <w:rFonts w:eastAsiaTheme="minorEastAsia" w:cs="Times New Roman"/>
          <w:szCs w:val="24"/>
          <w:lang w:val="en-CA"/>
        </w:rPr>
      </w:pPr>
    </w:p>
    <w:p w14:paraId="3A6C6ADB" w14:textId="77777777" w:rsidR="00972B3B" w:rsidRPr="00DC594B" w:rsidRDefault="00972B3B" w:rsidP="00972B3B">
      <w:pPr>
        <w:spacing w:after="0"/>
        <w:ind w:firstLine="720"/>
        <w:rPr>
          <w:rFonts w:cs="Times New Roman"/>
          <w:szCs w:val="24"/>
          <w:lang w:val="en-CA"/>
        </w:rPr>
      </w:pPr>
      <w:r w:rsidRPr="00DC594B">
        <w:rPr>
          <w:rFonts w:cs="Times New Roman"/>
          <w:szCs w:val="24"/>
          <w:lang w:val="en-CA"/>
        </w:rPr>
        <w:t xml:space="preserve">Now, we can express the </w:t>
      </w:r>
      <w:r>
        <w:rPr>
          <w:rFonts w:cs="Times New Roman"/>
          <w:szCs w:val="24"/>
          <w:lang w:val="en-CA"/>
        </w:rPr>
        <w:t>log-</w:t>
      </w:r>
      <w:r w:rsidRPr="00DC594B">
        <w:rPr>
          <w:rFonts w:cs="Times New Roman"/>
          <w:szCs w:val="24"/>
          <w:lang w:val="en-CA"/>
        </w:rPr>
        <w:t>likelihood function</w:t>
      </w:r>
      <w:r>
        <w:rPr>
          <w:rFonts w:cs="Times New Roman"/>
          <w:szCs w:val="24"/>
          <w:lang w:val="en-CA"/>
        </w:rPr>
        <w:t xml:space="preserve"> of the final joint model</w:t>
      </w:r>
      <w:r w:rsidRPr="00DC594B">
        <w:rPr>
          <w:rFonts w:cs="Times New Roman"/>
          <w:szCs w:val="24"/>
          <w:lang w:val="en-CA"/>
        </w:rPr>
        <w:t xml:space="preserve"> as follows:</w:t>
      </w:r>
    </w:p>
    <w:p w14:paraId="6C4C2753" w14:textId="77777777" w:rsidR="00972B3B" w:rsidRPr="00DC594B" w:rsidRDefault="00972B3B" w:rsidP="00972B3B">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972B3B" w:rsidRPr="00DC594B" w14:paraId="1F114E0B" w14:textId="77777777" w:rsidTr="00972B3B">
        <w:trPr>
          <w:trHeight w:val="553"/>
        </w:trPr>
        <w:tc>
          <w:tcPr>
            <w:tcW w:w="4281" w:type="pct"/>
            <w:vAlign w:val="center"/>
          </w:tcPr>
          <w:p w14:paraId="408D9E34" w14:textId="77777777" w:rsidR="00972B3B" w:rsidRPr="008D5CB1" w:rsidRDefault="00972B3B" w:rsidP="00972B3B">
            <w:pPr>
              <w:spacing w:before="240"/>
            </w:pPr>
            <m:oMathPara>
              <m:oMathParaPr>
                <m:jc m:val="left"/>
              </m:oMathParaPr>
              <m:oMath>
                <m:r>
                  <m:rPr>
                    <m:sty m:val="p"/>
                  </m:rPr>
                  <w:rPr>
                    <w:rFonts w:ascii="Cambria Math" w:hAnsi="Cambria Math"/>
                  </w:rPr>
                  <m:t xml:space="preserve">LL= </m:t>
                </m:r>
                <m:nary>
                  <m:naryPr>
                    <m:chr m:val="∑"/>
                    <m:limLoc m:val="subSup"/>
                    <m:ctrlPr>
                      <w:rPr>
                        <w:rFonts w:ascii="Cambria Math" w:hAnsi="Cambria Math"/>
                      </w:rPr>
                    </m:ctrlPr>
                  </m:naryPr>
                  <m:sub>
                    <m:r>
                      <w:rPr>
                        <w:rFonts w:ascii="Cambria Math" w:hAnsi="Cambria Math"/>
                      </w:rPr>
                      <m:t>q=1</m:t>
                    </m:r>
                  </m:sub>
                  <m:sup>
                    <m:r>
                      <w:rPr>
                        <w:rFonts w:ascii="Cambria Math" w:hAnsi="Cambria Math"/>
                      </w:rPr>
                      <m:t>Q</m:t>
                    </m:r>
                  </m:sup>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L</m:t>
                            </m:r>
                          </m:e>
                          <m:sub>
                            <m:r>
                              <w:rPr>
                                <w:rFonts w:ascii="Cambria Math" w:hAnsi="Cambria Math"/>
                              </w:rPr>
                              <m:t>q</m:t>
                            </m:r>
                          </m:sub>
                        </m:sSub>
                      </m:e>
                    </m:func>
                  </m:e>
                </m:nary>
              </m:oMath>
            </m:oMathPara>
          </w:p>
        </w:tc>
        <w:tc>
          <w:tcPr>
            <w:tcW w:w="719" w:type="pct"/>
            <w:vAlign w:val="center"/>
          </w:tcPr>
          <w:p w14:paraId="13FAFEE5" w14:textId="77777777" w:rsidR="00972B3B" w:rsidRPr="00DC594B" w:rsidRDefault="00972B3B" w:rsidP="00972B3B">
            <w:pPr>
              <w:spacing w:before="360" w:after="360"/>
              <w:ind w:left="850"/>
            </w:pPr>
            <w:r w:rsidRPr="00DC594B">
              <w:t>(</w:t>
            </w:r>
            <w:r>
              <w:t>8</w:t>
            </w:r>
            <w:r w:rsidRPr="00DC594B">
              <w:t>)</w:t>
            </w:r>
          </w:p>
        </w:tc>
      </w:tr>
    </w:tbl>
    <w:p w14:paraId="75EBADF8" w14:textId="77777777" w:rsidR="00972B3B" w:rsidRDefault="00972B3B" w:rsidP="00972B3B">
      <w:pPr>
        <w:spacing w:after="0"/>
        <w:ind w:firstLine="720"/>
        <w:rPr>
          <w:rFonts w:cs="Times New Roman"/>
          <w:szCs w:val="24"/>
          <w:lang w:val="en-CA"/>
        </w:rPr>
      </w:pPr>
    </w:p>
    <w:p w14:paraId="40F5A7A0" w14:textId="10303829" w:rsidR="00972B3B" w:rsidRDefault="00972B3B" w:rsidP="00972B3B">
      <w:pPr>
        <w:ind w:firstLine="720"/>
        <w:rPr>
          <w:rFonts w:cs="Times New Roman"/>
          <w:szCs w:val="24"/>
          <w:lang w:val="en-CA"/>
        </w:rPr>
      </w:pPr>
      <w:r w:rsidRPr="00DC594B">
        <w:rPr>
          <w:rFonts w:cs="Times New Roman"/>
          <w:szCs w:val="24"/>
          <w:lang w:val="en-CA"/>
        </w:rPr>
        <w:t xml:space="preserve">The </w:t>
      </w:r>
      <w:r>
        <w:rPr>
          <w:rFonts w:cs="Times New Roman"/>
          <w:szCs w:val="24"/>
          <w:lang w:val="en-CA"/>
        </w:rPr>
        <w:t>log-</w:t>
      </w:r>
      <w:r w:rsidRPr="00DC594B">
        <w:rPr>
          <w:rFonts w:cs="Times New Roman"/>
          <w:szCs w:val="24"/>
          <w:lang w:val="en-CA"/>
        </w:rPr>
        <w:t>likelihood function in Equation (</w:t>
      </w:r>
      <w:r>
        <w:rPr>
          <w:rFonts w:cs="Times New Roman"/>
          <w:szCs w:val="24"/>
          <w:lang w:val="en-CA"/>
        </w:rPr>
        <w:t>8</w:t>
      </w:r>
      <w:r w:rsidRPr="00DC594B">
        <w:rPr>
          <w:rFonts w:cs="Times New Roman"/>
          <w:szCs w:val="24"/>
          <w:lang w:val="en-CA"/>
        </w:rPr>
        <w:t>) involves the evaluation of a multi-dimensional integral of size equal to the number of rows in</w:t>
      </w:r>
      <m:oMath>
        <m:r>
          <w:rPr>
            <w:rFonts w:ascii="Cambria Math" w:hAnsi="Cambria Math" w:cs="Times New Roman"/>
            <w:szCs w:val="24"/>
            <w:lang w:val="en-CA"/>
          </w:rPr>
          <m:t xml:space="preserve"> </m:t>
        </m:r>
        <m:r>
          <m:rPr>
            <m:sty m:val="p"/>
          </m:rPr>
          <w:rPr>
            <w:rFonts w:ascii="Cambria Math" w:hAnsi="Cambria Math" w:cs="Times New Roman"/>
            <w:szCs w:val="24"/>
            <w:lang w:val="en-CA"/>
          </w:rPr>
          <m:t>Ω</m:t>
        </m:r>
      </m:oMath>
      <w:r w:rsidRPr="00DC594B">
        <w:rPr>
          <w:rFonts w:cs="Times New Roman"/>
          <w:szCs w:val="24"/>
          <w:lang w:val="en-CA"/>
        </w:rPr>
        <w:t>. We apply Quasi-Monte Carlo simulation techniques based on the scrambled Halton sequence to approximate this integral in the likelihood function and maximize the logarithm of the resulting simulated likelihood function (See</w:t>
      </w:r>
      <w:r>
        <w:rPr>
          <w:rFonts w:cs="Times New Roman"/>
          <w:szCs w:val="24"/>
          <w:lang w:val="en-CA"/>
        </w:rPr>
        <w:t xml:space="preserve"> Bhat, </w:t>
      </w:r>
      <w:r>
        <w:rPr>
          <w:rFonts w:cs="Times New Roman"/>
          <w:szCs w:val="24"/>
          <w:lang w:val="en-CA"/>
        </w:rPr>
        <w:fldChar w:fldCharType="begin" w:fldLock="1"/>
      </w:r>
      <w:r w:rsidR="00BB1448">
        <w:rPr>
          <w:rFonts w:cs="Times New Roman"/>
          <w:szCs w:val="24"/>
          <w:lang w:val="en-CA"/>
        </w:rPr>
        <w:instrText>ADDIN CSL_CITATION {"citationItems":[{"id":"ITEM-1","itemData":{"DOI":"10.1016/S0191-2615(00)00014-X","ISBN":"1512471453","ISSN":"01912615","abstract":"This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reserved.","author":[{"dropping-particle":"","family":"Bhat","given":"Chandra R.","non-dropping-particle":"","parse-names":false,"suffix":""}],"container-title":"Transportation Research Part B: Methodological","id":"ITEM-1","issue":"7","issued":{"date-parts":[["2001"]]},"page":"677-693","title":"Quasi-random maximum simulated likelihood estimation of the mixed multinomial logit model","type":"article-journal","volume":"35"},"uris":["http://www.mendeley.com/documents/?uuid=8361ec7a-4ef3-44a7-ae5b-33fda1e838b0","http://www.mendeley.com/documents/?uuid=860eb05b-5609-4551-9754-9bb964849d3f"]}],"mendeley":{"formattedCitation":"(&lt;i&gt;54&lt;/i&gt;)","plainTextFormattedCitation":"(54)","previouslyFormattedCitation":"(&lt;i&gt;54&lt;/i&gt;)"},"properties":{"noteIndex":0},"schema":"https://github.com/citation-style-language/schema/raw/master/csl-citation.json"}</w:instrText>
      </w:r>
      <w:r>
        <w:rPr>
          <w:rFonts w:cs="Times New Roman"/>
          <w:szCs w:val="24"/>
          <w:lang w:val="en-CA"/>
        </w:rPr>
        <w:fldChar w:fldCharType="separate"/>
      </w:r>
      <w:r w:rsidR="0076717B" w:rsidRPr="0076717B">
        <w:rPr>
          <w:rFonts w:cs="Times New Roman"/>
          <w:noProof/>
          <w:szCs w:val="24"/>
          <w:lang w:val="en-CA"/>
        </w:rPr>
        <w:t>(</w:t>
      </w:r>
      <w:r w:rsidR="0076717B" w:rsidRPr="0076717B">
        <w:rPr>
          <w:rFonts w:cs="Times New Roman"/>
          <w:i/>
          <w:noProof/>
          <w:szCs w:val="24"/>
          <w:lang w:val="en-CA"/>
        </w:rPr>
        <w:t>54</w:t>
      </w:r>
      <w:r w:rsidR="0076717B" w:rsidRPr="0076717B">
        <w:rPr>
          <w:rFonts w:cs="Times New Roman"/>
          <w:noProof/>
          <w:szCs w:val="24"/>
          <w:lang w:val="en-CA"/>
        </w:rPr>
        <w:t>)</w:t>
      </w:r>
      <w:r>
        <w:rPr>
          <w:rFonts w:cs="Times New Roman"/>
          <w:szCs w:val="24"/>
          <w:lang w:val="en-CA"/>
        </w:rPr>
        <w:fldChar w:fldCharType="end"/>
      </w:r>
      <w:r w:rsidRPr="00DC594B">
        <w:rPr>
          <w:rFonts w:cs="Times New Roman"/>
          <w:szCs w:val="24"/>
          <w:lang w:val="en-CA"/>
        </w:rPr>
        <w:t>;</w:t>
      </w:r>
      <w:r>
        <w:rPr>
          <w:rFonts w:cs="Times New Roman"/>
          <w:szCs w:val="24"/>
          <w:lang w:val="en-CA"/>
        </w:rPr>
        <w:t xml:space="preserve"> </w:t>
      </w:r>
      <w:r w:rsidRPr="003A1387">
        <w:rPr>
          <w:rFonts w:cs="Times New Roman"/>
          <w:szCs w:val="24"/>
          <w:lang w:val="en-CA"/>
        </w:rPr>
        <w:t xml:space="preserve">Yasmin </w:t>
      </w:r>
      <w:r>
        <w:rPr>
          <w:rFonts w:cs="Times New Roman"/>
          <w:szCs w:val="24"/>
          <w:lang w:val="en-CA"/>
        </w:rPr>
        <w:t>and</w:t>
      </w:r>
      <w:r w:rsidRPr="003A1387">
        <w:rPr>
          <w:rFonts w:cs="Times New Roman"/>
          <w:szCs w:val="24"/>
          <w:lang w:val="en-CA"/>
        </w:rPr>
        <w:t xml:space="preserve"> Eluru</w:t>
      </w:r>
      <w:r>
        <w:rPr>
          <w:rFonts w:cs="Times New Roman"/>
          <w:szCs w:val="24"/>
          <w:lang w:val="en-CA"/>
        </w:rPr>
        <w:t xml:space="preserve">, </w:t>
      </w:r>
      <w:r>
        <w:rPr>
          <w:rFonts w:cs="Times New Roman"/>
          <w:szCs w:val="24"/>
          <w:lang w:val="en-CA"/>
        </w:rPr>
        <w:fldChar w:fldCharType="begin" w:fldLock="1"/>
      </w:r>
      <w:r w:rsidR="00BB1448">
        <w:rPr>
          <w:rFonts w:cs="Times New Roman"/>
          <w:szCs w:val="24"/>
          <w:lang w:val="en-CA"/>
        </w:rPr>
        <w:instrText>ADDIN CSL_CITATION {"citationItems":[{"id":"ITEM-1","itemData":{"DOI":"10.1016/j.aap.2013.06.040","ISSN":"00014575","abstract":"This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Prevention","id":"ITEM-1","issued":{"date-parts":[["2013"]]},"page":"506-521","publisher":"Elsevier Ltd","title":"Evaluating alternate discrete outcome frameworks for modeling crash injury severity","type":"article-journal","volume":"59"},"uris":["http://www.mendeley.com/documents/?uuid=2e4da58e-7135-4f5a-8645-62bf0e1879d4","http://www.mendeley.com/documents/?uuid=9dd0d2b7-6b3f-4f54-8c25-f097ffb1d89a"]}],"mendeley":{"formattedCitation":"(&lt;i&gt;55&lt;/i&gt;)","plainTextFormattedCitation":"(55)","previouslyFormattedCitation":"(&lt;i&gt;55&lt;/i&gt;)"},"properties":{"noteIndex":0},"schema":"https://github.com/citation-style-language/schema/raw/master/csl-citation.json"}</w:instrText>
      </w:r>
      <w:r>
        <w:rPr>
          <w:rFonts w:cs="Times New Roman"/>
          <w:szCs w:val="24"/>
          <w:lang w:val="en-CA"/>
        </w:rPr>
        <w:fldChar w:fldCharType="separate"/>
      </w:r>
      <w:r w:rsidR="0076717B" w:rsidRPr="0076717B">
        <w:rPr>
          <w:rFonts w:cs="Times New Roman"/>
          <w:noProof/>
          <w:szCs w:val="24"/>
          <w:lang w:val="en-CA"/>
        </w:rPr>
        <w:t>(</w:t>
      </w:r>
      <w:r w:rsidR="0076717B" w:rsidRPr="0076717B">
        <w:rPr>
          <w:rFonts w:cs="Times New Roman"/>
          <w:i/>
          <w:noProof/>
          <w:szCs w:val="24"/>
          <w:lang w:val="en-CA"/>
        </w:rPr>
        <w:t>55</w:t>
      </w:r>
      <w:r w:rsidR="0076717B" w:rsidRPr="0076717B">
        <w:rPr>
          <w:rFonts w:cs="Times New Roman"/>
          <w:noProof/>
          <w:szCs w:val="24"/>
          <w:lang w:val="en-CA"/>
        </w:rPr>
        <w:t>)</w:t>
      </w:r>
      <w:r>
        <w:rPr>
          <w:rFonts w:cs="Times New Roman"/>
          <w:szCs w:val="24"/>
          <w:lang w:val="en-CA"/>
        </w:rPr>
        <w:fldChar w:fldCharType="end"/>
      </w:r>
      <w:r w:rsidRPr="00DC594B">
        <w:rPr>
          <w:rFonts w:cs="Times New Roman"/>
          <w:szCs w:val="24"/>
          <w:lang w:val="en-CA"/>
        </w:rPr>
        <w:t xml:space="preserve"> for more details).</w:t>
      </w:r>
    </w:p>
    <w:p w14:paraId="76665178" w14:textId="77777777" w:rsidR="009E1E51" w:rsidRDefault="009E1E51" w:rsidP="009E1E51">
      <w:pPr>
        <w:spacing w:after="0"/>
        <w:ind w:firstLine="720"/>
      </w:pPr>
    </w:p>
    <w:p w14:paraId="258118BA" w14:textId="567E28F2" w:rsidR="007F74B5" w:rsidRDefault="007F74B5" w:rsidP="00972ACB">
      <w:pPr>
        <w:pStyle w:val="Heading1"/>
      </w:pPr>
      <w:r>
        <w:t>MODEL DEVELOPMENT</w:t>
      </w:r>
    </w:p>
    <w:p w14:paraId="3624142D" w14:textId="782E0094" w:rsidR="00AD35ED" w:rsidRDefault="000C3236" w:rsidP="003231AE">
      <w:r>
        <w:t>As described earlier</w:t>
      </w:r>
      <w:r w:rsidR="00BE026E">
        <w:t xml:space="preserve">, we estimate the model </w:t>
      </w:r>
      <w:r>
        <w:t xml:space="preserve">components employing </w:t>
      </w:r>
      <w:r w:rsidR="00BE026E">
        <w:t xml:space="preserve">a </w:t>
      </w:r>
      <w:r w:rsidR="004B0E72">
        <w:t xml:space="preserve">randomly chosen </w:t>
      </w:r>
      <w:r w:rsidR="00BE026E">
        <w:t xml:space="preserve">dataset </w:t>
      </w:r>
      <w:r w:rsidR="004B0E72">
        <w:t xml:space="preserve">of </w:t>
      </w:r>
      <w:r w:rsidR="00031A40">
        <w:t>10,000 record</w:t>
      </w:r>
      <w:r w:rsidR="004B0E72">
        <w:t>s</w:t>
      </w:r>
      <w:r w:rsidR="008B7A0E">
        <w:t xml:space="preserve"> for computational efficiency and avoiding overfitting</w:t>
      </w:r>
      <w:r w:rsidR="00031A40">
        <w:t xml:space="preserve">. </w:t>
      </w:r>
      <w:r>
        <w:t xml:space="preserve">Given the possibility that the random sample might not represent the population, we </w:t>
      </w:r>
      <w:r w:rsidR="008B7A0E">
        <w:t xml:space="preserve">draw 25 samples of 10,000 and examine the role of randomness in the parameter stability across the samples for linear regression and </w:t>
      </w:r>
      <w:r w:rsidR="008B7A0E">
        <w:lastRenderedPageBreak/>
        <w:t>multinomial logit models. To examine parameters stability, we employ t</w:t>
      </w:r>
      <w:r w:rsidR="00AD35ED">
        <w:t>he following</w:t>
      </w:r>
      <w:r w:rsidR="00CD0E0D">
        <w:t xml:space="preserve"> revised Wald test statistic approach across 25 samples</w:t>
      </w:r>
      <w:r w:rsidR="008B7A0E">
        <w:t>:</w:t>
      </w:r>
    </w:p>
    <w:p w14:paraId="2A60D53D" w14:textId="77777777" w:rsidR="00AD35ED" w:rsidRPr="00AD35ED" w:rsidRDefault="00AD35ED" w:rsidP="00AD35ED">
      <w:pPr>
        <w:pStyle w:val="NoSpacing"/>
        <w:rPr>
          <w:rFonts w:eastAsiaTheme="minorEastAsia" w:cs="Times New Roman"/>
          <w:szCs w:val="24"/>
        </w:rPr>
      </w:pPr>
      <w:r w:rsidRPr="00AD35ED">
        <w:rPr>
          <w:rFonts w:eastAsiaTheme="minorEastAsia" w:cs="Times New Roman"/>
          <w:szCs w:val="24"/>
        </w:rPr>
        <w:t xml:space="preserve">Parameter test statistic = </w:t>
      </w:r>
      <m:oMath>
        <m:r>
          <w:rPr>
            <w:rFonts w:ascii="Cambria Math" w:eastAsiaTheme="minorEastAsia" w:hAnsi="Cambria Math" w:cs="Times New Roman"/>
            <w:sz w:val="28"/>
            <w:szCs w:val="28"/>
          </w:rPr>
          <m:t>abs</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(sample parameter-population benchmark)</m:t>
                </m:r>
              </m:num>
              <m:den>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r>
                              <w:rPr>
                                <w:rFonts w:ascii="Cambria Math" w:eastAsiaTheme="minorEastAsia" w:hAnsi="Cambria Math" w:cs="Times New Roman"/>
                                <w:sz w:val="28"/>
                                <w:szCs w:val="28"/>
                              </w:rPr>
                              <m:t>sample</m:t>
                            </m:r>
                          </m:sub>
                        </m:sSub>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r>
                              <w:rPr>
                                <w:rFonts w:ascii="Cambria Math" w:eastAsiaTheme="minorEastAsia" w:hAnsi="Cambria Math" w:cs="Times New Roman"/>
                                <w:sz w:val="28"/>
                                <w:szCs w:val="28"/>
                              </w:rPr>
                              <m:t>population</m:t>
                            </m:r>
                          </m:sub>
                        </m:sSub>
                      </m:e>
                      <m:sup>
                        <m:r>
                          <w:rPr>
                            <w:rFonts w:ascii="Cambria Math" w:eastAsiaTheme="minorEastAsia" w:hAnsi="Cambria Math" w:cs="Times New Roman"/>
                            <w:sz w:val="28"/>
                            <w:szCs w:val="28"/>
                          </w:rPr>
                          <m:t>2</m:t>
                        </m:r>
                      </m:sup>
                    </m:sSup>
                  </m:e>
                </m:rad>
              </m:den>
            </m:f>
          </m:e>
        </m:d>
      </m:oMath>
    </w:p>
    <w:p w14:paraId="35F44993" w14:textId="3A82B214" w:rsidR="004B0E72" w:rsidRPr="00AD35ED" w:rsidRDefault="00CD0E0D" w:rsidP="00AD35ED">
      <w:pPr>
        <w:ind w:firstLine="720"/>
      </w:pPr>
      <w:r>
        <w:t xml:space="preserve"> </w:t>
      </w:r>
    </w:p>
    <w:p w14:paraId="5E65ACEB" w14:textId="3263689A" w:rsidR="00A80AED" w:rsidRPr="008B36F3" w:rsidRDefault="00530AE9" w:rsidP="004314CA">
      <w:pPr>
        <w:ind w:firstLine="720"/>
        <w:rPr>
          <w:rFonts w:eastAsiaTheme="minorEastAsia" w:cs="Times New Roman"/>
          <w:szCs w:val="24"/>
        </w:rPr>
      </w:pPr>
      <w:r>
        <w:rPr>
          <w:rFonts w:eastAsiaTheme="minorEastAsia" w:cs="Times New Roman"/>
          <w:szCs w:val="24"/>
        </w:rPr>
        <w:t xml:space="preserve">The population benchmark is computed as the average value of the parameter across the 25 samples. </w:t>
      </w:r>
      <w:r w:rsidR="008B7A0E">
        <w:rPr>
          <w:rFonts w:eastAsiaTheme="minorEastAsia" w:cs="Times New Roman"/>
          <w:szCs w:val="24"/>
        </w:rPr>
        <w:t xml:space="preserve">If </w:t>
      </w:r>
      <w:r w:rsidR="00045EDE">
        <w:rPr>
          <w:rFonts w:eastAsiaTheme="minorEastAsia" w:cs="Times New Roman"/>
          <w:szCs w:val="24"/>
        </w:rPr>
        <w:t xml:space="preserve">any </w:t>
      </w:r>
      <w:r w:rsidR="008B7A0E">
        <w:rPr>
          <w:rFonts w:eastAsiaTheme="minorEastAsia" w:cs="Times New Roman"/>
          <w:szCs w:val="24"/>
        </w:rPr>
        <w:t xml:space="preserve">parameter for a sample </w:t>
      </w:r>
      <w:r w:rsidR="00045EDE">
        <w:rPr>
          <w:rFonts w:eastAsiaTheme="minorEastAsia" w:cs="Times New Roman"/>
          <w:szCs w:val="24"/>
        </w:rPr>
        <w:t xml:space="preserve">is significantly different from the </w:t>
      </w:r>
      <w:r>
        <w:rPr>
          <w:rFonts w:eastAsiaTheme="minorEastAsia" w:cs="Times New Roman"/>
          <w:szCs w:val="24"/>
        </w:rPr>
        <w:t xml:space="preserve">population benchmark, the </w:t>
      </w:r>
      <w:r w:rsidR="004314CA">
        <w:rPr>
          <w:rFonts w:eastAsiaTheme="minorEastAsia" w:cs="Times New Roman"/>
          <w:szCs w:val="24"/>
        </w:rPr>
        <w:t xml:space="preserve">Wald statistics will be larger than the </w:t>
      </w:r>
      <w:r w:rsidR="004314CA" w:rsidRPr="0074126E">
        <w:rPr>
          <w:rFonts w:eastAsiaTheme="minorEastAsia" w:cs="Times New Roman"/>
          <w:szCs w:val="24"/>
        </w:rPr>
        <w:t>90% t-statistic</w:t>
      </w:r>
      <w:r w:rsidR="004314CA">
        <w:rPr>
          <w:rFonts w:eastAsiaTheme="minorEastAsia" w:cs="Times New Roman"/>
          <w:szCs w:val="24"/>
        </w:rPr>
        <w:t xml:space="preserve"> value of 1.65. </w:t>
      </w:r>
      <w:r w:rsidR="00051DE9">
        <w:rPr>
          <w:rFonts w:eastAsiaTheme="minorEastAsia" w:cs="Times New Roman"/>
          <w:b/>
          <w:bCs/>
          <w:szCs w:val="24"/>
        </w:rPr>
        <w:t xml:space="preserve">Figure </w:t>
      </w:r>
      <w:r w:rsidR="00C20630">
        <w:rPr>
          <w:rFonts w:eastAsiaTheme="minorEastAsia" w:cs="Times New Roman"/>
          <w:b/>
          <w:bCs/>
          <w:szCs w:val="24"/>
        </w:rPr>
        <w:t>2</w:t>
      </w:r>
      <w:r w:rsidR="00051DE9">
        <w:rPr>
          <w:rFonts w:eastAsiaTheme="minorEastAsia" w:cs="Times New Roman"/>
          <w:b/>
          <w:bCs/>
          <w:szCs w:val="24"/>
        </w:rPr>
        <w:t xml:space="preserve"> </w:t>
      </w:r>
      <w:r w:rsidR="00051DE9">
        <w:rPr>
          <w:rFonts w:eastAsiaTheme="minorEastAsia" w:cs="Times New Roman"/>
          <w:szCs w:val="24"/>
        </w:rPr>
        <w:t xml:space="preserve">and </w:t>
      </w:r>
      <w:r w:rsidR="00051DE9">
        <w:rPr>
          <w:rFonts w:eastAsiaTheme="minorEastAsia" w:cs="Times New Roman"/>
          <w:b/>
          <w:bCs/>
          <w:szCs w:val="24"/>
        </w:rPr>
        <w:t xml:space="preserve">Figure </w:t>
      </w:r>
      <w:r w:rsidR="00C20630">
        <w:rPr>
          <w:rFonts w:eastAsiaTheme="minorEastAsia" w:cs="Times New Roman"/>
          <w:b/>
          <w:bCs/>
          <w:szCs w:val="24"/>
        </w:rPr>
        <w:t>3</w:t>
      </w:r>
      <w:r w:rsidR="00051DE9">
        <w:rPr>
          <w:rFonts w:eastAsiaTheme="minorEastAsia" w:cs="Times New Roman"/>
          <w:szCs w:val="24"/>
        </w:rPr>
        <w:t xml:space="preserve"> illustrates t</w:t>
      </w:r>
      <w:r w:rsidR="00051DE9" w:rsidRPr="0074126E">
        <w:rPr>
          <w:rFonts w:eastAsiaTheme="minorEastAsia" w:cs="Times New Roman"/>
          <w:szCs w:val="24"/>
        </w:rPr>
        <w:t>he range of revised Wald test statistic</w:t>
      </w:r>
      <w:r w:rsidR="00051DE9">
        <w:rPr>
          <w:rFonts w:eastAsiaTheme="minorEastAsia" w:cs="Times New Roman"/>
          <w:szCs w:val="24"/>
        </w:rPr>
        <w:t xml:space="preserve"> for 25 </w:t>
      </w:r>
      <w:r w:rsidR="004314CA">
        <w:rPr>
          <w:rFonts w:eastAsiaTheme="minorEastAsia" w:cs="Times New Roman"/>
          <w:szCs w:val="24"/>
        </w:rPr>
        <w:t xml:space="preserve">samples </w:t>
      </w:r>
      <w:r w:rsidR="00837354">
        <w:rPr>
          <w:rFonts w:eastAsiaTheme="minorEastAsia" w:cs="Times New Roman"/>
          <w:szCs w:val="24"/>
        </w:rPr>
        <w:t>for trip fare model and destination choice model respectively</w:t>
      </w:r>
      <w:r w:rsidR="00A326E1">
        <w:rPr>
          <w:rFonts w:eastAsiaTheme="minorEastAsia" w:cs="Times New Roman"/>
          <w:szCs w:val="24"/>
        </w:rPr>
        <w:t xml:space="preserve"> in a box plot</w:t>
      </w:r>
      <w:r w:rsidR="00837354">
        <w:rPr>
          <w:rFonts w:eastAsiaTheme="minorEastAsia" w:cs="Times New Roman"/>
          <w:szCs w:val="24"/>
        </w:rPr>
        <w:t>.</w:t>
      </w:r>
      <w:r w:rsidR="00051DE9">
        <w:rPr>
          <w:rFonts w:eastAsiaTheme="minorEastAsia" w:cs="Times New Roman"/>
          <w:szCs w:val="24"/>
        </w:rPr>
        <w:t xml:space="preserve"> </w:t>
      </w:r>
      <w:r w:rsidR="00837354">
        <w:rPr>
          <w:rFonts w:eastAsiaTheme="minorEastAsia" w:cs="Times New Roman"/>
          <w:szCs w:val="24"/>
        </w:rPr>
        <w:t>It</w:t>
      </w:r>
      <w:r w:rsidR="00051DE9">
        <w:rPr>
          <w:rFonts w:eastAsiaTheme="minorEastAsia" w:cs="Times New Roman"/>
          <w:szCs w:val="24"/>
        </w:rPr>
        <w:t xml:space="preserve"> is evident </w:t>
      </w:r>
      <w:r w:rsidR="00837354">
        <w:rPr>
          <w:rFonts w:eastAsiaTheme="minorEastAsia" w:cs="Times New Roman"/>
          <w:szCs w:val="24"/>
        </w:rPr>
        <w:t xml:space="preserve">from </w:t>
      </w:r>
      <w:r w:rsidR="00837354">
        <w:rPr>
          <w:rFonts w:eastAsiaTheme="minorEastAsia" w:cs="Times New Roman"/>
          <w:b/>
          <w:bCs/>
          <w:szCs w:val="24"/>
        </w:rPr>
        <w:t xml:space="preserve">Figure </w:t>
      </w:r>
      <w:r w:rsidR="00C20630">
        <w:rPr>
          <w:rFonts w:eastAsiaTheme="minorEastAsia" w:cs="Times New Roman"/>
          <w:b/>
          <w:bCs/>
          <w:szCs w:val="24"/>
        </w:rPr>
        <w:t>2</w:t>
      </w:r>
      <w:r w:rsidR="00837354">
        <w:rPr>
          <w:rFonts w:eastAsiaTheme="minorEastAsia" w:cs="Times New Roman"/>
          <w:b/>
          <w:bCs/>
          <w:szCs w:val="24"/>
        </w:rPr>
        <w:t xml:space="preserve"> </w:t>
      </w:r>
      <w:r w:rsidR="00837354">
        <w:rPr>
          <w:rFonts w:eastAsiaTheme="minorEastAsia" w:cs="Times New Roman"/>
          <w:szCs w:val="24"/>
        </w:rPr>
        <w:t xml:space="preserve">and </w:t>
      </w:r>
      <w:r w:rsidR="00837354">
        <w:rPr>
          <w:rFonts w:eastAsiaTheme="minorEastAsia" w:cs="Times New Roman"/>
          <w:b/>
          <w:bCs/>
          <w:szCs w:val="24"/>
        </w:rPr>
        <w:t xml:space="preserve">Figure </w:t>
      </w:r>
      <w:r w:rsidR="00C20630">
        <w:rPr>
          <w:rFonts w:eastAsiaTheme="minorEastAsia" w:cs="Times New Roman"/>
          <w:b/>
          <w:bCs/>
          <w:szCs w:val="24"/>
        </w:rPr>
        <w:t>3</w:t>
      </w:r>
      <w:r w:rsidR="00837354">
        <w:rPr>
          <w:rFonts w:eastAsiaTheme="minorEastAsia" w:cs="Times New Roman"/>
          <w:b/>
          <w:bCs/>
          <w:szCs w:val="24"/>
        </w:rPr>
        <w:t xml:space="preserve"> </w:t>
      </w:r>
      <w:r w:rsidR="00051DE9">
        <w:rPr>
          <w:rFonts w:eastAsiaTheme="minorEastAsia" w:cs="Times New Roman"/>
          <w:szCs w:val="24"/>
        </w:rPr>
        <w:t>that mean</w:t>
      </w:r>
      <w:r w:rsidR="00187C56">
        <w:rPr>
          <w:rFonts w:eastAsiaTheme="minorEastAsia" w:cs="Times New Roman"/>
          <w:szCs w:val="24"/>
        </w:rPr>
        <w:t>s</w:t>
      </w:r>
      <w:r w:rsidR="00051DE9">
        <w:rPr>
          <w:rFonts w:eastAsiaTheme="minorEastAsia" w:cs="Times New Roman"/>
          <w:szCs w:val="24"/>
        </w:rPr>
        <w:t xml:space="preserve"> </w:t>
      </w:r>
      <w:r w:rsidR="00187C56">
        <w:rPr>
          <w:rFonts w:eastAsiaTheme="minorEastAsia" w:cs="Times New Roman"/>
          <w:szCs w:val="24"/>
        </w:rPr>
        <w:t>of the r</w:t>
      </w:r>
      <w:r w:rsidR="00051DE9">
        <w:rPr>
          <w:rFonts w:eastAsiaTheme="minorEastAsia" w:cs="Times New Roman"/>
          <w:szCs w:val="24"/>
        </w:rPr>
        <w:t xml:space="preserve">evised Wald test statistic of all the exogenous variables </w:t>
      </w:r>
      <w:r w:rsidR="00DF20F1">
        <w:rPr>
          <w:rFonts w:eastAsiaTheme="minorEastAsia" w:cs="Times New Roman"/>
          <w:szCs w:val="24"/>
        </w:rPr>
        <w:t xml:space="preserve">(and majority of the realizations) </w:t>
      </w:r>
      <w:r w:rsidR="00051DE9">
        <w:rPr>
          <w:rFonts w:eastAsiaTheme="minorEastAsia" w:cs="Times New Roman"/>
          <w:szCs w:val="24"/>
        </w:rPr>
        <w:t xml:space="preserve">are well within 90% test statistic. </w:t>
      </w:r>
      <w:r w:rsidR="001273A2">
        <w:rPr>
          <w:rFonts w:eastAsiaTheme="minorEastAsia" w:cs="Times New Roman"/>
          <w:szCs w:val="24"/>
        </w:rPr>
        <w:t>To be precise, in case of the trip fare model</w:t>
      </w:r>
      <w:r w:rsidR="001D66A2">
        <w:rPr>
          <w:rFonts w:eastAsiaTheme="minorEastAsia" w:cs="Times New Roman"/>
          <w:szCs w:val="24"/>
        </w:rPr>
        <w:t xml:space="preserve"> (destination choice model)</w:t>
      </w:r>
      <w:r w:rsidR="001273A2">
        <w:rPr>
          <w:rFonts w:eastAsiaTheme="minorEastAsia" w:cs="Times New Roman"/>
          <w:szCs w:val="24"/>
        </w:rPr>
        <w:t>, only two</w:t>
      </w:r>
      <w:r w:rsidR="001D66A2">
        <w:rPr>
          <w:rFonts w:eastAsiaTheme="minorEastAsia" w:cs="Times New Roman"/>
          <w:szCs w:val="24"/>
        </w:rPr>
        <w:t xml:space="preserve"> (six)</w:t>
      </w:r>
      <w:r w:rsidR="001273A2">
        <w:rPr>
          <w:rFonts w:eastAsiaTheme="minorEastAsia" w:cs="Times New Roman"/>
          <w:szCs w:val="24"/>
        </w:rPr>
        <w:t xml:space="preserve"> test statistic values among 450</w:t>
      </w:r>
      <w:r w:rsidR="001D66A2">
        <w:rPr>
          <w:rFonts w:eastAsiaTheme="minorEastAsia" w:cs="Times New Roman"/>
          <w:szCs w:val="24"/>
        </w:rPr>
        <w:t xml:space="preserve"> (500)</w:t>
      </w:r>
      <w:r w:rsidR="001273A2">
        <w:rPr>
          <w:rFonts w:eastAsiaTheme="minorEastAsia" w:cs="Times New Roman"/>
          <w:szCs w:val="24"/>
        </w:rPr>
        <w:t xml:space="preserve"> values generated were found to be greater than 90% test statistic.</w:t>
      </w:r>
      <w:r w:rsidR="001D66A2">
        <w:rPr>
          <w:rFonts w:eastAsiaTheme="minorEastAsia" w:cs="Times New Roman"/>
          <w:szCs w:val="24"/>
        </w:rPr>
        <w:t xml:space="preserve"> </w:t>
      </w:r>
      <w:r w:rsidR="00051DE9">
        <w:rPr>
          <w:rFonts w:eastAsiaTheme="minorEastAsia" w:cs="Times New Roman"/>
          <w:szCs w:val="24"/>
        </w:rPr>
        <w:t xml:space="preserve">Therefore, </w:t>
      </w:r>
      <w:r w:rsidR="00DF20F1">
        <w:rPr>
          <w:rFonts w:eastAsiaTheme="minorEastAsia" w:cs="Times New Roman"/>
          <w:szCs w:val="24"/>
        </w:rPr>
        <w:t xml:space="preserve">we </w:t>
      </w:r>
      <w:r w:rsidR="00051DE9">
        <w:rPr>
          <w:rFonts w:eastAsiaTheme="minorEastAsia" w:cs="Times New Roman"/>
          <w:szCs w:val="24"/>
        </w:rPr>
        <w:t xml:space="preserve">can </w:t>
      </w:r>
      <w:r w:rsidR="00DF20F1">
        <w:rPr>
          <w:rFonts w:eastAsiaTheme="minorEastAsia" w:cs="Times New Roman"/>
          <w:szCs w:val="24"/>
        </w:rPr>
        <w:t xml:space="preserve">conclude </w:t>
      </w:r>
      <w:r w:rsidR="00051DE9">
        <w:rPr>
          <w:rFonts w:eastAsiaTheme="minorEastAsia" w:cs="Times New Roman"/>
          <w:szCs w:val="24"/>
        </w:rPr>
        <w:t xml:space="preserve">that the parameters estimated </w:t>
      </w:r>
      <w:r w:rsidR="00DF20F1">
        <w:rPr>
          <w:rFonts w:eastAsiaTheme="minorEastAsia" w:cs="Times New Roman"/>
          <w:szCs w:val="24"/>
        </w:rPr>
        <w:t xml:space="preserve">across the random samples are </w:t>
      </w:r>
      <w:r w:rsidR="00051DE9">
        <w:rPr>
          <w:rFonts w:eastAsiaTheme="minorEastAsia" w:cs="Times New Roman"/>
          <w:szCs w:val="24"/>
        </w:rPr>
        <w:t>stable</w:t>
      </w:r>
      <w:r w:rsidR="00BC2B14">
        <w:rPr>
          <w:rFonts w:eastAsiaTheme="minorEastAsia" w:cs="Times New Roman"/>
          <w:szCs w:val="24"/>
        </w:rPr>
        <w:t xml:space="preserve"> and there </w:t>
      </w:r>
      <w:r w:rsidR="00837354">
        <w:rPr>
          <w:rFonts w:eastAsiaTheme="minorEastAsia" w:cs="Times New Roman"/>
          <w:szCs w:val="24"/>
        </w:rPr>
        <w:t>is</w:t>
      </w:r>
      <w:r w:rsidR="00BC2B14">
        <w:rPr>
          <w:rFonts w:eastAsiaTheme="minorEastAsia" w:cs="Times New Roman"/>
          <w:szCs w:val="24"/>
        </w:rPr>
        <w:t xml:space="preserve"> no</w:t>
      </w:r>
      <w:r w:rsidR="00187C56">
        <w:rPr>
          <w:rFonts w:eastAsiaTheme="minorEastAsia" w:cs="Times New Roman"/>
          <w:szCs w:val="24"/>
        </w:rPr>
        <w:t xml:space="preserve"> significant</w:t>
      </w:r>
      <w:r w:rsidR="00BC2B14">
        <w:rPr>
          <w:rFonts w:eastAsiaTheme="minorEastAsia" w:cs="Times New Roman"/>
          <w:szCs w:val="24"/>
        </w:rPr>
        <w:t xml:space="preserve"> difference in parameter</w:t>
      </w:r>
      <w:r w:rsidR="00DF20F1">
        <w:rPr>
          <w:rFonts w:eastAsiaTheme="minorEastAsia" w:cs="Times New Roman"/>
          <w:szCs w:val="24"/>
        </w:rPr>
        <w:t>s</w:t>
      </w:r>
      <w:r w:rsidR="00BC2B14">
        <w:rPr>
          <w:rFonts w:eastAsiaTheme="minorEastAsia" w:cs="Times New Roman"/>
          <w:szCs w:val="24"/>
        </w:rPr>
        <w:t xml:space="preserve"> estimated </w:t>
      </w:r>
      <w:r w:rsidR="00DF20F1">
        <w:rPr>
          <w:rFonts w:eastAsiaTheme="minorEastAsia" w:cs="Times New Roman"/>
          <w:szCs w:val="24"/>
        </w:rPr>
        <w:t>across samples</w:t>
      </w:r>
      <w:r w:rsidR="00051DE9">
        <w:rPr>
          <w:rFonts w:eastAsiaTheme="minorEastAsia" w:cs="Times New Roman"/>
          <w:szCs w:val="24"/>
        </w:rPr>
        <w:t xml:space="preserve">. </w:t>
      </w:r>
    </w:p>
    <w:p w14:paraId="076D1E5F" w14:textId="460626FD" w:rsidR="00A80AED" w:rsidRDefault="001D66A2" w:rsidP="00C740EE">
      <w:pPr>
        <w:ind w:firstLine="720"/>
      </w:pPr>
      <w:r>
        <w:rPr>
          <w:rFonts w:eastAsiaTheme="minorEastAsia" w:cs="Times New Roman"/>
          <w:szCs w:val="24"/>
        </w:rPr>
        <w:t xml:space="preserve">After establishing that the random </w:t>
      </w:r>
      <w:proofErr w:type="gramStart"/>
      <w:r>
        <w:rPr>
          <w:rFonts w:eastAsiaTheme="minorEastAsia" w:cs="Times New Roman"/>
          <w:szCs w:val="24"/>
        </w:rPr>
        <w:t>sample based</w:t>
      </w:r>
      <w:proofErr w:type="gramEnd"/>
      <w:r>
        <w:rPr>
          <w:rFonts w:eastAsiaTheme="minorEastAsia" w:cs="Times New Roman"/>
          <w:szCs w:val="24"/>
        </w:rPr>
        <w:t xml:space="preserve"> models are stable, </w:t>
      </w:r>
      <w:r w:rsidR="00031A40">
        <w:t>we estimate a joint LR-MNL</w:t>
      </w:r>
      <w:r w:rsidR="001F799C">
        <w:t xml:space="preserve"> </w:t>
      </w:r>
      <w:r w:rsidR="00031A40">
        <w:t xml:space="preserve">model </w:t>
      </w:r>
      <w:r w:rsidR="00D53B57">
        <w:t>which accounts for common</w:t>
      </w:r>
      <w:r w:rsidR="00A80AED">
        <w:t xml:space="preserve"> unobserved heterogeneity</w:t>
      </w:r>
      <w:r w:rsidR="00D53B57">
        <w:t xml:space="preserve"> between </w:t>
      </w:r>
      <w:r w:rsidR="00031A40">
        <w:t>trip fare and trip destination</w:t>
      </w:r>
      <w:r>
        <w:t xml:space="preserve"> for one sample</w:t>
      </w:r>
      <w:r w:rsidR="001F799C">
        <w:t>.</w:t>
      </w:r>
      <w:r w:rsidR="007F74B5">
        <w:t xml:space="preserve"> </w:t>
      </w:r>
    </w:p>
    <w:p w14:paraId="24308CCA" w14:textId="77777777" w:rsidR="00D53B57" w:rsidRPr="00C740EE" w:rsidRDefault="00D53B57" w:rsidP="00C740EE">
      <w:pPr>
        <w:ind w:firstLine="720"/>
        <w:rPr>
          <w:rFonts w:ascii="Calibri" w:eastAsia="Times New Roman" w:hAnsi="Calibri" w:cs="Calibri"/>
          <w:color w:val="000000"/>
          <w:sz w:val="22"/>
        </w:rPr>
      </w:pPr>
    </w:p>
    <w:p w14:paraId="76CDF9B1" w14:textId="0B5F9626" w:rsidR="007F74B5" w:rsidRDefault="006E0A9A" w:rsidP="006B4F01">
      <w:pPr>
        <w:pStyle w:val="Caption"/>
        <w:spacing w:after="0"/>
      </w:pPr>
      <w:r>
        <w:t xml:space="preserve">Figure 2 Asymptotic t-statistic for the </w:t>
      </w:r>
      <w:r w:rsidR="0024387C">
        <w:t xml:space="preserve">parameters </w:t>
      </w:r>
      <w:r>
        <w:t>estimate</w:t>
      </w:r>
      <w:r w:rsidR="0024387C">
        <w:t>d</w:t>
      </w:r>
      <w:r>
        <w:t xml:space="preserve"> of trip fare model</w:t>
      </w:r>
    </w:p>
    <w:p w14:paraId="2ED3BB5C" w14:textId="77777777" w:rsidR="00DC49B7" w:rsidRDefault="00DC49B7" w:rsidP="00A80AED">
      <w:pPr>
        <w:pStyle w:val="Caption"/>
      </w:pPr>
    </w:p>
    <w:p w14:paraId="04222D13" w14:textId="1258FE5F" w:rsidR="00A80AED" w:rsidRDefault="00A80AED" w:rsidP="00A80AED">
      <w:pPr>
        <w:pStyle w:val="Caption"/>
      </w:pPr>
      <w:r>
        <w:t xml:space="preserve">Figure 3 Asymptotic t-statistic for the </w:t>
      </w:r>
      <w:r w:rsidR="0024387C">
        <w:t xml:space="preserve">parameters </w:t>
      </w:r>
      <w:r>
        <w:t>estimate</w:t>
      </w:r>
      <w:r w:rsidR="0024387C">
        <w:t>d</w:t>
      </w:r>
      <w:r>
        <w:t xml:space="preserve"> of destination choice model</w:t>
      </w:r>
    </w:p>
    <w:p w14:paraId="7B233E14" w14:textId="77777777" w:rsidR="00DC49B7" w:rsidRPr="00DC49B7" w:rsidRDefault="00DC49B7" w:rsidP="00DC49B7"/>
    <w:p w14:paraId="6EA7F9BF" w14:textId="32A7CA7B" w:rsidR="004F4BBE" w:rsidRDefault="00970588" w:rsidP="00972ACB">
      <w:pPr>
        <w:pStyle w:val="Heading1"/>
      </w:pPr>
      <w:r w:rsidRPr="00326700">
        <w:t xml:space="preserve">MODEL </w:t>
      </w:r>
      <w:r w:rsidRPr="00946954">
        <w:t>ESTIMATION</w:t>
      </w:r>
      <w:r w:rsidRPr="00326700">
        <w:t xml:space="preserve"> RESULT</w:t>
      </w:r>
      <w:r w:rsidR="00D32533">
        <w:t>S</w:t>
      </w:r>
    </w:p>
    <w:p w14:paraId="2761555E" w14:textId="7F90757C" w:rsidR="007815E4" w:rsidRDefault="007815E4" w:rsidP="00D53B57">
      <w:r>
        <w:t xml:space="preserve">The model performance of the proposed joint model is compared to the independent fare and destination models using log-likelihood (LL) and Bayesian Information Criterion (BIC) measures. </w:t>
      </w:r>
    </w:p>
    <w:p w14:paraId="08E46055" w14:textId="7357CFF8" w:rsidR="00542099" w:rsidRDefault="001D66A2" w:rsidP="00D53B57">
      <w:r>
        <w:t xml:space="preserve">The </w:t>
      </w:r>
      <w:r w:rsidR="00D53B57">
        <w:t xml:space="preserve">LL </w:t>
      </w:r>
      <w:r>
        <w:t>(</w:t>
      </w:r>
      <w:r w:rsidR="00D53B57">
        <w:t>BIC</w:t>
      </w:r>
      <w:r>
        <w:t>)</w:t>
      </w:r>
      <w:r w:rsidR="00D53B57">
        <w:t xml:space="preserve"> values of the independent LR and MNL model are -22857.920 </w:t>
      </w:r>
      <w:r>
        <w:t>(</w:t>
      </w:r>
      <w:r w:rsidR="00D53B57" w:rsidRPr="00C740EE">
        <w:t>46075.043</w:t>
      </w:r>
      <w:r>
        <w:t>)</w:t>
      </w:r>
      <w:r w:rsidR="001B3304">
        <w:t xml:space="preserve">. </w:t>
      </w:r>
      <w:r w:rsidR="00220AC7">
        <w:t xml:space="preserve">For the </w:t>
      </w:r>
      <w:r w:rsidR="00D53B57">
        <w:t>joint LR-MNL model system</w:t>
      </w:r>
      <w:r w:rsidR="001B3304">
        <w:t xml:space="preserve">, LL </w:t>
      </w:r>
      <w:r w:rsidR="00220AC7">
        <w:t>(</w:t>
      </w:r>
      <w:r w:rsidR="001B3304">
        <w:t>BIC</w:t>
      </w:r>
      <w:r w:rsidR="00220AC7">
        <w:t>)</w:t>
      </w:r>
      <w:r w:rsidR="001B3304">
        <w:t xml:space="preserve"> values </w:t>
      </w:r>
      <w:r w:rsidR="00D53B57">
        <w:t xml:space="preserve">were found to be -22717.000 </w:t>
      </w:r>
      <w:r w:rsidR="00220AC7">
        <w:t>(</w:t>
      </w:r>
      <w:r w:rsidR="00D53B57" w:rsidRPr="00A80AED">
        <w:t>45793.203</w:t>
      </w:r>
      <w:r w:rsidR="00220AC7">
        <w:t>)</w:t>
      </w:r>
      <w:r w:rsidR="00D53B57">
        <w:t xml:space="preserve">. Hence, the joint model system clearly outperforms the independent model system. </w:t>
      </w:r>
      <w:r w:rsidR="00C3425D">
        <w:t xml:space="preserve">For the sake of brevity, the results from the </w:t>
      </w:r>
      <w:r w:rsidR="00C740EE">
        <w:t>Joint LR-MNL m</w:t>
      </w:r>
      <w:r w:rsidR="004F4BBE">
        <w:t>odel estimation result</w:t>
      </w:r>
      <w:r w:rsidR="00C3425D">
        <w:t xml:space="preserve">s are discussed (see </w:t>
      </w:r>
      <w:r w:rsidR="004F4BBE">
        <w:rPr>
          <w:b/>
          <w:bCs/>
        </w:rPr>
        <w:t>Table 2</w:t>
      </w:r>
      <w:r w:rsidR="00080D05">
        <w:rPr>
          <w:b/>
          <w:bCs/>
        </w:rPr>
        <w:t>)</w:t>
      </w:r>
      <w:r w:rsidR="004F4BBE">
        <w:rPr>
          <w:b/>
          <w:bCs/>
        </w:rPr>
        <w:t>.</w:t>
      </w:r>
      <w:r w:rsidR="004F4BBE">
        <w:t xml:space="preserve"> </w:t>
      </w:r>
      <w:r w:rsidR="00B66720">
        <w:t xml:space="preserve">The discussion is organized by variable group. </w:t>
      </w:r>
    </w:p>
    <w:p w14:paraId="6AEFB28C" w14:textId="77777777" w:rsidR="00B153D2" w:rsidRDefault="00B153D2" w:rsidP="00B153D2">
      <w:pPr>
        <w:spacing w:after="0" w:line="259" w:lineRule="auto"/>
        <w:contextualSpacing w:val="0"/>
        <w:jc w:val="left"/>
      </w:pPr>
    </w:p>
    <w:p w14:paraId="04F13997" w14:textId="77777777" w:rsidR="00B153D2" w:rsidRDefault="00B153D2" w:rsidP="00B153D2">
      <w:pPr>
        <w:pStyle w:val="Heading2"/>
      </w:pPr>
      <w:r>
        <w:t>Trip Fare Model</w:t>
      </w:r>
    </w:p>
    <w:p w14:paraId="353AF627" w14:textId="77777777" w:rsidR="00B153D2" w:rsidRPr="00542099" w:rsidRDefault="00B153D2" w:rsidP="00B153D2">
      <w:pPr>
        <w:spacing w:after="0"/>
      </w:pPr>
    </w:p>
    <w:p w14:paraId="3201F4A9" w14:textId="77777777" w:rsidR="00B153D2" w:rsidRPr="00326700" w:rsidRDefault="00B153D2" w:rsidP="00B153D2">
      <w:pPr>
        <w:pStyle w:val="Heading3"/>
      </w:pPr>
      <w:r w:rsidRPr="00326700">
        <w:t>Trip Attributes</w:t>
      </w:r>
    </w:p>
    <w:p w14:paraId="5B519866" w14:textId="7B7F33A9" w:rsidR="00A54175" w:rsidRDefault="00B153D2" w:rsidP="00B153D2">
      <w:pPr>
        <w:keepNext/>
        <w:spacing w:after="0"/>
        <w:rPr>
          <w:rFonts w:cs="Times New Roman"/>
          <w:szCs w:val="24"/>
        </w:rPr>
      </w:pPr>
      <w:r>
        <w:rPr>
          <w:rFonts w:cs="Times New Roman"/>
          <w:szCs w:val="24"/>
        </w:rPr>
        <w:t xml:space="preserve">In </w:t>
      </w:r>
      <w:r>
        <w:rPr>
          <w:rFonts w:cs="Times New Roman"/>
          <w:b/>
          <w:bCs/>
          <w:szCs w:val="24"/>
        </w:rPr>
        <w:t>Table 2 s</w:t>
      </w:r>
      <w:r w:rsidRPr="00326700">
        <w:rPr>
          <w:rFonts w:cs="Times New Roman"/>
          <w:szCs w:val="24"/>
        </w:rPr>
        <w:t xml:space="preserve">everal trip attributes </w:t>
      </w:r>
      <w:r>
        <w:rPr>
          <w:rFonts w:cs="Times New Roman"/>
          <w:szCs w:val="24"/>
        </w:rPr>
        <w:t>are</w:t>
      </w:r>
      <w:r w:rsidRPr="00326700">
        <w:rPr>
          <w:rFonts w:cs="Times New Roman"/>
          <w:szCs w:val="24"/>
        </w:rPr>
        <w:t xml:space="preserve"> found to have significant impact on TNC fare. </w:t>
      </w:r>
      <w:r>
        <w:rPr>
          <w:rFonts w:cs="Times New Roman"/>
          <w:szCs w:val="24"/>
        </w:rPr>
        <w:t xml:space="preserve">Trip distance, as expected, has a positive impact on trip fare. Controlling for everything else, longer trips have higher fares. </w:t>
      </w:r>
      <w:r w:rsidRPr="00326700">
        <w:rPr>
          <w:rFonts w:cs="Times New Roman"/>
          <w:szCs w:val="24"/>
        </w:rPr>
        <w:t>If the trip starts and ends in PM peak period, fare is likely to increase for the corresponding trip. Similarly, when a trip end</w:t>
      </w:r>
      <w:r>
        <w:rPr>
          <w:rFonts w:cs="Times New Roman"/>
          <w:szCs w:val="24"/>
        </w:rPr>
        <w:t>s</w:t>
      </w:r>
      <w:r w:rsidRPr="00326700">
        <w:rPr>
          <w:rFonts w:cs="Times New Roman"/>
          <w:szCs w:val="24"/>
        </w:rPr>
        <w:t xml:space="preserve"> in AM peak period, </w:t>
      </w:r>
      <w:r>
        <w:rPr>
          <w:rFonts w:cs="Times New Roman"/>
          <w:szCs w:val="24"/>
        </w:rPr>
        <w:t>an increase in</w:t>
      </w:r>
      <w:r w:rsidRPr="00326700">
        <w:rPr>
          <w:rFonts w:cs="Times New Roman"/>
          <w:szCs w:val="24"/>
        </w:rPr>
        <w:t xml:space="preserve"> fare is observed. </w:t>
      </w:r>
      <w:r>
        <w:rPr>
          <w:rFonts w:cs="Times New Roman"/>
          <w:szCs w:val="24"/>
        </w:rPr>
        <w:lastRenderedPageBreak/>
        <w:t xml:space="preserve">The results are along expected lines and suggest that during peak periods a higher fare is levied. Finally, we also find that </w:t>
      </w:r>
      <w:r w:rsidRPr="00326700">
        <w:rPr>
          <w:rFonts w:cs="Times New Roman"/>
          <w:szCs w:val="24"/>
        </w:rPr>
        <w:t>shared</w:t>
      </w:r>
      <w:r>
        <w:rPr>
          <w:rFonts w:cs="Times New Roman"/>
          <w:szCs w:val="24"/>
        </w:rPr>
        <w:t xml:space="preserve"> trips are likely to have a lower fare as expected</w:t>
      </w:r>
      <w:r w:rsidRPr="00326700">
        <w:rPr>
          <w:rFonts w:cs="Times New Roman"/>
          <w:szCs w:val="24"/>
        </w:rPr>
        <w:t>.</w:t>
      </w:r>
    </w:p>
    <w:p w14:paraId="12164E69" w14:textId="77777777" w:rsidR="00DF6007" w:rsidRDefault="00DF6007" w:rsidP="00A54175">
      <w:pPr>
        <w:pStyle w:val="Caption"/>
      </w:pPr>
    </w:p>
    <w:p w14:paraId="4D0CA1B7" w14:textId="797ED74B" w:rsidR="00A54175" w:rsidRDefault="00A54175" w:rsidP="00A54175">
      <w:pPr>
        <w:pStyle w:val="Caption"/>
      </w:pPr>
      <w:r>
        <w:t>TABLE 2 Joint LR-MNL Model Result</w:t>
      </w:r>
    </w:p>
    <w:tbl>
      <w:tblPr>
        <w:tblW w:w="9257" w:type="dxa"/>
        <w:tblLook w:val="04A0" w:firstRow="1" w:lastRow="0" w:firstColumn="1" w:lastColumn="0" w:noHBand="0" w:noVBand="1"/>
      </w:tblPr>
      <w:tblGrid>
        <w:gridCol w:w="7133"/>
        <w:gridCol w:w="1124"/>
        <w:gridCol w:w="1000"/>
      </w:tblGrid>
      <w:tr w:rsidR="00A54175" w:rsidRPr="001022AF" w14:paraId="70AC0726" w14:textId="77777777" w:rsidTr="00593001">
        <w:trPr>
          <w:cantSplit/>
          <w:trHeight w:val="296"/>
          <w:tblHeader/>
        </w:trPr>
        <w:tc>
          <w:tcPr>
            <w:tcW w:w="7133" w:type="dxa"/>
            <w:tcBorders>
              <w:top w:val="double" w:sz="6" w:space="0" w:color="auto"/>
              <w:left w:val="double" w:sz="6" w:space="0" w:color="auto"/>
              <w:bottom w:val="single" w:sz="4" w:space="0" w:color="auto"/>
              <w:right w:val="single" w:sz="4" w:space="0" w:color="auto"/>
            </w:tcBorders>
            <w:shd w:val="clear" w:color="auto" w:fill="auto"/>
            <w:noWrap/>
            <w:vAlign w:val="center"/>
          </w:tcPr>
          <w:p w14:paraId="78A4C75D" w14:textId="77777777" w:rsidR="00A54175" w:rsidRPr="001022AF" w:rsidRDefault="00A54175" w:rsidP="00593001">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Variable</w:t>
            </w:r>
          </w:p>
        </w:tc>
        <w:tc>
          <w:tcPr>
            <w:tcW w:w="1124" w:type="dxa"/>
            <w:tcBorders>
              <w:top w:val="double" w:sz="6" w:space="0" w:color="auto"/>
              <w:left w:val="single" w:sz="4" w:space="0" w:color="auto"/>
              <w:bottom w:val="single" w:sz="4" w:space="0" w:color="auto"/>
              <w:right w:val="single" w:sz="4" w:space="0" w:color="auto"/>
            </w:tcBorders>
            <w:shd w:val="clear" w:color="auto" w:fill="auto"/>
            <w:noWrap/>
            <w:vAlign w:val="center"/>
          </w:tcPr>
          <w:p w14:paraId="64812B7A" w14:textId="77777777" w:rsidR="00A54175" w:rsidRPr="001022AF" w:rsidRDefault="00A54175" w:rsidP="00593001">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Estimate</w:t>
            </w:r>
          </w:p>
        </w:tc>
        <w:tc>
          <w:tcPr>
            <w:tcW w:w="1000" w:type="dxa"/>
            <w:tcBorders>
              <w:top w:val="double" w:sz="6" w:space="0" w:color="auto"/>
              <w:left w:val="single" w:sz="4" w:space="0" w:color="auto"/>
              <w:bottom w:val="single" w:sz="4" w:space="0" w:color="auto"/>
              <w:right w:val="double" w:sz="6" w:space="0" w:color="auto"/>
            </w:tcBorders>
            <w:shd w:val="clear" w:color="auto" w:fill="auto"/>
            <w:noWrap/>
            <w:vAlign w:val="center"/>
          </w:tcPr>
          <w:p w14:paraId="4A6DC85A" w14:textId="77777777" w:rsidR="00A54175" w:rsidRPr="001022AF" w:rsidRDefault="00A54175" w:rsidP="00593001">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t-stat</w:t>
            </w:r>
          </w:p>
        </w:tc>
      </w:tr>
      <w:tr w:rsidR="00A54175" w:rsidRPr="001022AF" w14:paraId="66A31CF0"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bottom"/>
          </w:tcPr>
          <w:p w14:paraId="129B3092" w14:textId="77777777" w:rsidR="00A54175" w:rsidRPr="001022AF" w:rsidRDefault="00A54175" w:rsidP="001022AF">
            <w:pPr>
              <w:spacing w:after="0"/>
              <w:jc w:val="center"/>
              <w:rPr>
                <w:rFonts w:eastAsia="Times New Roman" w:cs="Times New Roman"/>
                <w:b/>
                <w:bCs/>
                <w:color w:val="000000"/>
                <w:sz w:val="20"/>
                <w:szCs w:val="20"/>
              </w:rPr>
            </w:pPr>
            <w:r w:rsidRPr="001022AF">
              <w:rPr>
                <w:rFonts w:eastAsia="Times New Roman" w:cs="Times New Roman"/>
                <w:b/>
                <w:bCs/>
                <w:color w:val="000000"/>
                <w:sz w:val="20"/>
                <w:szCs w:val="20"/>
              </w:rPr>
              <w:t>Trip Fare Model</w:t>
            </w:r>
          </w:p>
        </w:tc>
      </w:tr>
      <w:tr w:rsidR="00A54175" w:rsidRPr="001022AF" w14:paraId="258E5CC2"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1A9A237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Constant</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F64DF"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1.638</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EDD944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86.286</w:t>
            </w:r>
          </w:p>
        </w:tc>
      </w:tr>
      <w:tr w:rsidR="00A54175" w:rsidRPr="001022AF" w14:paraId="6A6A6B7D"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618946B5" w14:textId="77777777" w:rsidR="00A54175" w:rsidRPr="001022AF" w:rsidRDefault="00A54175" w:rsidP="001022AF">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Trip Attributes</w:t>
            </w:r>
          </w:p>
        </w:tc>
      </w:tr>
      <w:tr w:rsidR="00A54175" w:rsidRPr="001022AF" w14:paraId="288CC8FB"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FFFFFF" w:themeFill="background1"/>
            <w:noWrap/>
            <w:vAlign w:val="center"/>
          </w:tcPr>
          <w:p w14:paraId="0FAA7D2B"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Trip distance</w:t>
            </w:r>
          </w:p>
        </w:tc>
        <w:tc>
          <w:tcPr>
            <w:tcW w:w="11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09D8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0.104</w:t>
            </w:r>
          </w:p>
        </w:tc>
        <w:tc>
          <w:tcPr>
            <w:tcW w:w="1000" w:type="dxa"/>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38F84C1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77.797</w:t>
            </w:r>
          </w:p>
        </w:tc>
      </w:tr>
      <w:tr w:rsidR="00A54175" w:rsidRPr="001022AF" w14:paraId="7691AE1E"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3C0713DC"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Trip start time (Base: Other periods)</w:t>
            </w:r>
          </w:p>
        </w:tc>
      </w:tr>
      <w:tr w:rsidR="00A54175" w:rsidRPr="001022AF" w14:paraId="234B2481"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DD1B4E0"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 xml:space="preserve">PM peak period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4D88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0.096</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7C2B29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3.546</w:t>
            </w:r>
          </w:p>
        </w:tc>
      </w:tr>
      <w:tr w:rsidR="00A54175" w:rsidRPr="001022AF" w14:paraId="43B22981"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14C42452"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Trip end time (Base: Other periods)</w:t>
            </w:r>
          </w:p>
        </w:tc>
      </w:tr>
      <w:tr w:rsidR="00A54175" w:rsidRPr="001022AF" w14:paraId="5D43B624"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4EF158A"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AM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1ED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0.045</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C1E9B97"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2.276</w:t>
            </w:r>
          </w:p>
        </w:tc>
      </w:tr>
      <w:tr w:rsidR="00A54175" w:rsidRPr="001022AF" w14:paraId="7C9B31F5"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9AF5C19"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PM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D67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0.045</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56C7397"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2.326</w:t>
            </w:r>
          </w:p>
        </w:tc>
      </w:tr>
      <w:tr w:rsidR="00A54175" w:rsidRPr="001022AF" w14:paraId="5346AE97"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68D8767E"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Shared trip indicator (Base: No)</w:t>
            </w:r>
          </w:p>
        </w:tc>
      </w:tr>
      <w:tr w:rsidR="00A54175" w:rsidRPr="001022AF" w14:paraId="7ED17230"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9A4C97F"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Yes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2E38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-0.371</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26F9C71"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-37.494</w:t>
            </w:r>
          </w:p>
        </w:tc>
      </w:tr>
      <w:tr w:rsidR="00A54175" w:rsidRPr="001022AF" w14:paraId="33CAC3FA"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4416A52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b/>
                <w:bCs/>
                <w:color w:val="000000"/>
                <w:sz w:val="20"/>
                <w:szCs w:val="20"/>
              </w:rPr>
              <w:t>Origin Attributes</w:t>
            </w:r>
          </w:p>
        </w:tc>
      </w:tr>
      <w:tr w:rsidR="00A54175" w:rsidRPr="001022AF" w14:paraId="660B5BB0"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4CD1C80"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Demand in last 15 minutes at origin*AM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B035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-0.019</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64BD3DB"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-2.683</w:t>
            </w:r>
          </w:p>
        </w:tc>
      </w:tr>
      <w:tr w:rsidR="00A54175" w:rsidRPr="001022AF" w14:paraId="4361EFBA"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CC954B0"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Demand in last 15 minutes at origin*PM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2D767"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0.021</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7CE60BB"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2.683</w:t>
            </w:r>
          </w:p>
        </w:tc>
      </w:tr>
      <w:tr w:rsidR="00A54175" w:rsidRPr="001022AF" w14:paraId="787145B4"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F368DE9"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Network distance to origin from CBD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E73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0.010</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A29962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5.271</w:t>
            </w:r>
          </w:p>
        </w:tc>
      </w:tr>
      <w:tr w:rsidR="00A54175" w:rsidRPr="001022AF" w14:paraId="0FBE0560"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C8C02CD"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Network distance to origin from CBD*PM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4486B"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-0.011</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66AF17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-2.713</w:t>
            </w:r>
          </w:p>
        </w:tc>
      </w:tr>
      <w:tr w:rsidR="00A54175" w:rsidRPr="001022AF" w14:paraId="59687406"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7E0EE9F"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Number of L stations*AM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0CD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-0.008</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70BC3EF"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-1.643</w:t>
            </w:r>
          </w:p>
        </w:tc>
      </w:tr>
      <w:tr w:rsidR="00A54175" w:rsidRPr="001022AF" w14:paraId="6EB87354"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737FFF8"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Employment density at origin</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39540"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-0.012</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9618F05"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-2.675</w:t>
            </w:r>
          </w:p>
        </w:tc>
      </w:tr>
      <w:tr w:rsidR="00A54175" w:rsidRPr="001022AF" w14:paraId="2E3A6123"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52D466B"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Snow depth</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35B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-0.010</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161565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-2.838</w:t>
            </w:r>
          </w:p>
        </w:tc>
      </w:tr>
      <w:tr w:rsidR="00A54175" w:rsidRPr="001022AF" w14:paraId="60039072" w14:textId="77777777" w:rsidTr="001022AF">
        <w:trPr>
          <w:trHeight w:val="296"/>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10AD362A"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b/>
                <w:bCs/>
                <w:color w:val="000000"/>
                <w:sz w:val="20"/>
                <w:szCs w:val="20"/>
              </w:rPr>
              <w:t>Destination Attributes</w:t>
            </w:r>
          </w:p>
        </w:tc>
      </w:tr>
      <w:tr w:rsidR="00A54175" w:rsidRPr="001022AF" w14:paraId="4DCCEFAB" w14:textId="77777777" w:rsidTr="00593001">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3C93F2F" w14:textId="77777777" w:rsidR="00A54175" w:rsidRPr="001022AF" w:rsidRDefault="00A54175" w:rsidP="00593001">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Demand in last 15 minutes at destination*AM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9926A"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0.032</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AC2CA04"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5.157</w:t>
            </w:r>
          </w:p>
        </w:tc>
      </w:tr>
      <w:tr w:rsidR="00A54175" w:rsidRPr="001022AF" w14:paraId="0267BFD2"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A134265"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Network distance to destination from CBD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6FD4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B8F4570"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-3.836</w:t>
            </w:r>
          </w:p>
        </w:tc>
      </w:tr>
      <w:tr w:rsidR="00A54175" w:rsidRPr="001022AF" w14:paraId="6F15A1BA"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1367E81"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Network distance to destination from CBD*AM peak period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02F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-0.005</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F9DAD7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-2.335</w:t>
            </w:r>
          </w:p>
        </w:tc>
      </w:tr>
      <w:tr w:rsidR="00A54175" w:rsidRPr="001022AF" w14:paraId="165535B3"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BEA3D14"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Number of Divvy stations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004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-0.004</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6B69A9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-4.535</w:t>
            </w:r>
          </w:p>
        </w:tc>
      </w:tr>
      <w:tr w:rsidR="00A54175" w:rsidRPr="001022AF" w14:paraId="58E4292D"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DF9D942"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Land use mix</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B2E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0.183</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CAB763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1.959</w:t>
            </w:r>
          </w:p>
        </w:tc>
      </w:tr>
      <w:tr w:rsidR="00A54175" w:rsidRPr="001022AF" w14:paraId="0E4DC0F8" w14:textId="77777777" w:rsidTr="001022AF">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40C788B"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Employment density</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93421"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0.014</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DD1A25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3.096</w:t>
            </w:r>
          </w:p>
        </w:tc>
      </w:tr>
      <w:tr w:rsidR="00A54175" w:rsidRPr="001022AF" w14:paraId="63CC611C"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7F0AA0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Scale</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46B6E63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0.229</w:t>
            </w:r>
          </w:p>
        </w:tc>
        <w:tc>
          <w:tcPr>
            <w:tcW w:w="1000" w:type="dxa"/>
            <w:tcBorders>
              <w:top w:val="single" w:sz="4" w:space="0" w:color="auto"/>
              <w:left w:val="nil"/>
              <w:bottom w:val="single" w:sz="4" w:space="0" w:color="auto"/>
              <w:right w:val="double" w:sz="6" w:space="0" w:color="auto"/>
            </w:tcBorders>
            <w:shd w:val="clear" w:color="auto" w:fill="auto"/>
            <w:noWrap/>
            <w:vAlign w:val="center"/>
            <w:hideMark/>
          </w:tcPr>
          <w:p w14:paraId="71ABB85B"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31.564</w:t>
            </w:r>
          </w:p>
        </w:tc>
      </w:tr>
      <w:tr w:rsidR="00A54175" w:rsidRPr="001022AF" w14:paraId="18662F62" w14:textId="77777777" w:rsidTr="001022AF">
        <w:trPr>
          <w:trHeight w:val="310"/>
        </w:trPr>
        <w:tc>
          <w:tcPr>
            <w:tcW w:w="9257" w:type="dxa"/>
            <w:gridSpan w:val="3"/>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2B6584C" w14:textId="77777777" w:rsidR="00A54175" w:rsidRPr="001022AF" w:rsidRDefault="00A54175" w:rsidP="001022AF">
            <w:pPr>
              <w:spacing w:after="0"/>
              <w:jc w:val="center"/>
              <w:rPr>
                <w:rFonts w:eastAsia="Times New Roman" w:cs="Times New Roman"/>
                <w:b/>
                <w:bCs/>
                <w:color w:val="000000"/>
                <w:sz w:val="20"/>
                <w:szCs w:val="20"/>
              </w:rPr>
            </w:pPr>
            <w:r w:rsidRPr="001022AF">
              <w:rPr>
                <w:rFonts w:eastAsia="Times New Roman" w:cs="Times New Roman"/>
                <w:b/>
                <w:bCs/>
                <w:color w:val="000000"/>
                <w:sz w:val="20"/>
                <w:szCs w:val="20"/>
              </w:rPr>
              <w:t>Destination Choice Model</w:t>
            </w:r>
          </w:p>
        </w:tc>
      </w:tr>
      <w:tr w:rsidR="00A54175" w:rsidRPr="001022AF" w14:paraId="2F0FEA06" w14:textId="77777777" w:rsidTr="001022AF">
        <w:trPr>
          <w:trHeight w:val="310"/>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233478ED" w14:textId="77777777" w:rsidR="00A54175" w:rsidRPr="001022AF" w:rsidRDefault="00A54175" w:rsidP="001022AF">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 xml:space="preserve">Land Use and Built Environment Attributes </w:t>
            </w:r>
          </w:p>
        </w:tc>
      </w:tr>
      <w:tr w:rsidR="00A54175" w:rsidRPr="001022AF" w14:paraId="1069E3F8"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091BE6D"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Network distance between O-D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311B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-1.092</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20AB90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-57.340</w:t>
            </w:r>
          </w:p>
        </w:tc>
      </w:tr>
      <w:tr w:rsidR="00A54175" w:rsidRPr="001022AF" w14:paraId="6D543681"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95B5611"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Distance from CBD</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B420"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-0.539</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C680351"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-16.967</w:t>
            </w:r>
          </w:p>
        </w:tc>
      </w:tr>
      <w:tr w:rsidR="00A54175" w:rsidRPr="001022AF" w14:paraId="040717BD"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2BBEB46"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Distance from CBD*Trip starts at AM peak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DB260"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-0.254</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FF0CD7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-4.705</w:t>
            </w:r>
          </w:p>
        </w:tc>
      </w:tr>
      <w:tr w:rsidR="00A54175" w:rsidRPr="001022AF" w14:paraId="64E02D27"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F26687B"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Residential area</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300B7"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-0.927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FBF31A3"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-14.191</w:t>
            </w:r>
          </w:p>
        </w:tc>
      </w:tr>
      <w:tr w:rsidR="00A54175" w:rsidRPr="001022AF" w14:paraId="2F28C526"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7312396"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Commercial area</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F2F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0.396</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B2C5795"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7.397</w:t>
            </w:r>
          </w:p>
        </w:tc>
      </w:tr>
      <w:tr w:rsidR="00A54175" w:rsidRPr="001022AF" w14:paraId="06F56F9A"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A20215D"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Institutional area</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F77"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-0.168</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99FEA8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-2.939</w:t>
            </w:r>
          </w:p>
        </w:tc>
      </w:tr>
      <w:tr w:rsidR="00A54175" w:rsidRPr="001022AF" w14:paraId="1311504D"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0C714BB"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Recreational area</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FCB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0.306</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65697F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7.262</w:t>
            </w:r>
          </w:p>
        </w:tc>
      </w:tr>
      <w:tr w:rsidR="00A54175" w:rsidRPr="001022AF" w14:paraId="0022DE1B" w14:textId="77777777" w:rsidTr="001022AF">
        <w:trPr>
          <w:trHeight w:val="310"/>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1A4264D4"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b/>
                <w:bCs/>
                <w:color w:val="000000"/>
                <w:sz w:val="20"/>
                <w:szCs w:val="20"/>
              </w:rPr>
              <w:lastRenderedPageBreak/>
              <w:t>Transportation Infrastructure Attributes</w:t>
            </w:r>
          </w:p>
        </w:tc>
      </w:tr>
      <w:tr w:rsidR="00A54175" w:rsidRPr="001022AF" w14:paraId="73918E72"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4AF510E"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Bike lane density</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5561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0.160</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185581A"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4.685</w:t>
            </w:r>
          </w:p>
        </w:tc>
      </w:tr>
      <w:tr w:rsidR="00A54175" w:rsidRPr="001022AF" w14:paraId="28E0ED3F"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212A3AD"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Street Length</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DF765"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0.073</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8A8A57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25.453</w:t>
            </w:r>
          </w:p>
        </w:tc>
      </w:tr>
      <w:tr w:rsidR="00A54175" w:rsidRPr="001022AF" w14:paraId="4680C175"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7FA5F01"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Number of bus stops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9064"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B7F1CC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3.064</w:t>
            </w:r>
          </w:p>
        </w:tc>
      </w:tr>
      <w:tr w:rsidR="00A54175" w:rsidRPr="001022AF" w14:paraId="04653383"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48A8F4D"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Number of bus stops*Trip starts at AM peak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86918"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0.020</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1D49BA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5.408</w:t>
            </w:r>
          </w:p>
        </w:tc>
      </w:tr>
      <w:tr w:rsidR="00A54175" w:rsidRPr="001022AF" w14:paraId="41EFF886"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975DF37"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Number of bus stops*</w:t>
            </w:r>
            <w:proofErr w:type="gramStart"/>
            <w:r w:rsidRPr="001022AF">
              <w:rPr>
                <w:rFonts w:eastAsia="Times New Roman" w:cs="Times New Roman"/>
                <w:color w:val="000000"/>
                <w:sz w:val="20"/>
                <w:szCs w:val="20"/>
              </w:rPr>
              <w:t>Low income</w:t>
            </w:r>
            <w:proofErr w:type="gramEnd"/>
            <w:r w:rsidRPr="001022AF">
              <w:rPr>
                <w:rFonts w:eastAsia="Times New Roman" w:cs="Times New Roman"/>
                <w:color w:val="000000"/>
                <w:sz w:val="20"/>
                <w:szCs w:val="20"/>
              </w:rPr>
              <w:t xml:space="preserve"> origin</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1046A"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0.017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41342A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4.692</w:t>
            </w:r>
          </w:p>
        </w:tc>
      </w:tr>
      <w:tr w:rsidR="00A54175" w:rsidRPr="001022AF" w14:paraId="0837AFF2"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E1E04F2"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Number of L stations </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090B4"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-0.117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0AC2C9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-7.473</w:t>
            </w:r>
          </w:p>
        </w:tc>
      </w:tr>
      <w:tr w:rsidR="00A54175" w:rsidRPr="001022AF" w14:paraId="4DA091EE"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B657988"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Number of L stations*</w:t>
            </w:r>
            <w:proofErr w:type="gramStart"/>
            <w:r w:rsidRPr="001022AF">
              <w:rPr>
                <w:rFonts w:eastAsia="Times New Roman" w:cs="Times New Roman"/>
                <w:color w:val="000000"/>
                <w:sz w:val="20"/>
                <w:szCs w:val="20"/>
              </w:rPr>
              <w:t>Low income</w:t>
            </w:r>
            <w:proofErr w:type="gramEnd"/>
            <w:r w:rsidRPr="001022AF">
              <w:rPr>
                <w:rFonts w:eastAsia="Times New Roman" w:cs="Times New Roman"/>
                <w:color w:val="000000"/>
                <w:sz w:val="20"/>
                <w:szCs w:val="20"/>
              </w:rPr>
              <w:t xml:space="preserve"> origin</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2D1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-0.120</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5872F7FD"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-3.726</w:t>
            </w:r>
          </w:p>
        </w:tc>
      </w:tr>
      <w:tr w:rsidR="00A54175" w:rsidRPr="001022AF" w14:paraId="6C3267E9"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40B3C51"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Number of Divvy stations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5B5A2"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0.037</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1E5E943"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4.465</w:t>
            </w:r>
          </w:p>
        </w:tc>
      </w:tr>
      <w:tr w:rsidR="00A54175" w:rsidRPr="001022AF" w14:paraId="0549ADBF"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4C934CE" w14:textId="77777777" w:rsidR="00A54175" w:rsidRPr="001022AF" w:rsidRDefault="00A54175" w:rsidP="001022AF">
            <w:pPr>
              <w:spacing w:after="0"/>
              <w:ind w:firstLineChars="150" w:firstLine="300"/>
              <w:jc w:val="left"/>
              <w:rPr>
                <w:rFonts w:eastAsia="Times New Roman" w:cs="Times New Roman"/>
                <w:color w:val="000000"/>
                <w:sz w:val="20"/>
                <w:szCs w:val="20"/>
              </w:rPr>
            </w:pPr>
            <w:r w:rsidRPr="001022AF">
              <w:rPr>
                <w:rFonts w:eastAsia="Times New Roman" w:cs="Times New Roman"/>
                <w:color w:val="000000"/>
                <w:sz w:val="20"/>
                <w:szCs w:val="20"/>
              </w:rPr>
              <w:t>Number of Divvy stations*Trip starts at AM peak</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BA79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0.039</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25A17A3"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2.524</w:t>
            </w:r>
          </w:p>
        </w:tc>
      </w:tr>
      <w:tr w:rsidR="00A54175" w:rsidRPr="001022AF" w14:paraId="37BA8BA3"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69B30A8"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Walk score</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686A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0.004</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1899F8C"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4.158</w:t>
            </w:r>
          </w:p>
        </w:tc>
      </w:tr>
      <w:tr w:rsidR="00A54175" w:rsidRPr="001022AF" w14:paraId="1F6BBA6E"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A8BB486"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Transit score</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9370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0.089</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CE09974"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3.597</w:t>
            </w:r>
          </w:p>
        </w:tc>
      </w:tr>
      <w:tr w:rsidR="00A54175" w:rsidRPr="001022AF" w14:paraId="443F6FDC" w14:textId="77777777" w:rsidTr="001022AF">
        <w:trPr>
          <w:trHeight w:val="310"/>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02DBC5C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b/>
                <w:bCs/>
                <w:color w:val="000000"/>
                <w:sz w:val="20"/>
                <w:szCs w:val="20"/>
              </w:rPr>
              <w:t>Demographic Attributes</w:t>
            </w:r>
          </w:p>
        </w:tc>
      </w:tr>
      <w:tr w:rsidR="00A54175" w:rsidRPr="001022AF" w14:paraId="0231C58E" w14:textId="77777777" w:rsidTr="001022AF">
        <w:trPr>
          <w:trHeight w:val="310"/>
        </w:trPr>
        <w:tc>
          <w:tcPr>
            <w:tcW w:w="9257" w:type="dxa"/>
            <w:gridSpan w:val="3"/>
            <w:tcBorders>
              <w:top w:val="single" w:sz="4" w:space="0" w:color="auto"/>
              <w:left w:val="double" w:sz="6" w:space="0" w:color="auto"/>
              <w:bottom w:val="single" w:sz="4" w:space="0" w:color="auto"/>
              <w:right w:val="double" w:sz="6" w:space="0" w:color="auto"/>
            </w:tcBorders>
            <w:shd w:val="clear" w:color="auto" w:fill="auto"/>
            <w:noWrap/>
            <w:vAlign w:val="center"/>
          </w:tcPr>
          <w:p w14:paraId="50B31B79" w14:textId="77777777" w:rsidR="00A54175" w:rsidRPr="001022AF" w:rsidRDefault="00A54175" w:rsidP="001022AF">
            <w:pPr>
              <w:spacing w:after="0"/>
              <w:ind w:firstLineChars="100" w:firstLine="200"/>
              <w:jc w:val="left"/>
              <w:rPr>
                <w:rFonts w:eastAsia="Times New Roman" w:cs="Times New Roman"/>
                <w:color w:val="000000"/>
                <w:sz w:val="20"/>
                <w:szCs w:val="20"/>
              </w:rPr>
            </w:pPr>
            <w:proofErr w:type="gramStart"/>
            <w:r w:rsidRPr="001022AF">
              <w:rPr>
                <w:rFonts w:eastAsia="Times New Roman" w:cs="Times New Roman"/>
                <w:color w:val="000000"/>
                <w:sz w:val="20"/>
                <w:szCs w:val="20"/>
              </w:rPr>
              <w:t>Low income</w:t>
            </w:r>
            <w:proofErr w:type="gramEnd"/>
            <w:r w:rsidRPr="001022AF">
              <w:rPr>
                <w:rFonts w:eastAsia="Times New Roman" w:cs="Times New Roman"/>
                <w:color w:val="000000"/>
                <w:sz w:val="20"/>
                <w:szCs w:val="20"/>
              </w:rPr>
              <w:t xml:space="preserve"> indicator (Base: Median income over 15</w:t>
            </w:r>
            <w:r w:rsidRPr="001022AF">
              <w:rPr>
                <w:rFonts w:eastAsia="Times New Roman" w:cs="Times New Roman"/>
                <w:color w:val="000000"/>
                <w:sz w:val="20"/>
                <w:szCs w:val="20"/>
                <w:vertAlign w:val="superscript"/>
              </w:rPr>
              <w:t>th</w:t>
            </w:r>
            <w:r w:rsidRPr="001022AF">
              <w:rPr>
                <w:rFonts w:eastAsia="Times New Roman" w:cs="Times New Roman"/>
                <w:color w:val="000000"/>
                <w:sz w:val="20"/>
                <w:szCs w:val="20"/>
              </w:rPr>
              <w:t xml:space="preserve"> percentile)</w:t>
            </w:r>
          </w:p>
        </w:tc>
      </w:tr>
      <w:tr w:rsidR="00A54175" w:rsidRPr="001022AF" w14:paraId="068A87CA" w14:textId="77777777" w:rsidTr="001022AF">
        <w:trPr>
          <w:trHeight w:val="310"/>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A748ED5"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Yes</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86EB3"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-0.926</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6DBBA66"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-24.680</w:t>
            </w:r>
          </w:p>
        </w:tc>
      </w:tr>
      <w:tr w:rsidR="00A54175" w:rsidRPr="001022AF" w14:paraId="373FACAC" w14:textId="77777777" w:rsidTr="001022AF">
        <w:trPr>
          <w:trHeight w:val="325"/>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B8814B9" w14:textId="77777777" w:rsidR="00A54175" w:rsidRPr="001022AF" w:rsidRDefault="00A54175" w:rsidP="001022AF">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Employment density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7E8FA37E"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0.061</w:t>
            </w:r>
          </w:p>
        </w:tc>
        <w:tc>
          <w:tcPr>
            <w:tcW w:w="1000" w:type="dxa"/>
            <w:tcBorders>
              <w:top w:val="single" w:sz="4" w:space="0" w:color="auto"/>
              <w:left w:val="nil"/>
              <w:bottom w:val="single" w:sz="4" w:space="0" w:color="auto"/>
              <w:right w:val="double" w:sz="6" w:space="0" w:color="auto"/>
            </w:tcBorders>
            <w:shd w:val="clear" w:color="auto" w:fill="auto"/>
            <w:noWrap/>
            <w:vAlign w:val="center"/>
            <w:hideMark/>
          </w:tcPr>
          <w:p w14:paraId="67801201"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2.242</w:t>
            </w:r>
          </w:p>
        </w:tc>
      </w:tr>
      <w:tr w:rsidR="00A54175" w:rsidRPr="001022AF" w14:paraId="6712B968" w14:textId="77777777" w:rsidTr="001022AF">
        <w:trPr>
          <w:trHeight w:val="325"/>
        </w:trPr>
        <w:tc>
          <w:tcPr>
            <w:tcW w:w="9257" w:type="dxa"/>
            <w:gridSpan w:val="3"/>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0D00313" w14:textId="77777777" w:rsidR="00A54175" w:rsidRPr="001022AF" w:rsidRDefault="00A54175" w:rsidP="001022AF">
            <w:pPr>
              <w:spacing w:after="0"/>
              <w:jc w:val="left"/>
              <w:rPr>
                <w:rFonts w:eastAsia="Times New Roman" w:cs="Times New Roman"/>
                <w:b/>
                <w:bCs/>
                <w:color w:val="000000"/>
                <w:sz w:val="20"/>
                <w:szCs w:val="20"/>
              </w:rPr>
            </w:pPr>
            <w:r w:rsidRPr="001022AF">
              <w:rPr>
                <w:rFonts w:eastAsia="Times New Roman" w:cs="Times New Roman"/>
                <w:b/>
                <w:bCs/>
                <w:color w:val="000000"/>
                <w:sz w:val="20"/>
                <w:szCs w:val="20"/>
              </w:rPr>
              <w:t>Unobserved heterogeneity</w:t>
            </w:r>
          </w:p>
        </w:tc>
      </w:tr>
      <w:tr w:rsidR="00A54175" w:rsidRPr="001022AF" w14:paraId="179F0E87" w14:textId="77777777" w:rsidTr="00593001">
        <w:trPr>
          <w:trHeight w:val="296"/>
        </w:trPr>
        <w:tc>
          <w:tcPr>
            <w:tcW w:w="7133"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45FABE3" w14:textId="77777777" w:rsidR="00A54175" w:rsidRPr="001022AF" w:rsidRDefault="00A54175" w:rsidP="00593001">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Constant in LR and Distance between O-D in MNL</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20CE3"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0.266</w:t>
            </w:r>
          </w:p>
        </w:tc>
        <w:tc>
          <w:tcPr>
            <w:tcW w:w="100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7C5501B"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36.494</w:t>
            </w:r>
          </w:p>
        </w:tc>
      </w:tr>
      <w:tr w:rsidR="00A54175" w:rsidRPr="001022AF" w14:paraId="0E47F3BB" w14:textId="77777777" w:rsidTr="00593001">
        <w:trPr>
          <w:trHeight w:val="310"/>
        </w:trPr>
        <w:tc>
          <w:tcPr>
            <w:tcW w:w="713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4BFD080A" w14:textId="77777777" w:rsidR="00A54175" w:rsidRPr="001022AF" w:rsidRDefault="00A54175" w:rsidP="00593001">
            <w:pPr>
              <w:spacing w:after="0"/>
              <w:ind w:firstLineChars="100" w:firstLine="200"/>
              <w:jc w:val="left"/>
              <w:rPr>
                <w:rFonts w:eastAsia="Times New Roman" w:cs="Times New Roman"/>
                <w:color w:val="000000"/>
                <w:sz w:val="20"/>
                <w:szCs w:val="20"/>
              </w:rPr>
            </w:pPr>
            <w:r w:rsidRPr="001022AF">
              <w:rPr>
                <w:rFonts w:eastAsia="Times New Roman" w:cs="Times New Roman"/>
                <w:color w:val="000000"/>
                <w:sz w:val="20"/>
                <w:szCs w:val="20"/>
              </w:rPr>
              <w:t xml:space="preserve">Constant in LR and Street Length in MNL </w:t>
            </w:r>
          </w:p>
        </w:tc>
        <w:tc>
          <w:tcPr>
            <w:tcW w:w="1124" w:type="dxa"/>
            <w:tcBorders>
              <w:top w:val="single" w:sz="4" w:space="0" w:color="auto"/>
              <w:left w:val="nil"/>
              <w:bottom w:val="double" w:sz="6" w:space="0" w:color="auto"/>
              <w:right w:val="single" w:sz="4" w:space="0" w:color="auto"/>
            </w:tcBorders>
            <w:shd w:val="clear" w:color="auto" w:fill="auto"/>
            <w:noWrap/>
            <w:vAlign w:val="center"/>
            <w:hideMark/>
          </w:tcPr>
          <w:p w14:paraId="452A4DE9"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0.039</w:t>
            </w:r>
          </w:p>
        </w:tc>
        <w:tc>
          <w:tcPr>
            <w:tcW w:w="1000" w:type="dxa"/>
            <w:tcBorders>
              <w:top w:val="single" w:sz="4" w:space="0" w:color="auto"/>
              <w:left w:val="nil"/>
              <w:bottom w:val="double" w:sz="6" w:space="0" w:color="auto"/>
              <w:right w:val="double" w:sz="6" w:space="0" w:color="auto"/>
            </w:tcBorders>
            <w:shd w:val="clear" w:color="auto" w:fill="auto"/>
            <w:noWrap/>
            <w:vAlign w:val="center"/>
            <w:hideMark/>
          </w:tcPr>
          <w:p w14:paraId="02FBBB2A" w14:textId="77777777" w:rsidR="00A54175" w:rsidRPr="001022AF" w:rsidRDefault="00A54175" w:rsidP="001022AF">
            <w:pPr>
              <w:spacing w:after="0"/>
              <w:jc w:val="left"/>
              <w:rPr>
                <w:rFonts w:eastAsia="Times New Roman" w:cs="Times New Roman"/>
                <w:color w:val="000000"/>
                <w:sz w:val="20"/>
                <w:szCs w:val="20"/>
              </w:rPr>
            </w:pPr>
            <w:r w:rsidRPr="001022AF">
              <w:rPr>
                <w:rFonts w:eastAsia="Times New Roman" w:cs="Times New Roman"/>
                <w:color w:val="000000"/>
                <w:sz w:val="20"/>
                <w:szCs w:val="20"/>
              </w:rPr>
              <w:t>7.148</w:t>
            </w:r>
          </w:p>
        </w:tc>
      </w:tr>
    </w:tbl>
    <w:p w14:paraId="5666EE01" w14:textId="77777777" w:rsidR="00305841" w:rsidRPr="00305841" w:rsidRDefault="00305841" w:rsidP="00305841">
      <w:pPr>
        <w:pStyle w:val="NoSpacing"/>
      </w:pPr>
    </w:p>
    <w:p w14:paraId="0F1A0C5B" w14:textId="73108EC7" w:rsidR="00FD37EB" w:rsidRDefault="00FD37EB" w:rsidP="001D4A7A">
      <w:pPr>
        <w:pStyle w:val="Heading3"/>
      </w:pPr>
      <w:r>
        <w:t>Origin</w:t>
      </w:r>
      <w:r w:rsidR="00305841">
        <w:t xml:space="preserve"> Attributes</w:t>
      </w:r>
    </w:p>
    <w:p w14:paraId="387DBC0E" w14:textId="22D1C202" w:rsidR="00E570D1" w:rsidRDefault="004B7372" w:rsidP="00D1037C">
      <w:r>
        <w:t>In our ana</w:t>
      </w:r>
      <w:r w:rsidR="00803235">
        <w:t xml:space="preserve">lysis, we wanted to consider the </w:t>
      </w:r>
      <w:r w:rsidR="000B617F">
        <w:t xml:space="preserve">influence of </w:t>
      </w:r>
      <w:r w:rsidR="00803235">
        <w:t>demand in preceding time intervals</w:t>
      </w:r>
      <w:r w:rsidR="000B617F">
        <w:t xml:space="preserve"> on trip fare</w:t>
      </w:r>
      <w:r w:rsidR="00803235">
        <w:t xml:space="preserve">. </w:t>
      </w:r>
      <w:r w:rsidR="000B617F">
        <w:t>For this purpose, origin</w:t>
      </w:r>
      <w:r w:rsidR="002D699C" w:rsidRPr="00326700">
        <w:t xml:space="preserve"> demand in </w:t>
      </w:r>
      <w:r w:rsidR="000B617F">
        <w:t xml:space="preserve">the </w:t>
      </w:r>
      <w:r w:rsidR="002D699C" w:rsidRPr="00326700">
        <w:t xml:space="preserve">last 15 minutes in AM </w:t>
      </w:r>
      <w:r w:rsidR="00E570D1">
        <w:t xml:space="preserve">and PM </w:t>
      </w:r>
      <w:r w:rsidR="002D699C" w:rsidRPr="00326700">
        <w:t>peak period</w:t>
      </w:r>
      <w:r w:rsidR="00E570D1">
        <w:t>s</w:t>
      </w:r>
      <w:r w:rsidR="002D699C" w:rsidRPr="00326700">
        <w:t xml:space="preserve"> </w:t>
      </w:r>
      <w:r w:rsidR="000B617F">
        <w:t xml:space="preserve">was considered in the model. </w:t>
      </w:r>
      <w:r w:rsidR="00E570D1">
        <w:t xml:space="preserve">The model estimates offer interesting results. </w:t>
      </w:r>
      <w:r w:rsidR="00703578">
        <w:t xml:space="preserve">In the AM peak period, </w:t>
      </w:r>
      <w:r w:rsidR="00655149">
        <w:t xml:space="preserve">higher demand has a negative </w:t>
      </w:r>
      <w:r w:rsidR="002D7E32">
        <w:t>coefficient</w:t>
      </w:r>
      <w:r w:rsidR="009A0564">
        <w:t xml:space="preserve">. While this might appear counter-intuitive on first glance, the reader will recognize that the demand variable interacts with the </w:t>
      </w:r>
      <w:r w:rsidR="00E134EC">
        <w:t xml:space="preserve">AM peak main effect thus, the net effect is still likely to be positive. For PM peak period, the impact on fare is more pronounced clearly highlighting that higher demand at the origin contributes to a higher fare. </w:t>
      </w:r>
    </w:p>
    <w:p w14:paraId="6E4F29A5" w14:textId="39E7B98D" w:rsidR="00124C40" w:rsidRDefault="004F4BBE" w:rsidP="004344C8">
      <w:pPr>
        <w:spacing w:after="0"/>
        <w:ind w:firstLine="720"/>
      </w:pPr>
      <w:r>
        <w:t xml:space="preserve">From </w:t>
      </w:r>
      <w:r w:rsidRPr="00A7331A">
        <w:rPr>
          <w:b/>
          <w:bCs/>
        </w:rPr>
        <w:t>Table 2</w:t>
      </w:r>
      <w:r w:rsidR="00D41016" w:rsidRPr="000A47BD">
        <w:t>,</w:t>
      </w:r>
      <w:r>
        <w:rPr>
          <w:b/>
          <w:bCs/>
        </w:rPr>
        <w:t xml:space="preserve"> </w:t>
      </w:r>
      <w:r w:rsidRPr="004F4BBE">
        <w:t>it is evident that</w:t>
      </w:r>
      <w:r w:rsidR="004D7C51">
        <w:t xml:space="preserve"> </w:t>
      </w:r>
      <w:r w:rsidR="00D41016">
        <w:t xml:space="preserve">trip </w:t>
      </w:r>
      <w:r w:rsidR="004D7C51">
        <w:t xml:space="preserve">fare is likely to </w:t>
      </w:r>
      <w:r w:rsidR="00EE14AF">
        <w:t>increase</w:t>
      </w:r>
      <w:r w:rsidR="004D7C51">
        <w:t xml:space="preserve"> as distance between origin of the trip and CBD </w:t>
      </w:r>
      <w:r w:rsidR="00D41016">
        <w:t>increases</w:t>
      </w:r>
      <w:r w:rsidR="004D7C51">
        <w:t xml:space="preserve">. </w:t>
      </w:r>
      <w:r w:rsidR="00D41016">
        <w:t xml:space="preserve">The result represents the supply side challenge (or rerouting costs) for drivers to </w:t>
      </w:r>
      <w:r w:rsidR="005B45EB">
        <w:t xml:space="preserve">pick up riders away from CBD (see </w:t>
      </w:r>
      <w:r w:rsidR="000A47BD">
        <w:fldChar w:fldCharType="begin" w:fldLock="1"/>
      </w:r>
      <w:r w:rsidR="00BB1448">
        <w:instrText>ADDIN CSL_CITATION {"citationItems":[{"id":"ITEM-1","itemData":{"URL":"https://www.jstor.org/stable/48646216?seq=1","accessed":{"date-parts":[["2022","6","18"]]},"id":"ITEM-1","issued":{"date-parts":[["0"]]},"title":"A system of shared autonomous vehicles for Chicago on JSTOR","type":"webpage"},"uris":["http://www.mendeley.com/documents/?uuid=08c454c6-ac37-30f4-b246-a20170f4dbb8"]}],"mendeley":{"formattedCitation":"(&lt;i&gt;56&lt;/i&gt;)","plainTextFormattedCitation":"(56)","previouslyFormattedCitation":"(&lt;i&gt;56&lt;/i&gt;)"},"properties":{"noteIndex":0},"schema":"https://github.com/citation-style-language/schema/raw/master/csl-citation.json"}</w:instrText>
      </w:r>
      <w:r w:rsidR="000A47BD">
        <w:fldChar w:fldCharType="separate"/>
      </w:r>
      <w:r w:rsidR="0076717B" w:rsidRPr="0076717B">
        <w:rPr>
          <w:noProof/>
        </w:rPr>
        <w:t>(</w:t>
      </w:r>
      <w:r w:rsidR="0076717B" w:rsidRPr="0076717B">
        <w:rPr>
          <w:i/>
          <w:noProof/>
        </w:rPr>
        <w:t>56</w:t>
      </w:r>
      <w:r w:rsidR="0076717B" w:rsidRPr="0076717B">
        <w:rPr>
          <w:noProof/>
        </w:rPr>
        <w:t>)</w:t>
      </w:r>
      <w:r w:rsidR="000A47BD">
        <w:fldChar w:fldCharType="end"/>
      </w:r>
      <w:r w:rsidR="000A47BD">
        <w:t xml:space="preserve"> for similar findings</w:t>
      </w:r>
      <w:r w:rsidR="005B45EB">
        <w:t xml:space="preserve">). </w:t>
      </w:r>
      <w:r w:rsidR="005342B9">
        <w:t xml:space="preserve"> The negative coefficient for interaction of distance variable and PM peak period indicates that during PM peak the impact of distance </w:t>
      </w:r>
      <w:r w:rsidR="004344C8">
        <w:t xml:space="preserve">from CBD is moderated potentially due to increase expected supply for TNC. </w:t>
      </w:r>
      <w:r w:rsidR="005A5F60">
        <w:t>Chicago L, a rapid transit system</w:t>
      </w:r>
      <w:r w:rsidR="00A34699">
        <w:t>,</w:t>
      </w:r>
      <w:r w:rsidR="005A5F60">
        <w:t xml:space="preserve"> operates inside the city of Chicago. The number of L station</w:t>
      </w:r>
      <w:r w:rsidR="006E0A9A">
        <w:t>s</w:t>
      </w:r>
      <w:r w:rsidR="005A5F60">
        <w:t xml:space="preserve"> in the AM peak period has negative impact on TNC fare </w:t>
      </w:r>
      <w:r w:rsidR="00187B51">
        <w:t xml:space="preserve">highlighting potential </w:t>
      </w:r>
      <w:r w:rsidR="009C0467">
        <w:t>competition</w:t>
      </w:r>
      <w:r w:rsidR="00187B51">
        <w:t xml:space="preserve"> </w:t>
      </w:r>
      <w:r w:rsidR="005A5F60">
        <w:t xml:space="preserve"> between Chicago L and TNC</w:t>
      </w:r>
      <w:r w:rsidR="00AA1FD3">
        <w:t xml:space="preserve"> </w:t>
      </w:r>
      <w:r w:rsidR="00AA1FD3">
        <w:fldChar w:fldCharType="begin" w:fldLock="1"/>
      </w:r>
      <w:r w:rsidR="00BB1448">
        <w:instrText>ADDIN CSL_CITATION {"citationItems":[{"id":"ITEM-1","itemData":{"URL":"https://trid.trb.org/view/1416012","accessed":{"date-parts":[["2022","6","19"]]},"id":"ITEM-1","issued":{"date-parts":[["0"]]},"title":"Shared Mobility and the Transformation of Public Transit","type":"webpage"},"uris":["http://www.mendeley.com/documents/?uuid=efe707d4-107d-358e-a86d-c45add967fd0"]}],"mendeley":{"formattedCitation":"(&lt;i&gt;57&lt;/i&gt;)","plainTextFormattedCitation":"(57)","previouslyFormattedCitation":"(&lt;i&gt;57&lt;/i&gt;)"},"properties":{"noteIndex":0},"schema":"https://github.com/citation-style-language/schema/raw/master/csl-citation.json"}</w:instrText>
      </w:r>
      <w:r w:rsidR="00AA1FD3">
        <w:fldChar w:fldCharType="separate"/>
      </w:r>
      <w:r w:rsidR="0076717B" w:rsidRPr="0076717B">
        <w:rPr>
          <w:noProof/>
        </w:rPr>
        <w:t>(</w:t>
      </w:r>
      <w:r w:rsidR="0076717B" w:rsidRPr="0076717B">
        <w:rPr>
          <w:i/>
          <w:noProof/>
        </w:rPr>
        <w:t>57</w:t>
      </w:r>
      <w:r w:rsidR="0076717B" w:rsidRPr="0076717B">
        <w:rPr>
          <w:noProof/>
        </w:rPr>
        <w:t>)</w:t>
      </w:r>
      <w:r w:rsidR="00AA1FD3">
        <w:fldChar w:fldCharType="end"/>
      </w:r>
      <w:r w:rsidR="00AA1FD3">
        <w:t xml:space="preserve">. </w:t>
      </w:r>
      <w:r w:rsidR="008204F2">
        <w:t>Interestingly, h</w:t>
      </w:r>
      <w:r w:rsidR="003710BD">
        <w:t xml:space="preserve">igher employment density at </w:t>
      </w:r>
      <w:r w:rsidR="00187B51">
        <w:t xml:space="preserve">the </w:t>
      </w:r>
      <w:r w:rsidR="003710BD">
        <w:t xml:space="preserve">origin is negatively associated with TNC fare </w:t>
      </w:r>
      <w:r w:rsidR="008204F2">
        <w:t xml:space="preserve">potentially reflecting the presence of infrastructure for </w:t>
      </w:r>
      <w:r w:rsidR="006D71BA">
        <w:t>non-motorized modes and improved land use</w:t>
      </w:r>
      <w:r w:rsidR="000F0203">
        <w:t xml:space="preserve"> </w:t>
      </w:r>
      <w:r w:rsidR="000F0203">
        <w:fldChar w:fldCharType="begin" w:fldLock="1"/>
      </w:r>
      <w:r w:rsidR="00BB1448">
        <w:instrText>ADDIN CSL_CITATION {"citationItems":[{"id":"ITEM-1","itemData":{"DOI":"http://doi.org/10.5038/2375-0901.12.1.3","ISSN":"1077-291X","abstract":"This paper explores how the quality of the pedestrian environment around transit stops relates with transit ridership. The primary hypothesis tested is that transit trip-making is higher in urban environments that are more conducive to non-motorized travel, given that bus transit systems are most frequently accessed via walking or biking. A secondary goal is to contribute to an improved understanding of the measurement of the built environment in geographic information systems (GIS). A composite measure of walkability-incorporating land use mix, density and street patterns-was developed for all transit stops in San Diego's Metropolitan Transit Systems service area and used as a measure of the built environment. Findings indicate a small but significant, positive relationship between the walkability of the built environment and transit ridership.","author":[{"dropping-particle":"","family":"Ryan","given":"Sherry","non-dropping-particle":"","parse-names":false,"suffix":""},{"dropping-particle":"","family":"Frank","given":"Lawrence F.","non-dropping-particle":"","parse-names":false,"suffix":""}],"container-title":"Journal of Public Transportation","id":"ITEM-1","issue":"1","issued":{"date-parts":[["2009","3","1"]]},"page":"3","title":"Pedestrian Environments and Transit Ridership","type":"article-journal","volume":"12"},"uris":["http://www.mendeley.com/documents/?uuid=e5f6312e-2afe-35fe-bd4e-24a7885dc50c"]},{"id":"ITEM-2","itemData":{"DOI":"10.3390/SU13020810","ISSN":"2071-1050","abstract":"This study confirmed the general belief of urban planners that mixed land use promotes walking in Seoul, a metropolis in East Asia, by analyzing the effect of mixed land use on the travel mode choice of housewives and unemployed people who make non-commuting trips on weekdays. Using binomial logistic regression of commuting data, it was found that the more mixed a neighborhood environment&amp;rsquo;s uses are, the more the pedestrians prefer to walk rather than drive. The nonlinear relationship between the land use mix index and the choice to walk was also confirmed. Although mixed land use in neighborhoods increased the probability of residents choosing walking over using cars, when the degree of complexity increased above a certain level, the opposite effect was observed. As the density of commercial areas increased, the probability of selecting walking increased. In addition to locational characteristics, income and housing type were also major factors affecting the choice to walk; i.e., when the residents&amp;rsquo; neighborhood environment was controlled for higher income and living in an apartment rather than multi-family or single-family housing, they were more likely to choose driving over walking.","author":[{"dropping-particle":"","family":"Seong","given":"Eun Yeong","non-dropping-particle":"","parse-names":false,"suffix":""},{"dropping-particle":"","family":"Lee","given":"Nam Hwi","non-dropping-particle":"","parse-names":false,"suffix":""},{"dropping-particle":"","family":"Choi","given":"Chang Gyu","non-dropping-particle":"","parse-names":false,"suffix":""}],"container-title":"Sustainability 2021, Vol. 13, Page 810","id":"ITEM-2","issue":"2","issued":{"date-parts":[["2021","1","15"]]},"page":"810","publisher":"Multidisciplinary Digital Publishing Institute","title":"Relationship between Land Use Mix and Walking Choice in High-Density Cities: A Review of Walking in Seoul, South Korea","type":"article-journal","volume":"13"},"uris":["http://www.mendeley.com/documents/?uuid=fdf8e01f-48c7-3182-9695-da1c38229cd0"]}],"mendeley":{"formattedCitation":"(&lt;i&gt;58&lt;/i&gt;, &lt;i&gt;59&lt;/i&gt;)","plainTextFormattedCitation":"(58, 59)","previouslyFormattedCitation":"(&lt;i&gt;58&lt;/i&gt;, &lt;i&gt;59&lt;/i&gt;)"},"properties":{"noteIndex":0},"schema":"https://github.com/citation-style-language/schema/raw/master/csl-citation.json"}</w:instrText>
      </w:r>
      <w:r w:rsidR="000F0203">
        <w:fldChar w:fldCharType="separate"/>
      </w:r>
      <w:r w:rsidR="0076717B" w:rsidRPr="0076717B">
        <w:rPr>
          <w:noProof/>
        </w:rPr>
        <w:t>(</w:t>
      </w:r>
      <w:r w:rsidR="0076717B" w:rsidRPr="0076717B">
        <w:rPr>
          <w:i/>
          <w:noProof/>
        </w:rPr>
        <w:t>58</w:t>
      </w:r>
      <w:r w:rsidR="0076717B" w:rsidRPr="0076717B">
        <w:rPr>
          <w:noProof/>
        </w:rPr>
        <w:t xml:space="preserve">, </w:t>
      </w:r>
      <w:r w:rsidR="0076717B" w:rsidRPr="0076717B">
        <w:rPr>
          <w:i/>
          <w:noProof/>
        </w:rPr>
        <w:t>59</w:t>
      </w:r>
      <w:r w:rsidR="0076717B" w:rsidRPr="0076717B">
        <w:rPr>
          <w:noProof/>
        </w:rPr>
        <w:t>)</w:t>
      </w:r>
      <w:r w:rsidR="000F0203">
        <w:fldChar w:fldCharType="end"/>
      </w:r>
      <w:r w:rsidR="00FC7103">
        <w:t>.</w:t>
      </w:r>
      <w:r w:rsidR="00F44BA6">
        <w:t xml:space="preserve"> </w:t>
      </w:r>
      <w:r w:rsidR="006D71BA">
        <w:t>The results indicate that in adverse weather conditions</w:t>
      </w:r>
      <w:r w:rsidR="00F44BA6">
        <w:t xml:space="preserve"> such as higher level of snow depth</w:t>
      </w:r>
      <w:r w:rsidR="00436A5E">
        <w:t>, TNC fares are likely to be lower possibly due to supply demand imbalance</w:t>
      </w:r>
      <w:r w:rsidR="00F44BA6">
        <w:t xml:space="preserve"> </w:t>
      </w:r>
      <w:r w:rsidR="00F44BA6">
        <w:fldChar w:fldCharType="begin" w:fldLock="1"/>
      </w:r>
      <w:r w:rsidR="00BB1448">
        <w:instrText>ADDIN CSL_CITATION {"citationItems":[{"id":"ITEM-1","itemData":{"DOI":"10.1016/J.TRC.2021.103235","ISSN":"0968-090X","abstract":"The proposed study contributes to our understanding of the ongoing transformation of ridehailing market by examining the New York City Taxi &amp; Limousine Commission data from a fine spatial and temporal resolution. We examine taxi zone based demand data from NYC for each month and explore the reasons contributing to (a) the increase in ridehailing demand and (b) the shift from traditional taxi services to Transportation Networking Company (TNC) services. The first component – taxi zone ridehailing demand - is analyzed adopting a negative binomial count model. The second component - share of traditional and TNC services demand - is analyzed using a multinomial fractional split model. The two model components are stitched together in a joint framework that allows for the influence of repeated observations as well as for the presence of common unobserved factors affecting the two components. The model estimation considered a comprehensive set of independent variables including transportation infrastructure variables, land use and built environment variables, weather attributes, and temporal attributes. Several performance measures were generated using the joint model for estimation and validation datasets. A prediction exercise is conducted to illustrate how the proposed model system can be utilized for predicting future ridehailing trends. Finally, an elasticity exercise is conducted to estimate the influence of independent variables on the ridehailing market.","author":[{"dropping-particle":"","family":"Dey","given":"Bibhas Kumar","non-dropping-particle":"","parse-names":false,"suffix":""},{"dropping-particle":"","family":"Tirtha","given":"Sudipta Dey","non-dropping-particle":"","parse-names":false,"suffix":""},{"dropping-particle":"","family":"Eluru","given":"Naveen","non-dropping-particle":"","parse-names":false,"suffix":""},{"dropping-particle":"","family":"Konduri","given":"Karthik C.","non-dropping-particle":"","parse-names":false,"suffix":""}],"container-title":"Transportation Research Part C: Emerging Technologies","id":"ITEM-1","issued":{"date-parts":[["2021","8","1"]]},"page":"103235","publisher":"Pergamon","title":"Transformation of ridehailing in New York City: A quantitative assessment","type":"article-journal","volume":"129"},"uris":["http://www.mendeley.com/documents/?uuid=ed01ae67-a7e3-35f6-9236-8501b0454798"]},{"id":"ITEM-2","itemData":{"DOI":"10.1016/J.JEBO.2018.06.004","ISSN":"0167-2681","abstract":"Using all taxi, Lyft and Uber rides in New York City, we show that the number of Uber and Lyft rides is significantly correlated with whether it rained. The number of Uber (Lyft) rides per hour is about 22 (19)% higher when it is raining, while the number of taxi rides per hour increases by only 5% in rainy hours-suggesting that surge pricing (prime time) encourages an increase in supply. We show that while the number of taxi rides, passengers and fare income all significantly decreased after Uber entered the market in May 2011, taxis do not respond differently to increased demand in rainy hours than non-rainy hours since the entrance of Uber. Last, we test whether Lyft's entry in the market affected Uber. Our estimates suggest that Uber was still growing after Lyft entered the market, but that Uber rides during rainy hours decreased by about 9%. Our findings suggest that dynamic pricing make Lyft and Uber drivers compete for rides when demand suddenly increases, i.e., during rainy hours.","author":[{"dropping-particle":"","family":"Brodeur","given":"Abel","non-dropping-particle":"","parse-names":false,"suffix":""},{"dropping-particle":"","family":"Nield","given":"Kerry","non-dropping-particle":"","parse-names":false,"suffix":""}],"container-title":"Journal of Economic Behavior &amp; Organization","id":"ITEM-2","issued":{"date-parts":[["2018","8","1"]]},"page":"1-16","publisher":"North-Holland","title":"An empirical analysis of taxi, Lyft and Uber rides: Evidence from weather shocks in NYC","type":"article-journal","volume":"152"},"uris":["http://www.mendeley.com/documents/?uuid=da658fe4-69ba-3ff5-a022-1c8375b698bf"]}],"mendeley":{"formattedCitation":"(&lt;i&gt;60&lt;/i&gt;, &lt;i&gt;61&lt;/i&gt;)","plainTextFormattedCitation":"(60, 61)","previouslyFormattedCitation":"(&lt;i&gt;60&lt;/i&gt;, &lt;i&gt;61&lt;/i&gt;)"},"properties":{"noteIndex":0},"schema":"https://github.com/citation-style-language/schema/raw/master/csl-citation.json"}</w:instrText>
      </w:r>
      <w:r w:rsidR="00F44BA6">
        <w:fldChar w:fldCharType="separate"/>
      </w:r>
      <w:r w:rsidR="0076717B" w:rsidRPr="0076717B">
        <w:rPr>
          <w:noProof/>
        </w:rPr>
        <w:t>(</w:t>
      </w:r>
      <w:r w:rsidR="0076717B" w:rsidRPr="0076717B">
        <w:rPr>
          <w:i/>
          <w:noProof/>
        </w:rPr>
        <w:t>60</w:t>
      </w:r>
      <w:r w:rsidR="0076717B" w:rsidRPr="0076717B">
        <w:rPr>
          <w:noProof/>
        </w:rPr>
        <w:t xml:space="preserve">, </w:t>
      </w:r>
      <w:r w:rsidR="0076717B" w:rsidRPr="0076717B">
        <w:rPr>
          <w:i/>
          <w:noProof/>
        </w:rPr>
        <w:t>61</w:t>
      </w:r>
      <w:r w:rsidR="0076717B" w:rsidRPr="0076717B">
        <w:rPr>
          <w:noProof/>
        </w:rPr>
        <w:t>)</w:t>
      </w:r>
      <w:r w:rsidR="00F44BA6">
        <w:fldChar w:fldCharType="end"/>
      </w:r>
      <w:r w:rsidR="00F44BA6">
        <w:t>.</w:t>
      </w:r>
    </w:p>
    <w:p w14:paraId="095CD299" w14:textId="28A38F50" w:rsidR="00204E21" w:rsidRDefault="00204E21" w:rsidP="00204E21">
      <w:pPr>
        <w:spacing w:after="0"/>
      </w:pPr>
    </w:p>
    <w:p w14:paraId="25BDC6D5" w14:textId="15AC1FBA" w:rsidR="00204E21" w:rsidRDefault="00204E21" w:rsidP="001D4A7A">
      <w:pPr>
        <w:pStyle w:val="Heading3"/>
      </w:pPr>
      <w:r>
        <w:lastRenderedPageBreak/>
        <w:t>Destination Attributes</w:t>
      </w:r>
    </w:p>
    <w:p w14:paraId="4BAC65F7" w14:textId="08DEDDA3" w:rsidR="009C0467" w:rsidRDefault="00F57A6F" w:rsidP="00DD309C">
      <w:r>
        <w:t xml:space="preserve">The demand in the last minutes </w:t>
      </w:r>
      <w:r w:rsidR="00A373BA">
        <w:t>at the destination also offers interesting results. We find that interaction of destination demand with AM peak is positive indicating that higher fares are likely to destinations with higher demand in AM peak</w:t>
      </w:r>
      <w:r w:rsidR="00E05FAB">
        <w:t xml:space="preserve"> </w:t>
      </w:r>
      <w:r w:rsidR="00E05FAB">
        <w:fldChar w:fldCharType="begin" w:fldLock="1"/>
      </w:r>
      <w:r w:rsidR="00BB1448">
        <w:instrText>ADDIN CSL_CITATION {"citationItems":[{"id":"ITEM-1","itemData":{"DOI":"10.1007/S11116-020-10081-4/FIGURES/10","ISSN":"15729435","abstract":"Transportation network companies (TNC) provide mobility services that are influencing travel behavior in unknown ways due to limited TNC trip-level data. How they interact with other modes of transportation can have direct societal impacts, prompting appropriate policy intervention. This paper outlines a method to inform such policies through a data-driven approach that specifically analyzes the interaction between TNCs and bus services in Pittsburgh, PA. Uber surge multiplier data is used over a 6-month time period to approximate TNC usage (i.e., demand over supply ratio) for ten predefined points of interest throughout the city. Bus boarding data near each point of interest is used to relate TNC usage. Data from multiple sources (weather, traffic speed data, bus levels of service) are used to control for conditions that influence bus ridership. We find significant changes in bus boardings during periods of unusually high TNC usage at four locations during the evening hours. The remaining six locations observe no significant change in bus boardings. We find that the presence of a dedicated bus way transit station or a nearby university (or dense commercial zones in general) both influence ad-hoc substitutional behavior between TNCs and public transit. We also find that this behavior varies by location and time of day. This finding is significant and important for targeted policies that improve transportation network efficiency.","author":[{"dropping-particle":"","family":"Grahn","given":"Rick","non-dropping-particle":"","parse-names":false,"suffix":""},{"dropping-particle":"","family":"Qian","given":"Sean","non-dropping-particle":"","parse-names":false,"suffix":""},{"dropping-particle":"","family":"Matthews","given":"H. Scott","non-dropping-particle":"","parse-names":false,"suffix":""},{"dropping-particle":"","family":"Hendrickson","given":"Chris","non-dropping-particle":"","parse-names":false,"suffix":""}],"container-title":"Transportation","id":"ITEM-1","issue":"2","issued":{"date-parts":[["2021","4","1"]]},"page":"977-1005","publisher":"Springer","title":"Are travelers substituting between transportation network companies (TNC) and public buses? A case study in Pittsburgh","type":"article-journal","volume":"48"},"uris":["http://www.mendeley.com/documents/?uuid=228426ac-7f8c-3a14-89be-71b694cdcda5"]}],"mendeley":{"formattedCitation":"(&lt;i&gt;62&lt;/i&gt;)","manualFormatting":"(similar findings in 11)","plainTextFormattedCitation":"(62)","previouslyFormattedCitation":"(&lt;i&gt;62&lt;/i&gt;)"},"properties":{"noteIndex":0},"schema":"https://github.com/citation-style-language/schema/raw/master/csl-citation.json"}</w:instrText>
      </w:r>
      <w:r w:rsidR="00E05FAB">
        <w:fldChar w:fldCharType="separate"/>
      </w:r>
      <w:r w:rsidR="00E05FAB" w:rsidRPr="00E05FAB">
        <w:rPr>
          <w:noProof/>
        </w:rPr>
        <w:t>(</w:t>
      </w:r>
      <w:r w:rsidR="00E05FAB">
        <w:rPr>
          <w:noProof/>
        </w:rPr>
        <w:t xml:space="preserve">similar findings in </w:t>
      </w:r>
      <w:r w:rsidR="00E05FAB" w:rsidRPr="00E05FAB">
        <w:rPr>
          <w:noProof/>
        </w:rPr>
        <w:t>11)</w:t>
      </w:r>
      <w:r w:rsidR="00E05FAB">
        <w:fldChar w:fldCharType="end"/>
      </w:r>
      <w:r w:rsidR="00E05FAB">
        <w:t xml:space="preserve">. </w:t>
      </w:r>
      <w:r w:rsidR="0004053E">
        <w:t>As the distance of the destination census tract increase</w:t>
      </w:r>
      <w:r w:rsidR="00281E94">
        <w:t>s</w:t>
      </w:r>
      <w:r w:rsidR="0004053E">
        <w:t xml:space="preserve"> from CBD, TNC fare </w:t>
      </w:r>
      <w:r w:rsidR="00281E94">
        <w:t>is likely to be lower</w:t>
      </w:r>
      <w:r w:rsidR="0004053E">
        <w:t>.</w:t>
      </w:r>
      <w:r w:rsidR="00283C2A">
        <w:t xml:space="preserve"> </w:t>
      </w:r>
      <w:r w:rsidR="00281E94">
        <w:t xml:space="preserve">The result is expected because with all else same, travel away from CBD is typically faster and thus trip fare is expected to be lower. </w:t>
      </w:r>
      <w:r w:rsidR="009C0467">
        <w:t xml:space="preserve">The effect is more pronounced in the AM peak period as </w:t>
      </w:r>
      <w:r w:rsidR="00423EE0">
        <w:t xml:space="preserve">congestion is likely to be lower away from CBD during AM peak. </w:t>
      </w:r>
    </w:p>
    <w:p w14:paraId="5A956293" w14:textId="0D995039" w:rsidR="00BE1F0D" w:rsidRDefault="00EF3085" w:rsidP="00A7331A">
      <w:pPr>
        <w:spacing w:after="0"/>
        <w:ind w:firstLine="720"/>
      </w:pPr>
      <w:r>
        <w:t xml:space="preserve">Chicago bike sharing system </w:t>
      </w:r>
      <w:r w:rsidR="00423EE0">
        <w:t>(</w:t>
      </w:r>
      <w:r>
        <w:t>Divvy</w:t>
      </w:r>
      <w:r w:rsidR="00423EE0">
        <w:t>)</w:t>
      </w:r>
      <w:r>
        <w:t xml:space="preserve"> and TNC </w:t>
      </w:r>
      <w:r w:rsidR="00423EE0">
        <w:t xml:space="preserve">appear to have </w:t>
      </w:r>
      <w:r>
        <w:t xml:space="preserve">competitive relationship </w:t>
      </w:r>
      <w:r w:rsidR="00423EE0">
        <w:t xml:space="preserve">as </w:t>
      </w:r>
      <w:r>
        <w:t>highlighted by the negative coefficient o</w:t>
      </w:r>
      <w:r w:rsidR="00423EE0">
        <w:t xml:space="preserve">n the </w:t>
      </w:r>
      <w:r>
        <w:t>number of divvy station</w:t>
      </w:r>
      <w:r w:rsidR="006E0A9A">
        <w:t>s</w:t>
      </w:r>
      <w:r w:rsidR="0036482D">
        <w:t xml:space="preserve"> (see </w:t>
      </w:r>
      <w:r w:rsidR="000A47BD">
        <w:fldChar w:fldCharType="begin" w:fldLock="1"/>
      </w:r>
      <w:r w:rsidR="00BB1448">
        <w:instrText>ADDIN CSL_CITATION {"citationItems":[{"id":"ITEM-1","itemData":{"DOI":"10.1016/J.JTRANGEO.2015.03.005","ISSN":"0966-6923","abstract":"In recent years, there has been increasing attention on bicycle-sharing systems (BSS) as a viable and sustainable mode of transportation for short trips. However, due to the relatively recent adoption of BSS, there is very little research exploring how people consider these systems within existing transportation options. Given recent BSS growth around the world, there is substantial interest in identifying contributing factors that encourage individuals to use these systems. The current study contributes to this growing literature by examining BSS behavior at the trip level to analyze bicyclists' destination preferences. Specifically, we study the decision process involved in identifying destination locations after picking up a bicycle at a BSS station, using a random utility maximization approach in the form of a multinomial logit model (MNL). The quantitative frameworks developed have been estimated using 2013 data from the Chicago's Divvy system. In our modeling effort, we distinguish between BSS users with annual membership and short-term customers with daily passes. The developed model should allow bicycle-sharing system operators to plan services more effectively by examining the impact of travel distance, land use, built environment, and access to public transportation infrastructure on users' destination preferences. Using the estimated model, we generated utility profiles as a function of distance and various other attributes, allowing us to represent visually the trade-offs that individuals make in the decision process. To illustrate further the applicability of the proposed framework for planning purposes, destination station-choice probability prediction is undertaken.","author":[{"dropping-particle":"","family":"Faghih-Imani","given":"Ahmadreza","non-dropping-particle":"","parse-names":false,"suffix":""},{"dropping-particle":"","family":"Eluru","given":"Naveen","non-dropping-particle":"","parse-names":false,"suffix":""}],"container-title":"Journal of Transport Geography","id":"ITEM-1","issued":{"date-parts":[["2015","4","1"]]},"page":"53-64","publisher":"Pergamon","title":"Analysing bicycle-sharing system user destination choice preferences: Chicago’s Divvy system","type":"article-journal","volume":"44"},"uris":["http://www.mendeley.com/documents/?uuid=dce32047-d4a3-365f-b2d6-637334296f73"]}],"mendeley":{"formattedCitation":"(&lt;i&gt;30&lt;/i&gt;)","plainTextFormattedCitation":"(30)","previouslyFormattedCitation":"(&lt;i&gt;30&lt;/i&gt;)"},"properties":{"noteIndex":0},"schema":"https://github.com/citation-style-language/schema/raw/master/csl-citation.json"}</w:instrText>
      </w:r>
      <w:r w:rsidR="000A47BD">
        <w:fldChar w:fldCharType="separate"/>
      </w:r>
      <w:r w:rsidR="0076717B" w:rsidRPr="0076717B">
        <w:rPr>
          <w:noProof/>
        </w:rPr>
        <w:t>(</w:t>
      </w:r>
      <w:r w:rsidR="0076717B" w:rsidRPr="0076717B">
        <w:rPr>
          <w:i/>
          <w:noProof/>
        </w:rPr>
        <w:t>30</w:t>
      </w:r>
      <w:r w:rsidR="0076717B" w:rsidRPr="0076717B">
        <w:rPr>
          <w:noProof/>
        </w:rPr>
        <w:t>)</w:t>
      </w:r>
      <w:r w:rsidR="000A47BD">
        <w:fldChar w:fldCharType="end"/>
      </w:r>
      <w:r w:rsidR="0036482D">
        <w:t xml:space="preserve"> for evidence of how individuals </w:t>
      </w:r>
      <w:r w:rsidR="00EA4786">
        <w:t>use divvy system to make commuting trips in CBD</w:t>
      </w:r>
      <w:r w:rsidR="0036482D">
        <w:t>)</w:t>
      </w:r>
      <w:r w:rsidR="00EA4786">
        <w:t xml:space="preserve">. </w:t>
      </w:r>
      <w:r w:rsidR="00E87C44">
        <w:t xml:space="preserve">The results also indicate that destination with diverse land use </w:t>
      </w:r>
      <w:r w:rsidR="000A47BD">
        <w:t>is</w:t>
      </w:r>
      <w:r w:rsidR="00E87C44">
        <w:t xml:space="preserve"> likely to have higher fares. </w:t>
      </w:r>
      <w:r w:rsidR="00D31778">
        <w:t>TNC travel in these locations will be slower and hence require longer travel time resulting in higher fares. Finally, destinations with</w:t>
      </w:r>
      <w:r w:rsidR="00924A6E">
        <w:t xml:space="preserve"> higher employment density will </w:t>
      </w:r>
      <w:r w:rsidR="00D31778">
        <w:t xml:space="preserve">contribute to higher </w:t>
      </w:r>
      <w:r w:rsidR="00924A6E">
        <w:t>TNC fare</w:t>
      </w:r>
      <w:r w:rsidR="00D31778">
        <w:t xml:space="preserve"> as expected</w:t>
      </w:r>
      <w:r w:rsidR="00924A6E">
        <w:t>.</w:t>
      </w:r>
    </w:p>
    <w:p w14:paraId="561ADF01" w14:textId="77777777" w:rsidR="00BE1F0D" w:rsidRDefault="00BE1F0D" w:rsidP="00BE1F0D">
      <w:pPr>
        <w:spacing w:after="0" w:line="259" w:lineRule="auto"/>
        <w:contextualSpacing w:val="0"/>
        <w:jc w:val="left"/>
      </w:pPr>
    </w:p>
    <w:p w14:paraId="2E01FB2C" w14:textId="77777777" w:rsidR="00BE1F0D" w:rsidRDefault="00BE1F0D" w:rsidP="00BE1F0D">
      <w:pPr>
        <w:pStyle w:val="Heading2"/>
      </w:pPr>
      <w:r>
        <w:t>Destination Choice Model</w:t>
      </w:r>
    </w:p>
    <w:p w14:paraId="1D0DA326" w14:textId="77777777" w:rsidR="00BE1F0D" w:rsidRDefault="00BE1F0D" w:rsidP="00BE1F0D">
      <w:pPr>
        <w:pStyle w:val="Heading3"/>
        <w:rPr>
          <w:rFonts w:eastAsia="Times New Roman" w:cs="Times New Roman"/>
          <w:color w:val="000000"/>
        </w:rPr>
      </w:pPr>
      <w:r w:rsidRPr="001D4A7A">
        <w:rPr>
          <w:rFonts w:eastAsia="Times New Roman" w:cs="Times New Roman"/>
          <w:color w:val="000000"/>
        </w:rPr>
        <w:t>Land use and Built Environment Attributes</w:t>
      </w:r>
    </w:p>
    <w:p w14:paraId="10336257" w14:textId="3337AA10" w:rsidR="00574C18" w:rsidRDefault="00BE1F0D" w:rsidP="00A54175">
      <w:r>
        <w:t xml:space="preserve">Several land use and built environment variables offer significant and expected results. As the distance between origin and destination and distance of the destination from CBD increases, the likelihood of the alternative being selected reduces. The impact of distance to CBD is significantly higher in the AM peak period as users are unlikely to travel away from the CBD in the AM peak. The various </w:t>
      </w:r>
      <w:r w:rsidR="00A54175">
        <w:t>built-up</w:t>
      </w:r>
      <w:r>
        <w:t xml:space="preserve"> areas also offer expected results. Census tracts with residential and institutional areas are less likely to be destination. On the other hand, census tracts with higher areas of commercial and recreational areas have a higher likelihood of being chosen (see </w:t>
      </w:r>
      <w:r>
        <w:fldChar w:fldCharType="begin" w:fldLock="1"/>
      </w:r>
      <w:r w:rsidR="00BB1448">
        <w:instrText>ADDIN CSL_CITATION {"citationItems":[{"id":"ITEM-1","itemData":{"DOI":"10.1155/2020/6147974","ISSN":"20423195","abstract":"Efficient parking tends to be challenging in most large cities in China. Drivers often spend substantial amounts of time looking for parking lots while driving at low speeds, thereby resulting in interference with road traffic. This paper focuses on efficiently allocating parking spaces to the demanders. A double-objective model is proposed that considers both the utilizing rate and the walking distance. First, managers want to utilize parking resources fully. Therefore, they tend to prioritize the efficient distribution of parking spaces in response to parking demands. However, demanders typically choose parking spaces according to convenience. The second objective is the acceptable walking distance from the parking space to the destination. The particle swarm optimization (PSO) algorithm is used to solve this model. We collected parking demand and supply data in a central business district (CBD) of Harbin in China and evaluated the feasibility of the model. The results demonstrate that the proposed model increases the occupying rates of parking lots in residential zones while decreasing the walking distance. The shared use of parking spaces maximizes the utility and alleviates the shortage of parking spaces in downtown.","author":[{"dropping-particle":"","family":"Zhang","given":"Wenhui","non-dropping-particle":"","parse-names":false,"suffix":""},{"dropping-particle":"","family":"Gao","given":"Fan","non-dropping-particle":"","parse-names":false,"suffix":""},{"dropping-particle":"","family":"Sun","given":"Shurui","non-dropping-particle":"","parse-names":false,"suffix":""},{"dropping-particle":"","family":"Yu","given":"Qiuying","non-dropping-particle":"","parse-names":false,"suffix":""},{"dropping-particle":"","family":"Tang","given":"Jinjun","non-dropping-particle":"","parse-names":false,"suffix":""},{"dropping-particle":"","family":"Liu","given":"Bohang","non-dropping-particle":"","parse-names":false,"suffix":""},{"dropping-particle":"","family":"Ma","given":"Dongfang","non-dropping-particle":"","parse-names":false,"suffix":""}],"container-title":"Journal of Advanced Transportation","id":"ITEM-1","issued":{"date-parts":[["2020"]]},"publisher":"Hindawi Limited","title":"A Distribution Model for Shared Parking in Residential Zones that Considers the Utilization Rate and the Walking Distance","type":"article-journal","volume":"2020"},"uris":["http://www.mendeley.com/documents/?uuid=c8239aee-6eac-35b5-8566-61e9477bc945"]},{"id":"ITEM-2","itemData":{"DOI":"10.1016/J.TRA.2020.12.014","ISSN":"0965-8564","abstract":"Given the burgeoning growth in bikeshare system installations and their growing adoption for trip making, it is important to develop modeling frameworks to understand bikeshare demand flows in the system. The current study examines two choice dimensions for capturing the system level bikeshare system demand: (1) total station level demand and (2) distribution of bike flows from an origin station across the network. A linear mixed model is used to estimate the first choice and Multiple Discrete Continuous Extreme Value (MDCEV) model is used to analyze the latter. The data is drawn from the New York City bikeshare system (CitiBike) for six months (January through June 2017). For our analysis, we examine demand and distribution patterns on a weekly basis controlling for a host of independent variables (trip, socio-demographics, bicycle infrastructure, land use and built environment, temporal and weather). Model validation exercise results revealed that the proposed model performs well for low demand destinations. A policy exercise evaluating destination choice behavior demonstrated how the impact of distance is compensated by additional bicycling infrastructure in the farther locations. The results from the study help bikesharing system planners and operators to better evaluate and improve bikeshare systems.","author":[{"dropping-particle":"","family":"Kumar Dey","given":"Bibhas","non-dropping-particle":"","parse-names":false,"suffix":""},{"dropping-particle":"","family":"Anowar","given":"Sabreena","non-dropping-particle":"","parse-names":false,"suffix":""},{"dropping-particle":"","family":"Eluru","given":"Naveen","non-dropping-particle":"","parse-names":false,"suffix":""}],"container-title":"Transportation Research Part A: Policy and Practice","id":"ITEM-2","issued":{"date-parts":[["2021","2","1"]]},"page":"119-133","publisher":"Pergamon","title":"A framework for estimating bikeshare origin destination flows using a multiple discrete continuous system","type":"article-journal","volume":"144"},"uris":["http://www.mendeley.com/documents/?uuid=842a215b-ed2c-35d6-89e6-bb84df4fad29"]}],"mendeley":{"formattedCitation":"(&lt;i&gt;32&lt;/i&gt;, &lt;i&gt;63&lt;/i&gt;)","plainTextFormattedCitation":"(32, 63)","previouslyFormattedCitation":"(&lt;i&gt;32&lt;/i&gt;, &lt;i&gt;63&lt;/i&gt;)"},"properties":{"noteIndex":0},"schema":"https://github.com/citation-style-language/schema/raw/master/csl-citation.json"}</w:instrText>
      </w:r>
      <w:r>
        <w:fldChar w:fldCharType="separate"/>
      </w:r>
      <w:r w:rsidR="0076717B" w:rsidRPr="0076717B">
        <w:rPr>
          <w:noProof/>
        </w:rPr>
        <w:t>(</w:t>
      </w:r>
      <w:r w:rsidR="0076717B" w:rsidRPr="0076717B">
        <w:rPr>
          <w:i/>
          <w:noProof/>
        </w:rPr>
        <w:t>32</w:t>
      </w:r>
      <w:r w:rsidR="0076717B" w:rsidRPr="0076717B">
        <w:rPr>
          <w:noProof/>
        </w:rPr>
        <w:t xml:space="preserve">, </w:t>
      </w:r>
      <w:r w:rsidR="0076717B" w:rsidRPr="0076717B">
        <w:rPr>
          <w:i/>
          <w:noProof/>
        </w:rPr>
        <w:t>63</w:t>
      </w:r>
      <w:r w:rsidR="0076717B" w:rsidRPr="0076717B">
        <w:rPr>
          <w:noProof/>
        </w:rPr>
        <w:t>)</w:t>
      </w:r>
      <w:r>
        <w:fldChar w:fldCharType="end"/>
      </w:r>
      <w:r>
        <w:t xml:space="preserve"> for similar results). </w:t>
      </w:r>
    </w:p>
    <w:p w14:paraId="6F4E8A6E" w14:textId="09BF2461" w:rsidR="002A5401" w:rsidRDefault="00A26943" w:rsidP="002A5401">
      <w:pPr>
        <w:pStyle w:val="Heading3"/>
      </w:pPr>
      <w:r>
        <w:t>Transportation</w:t>
      </w:r>
      <w:r w:rsidR="002A5401">
        <w:t xml:space="preserve"> </w:t>
      </w:r>
      <w:r w:rsidR="00102C48">
        <w:t>Infrastructure Attributes</w:t>
      </w:r>
    </w:p>
    <w:p w14:paraId="5A7AF601" w14:textId="23497538" w:rsidR="00970328" w:rsidRDefault="00F93B59" w:rsidP="002A5401">
      <w:r>
        <w:t>The results for t</w:t>
      </w:r>
      <w:r w:rsidR="009B6EEF">
        <w:t xml:space="preserve">ransportation infrastructure attributes offer multiple significant and nuanced relationships with destination preferences. </w:t>
      </w:r>
      <w:r w:rsidR="00970328">
        <w:t>Destination attributes that represent</w:t>
      </w:r>
      <w:r w:rsidR="00F05DC1">
        <w:t xml:space="preserve"> </w:t>
      </w:r>
      <w:r w:rsidR="00370F54">
        <w:t xml:space="preserve">non-motorized </w:t>
      </w:r>
      <w:r w:rsidR="001B6B97">
        <w:t>and transit infrastructure such as</w:t>
      </w:r>
      <w:r w:rsidR="00370F54">
        <w:t xml:space="preserve"> bike lanes, </w:t>
      </w:r>
      <w:r w:rsidR="00990320">
        <w:t xml:space="preserve">bus stops, divvy stations, </w:t>
      </w:r>
      <w:r w:rsidR="00E5719B">
        <w:t xml:space="preserve">walk score and transit offer positive association with destination choice. </w:t>
      </w:r>
      <w:r w:rsidR="00757128">
        <w:t xml:space="preserve">Several earlier studies have documented these some or all of these relationships </w:t>
      </w:r>
      <w:r w:rsidR="003414B7">
        <w:fldChar w:fldCharType="begin" w:fldLock="1"/>
      </w:r>
      <w:r w:rsidR="00BB1448">
        <w:instrText>ADDIN CSL_CITATION {"citationItems":[{"id":"ITEM-1","itemData":{"DOI":"10.1016/J.JTRANGEO.2020.102944","ISSN":"0966-6923","abstract":"As ride-hailing becomes more common in cities, public agencies increasingly seek transportation network company (TNC) service data to understand (and potentially regulate) demand and service response. Despite the increase in ride-hailing or TNC demand and subsequent research into its determinants, there remains little research on shared TNC trips and the spatial distribution of trip demand across demographic and land use variables. Using Chicago as a case study, shared TNC trip data from 2019 was used to estimate the count and ratio of shared ride services, based on built environment, demographic, location, time of day, and trip details. Findings reveal that trip length, day of week designation, density of pedestrian and multi-modal infrastructure, and underlying socioeconomic characteristics of the origin zones influence the proportion and count of shared ride-hail trips. Of concern is that those using transit or active modes may be taking more ride-hailing trips, but these Chicago-region results indicate that the provision of pedestrian infrastructure and remoteness to transit stops result in fewer shared trips.","author":[{"dropping-particle":"","family":"Dean","given":"Matthew D.","non-dropping-particle":"","parse-names":false,"suffix":""},{"dropping-particle":"","family":"Kockelman","given":"Kara M.","non-dropping-particle":"","parse-names":false,"suffix":""}],"container-title":"Journal of Transport Geography","id":"ITEM-1","issued":{"date-parts":[["2021","2","1"]]},"page":"102944","publisher":"Pergamon","title":"Spatial variation in shared ride-hail trip demand and factors contributing to sharing: Lessons from Chicago","type":"article-journal","volume":"91"},"uris":["http://www.mendeley.com/documents/?uuid=b5a9db5c-50cd-33ec-9000-064c28eced3d"]},{"id":"ITEM-2","itemData":{"DOI":"10.1016/J.CITIES.2020.102926","ISSN":"0264-2751","abstract":"Despite the recent growth and popularity of ride-hailing services throughout the world, there's still a lack of research on its determinants. This paper aims to examine the associations between ride-hailing and their spatial distribution in relation to key socioeconomic and built environment characteristics both at the trip origin and destination. To do so the study uses official data provided by Transportation Network Companies operating in the city of Chicago, with 32 million trips logged between November 1st, 2018 to June 28th, 2019. Among the built environment attributes we focus on the relationship between walkability levels and demand for ride-hailing. Study findings indicate an association between ride-hailing and income levels, car-availability and race-ethnicity. Results also suggest a positive association between walkability at either trip origin or trip destination and ride-hailing demand, together with a negative one between access to transit and ride-hail use. Findings suggest some worrisome conclusions, with ride-hailing being seldom used among the more deprived areas. Ride-hailing is predominantly being used to travel between highly accessible areas which should be accessed using more sustainable transport modes. Positive takeaways are the lack of race disparities in ride-hailing demand and the capacity of ride-hailing to interact and complement public transit provision.","author":[{"dropping-particle":"","family":"Marquet","given":"Oriol","non-dropping-particle":"","parse-names":false,"suffix":""}],"container-title":"Cities","id":"ITEM-2","issued":{"date-parts":[["2020","11","1"]]},"page":"102926","publisher":"Pergamon","title":"Spatial distribution of ride-hailing trip demand and its association with walkability and neighborhood characteristics","type":"article-journal","volume":"106"},"uris":["http://www.mendeley.com/documents/?uuid=2213fd14-863d-3d83-bbd6-bebd355a7d99"]},{"id":"ITEM-3","itemData":{"DOI":"10.1016/J.TRC.2021.103235","ISSN":"0968-090X","abstract":"The proposed study contributes to our understanding of the ongoing transformation of ridehailing market by examining the New York City Taxi &amp; Limousine Commission data from a fine spatial and temporal resolution. We examine taxi zone based demand data from NYC for each month and explore the reasons contributing to (a) the increase in ridehailing demand and (b) the shift from traditional taxi services to Transportation Networking Company (TNC) services. The first component – taxi zone ridehailing demand - is analyzed adopting a negative binomial count model. The second component - share of traditional and TNC services demand - is analyzed using a multinomial fractional split model. The two model components are stitched together in a joint framework that allows for the influence of repeated observations as well as for the presence of common unobserved factors affecting the two components. The model estimation considered a comprehensive set of independent variables including transportation infrastructure variables, land use and built environment variables, weather attributes, and temporal attributes. Several performance measures were generated using the joint model for estimation and validation datasets. A prediction exercise is conducted to illustrate how the proposed model system can be utilized for predicting future ridehailing trends. Finally, an elasticity exercise is conducted to estimate the influence of independent variables on the ridehailing market.","author":[{"dropping-particle":"","family":"Dey","given":"Bibhas Kumar","non-dropping-particle":"","parse-names":false,"suffix":""},{"dropping-particle":"","family":"Tirtha","given":"Sudipta Dey","non-dropping-particle":"","parse-names":false,"suffix":""},{"dropping-particle":"","family":"Eluru","given":"Naveen","non-dropping-particle":"","parse-names":false,"suffix":""},{"dropping-particle":"","family":"Konduri","given":"Karthik C.","non-dropping-particle":"","parse-names":false,"suffix":""}],"container-title":"Transportation Research Part C: Emerging Technologies","id":"ITEM-3","issued":{"date-parts":[["2021","8","1"]]},"page":"103235","publisher":"Pergamon","title":"Transformation of ridehailing in New York City: A quantitative assessment","type":"article-journal","volume":"129"},"uris":["http://www.mendeley.com/documents/?uuid=ed01ae67-a7e3-35f6-9236-8501b0454798"]},{"id":"ITEM-4","itemData":{"URL":"https://www.lyft.com/blog/posts/lyft-becomes-americas-largest-bikeshare-service","accessed":{"date-parts":[["2022","7","7"]]},"id":"ITEM-4","issued":{"date-parts":[["0"]]},"title":"Lyft Becomes America's Largest Bikeshare Service - Lyft Blog","type":"webpage"},"uris":["http://www.mendeley.com/documents/?uuid=edfcc53d-a735-32bb-9507-e72fa1f63222"]},{"id":"ITEM-5","itemData":{"DOI":"10.32866/001C.12872","abstract":"This research examines how for-hire vehicles (Uber, Lyft and taxicabs) are combined with other transport modes, both in daily travel tours and as parts of individual trips. Using data from the National Household Travel Survey, we find that about 75 percent of for-hire tours include another travel mode, and 27 percent of for-hire tours include transit. The California add-on sample allows us to look specifically at for-hire use for first mile/last mile access to transit. There, we find that about 11 percent of all for-hire tours in California include first mile/last mile transit access. However, these represent less than three percent of all tours that feature transit, and the sample size is very small. Lastly, we examine the distribution of non-auto and for-hire use within tours by time of day, and show that for-hire use exceeds other non-auto use in evenings, when transit service is typically reduced. These findings suggest that for-hire vehicles can act as complements to other modes both for individual trips, such as first mile access, and at the tour level, where for-hire vehicles may be used for some trips in conjunction with other modes within a travel day.","author":[{"dropping-particle":"","family":"King","given":"David A.","non-dropping-particle":"","parse-names":false,"suffix":""},{"dropping-particle":"","family":"Conway","given":"Matthew Wigginton","non-dropping-particle":"","parse-names":false,"suffix":""},{"dropping-particle":"","family":"Salon","given":"Deborah","non-dropping-particle":"","parse-names":false,"suffix":""}],"container-title":"Findings","id":"ITEM-5","issued":{"date-parts":[["2020","5","14"]]},"publisher":"Network Design Lab - Transport Findings","title":"Do For-Hire Vehicles Provide First Mile/Last Mile Access to Transit?","type":"article-journal"},"uris":["http://www.mendeley.com/documents/?uuid=09c310ad-1b93-361c-aab7-c1b54c56c03d"]},{"id":"ITEM-6","itemData":{"URL":"https://cnt.org/blog/is-ridehailing-equitably-available-across-chicago","accessed":{"date-parts":[["2022","7","7"]]},"id":"ITEM-6","issued":{"date-parts":[["0"]]},"title":"Is Ridehailing Equitably Available Across Chicago? | Center for Neighborhood Technology","type":"webpage"},"uris":["http://www.mendeley.com/documents/?uuid=b7d8be76-2223-32ba-9fff-6c163b5dbaf3"]}],"mendeley":{"formattedCitation":"(&lt;i&gt;21&lt;/i&gt;, &lt;i&gt;22&lt;/i&gt;, &lt;i&gt;60&lt;/i&gt;, &lt;i&gt;64&lt;/i&gt;–&lt;i&gt;66&lt;/i&gt;)","plainTextFormattedCitation":"(21, 22, 60, 64–66)","previouslyFormattedCitation":"(&lt;i&gt;21&lt;/i&gt;, &lt;i&gt;22&lt;/i&gt;, &lt;i&gt;60&lt;/i&gt;, &lt;i&gt;64&lt;/i&gt;–&lt;i&gt;66&lt;/i&gt;)"},"properties":{"noteIndex":0},"schema":"https://github.com/citation-style-language/schema/raw/master/csl-citation.json"}</w:instrText>
      </w:r>
      <w:r w:rsidR="003414B7">
        <w:fldChar w:fldCharType="separate"/>
      </w:r>
      <w:r w:rsidR="0076717B" w:rsidRPr="0076717B">
        <w:rPr>
          <w:noProof/>
        </w:rPr>
        <w:t>(</w:t>
      </w:r>
      <w:r w:rsidR="0076717B" w:rsidRPr="0076717B">
        <w:rPr>
          <w:i/>
          <w:noProof/>
        </w:rPr>
        <w:t>21</w:t>
      </w:r>
      <w:r w:rsidR="0076717B" w:rsidRPr="0076717B">
        <w:rPr>
          <w:noProof/>
        </w:rPr>
        <w:t xml:space="preserve">, </w:t>
      </w:r>
      <w:r w:rsidR="0076717B" w:rsidRPr="0076717B">
        <w:rPr>
          <w:i/>
          <w:noProof/>
        </w:rPr>
        <w:t>22</w:t>
      </w:r>
      <w:r w:rsidR="0076717B" w:rsidRPr="0076717B">
        <w:rPr>
          <w:noProof/>
        </w:rPr>
        <w:t xml:space="preserve">, </w:t>
      </w:r>
      <w:r w:rsidR="0076717B" w:rsidRPr="0076717B">
        <w:rPr>
          <w:i/>
          <w:noProof/>
        </w:rPr>
        <w:t>60</w:t>
      </w:r>
      <w:r w:rsidR="0076717B" w:rsidRPr="0076717B">
        <w:rPr>
          <w:noProof/>
        </w:rPr>
        <w:t xml:space="preserve">, </w:t>
      </w:r>
      <w:r w:rsidR="0076717B" w:rsidRPr="0076717B">
        <w:rPr>
          <w:i/>
          <w:noProof/>
        </w:rPr>
        <w:t>64</w:t>
      </w:r>
      <w:r w:rsidR="0076717B" w:rsidRPr="0076717B">
        <w:rPr>
          <w:noProof/>
        </w:rPr>
        <w:t>–</w:t>
      </w:r>
      <w:r w:rsidR="0076717B" w:rsidRPr="0076717B">
        <w:rPr>
          <w:i/>
          <w:noProof/>
        </w:rPr>
        <w:t>66</w:t>
      </w:r>
      <w:r w:rsidR="0076717B" w:rsidRPr="0076717B">
        <w:rPr>
          <w:noProof/>
        </w:rPr>
        <w:t>)</w:t>
      </w:r>
      <w:r w:rsidR="003414B7">
        <w:fldChar w:fldCharType="end"/>
      </w:r>
      <w:r w:rsidR="003414B7">
        <w:t>.</w:t>
      </w:r>
      <w:r w:rsidR="00C42354">
        <w:t xml:space="preserve"> </w:t>
      </w:r>
      <w:r w:rsidR="00B61038">
        <w:t xml:space="preserve">For bus stops and divvy stations, the impact on </w:t>
      </w:r>
      <w:r w:rsidR="00941E6E">
        <w:t>destination</w:t>
      </w:r>
      <w:r w:rsidR="00B61038">
        <w:t xml:space="preserve"> selection is even higher during the AM peak period. </w:t>
      </w:r>
      <w:r w:rsidR="00E5719B">
        <w:t>An e</w:t>
      </w:r>
      <w:r w:rsidR="00E5210D">
        <w:t xml:space="preserve">xception to this is the parameter for L stations. The result clearly highlights that in census tracts with L stations, TNC users are less likely to choose these destinations. </w:t>
      </w:r>
      <w:r w:rsidR="00B16FCB">
        <w:t xml:space="preserve">The income </w:t>
      </w:r>
      <w:r w:rsidR="00941E6E">
        <w:t>of origin census tract also offers a</w:t>
      </w:r>
      <w:r w:rsidR="00565C57">
        <w:t xml:space="preserve"> conflicting </w:t>
      </w:r>
      <w:r w:rsidR="00941E6E">
        <w:t xml:space="preserve">interaction with </w:t>
      </w:r>
      <w:r w:rsidR="00565C57">
        <w:t xml:space="preserve">bus stops and L stations. The users </w:t>
      </w:r>
      <w:r w:rsidR="009C6B0C">
        <w:t xml:space="preserve">starting their travel </w:t>
      </w:r>
      <w:r w:rsidR="00565C57">
        <w:t xml:space="preserve">from </w:t>
      </w:r>
      <w:r w:rsidR="009C6B0C">
        <w:t>low-income</w:t>
      </w:r>
      <w:r w:rsidR="00565C57">
        <w:t xml:space="preserve"> </w:t>
      </w:r>
      <w:r w:rsidR="009C6B0C">
        <w:t>census tracts</w:t>
      </w:r>
      <w:r w:rsidR="00565C57">
        <w:t xml:space="preserve"> have higher affinity to </w:t>
      </w:r>
      <w:r w:rsidR="009C6B0C">
        <w:t xml:space="preserve">travel to destinations with higher number of bus stops. However, the result is exactly opposite in the context of L stations. The variation might be reflecting the different </w:t>
      </w:r>
      <w:r w:rsidR="00D15B9D">
        <w:t>neighborhood characteristics of census tracts with higher number of buses vis-à-vis census tracts with higher number of L stations</w:t>
      </w:r>
      <w:r w:rsidR="003414B7">
        <w:t xml:space="preserve"> </w:t>
      </w:r>
      <w:r w:rsidR="003414B7">
        <w:fldChar w:fldCharType="begin" w:fldLock="1"/>
      </w:r>
      <w:r w:rsidR="00BB1448">
        <w:instrText>ADDIN CSL_CITATION {"citationItems":[{"id":"ITEM-1","itemData":{"DOI":"10.1007/S11116-020-10081-4/FIGURES/10","ISSN":"15729435","abstract":"Transportation network companies (TNC) provide mobility services that are influencing travel behavior in unknown ways due to limited TNC trip-level data. How they interact with other modes of transportation can have direct societal impacts, prompting appropriate policy intervention. This paper outlines a method to inform such policies through a data-driven approach that specifically analyzes the interaction between TNCs and bus services in Pittsburgh, PA. Uber surge multiplier data is used over a 6-month time period to approximate TNC usage (i.e., demand over supply ratio) for ten predefined points of interest throughout the city. Bus boarding data near each point of interest is used to relate TNC usage. Data from multiple sources (weather, traffic speed data, bus levels of service) are used to control for conditions that influence bus ridership. We find significant changes in bus boardings during periods of unusually high TNC usage at four locations during the evening hours. The remaining six locations observe no significant change in bus boardings. We find that the presence of a dedicated bus way transit station or a nearby university (or dense commercial zones in general) both influence ad-hoc substitutional behavior between TNCs and public transit. We also find that this behavior varies by location and time of day. This finding is significant and important for targeted policies that improve transportation network efficiency.","author":[{"dropping-particle":"","family":"Grahn","given":"Rick","non-dropping-particle":"","parse-names":false,"suffix":""},{"dropping-particle":"","family":"Qian","given":"Sean","non-dropping-particle":"","parse-names":false,"suffix":""},{"dropping-particle":"","family":"Matthews","given":"H. Scott","non-dropping-particle":"","parse-names":false,"suffix":""},{"dropping-particle":"","family":"Hendrickson","given":"Chris","non-dropping-particle":"","parse-names":false,"suffix":""}],"container-title":"Transportation","id":"ITEM-1","issue":"2","issued":{"date-parts":[["2021","4","1"]]},"page":"977-1005","publisher":"Springer","title":"Are travelers substituting between transportation network companies (TNC) and public buses? A case study in Pittsburgh","type":"article-journal","volume":"48"},"uris":["http://www.mendeley.com/documents/?uuid=228426ac-7f8c-3a14-89be-71b694cdcda5"]},{"id":"ITEM-2","itemData":{"DOI":"10.1016/J.JTRANGEO.2020.102918","ISSN":"0966-6923","abstract":"Transit has long connected people to opportunities but access to transit varies greatly across space. In some cases, unevenly distributed transit supply creates gaps in service that impede travelers' abilities to cross space and access jobs or other opportunities. With the advent of ride-hailing services like Uber and Lyft, however, travelers now have a new potential to gain automobility without high car purchase costs and in the absence of reliable transit service. Research remains mixed on whether ride-hailing serves as a modal complement or substitute to transit or whether ride-hailing fills transit service needs gaps. This study measures transit supply in Chicago and compares it to ride-hailing origins and destinations to examine if ride-hailing fills existing transit service gaps. Findings reveal clustering of ride-hailing pickups and drop-offs across the City of Chicago, but that the number of ride-hailing pickups and drop-offs was most strongly associated with high neighborhood median household income rather than measures of transit supply. In bivariate analyses, transit service was not associated with ride-hailing trip ends. But after controlling for neighborhood socioeconomic status, transit dependency, population density, and employment density, we found fewer ride-hailing trips in neighborhoods where bus service dominated and significantly more ride-hailing trips where rail service was prevalent. Patterns were slightly different for overnight weekend ride-hailing pick-ups, where higher transit density predicted a greater number of trips in nearby tracts. Additional research and policy is needed to ensure that ride-hailing services provide travel options to those who need them the most and fill transit gaps in low-income communities when options to increase service are limited.","author":[{"dropping-particle":"","family":"Barajas","given":"Jesus M.","non-dropping-particle":"","parse-names":false,"suffix":""},{"dropping-particle":"","family":"Brown","given":"Anne","non-dropping-particle":"","parse-names":false,"suffix":""}],"container-title":"Journal of Transport Geography","id":"ITEM-2","issued":{"date-parts":[["2021","1","1"]]},"page":"102918","publisher":"Pergamon","title":"Not minding the gap: Does ride-hailing serve transit deserts?","type":"article-journal","volume":"90"},"uris":["http://www.mendeley.com/documents/?uuid=8a0519f4-88df-3d48-85ce-97fd95d067c9"]},{"id":"ITEM-3","itemData":{"DOI":"10.1080/01944363.2019.1687318/SUPPL_FILE/RJPA_A_1687318_SM9623.PDF","ISSN":"01944363","abstract":"Problem, research strategy, and findings: Few studies have examined ride-hail users’ individual preferences between ride-hail and transit. Based on a survey of ride-hail users in the Philadelphia (PA) region, I examine who uses ride-hail and investigate ride-hail users’ willingness to use ride-hail versus transit. My results suggest that more than one-quarter of respondents replaced transit with ride-hail in their last ride-hail trips. Mixed logit regression analysis based on stated preference choice experiments indicate that higher-income respondents and respondents over 30 years old are increasingly willing to choose ride-hail over transit, even though their actual ride-hail usage is lower than that among lower-income and younger respondents. Results also show that female respondents are more willing to choose ride-hail over transit than male respondents and less frequent transit users are more likely to choose ride-hail than frequent transit users. Higher cost and longer trip duration are significant deterrents for travel by either mode. Respondents consider the time spent on walking to and from transit more burdensome than in-vehicle travel time and wait time for transit and ride-hail. They consider waiting for ride-hail less burdensome than waiting for transit. Survey sampling and design limitations provide lessons for future ride-hail studies. Takeaway for practice: Practitioners should ensure convenient, affordable travel options for lower-income residents, who are more frequent but less willing ride-hail users than higher-income residents. Female respondents’ safety concerns about transit should urge transit agencies to recognize female transit riders’ travel needs. The relationship between age and willingness to use ride-hail reminds planners to anticipate greater substitution of ride-hail for transit as the more tech-savvy generation starts entering their 30s. Last, fare reduction alone may not be enough to prompt ride-hail users to switch to transit. Service improvements that shorten the overall trip duration are imperative to make transit more attractive.","author":[{"dropping-particle":"","family":"Dong","given":"Xiaoxia","non-dropping-particle":"","parse-names":false,"suffix":""}],"container-title":"Journal of the American Planning Association","id":"ITEM-3","issue":"2","issued":{"date-parts":[["2020","4","2"]]},"page":"222-235","publisher":"Routledge","title":"Trade Uber for the Bus?: An Investigation of Individual Willingness to Use Ride-Hail Versus Transit","type":"article-journal","volume":"86"},"uris":["http://www.mendeley.com/documents/?uuid=b6555945-5230-3160-a441-85e081696e2b"]}],"mendeley":{"formattedCitation":"(&lt;i&gt;62&lt;/i&gt;, &lt;i&gt;67&lt;/i&gt;, &lt;i&gt;68&lt;/i&gt;)","plainTextFormattedCitation":"(62, 67, 68)","previouslyFormattedCitation":"(&lt;i&gt;62&lt;/i&gt;, &lt;i&gt;67&lt;/i&gt;, &lt;i&gt;68&lt;/i&gt;)"},"properties":{"noteIndex":0},"schema":"https://github.com/citation-style-language/schema/raw/master/csl-citation.json"}</w:instrText>
      </w:r>
      <w:r w:rsidR="003414B7">
        <w:fldChar w:fldCharType="separate"/>
      </w:r>
      <w:r w:rsidR="0076717B" w:rsidRPr="0076717B">
        <w:rPr>
          <w:noProof/>
        </w:rPr>
        <w:t>(</w:t>
      </w:r>
      <w:r w:rsidR="0076717B" w:rsidRPr="0076717B">
        <w:rPr>
          <w:i/>
          <w:noProof/>
        </w:rPr>
        <w:t>62</w:t>
      </w:r>
      <w:r w:rsidR="0076717B" w:rsidRPr="0076717B">
        <w:rPr>
          <w:noProof/>
        </w:rPr>
        <w:t xml:space="preserve">, </w:t>
      </w:r>
      <w:r w:rsidR="0076717B" w:rsidRPr="0076717B">
        <w:rPr>
          <w:i/>
          <w:noProof/>
        </w:rPr>
        <w:t>67</w:t>
      </w:r>
      <w:r w:rsidR="0076717B" w:rsidRPr="0076717B">
        <w:rPr>
          <w:noProof/>
        </w:rPr>
        <w:t xml:space="preserve">, </w:t>
      </w:r>
      <w:r w:rsidR="0076717B" w:rsidRPr="0076717B">
        <w:rPr>
          <w:i/>
          <w:noProof/>
        </w:rPr>
        <w:t>68</w:t>
      </w:r>
      <w:r w:rsidR="0076717B" w:rsidRPr="0076717B">
        <w:rPr>
          <w:noProof/>
        </w:rPr>
        <w:t>)</w:t>
      </w:r>
      <w:r w:rsidR="003414B7">
        <w:fldChar w:fldCharType="end"/>
      </w:r>
      <w:r w:rsidR="00D15B9D">
        <w:t xml:space="preserve">. </w:t>
      </w:r>
    </w:p>
    <w:p w14:paraId="60E794F8" w14:textId="0F46A532" w:rsidR="002A5401" w:rsidRDefault="002A5401" w:rsidP="00B7452F">
      <w:pPr>
        <w:spacing w:after="0"/>
      </w:pPr>
    </w:p>
    <w:p w14:paraId="125D72FC" w14:textId="3CA7D31E" w:rsidR="001A6622" w:rsidRDefault="001A6622" w:rsidP="001A6622">
      <w:pPr>
        <w:pStyle w:val="Heading3"/>
      </w:pPr>
      <w:r>
        <w:t>Demographic Attributes</w:t>
      </w:r>
    </w:p>
    <w:p w14:paraId="0D5AE96A" w14:textId="5DB6B32B" w:rsidR="004D18F2" w:rsidRDefault="00FE2A18" w:rsidP="004D18F2">
      <w:r>
        <w:t xml:space="preserve">Census tracts with lower income </w:t>
      </w:r>
      <w:r w:rsidR="00D93D49">
        <w:t>are less likely to be chosen as TNC destinations. The result indicates to income inequity in the adoption of TNC for mobility needs in Chicago and other urban regions (see s</w:t>
      </w:r>
      <w:r>
        <w:t xml:space="preserve">imilar findings in </w:t>
      </w:r>
      <w:r w:rsidR="0017537D">
        <w:fldChar w:fldCharType="begin" w:fldLock="1"/>
      </w:r>
      <w:r w:rsidR="00A32CAD">
        <w:instrText>ADDIN CSL_CITATION {"citationItems":[{"id":"ITEM-1","itemData":{"DOI":"10.1177/03611981211000752","ISSN":"21694052","abstract":"Given the burgeoning growth in transport networking companies (TNC)-based ride hailing systems and their growing adoption for trip making, it is important to develop modeling frameworks to understa...","author":[{"dropping-particle":"","family":"Dey","given":"Bibhas Kumar","non-dropping-particle":"","parse-names":false,"suffix":""},{"dropping-particle":"","family":"Tirtha","given":"Sudipta Dey","non-dropping-particle":"","parse-names":false,"suffix":""},{"dropping-particle":"","family":"Eluru","given":"Naveen","non-dropping-particle":"","parse-names":false,"suffix":""}],"container-title":"https://doi.org/10.1177/03611981211000752","id":"ITEM-1","issue":"9","issued":{"date-parts":[["2021","3","19"]]},"page":"139-153","publisher":"SAGE PublicationsSage CA: Los Angeles, CA","title":"Transport Networking Companies Demand and Flow Estimation in New York City:","type":"article-journal","volume":"2675"},"uris":["http://www.mendeley.com/documents/?uuid=08aad300-fa82-3a54-b880-f4c4d25ceadb"]},{"id":"ITEM-2","itemData":{"DOI":"10.1177/0361198118756628","ISSN":"21694052","abstract":"Ridesourcing has experienced exponential growth in recent years, yet its impact on individual travel are unclear and have not been adequately examined. Recently, an Austin-based ridesourcing compan...","author":[{"dropping-particle":"","family":"Lavieri","given":"Patrícia S.","non-dropping-particle":"","parse-names":false,"suffix":""},{"dropping-particle":"","family":"Dias","given":"Felipe F.","non-dropping-particle":"","parse-names":false,"suffix":""},{"dropping-particle":"","family":"Juri","given":"Natalia Ruiz","non-dropping-particle":"","parse-names":false,"suffix":""},{"dropping-particle":"","family":"Kuhr","given":"James","non-dropping-particle":"","parse-names":false,"suffix":""},{"dropping-particle":"","family":"Bhat","given":"Chandra R.","non-dropping-particle":"","parse-names":false,"suffix":""}],"container-title":"https://doi.org/10.1177/0361198118756628","id":"ITEM-2","issue":"46","issued":{"date-parts":[["2018","4","4"]]},"page":"31-40","publisher":"SAGE PublicationsSage CA: Los Angeles, CA","title":"A Model of Ridesourcing Demand Generation and Distribution:","type":"article-journal","volume":"2672"},"uris":["http://www.mendeley.com/documents/?uuid=74db42c2-0561-3c31-b66d-cb8fdff6c701"]},{"id":"ITEM-3","itemData":{"DOI":"10.1007/S11116-019-09989-3/TABLES/4","ISSN":"15729435","abstract":"The widespread adoption of smartphones followed by an emergence of transportation network companies (TNC) have influenced the way individuals travel. The authors use the 2017 National Household Travel Survey to explore socioeconomic, frequency of use, and spatial characteristics associated with TNC users. The results indicate that TNC riders tend to be younger, earn higher incomes, have higher levels of education, and are more likely to reside in urban areas compared to the aggregate United States population. Of the TNC users, 60% hailed a ride three times or less in the previous month, indicating that TNC services are primarily used for special occasions. TNC users use public transit at higher rates and own fewer vehicles compared to the aggregate United States population. In fact, the TNC user population reported similar frequencies of use for both TNC services and public transit during the previous month. Approximately 40% of TNC users reside in regions with population densities greater than 10, 000 persons per square mile compared to only 15% for non-TNC users. Lastly, reported use of public transit for TNC users living in large cities (&gt; 1 million) with access to heavy rail was almost three times greater when compared to similar sized cities without heavy rail. The average monthly frequency of TNC use was also elevated when heavy rail was present.","author":[{"dropping-particle":"","family":"Grahn","given":"Rick","non-dropping-particle":"","parse-names":false,"suffix":""},{"dropping-particle":"","family":"Harper","given":"Corey D.","non-dropping-particle":"","parse-names":false,"suffix":""},{"dropping-particle":"","family":"Hendrickson","given":"Chris","non-dropping-particle":"","parse-names":false,"suffix":""},{"dropping-particle":"","family":"Qian","given":"Zhen","non-dropping-particle":"","parse-names":false,"suffix":""},{"dropping-particle":"","family":"Matthews","given":"H. Scott","non-dropping-particle":"","parse-names":false,"suffix":""}],"container-title":"Transportation","id":"ITEM-3","issue":"6","issued":{"date-parts":[["2020","12","1"]]},"page":"3047-3067","publisher":"Springer","title":"Socioeconomic and usage characteristics of transportation network company (TNC) riders","type":"article-journal","volume":"47"},"uris":["http://www.mendeley.com/documents/?uuid=9c1818fc-8cb0-36d5-93c4-4097fb88d4c9"]}],"mendeley":{"formattedCitation":"(&lt;i&gt;23&lt;/i&gt;, &lt;i&gt;69&lt;/i&gt;, &lt;i&gt;70&lt;/i&gt;)","plainTextFormattedCitation":"(23, 69, 70)","previouslyFormattedCitation":"(&lt;i&gt;23&lt;/i&gt;, &lt;i&gt;69&lt;/i&gt;, &lt;i&gt;70&lt;/i&gt;)"},"properties":{"noteIndex":0},"schema":"https://github.com/citation-style-language/schema/raw/master/csl-citation.json"}</w:instrText>
      </w:r>
      <w:r w:rsidR="0017537D">
        <w:fldChar w:fldCharType="separate"/>
      </w:r>
      <w:r w:rsidR="00A32CAD" w:rsidRPr="00A32CAD">
        <w:rPr>
          <w:noProof/>
        </w:rPr>
        <w:t>(</w:t>
      </w:r>
      <w:r w:rsidR="00A32CAD" w:rsidRPr="00A32CAD">
        <w:rPr>
          <w:i/>
          <w:noProof/>
        </w:rPr>
        <w:t>23</w:t>
      </w:r>
      <w:r w:rsidR="00A32CAD" w:rsidRPr="00A32CAD">
        <w:rPr>
          <w:noProof/>
        </w:rPr>
        <w:t xml:space="preserve">, </w:t>
      </w:r>
      <w:r w:rsidR="00A32CAD" w:rsidRPr="00A32CAD">
        <w:rPr>
          <w:i/>
          <w:noProof/>
        </w:rPr>
        <w:t>69</w:t>
      </w:r>
      <w:r w:rsidR="00A32CAD" w:rsidRPr="00A32CAD">
        <w:rPr>
          <w:noProof/>
        </w:rPr>
        <w:t xml:space="preserve">, </w:t>
      </w:r>
      <w:r w:rsidR="00A32CAD" w:rsidRPr="00A32CAD">
        <w:rPr>
          <w:i/>
          <w:noProof/>
        </w:rPr>
        <w:t>70</w:t>
      </w:r>
      <w:r w:rsidR="00A32CAD" w:rsidRPr="00A32CAD">
        <w:rPr>
          <w:noProof/>
        </w:rPr>
        <w:t>)</w:t>
      </w:r>
      <w:r w:rsidR="0017537D">
        <w:fldChar w:fldCharType="end"/>
      </w:r>
      <w:r w:rsidR="006E5268">
        <w:t>.</w:t>
      </w:r>
      <w:r w:rsidR="00AA23B2">
        <w:t xml:space="preserve"> As expected, </w:t>
      </w:r>
      <w:r w:rsidR="00922475">
        <w:t>o</w:t>
      </w:r>
      <w:r w:rsidR="00AA23B2">
        <w:t>n weekday</w:t>
      </w:r>
      <w:r w:rsidR="001C26D9">
        <w:t>s</w:t>
      </w:r>
      <w:r w:rsidR="000A7A4C">
        <w:t>,</w:t>
      </w:r>
      <w:r w:rsidR="00AA23B2">
        <w:t xml:space="preserve"> a census tract </w:t>
      </w:r>
      <w:r w:rsidR="00922475">
        <w:t xml:space="preserve">with </w:t>
      </w:r>
      <w:r w:rsidR="00AA23B2">
        <w:t xml:space="preserve">higher employment density </w:t>
      </w:r>
      <w:r w:rsidR="00922475">
        <w:t xml:space="preserve">is likely to </w:t>
      </w:r>
      <w:r w:rsidR="00AA23B2">
        <w:t xml:space="preserve">attract more </w:t>
      </w:r>
      <w:r w:rsidR="00DD309C">
        <w:t>TNC</w:t>
      </w:r>
      <w:r w:rsidR="00AA23B2">
        <w:t xml:space="preserve"> trips </w:t>
      </w:r>
      <w:r w:rsidR="00AA23B2">
        <w:fldChar w:fldCharType="begin" w:fldLock="1"/>
      </w:r>
      <w:r w:rsidR="00BB1448">
        <w:instrText>ADDIN CSL_CITATION {"citationItems":[{"id":"ITEM-1","itemData":{"DOI":"10.1177/0361198120950315","ISSN":"21694052","abstract":"This study investigates trip-level destination choice behavior of users of the dockless bike sharing service (DBS). A random parameter latent segmentation-based logit (RPLSL) model is developed uti...","author":[{"dropping-particle":"","family":"Mehadil Orvin","given":"Muntahith","non-dropping-particle":"","parse-names":false,"suffix":""},{"dropping-particle":"","family":"Rahman Fatmi","given":"Mahmudur","non-dropping-particle":"","parse-names":false,"suffix":""}],"container-title":"https://doi.org/10.1177/0361198120950315","id":"ITEM-1","issue":"11","issued":{"date-parts":[["2020","9","16"]]},"page":"875-887","publisher":"SAGE PublicationsSage CA: Los Angeles, CA","title":"Modeling Destination Choice Behavior of the Dockless Bike Sharing Service Users:","type":"article-journal","volume":"2674"},"uris":["http://www.mendeley.com/documents/?uuid=43a1fa8e-3a57-31e5-8284-0c195c1e1255"]},{"id":"ITEM-2","itemData":{"DOI":"10.1177/03611981211000752","ISSN":"21694052","abstract":"Given the burgeoning growth in transport networking companies (TNC)-based ride hailing systems and their growing adoption for trip making, it is important to develop modeling frameworks to understa...","author":[{"dropping-particle":"","family":"Dey","given":"Bibhas Kumar","non-dropping-particle":"","parse-names":false,"suffix":""},{"dropping-particle":"","family":"Tirtha","given":"Sudipta Dey","non-dropping-particle":"","parse-names":false,"suffix":""},{"dropping-particle":"","family":"Eluru","given":"Naveen","non-dropping-particle":"","parse-names":false,"suffix":""}],"container-title":"https://doi.org/10.1177/03611981211000752","id":"ITEM-2","issue":"9","issued":{"date-parts":[["2021","3","19"]]},"page":"139-153","publisher":"SAGE PublicationsSage CA: Los Angeles, CA","title":"Transport Networking Companies Demand and Flow Estimation in New York City:","type":"article-journal","volume":"2675"},"uris":["http://www.mendeley.com/documents/?uuid=08aad300-fa82-3a54-b880-f4c4d25ceadb"]}],"mendeley":{"formattedCitation":"(&lt;i&gt;31&lt;/i&gt;, &lt;i&gt;69&lt;/i&gt;)","plainTextFormattedCitation":"(31, 69)","previouslyFormattedCitation":"(&lt;i&gt;31&lt;/i&gt;, &lt;i&gt;69&lt;/i&gt;)"},"properties":{"noteIndex":0},"schema":"https://github.com/citation-style-language/schema/raw/master/csl-citation.json"}</w:instrText>
      </w:r>
      <w:r w:rsidR="00AA23B2">
        <w:fldChar w:fldCharType="separate"/>
      </w:r>
      <w:r w:rsidR="0076717B" w:rsidRPr="0076717B">
        <w:rPr>
          <w:noProof/>
        </w:rPr>
        <w:t>(</w:t>
      </w:r>
      <w:r w:rsidR="0076717B" w:rsidRPr="0076717B">
        <w:rPr>
          <w:i/>
          <w:noProof/>
        </w:rPr>
        <w:t>31</w:t>
      </w:r>
      <w:r w:rsidR="0076717B" w:rsidRPr="0076717B">
        <w:rPr>
          <w:noProof/>
        </w:rPr>
        <w:t xml:space="preserve">, </w:t>
      </w:r>
      <w:r w:rsidR="0076717B" w:rsidRPr="0076717B">
        <w:rPr>
          <w:i/>
          <w:noProof/>
        </w:rPr>
        <w:t>69</w:t>
      </w:r>
      <w:r w:rsidR="0076717B" w:rsidRPr="0076717B">
        <w:rPr>
          <w:noProof/>
        </w:rPr>
        <w:t>)</w:t>
      </w:r>
      <w:r w:rsidR="00AA23B2">
        <w:fldChar w:fldCharType="end"/>
      </w:r>
      <w:r w:rsidR="00AA23B2">
        <w:t>.</w:t>
      </w:r>
    </w:p>
    <w:p w14:paraId="2C7238CB" w14:textId="3525307E" w:rsidR="00574C18" w:rsidRDefault="00574C18" w:rsidP="00574C18">
      <w:pPr>
        <w:spacing w:after="0"/>
      </w:pPr>
    </w:p>
    <w:p w14:paraId="6EC22072" w14:textId="406E9B5F" w:rsidR="00574C18" w:rsidRDefault="00574C18" w:rsidP="00574C18">
      <w:pPr>
        <w:pStyle w:val="Heading2"/>
      </w:pPr>
      <w:r>
        <w:lastRenderedPageBreak/>
        <w:t>Unobserved Heterogeneity</w:t>
      </w:r>
    </w:p>
    <w:p w14:paraId="6E4B51B8" w14:textId="69CA3216" w:rsidR="00574C18" w:rsidRDefault="00922475" w:rsidP="00574C18">
      <w:r>
        <w:t>The</w:t>
      </w:r>
      <w:r w:rsidR="00574C18">
        <w:t xml:space="preserve"> proposed LR-MNL joint model system accommodates</w:t>
      </w:r>
      <w:r w:rsidR="00187C56">
        <w:t xml:space="preserve"> for</w:t>
      </w:r>
      <w:r w:rsidR="00574C18">
        <w:t xml:space="preserve"> common unobserved heterogeneity</w:t>
      </w:r>
      <w:r w:rsidR="00E83FDF">
        <w:t xml:space="preserve"> between trip fare and destination choices</w:t>
      </w:r>
      <w:r w:rsidR="00574C18">
        <w:t xml:space="preserve">. </w:t>
      </w:r>
      <w:r w:rsidR="00E83FDF">
        <w:t xml:space="preserve">Several unobserved factors were tested in the joint model. The variables that offered </w:t>
      </w:r>
      <w:r w:rsidR="00187C56">
        <w:t>significant unobserved correlation</w:t>
      </w:r>
      <w:r w:rsidR="00596EE1">
        <w:t xml:space="preserve"> are reported in the last row panel of </w:t>
      </w:r>
      <w:r w:rsidR="00596EE1" w:rsidRPr="00C545E6">
        <w:rPr>
          <w:b/>
          <w:bCs/>
        </w:rPr>
        <w:t>Table 2</w:t>
      </w:r>
      <w:r w:rsidR="00596EE1">
        <w:t xml:space="preserve">. </w:t>
      </w:r>
      <w:r w:rsidR="00187C56">
        <w:t xml:space="preserve"> </w:t>
      </w:r>
      <w:r w:rsidR="00FC0320">
        <w:t xml:space="preserve">The two parameters represent interaction of a constant in fare model with </w:t>
      </w:r>
      <w:r w:rsidR="000463D4">
        <w:t xml:space="preserve">origin -destination distance and </w:t>
      </w:r>
      <w:r w:rsidR="000B1ECE">
        <w:t xml:space="preserve">street </w:t>
      </w:r>
      <w:r w:rsidR="005C1EF4">
        <w:t>length.</w:t>
      </w:r>
      <w:r w:rsidR="002732C6">
        <w:t xml:space="preserve"> </w:t>
      </w:r>
      <w:r w:rsidR="00EE246B">
        <w:t xml:space="preserve">These </w:t>
      </w:r>
      <w:r w:rsidR="00187C56">
        <w:t xml:space="preserve">significant correlations reinforce our hypothesis </w:t>
      </w:r>
      <w:r w:rsidR="00E85011">
        <w:t>that</w:t>
      </w:r>
      <w:r w:rsidR="00187C56">
        <w:t xml:space="preserve"> trip fare and destination choice</w:t>
      </w:r>
      <w:r w:rsidR="00EE246B">
        <w:t>s</w:t>
      </w:r>
      <w:r w:rsidR="00187C56">
        <w:t xml:space="preserve"> </w:t>
      </w:r>
      <w:r w:rsidR="00EE246B">
        <w:t>are influenced by</w:t>
      </w:r>
      <w:r w:rsidR="00EB5DBC">
        <w:t xml:space="preserve"> shared factors</w:t>
      </w:r>
      <w:r w:rsidR="00187C56">
        <w:t xml:space="preserve"> and incorporating such correlation is important</w:t>
      </w:r>
      <w:r w:rsidR="00E85011">
        <w:t>.</w:t>
      </w:r>
    </w:p>
    <w:p w14:paraId="3969052B" w14:textId="337E0F34" w:rsidR="00B153D2" w:rsidRDefault="00B153D2" w:rsidP="00BE1F0D">
      <w:pPr>
        <w:spacing w:after="0"/>
      </w:pPr>
    </w:p>
    <w:p w14:paraId="05BBA03F" w14:textId="62603C14" w:rsidR="004F67D2" w:rsidRDefault="003D0122" w:rsidP="00972ACB">
      <w:pPr>
        <w:pStyle w:val="Heading1"/>
      </w:pPr>
      <w:r>
        <w:t xml:space="preserve">PREDICTION AND </w:t>
      </w:r>
      <w:r w:rsidR="004F67D2" w:rsidRPr="004F67D2">
        <w:t>ELASTICITY ANALYSIS</w:t>
      </w:r>
    </w:p>
    <w:p w14:paraId="28A64FB2" w14:textId="638EC093" w:rsidR="00D571CC" w:rsidRDefault="00842FD7" w:rsidP="004F67D2">
      <w:r>
        <w:t xml:space="preserve">To illustrate the applicability of the proposed model, we employ the model results for </w:t>
      </w:r>
      <w:r w:rsidR="00306864">
        <w:t>understanding the influence of independent variables on fare and destination choice models.</w:t>
      </w:r>
      <w:r w:rsidR="00BD2469">
        <w:t xml:space="preserve"> We employ the model results for the fare model to generate trip cost predictions for </w:t>
      </w:r>
      <w:r w:rsidR="002243CE">
        <w:t xml:space="preserve">five randomly </w:t>
      </w:r>
      <w:r w:rsidR="00F3782C">
        <w:t xml:space="preserve">chosen </w:t>
      </w:r>
      <w:r w:rsidR="00BD2469">
        <w:t xml:space="preserve">trips in the PM peak and off-peak periods. </w:t>
      </w:r>
      <w:r w:rsidR="002243CE">
        <w:t>These trips are plotted in</w:t>
      </w:r>
      <w:r w:rsidR="007302B0">
        <w:t xml:space="preserve"> </w:t>
      </w:r>
      <w:r w:rsidR="007302B0" w:rsidRPr="000552D4">
        <w:rPr>
          <w:b/>
          <w:bCs/>
        </w:rPr>
        <w:t>Figure</w:t>
      </w:r>
      <w:r w:rsidR="007302B0">
        <w:rPr>
          <w:b/>
          <w:bCs/>
        </w:rPr>
        <w:t>s</w:t>
      </w:r>
      <w:r w:rsidR="007302B0" w:rsidRPr="000552D4">
        <w:rPr>
          <w:b/>
          <w:bCs/>
        </w:rPr>
        <w:t xml:space="preserve"> 4</w:t>
      </w:r>
      <w:r w:rsidR="00634B62">
        <w:rPr>
          <w:b/>
          <w:bCs/>
        </w:rPr>
        <w:t xml:space="preserve"> </w:t>
      </w:r>
      <w:r w:rsidR="00634B62" w:rsidRPr="00634B62">
        <w:rPr>
          <w:b/>
          <w:bCs/>
        </w:rPr>
        <w:t>(a) and (b)</w:t>
      </w:r>
      <w:r w:rsidR="007302B0" w:rsidRPr="00634B62">
        <w:rPr>
          <w:b/>
          <w:bCs/>
        </w:rPr>
        <w:t>.</w:t>
      </w:r>
      <w:r w:rsidR="007302B0">
        <w:rPr>
          <w:b/>
          <w:bCs/>
        </w:rPr>
        <w:t xml:space="preserve"> </w:t>
      </w:r>
      <w:r w:rsidR="002243CE">
        <w:t xml:space="preserve">The </w:t>
      </w:r>
      <w:r w:rsidR="00022AF3">
        <w:t xml:space="preserve">prediction illustrates how the proposed model can be employed for generating trip fares across the region. The trip fares presented in </w:t>
      </w:r>
      <w:r w:rsidR="00022AF3" w:rsidRPr="00DA55DA">
        <w:rPr>
          <w:b/>
          <w:bCs/>
        </w:rPr>
        <w:t>Figure 4</w:t>
      </w:r>
      <w:r w:rsidR="00022AF3">
        <w:t xml:space="preserve"> illustrate the higher cost of TNC during PM peak (relative to off-peak period). The </w:t>
      </w:r>
      <w:r w:rsidR="00D571CC">
        <w:t xml:space="preserve">procedure can be readily applied to generate travel cost </w:t>
      </w:r>
      <w:r w:rsidR="00F3782C">
        <w:t>scheme</w:t>
      </w:r>
      <w:r w:rsidR="00D571CC">
        <w:t xml:space="preserve">s for a mode choice model in the region with TNC alternative. </w:t>
      </w:r>
    </w:p>
    <w:p w14:paraId="60433A5E" w14:textId="65B1F8EA" w:rsidR="004F67D2" w:rsidRDefault="00D571CC" w:rsidP="00DA55DA">
      <w:pPr>
        <w:spacing w:after="0"/>
        <w:ind w:firstLine="720"/>
      </w:pPr>
      <w:r>
        <w:t>For the destination model, a</w:t>
      </w:r>
      <w:r w:rsidR="00AF7E94">
        <w:t>n elasticity analysis has been undertaken in an effort to capture th</w:t>
      </w:r>
      <w:r w:rsidR="00B46FBE">
        <w:t>e changes in dependent variable</w:t>
      </w:r>
      <w:r w:rsidR="009E400A">
        <w:t xml:space="preserve">s (destination) </w:t>
      </w:r>
      <w:r w:rsidR="00B46FBE">
        <w:t xml:space="preserve">in response to </w:t>
      </w:r>
      <w:r w:rsidR="00AF7E94">
        <w:t>change</w:t>
      </w:r>
      <w:r w:rsidR="00B46FBE">
        <w:t>s in independent variables</w:t>
      </w:r>
      <w:r w:rsidR="00AF7E94">
        <w:t>.</w:t>
      </w:r>
      <w:r w:rsidR="004F67D2">
        <w:t xml:space="preserve"> </w:t>
      </w:r>
      <w:r w:rsidR="007302B0">
        <w:rPr>
          <w:b/>
          <w:bCs/>
        </w:rPr>
        <w:t>Figure 5</w:t>
      </w:r>
      <w:r w:rsidR="009E400A">
        <w:rPr>
          <w:b/>
          <w:bCs/>
        </w:rPr>
        <w:t xml:space="preserve"> </w:t>
      </w:r>
      <w:r w:rsidR="000552D4" w:rsidRPr="000552D4">
        <w:t>illustrate</w:t>
      </w:r>
      <w:r w:rsidR="000552D4">
        <w:t xml:space="preserve"> the percent change in </w:t>
      </w:r>
      <w:r w:rsidR="00F9557D">
        <w:t xml:space="preserve">fare and </w:t>
      </w:r>
      <w:r w:rsidR="000552D4">
        <w:t xml:space="preserve">aggregate probability </w:t>
      </w:r>
      <w:r w:rsidR="00B46FBE">
        <w:t xml:space="preserve">of the chosen destination alternative </w:t>
      </w:r>
      <w:r w:rsidR="00F9557D">
        <w:t xml:space="preserve">respectively </w:t>
      </w:r>
      <w:r w:rsidR="000552D4">
        <w:t xml:space="preserve">due to change in </w:t>
      </w:r>
      <w:r w:rsidR="00B46FBE">
        <w:t xml:space="preserve">independent variables </w:t>
      </w:r>
      <w:r>
        <w:t xml:space="preserve">by </w:t>
      </w:r>
      <w:r w:rsidR="00B46FBE">
        <w:t>10%</w:t>
      </w:r>
      <w:r w:rsidR="000552D4">
        <w:t xml:space="preserve">. </w:t>
      </w:r>
      <w:r w:rsidR="00B46FBE">
        <w:t xml:space="preserve">The results summarized in </w:t>
      </w:r>
      <w:r w:rsidR="00B46FBE" w:rsidRPr="00CC68F5">
        <w:rPr>
          <w:b/>
          <w:bCs/>
        </w:rPr>
        <w:t xml:space="preserve">Figure </w:t>
      </w:r>
      <w:r w:rsidR="007302B0" w:rsidRPr="00CC68F5">
        <w:rPr>
          <w:b/>
          <w:bCs/>
        </w:rPr>
        <w:t xml:space="preserve">5 </w:t>
      </w:r>
      <w:r w:rsidR="00B46FBE">
        <w:t>offer in</w:t>
      </w:r>
      <w:r w:rsidR="009C01AF">
        <w:t>teresting results.</w:t>
      </w:r>
      <w:r>
        <w:t xml:space="preserve"> We notice that</w:t>
      </w:r>
      <w:r w:rsidR="00330DB6">
        <w:t xml:space="preserve"> distance between origin destination, transit score and street length variables exhibit </w:t>
      </w:r>
      <w:r w:rsidR="00835B0B">
        <w:t xml:space="preserve">the </w:t>
      </w:r>
      <w:r w:rsidR="00330DB6">
        <w:t>highe</w:t>
      </w:r>
      <w:r w:rsidR="00835B0B">
        <w:t>st</w:t>
      </w:r>
      <w:r w:rsidR="00330DB6">
        <w:t xml:space="preserve"> impact on destination preferences. </w:t>
      </w:r>
      <w:r w:rsidR="00835B0B">
        <w:t xml:space="preserve">We also observe that walk score, </w:t>
      </w:r>
      <w:r w:rsidR="0007235B">
        <w:t>divvy stations,</w:t>
      </w:r>
      <w:r w:rsidR="009E400A">
        <w:t xml:space="preserve"> bus stops, residential area and distance form CBD affect </w:t>
      </w:r>
      <w:r w:rsidR="00636B02">
        <w:t xml:space="preserve">destination </w:t>
      </w:r>
      <w:r w:rsidR="009E400A">
        <w:t>preference</w:t>
      </w:r>
      <w:r>
        <w:t>s</w:t>
      </w:r>
      <w:r w:rsidR="009E400A">
        <w:t xml:space="preserve"> reasonably. </w:t>
      </w:r>
      <w:r w:rsidR="00C31472">
        <w:t xml:space="preserve">In summary, </w:t>
      </w:r>
      <w:r w:rsidR="00F40915">
        <w:t xml:space="preserve">the </w:t>
      </w:r>
      <w:r w:rsidR="00C31472">
        <w:t xml:space="preserve">elasticity effect </w:t>
      </w:r>
      <w:r w:rsidR="00F40915">
        <w:t xml:space="preserve">highlights how </w:t>
      </w:r>
      <w:r w:rsidR="00C31472">
        <w:t>transportation planner</w:t>
      </w:r>
      <w:r w:rsidR="00F40915">
        <w:t>s</w:t>
      </w:r>
      <w:r w:rsidR="00C31472">
        <w:t xml:space="preserve"> </w:t>
      </w:r>
      <w:r w:rsidR="00F40915">
        <w:t xml:space="preserve">and </w:t>
      </w:r>
      <w:r w:rsidR="00C31472">
        <w:t xml:space="preserve">TNC </w:t>
      </w:r>
      <w:r w:rsidR="00F40915">
        <w:t>owners can examine trends influencing destination choice behavior</w:t>
      </w:r>
      <w:r w:rsidR="00C31472">
        <w:t>.</w:t>
      </w:r>
    </w:p>
    <w:p w14:paraId="73DE670D" w14:textId="5B3724E3" w:rsidR="007E78B3" w:rsidRDefault="007E78B3" w:rsidP="004F67D2"/>
    <w:p w14:paraId="4E52A05E" w14:textId="77777777" w:rsidR="008879FA" w:rsidRDefault="00031523" w:rsidP="008879FA">
      <w:pPr>
        <w:pStyle w:val="Caption"/>
      </w:pPr>
      <w:r>
        <w:t xml:space="preserve">Figure 4 </w:t>
      </w:r>
      <w:r w:rsidR="0025399E">
        <w:t>Trip fare prediction across</w:t>
      </w:r>
      <w:r w:rsidR="00634B62">
        <w:t xml:space="preserve"> (a) PM </w:t>
      </w:r>
      <w:r w:rsidR="0025399E">
        <w:t>p</w:t>
      </w:r>
      <w:r w:rsidR="00634B62">
        <w:t xml:space="preserve">eak </w:t>
      </w:r>
      <w:r w:rsidR="0025399E">
        <w:t>p</w:t>
      </w:r>
      <w:r w:rsidR="00634B62">
        <w:t xml:space="preserve">eriod; (b) </w:t>
      </w:r>
      <w:r w:rsidR="00A54175">
        <w:t>O</w:t>
      </w:r>
      <w:r w:rsidR="00634B62">
        <w:t xml:space="preserve">ff </w:t>
      </w:r>
      <w:r w:rsidR="0025399E">
        <w:t>p</w:t>
      </w:r>
      <w:r w:rsidR="00634B62">
        <w:t xml:space="preserve">eak </w:t>
      </w:r>
      <w:r w:rsidR="0025399E">
        <w:t>p</w:t>
      </w:r>
      <w:r w:rsidR="00634B62">
        <w:t>eriod</w:t>
      </w:r>
    </w:p>
    <w:p w14:paraId="611B041D" w14:textId="77777777" w:rsidR="008879FA" w:rsidRDefault="008879FA" w:rsidP="008879FA">
      <w:pPr>
        <w:pStyle w:val="Caption"/>
      </w:pPr>
    </w:p>
    <w:p w14:paraId="1BB0C0E1" w14:textId="36FB488C" w:rsidR="00AE4006" w:rsidRPr="001B3304" w:rsidRDefault="00AE4006" w:rsidP="008879FA">
      <w:pPr>
        <w:pStyle w:val="Caption"/>
      </w:pPr>
      <w:r w:rsidRPr="001B3304">
        <w:t xml:space="preserve">Figure </w:t>
      </w:r>
      <w:r w:rsidR="00031523">
        <w:t>5</w:t>
      </w:r>
      <w:r w:rsidRPr="001B3304">
        <w:t xml:space="preserve"> Elasticity </w:t>
      </w:r>
      <w:r w:rsidR="0025399E">
        <w:t>a</w:t>
      </w:r>
      <w:r w:rsidRPr="001B3304">
        <w:t>nalysis</w:t>
      </w:r>
    </w:p>
    <w:p w14:paraId="734D1A67" w14:textId="72D53957" w:rsidR="00AE4006" w:rsidRDefault="00AE4006" w:rsidP="00AE4006">
      <w:pPr>
        <w:spacing w:after="0"/>
      </w:pPr>
    </w:p>
    <w:p w14:paraId="7905AFBE" w14:textId="732346ED" w:rsidR="003D0122" w:rsidRDefault="003D0122" w:rsidP="00972ACB">
      <w:pPr>
        <w:pStyle w:val="Heading1"/>
      </w:pPr>
      <w:r>
        <w:t>CONCLUSION</w:t>
      </w:r>
      <w:r w:rsidR="00A54175">
        <w:t>S</w:t>
      </w:r>
    </w:p>
    <w:p w14:paraId="624AE09D" w14:textId="672EC22E" w:rsidR="003D0122" w:rsidRPr="002732C6" w:rsidRDefault="00C45C2F" w:rsidP="00305B92">
      <w:r>
        <w:t xml:space="preserve">Given the prevalence of Transportation Networking Companies (TNCs) across the world, there is growing literature dedicated to TNC usage analysis. However, there is limited research on comprehensively examining the influence of independent variables on TNC fare. In this study, we </w:t>
      </w:r>
      <w:r w:rsidR="004F0601">
        <w:t xml:space="preserve">postulate that TNC trip fare is closely linked to TNC trip destination and develop a joint econometric model linking the two outcomes. </w:t>
      </w:r>
      <w:r w:rsidR="00305B92">
        <w:t xml:space="preserve">A wide range of origin and destination specific land use and built environment factors, transportation infrastructure attributes, and weather attributes were found to be significant in the joint the model system. Based on log-likelihood (LL) and Bayesian Information Criterion (BIC) measures, the model performance of the proposed joint model is found to be superior compared to independent fare and destination models. </w:t>
      </w:r>
      <w:r w:rsidR="00EF535B">
        <w:rPr>
          <w:rFonts w:cs="Times New Roman"/>
          <w:szCs w:val="24"/>
          <w:lang w:val="en-CA"/>
        </w:rPr>
        <w:t xml:space="preserve">The model results were augmented with </w:t>
      </w:r>
      <w:r w:rsidR="00143EA8">
        <w:rPr>
          <w:rFonts w:cs="Times New Roman"/>
          <w:szCs w:val="24"/>
          <w:lang w:val="en-CA"/>
        </w:rPr>
        <w:t xml:space="preserve">fare prediction exercise and destination model elasticity analysis. The </w:t>
      </w:r>
      <w:r w:rsidR="00143EA8" w:rsidRPr="002732C6">
        <w:t xml:space="preserve">fare prediction exercise illustrated how the proposed model can be employed to generate TNC </w:t>
      </w:r>
      <w:r w:rsidR="00143EA8" w:rsidRPr="002732C6">
        <w:lastRenderedPageBreak/>
        <w:t xml:space="preserve">travel costs for use in a mode choice model with TNC alternative. The destination elasticity analysis highlighted the important factors affecting destination preferences. </w:t>
      </w:r>
    </w:p>
    <w:p w14:paraId="2A6EC453" w14:textId="77777777" w:rsidR="00C173CB" w:rsidRDefault="0003645A" w:rsidP="00C173CB">
      <w:pPr>
        <w:ind w:firstLine="720"/>
      </w:pPr>
      <w:r w:rsidRPr="002732C6">
        <w:t>The study is not without limitations.</w:t>
      </w:r>
      <w:r w:rsidR="00CF0D42" w:rsidRPr="002732C6">
        <w:t xml:space="preserve"> </w:t>
      </w:r>
      <w:r w:rsidR="00994358" w:rsidRPr="002732C6">
        <w:t xml:space="preserve">TNC trip data does not provide any user related information. Access to sociodemographic, </w:t>
      </w:r>
      <w:r w:rsidR="00C173CB" w:rsidRPr="002732C6">
        <w:t>socioeconomic,</w:t>
      </w:r>
      <w:r w:rsidR="00994358" w:rsidRPr="002732C6">
        <w:t xml:space="preserve"> and </w:t>
      </w:r>
      <w:r w:rsidR="00CA66B1" w:rsidRPr="002732C6">
        <w:t xml:space="preserve">other relevant information can significantly enhance the models developed in our analysis. </w:t>
      </w:r>
      <w:bookmarkStart w:id="5" w:name="_Hlk120724782"/>
      <w:r w:rsidR="00E83D72" w:rsidRPr="00E83D72">
        <w:t>Trip level TNC data employed in this study provides trip origin and destination aggregated at the census tract level potentially to preserve user and operator privacy. The aggregated destination information can result in large differences in travel distances for short trips within the census tracts. The model developed can be further refined in the presence of more disa</w:t>
      </w:r>
      <w:r w:rsidR="00E83D72" w:rsidRPr="00993379">
        <w:t xml:space="preserve">ggregate data. </w:t>
      </w:r>
      <w:r w:rsidR="00E83D72" w:rsidRPr="00E83D72">
        <w:t>It is also important to recognize that TNC trip fare can be influenced by business strategies of TNCs that are not readily declared publicly. Understanding the effect of TNC business strategies might be an avenue for future research</w:t>
      </w:r>
      <w:bookmarkEnd w:id="5"/>
      <w:r w:rsidR="00E83D72">
        <w:t xml:space="preserve">. </w:t>
      </w:r>
    </w:p>
    <w:p w14:paraId="352C705C" w14:textId="51B327A9" w:rsidR="00F354D7" w:rsidRDefault="00BF5236" w:rsidP="00972ACB">
      <w:pPr>
        <w:pStyle w:val="Heading1"/>
      </w:pPr>
      <w:r>
        <w:t>ACKNOWLEDGEMENT</w:t>
      </w:r>
    </w:p>
    <w:p w14:paraId="597C2577" w14:textId="7BCC2593" w:rsidR="00BF5236" w:rsidRDefault="00E81608" w:rsidP="00A911F9">
      <w:pPr>
        <w:spacing w:after="0"/>
      </w:pPr>
      <w:r>
        <w:t xml:space="preserve">The authors are grateful to </w:t>
      </w:r>
      <w:r>
        <w:rPr>
          <w:rFonts w:cs="Times New Roman"/>
          <w:szCs w:val="24"/>
        </w:rPr>
        <w:t xml:space="preserve">Chicago Transportation Network Providers (TNP), </w:t>
      </w:r>
      <w:r>
        <w:t>Chicago Data portal</w:t>
      </w:r>
      <w:r w:rsidR="00BE4B05">
        <w:t>,</w:t>
      </w:r>
      <w:r>
        <w:t xml:space="preserve"> Chicago Metropolitan Agency for Planning (CMAP)</w:t>
      </w:r>
      <w:r>
        <w:rPr>
          <w:rFonts w:cs="Times New Roman"/>
          <w:szCs w:val="24"/>
        </w:rPr>
        <w:t xml:space="preserve">, </w:t>
      </w:r>
      <w:r>
        <w:t xml:space="preserve">National Climatic Data Center (NCDC) </w:t>
      </w:r>
      <w:r>
        <w:rPr>
          <w:rFonts w:cs="Times New Roman"/>
          <w:szCs w:val="24"/>
        </w:rPr>
        <w:t>and United States Census Bureau for providing access to Chicago TNC trip data, land use, transportation infrastructures, weather, and sociodemographic data.</w:t>
      </w:r>
      <w:r>
        <w:t xml:space="preserve"> </w:t>
      </w:r>
      <w:r w:rsidR="00C73BD3">
        <w:t>T</w:t>
      </w:r>
      <w:r w:rsidR="0030108A">
        <w:t xml:space="preserve">he authors </w:t>
      </w:r>
      <w:r>
        <w:t>are</w:t>
      </w:r>
      <w:r w:rsidR="0030108A">
        <w:t xml:space="preserve"> </w:t>
      </w:r>
      <w:r w:rsidR="00C73BD3">
        <w:t xml:space="preserve">also </w:t>
      </w:r>
      <w:r w:rsidR="0030108A">
        <w:t>thank</w:t>
      </w:r>
      <w:r>
        <w:t>ful to</w:t>
      </w:r>
      <w:r w:rsidR="0030108A">
        <w:t xml:space="preserve"> Dr. Bibhas Kumar Dey for introducing </w:t>
      </w:r>
      <w:r>
        <w:rPr>
          <w:rFonts w:cs="Times New Roman"/>
          <w:szCs w:val="24"/>
        </w:rPr>
        <w:t>Chicago TNC trip data</w:t>
      </w:r>
      <w:r>
        <w:t xml:space="preserve"> </w:t>
      </w:r>
      <w:r w:rsidR="0030108A">
        <w:t xml:space="preserve">to the authors. </w:t>
      </w:r>
    </w:p>
    <w:p w14:paraId="6D9BE7C3" w14:textId="77777777" w:rsidR="00A911F9" w:rsidRPr="00FE4984" w:rsidRDefault="00A911F9" w:rsidP="00A911F9">
      <w:pPr>
        <w:spacing w:after="0"/>
      </w:pPr>
    </w:p>
    <w:p w14:paraId="6C913BB3" w14:textId="77777777" w:rsidR="00BF5236" w:rsidRPr="00F27EA8" w:rsidRDefault="00BF5236" w:rsidP="00972ACB">
      <w:pPr>
        <w:pStyle w:val="Heading1"/>
      </w:pPr>
      <w:bookmarkStart w:id="6" w:name="_Hlk78673398"/>
      <w:r w:rsidRPr="00F27EA8">
        <w:t>AUTHOR CONTRIBUTION STATEMENT</w:t>
      </w:r>
    </w:p>
    <w:p w14:paraId="232AE911" w14:textId="12E08046" w:rsidR="00972ACB" w:rsidRDefault="00BF5236" w:rsidP="00A911F9">
      <w:pPr>
        <w:spacing w:after="0"/>
      </w:pPr>
      <w:r w:rsidRPr="00F27EA8">
        <w:t>The authors confirm contribution to the paper as follows: study conception and design:</w:t>
      </w:r>
      <w:r w:rsidRPr="00A2753C">
        <w:t xml:space="preserve"> </w:t>
      </w:r>
      <w:r>
        <w:t>Naveen Eluru , Tanmoy Bhowmik, Sudipta Dey Tirtha, Dewan Ashraful Parvez</w:t>
      </w:r>
      <w:r w:rsidRPr="00F27EA8">
        <w:t>; data collection:</w:t>
      </w:r>
      <w:r>
        <w:t xml:space="preserve"> Dewan Ashraful Parvez, Sudipta Dey Tirtha, Tanmoy Bhowmik, Naveen Eluru</w:t>
      </w:r>
      <w:r w:rsidRPr="00F27EA8">
        <w:t>;</w:t>
      </w:r>
      <w:r>
        <w:t xml:space="preserve"> model estimation: Dewan Ashraful Parvez, Sudipta Dey Tirtha, Tanmoy Bhowmik,  Naveen Eluru</w:t>
      </w:r>
      <w:r w:rsidRPr="007D29E0">
        <w:t>;</w:t>
      </w:r>
      <w:r w:rsidRPr="00F27EA8">
        <w:t xml:space="preserve"> analysis and interpretation of results: </w:t>
      </w:r>
      <w:r>
        <w:t xml:space="preserve">Dewan Ashraful Parvez, </w:t>
      </w:r>
      <w:r w:rsidR="00777296">
        <w:t xml:space="preserve">Sudipta Dey Tirtha, </w:t>
      </w:r>
      <w:r>
        <w:t>Tanmoy Bhowmik, Naveen Eluru</w:t>
      </w:r>
      <w:r w:rsidRPr="00F27EA8">
        <w:t xml:space="preserve">; draft manuscript preparation: </w:t>
      </w:r>
      <w:r>
        <w:t xml:space="preserve">Dewan Ashraful Parvez, </w:t>
      </w:r>
      <w:r w:rsidR="00777296">
        <w:t xml:space="preserve">Sudipta Dey Tirtha, </w:t>
      </w:r>
      <w:r>
        <w:t>Tanmoy Bhowmik, Naveen Eluru</w:t>
      </w:r>
      <w:r w:rsidRPr="00F27EA8">
        <w:t>. All authors reviewed the results and approved the final version of the manuscript.</w:t>
      </w:r>
    </w:p>
    <w:p w14:paraId="49A5C0A4" w14:textId="77777777" w:rsidR="00A911F9" w:rsidRDefault="00A911F9" w:rsidP="00A911F9">
      <w:pPr>
        <w:spacing w:after="0"/>
      </w:pPr>
    </w:p>
    <w:p w14:paraId="4DB39592" w14:textId="718B248A" w:rsidR="00972ACB" w:rsidRDefault="00972ACB" w:rsidP="00972ACB">
      <w:pPr>
        <w:pStyle w:val="Heading1"/>
      </w:pPr>
      <w:r w:rsidRPr="00972ACB">
        <w:t>CONFLICT OF INTEREST STATEMENTS</w:t>
      </w:r>
    </w:p>
    <w:p w14:paraId="2CCFC817" w14:textId="75C6E21A" w:rsidR="00972ACB" w:rsidRDefault="00972ACB" w:rsidP="00BF5236">
      <w:r w:rsidRPr="00972ACB">
        <w:t>The authors do not have any conflicts of interest to declare.</w:t>
      </w:r>
    </w:p>
    <w:bookmarkEnd w:id="6"/>
    <w:p w14:paraId="30803F5A" w14:textId="77777777" w:rsidR="00BF5236" w:rsidRDefault="00BF5236" w:rsidP="00B7452F">
      <w:pPr>
        <w:spacing w:after="0"/>
      </w:pPr>
    </w:p>
    <w:p w14:paraId="2B819855" w14:textId="26373189" w:rsidR="00A3503D" w:rsidRPr="00B037BC" w:rsidRDefault="00A3503D" w:rsidP="00972ACB">
      <w:pPr>
        <w:pStyle w:val="Heading1"/>
      </w:pPr>
      <w:r w:rsidRPr="00326700">
        <w:t>REFERENCES</w:t>
      </w:r>
    </w:p>
    <w:p w14:paraId="6476C47C" w14:textId="70384D36"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How Many Uber Drivers Are There in 2022? | Ridester.Com. https://www.ridester.com/how-many-uber-drivers-are-there/. Accessed Jul. 6, 2022.</w:t>
      </w:r>
    </w:p>
    <w:p w14:paraId="3B5CA43C"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Forecast of Ride-Sharing Market Size 2021 | Statista. https://www.statista.com/statistics/1155981/ride-sharing-market-size-worldwide/. Accessed Jul. 6, 2022.</w:t>
      </w:r>
    </w:p>
    <w:p w14:paraId="6C156DCE"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Uber Technologies, Inc. - Uber Announces Results for Fourth Quarter and Full Year 2021. https://investor.uber.com/news-events/news/press-release-details/2022/Uber-Announces-Results-for-Fourth-Quarter-and-Full-Year-2021/. Accessed Jul. 6, 2022.</w:t>
      </w:r>
    </w:p>
    <w:p w14:paraId="0D227A2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Schwieterman, J., and C. S. Smith. Sharing the Ride: A Paired-Trip Analysis of UberPool and Chicago Transit Authority Services in Chicago, Illinois. </w:t>
      </w:r>
      <w:r w:rsidRPr="00BE5A0A">
        <w:rPr>
          <w:rFonts w:cs="Times New Roman"/>
          <w:i/>
          <w:iCs/>
          <w:noProof/>
          <w:szCs w:val="24"/>
        </w:rPr>
        <w:t>Research in Transportation Economics</w:t>
      </w:r>
      <w:r w:rsidRPr="00BE5A0A">
        <w:rPr>
          <w:rFonts w:cs="Times New Roman"/>
          <w:noProof/>
          <w:szCs w:val="24"/>
        </w:rPr>
        <w:t xml:space="preserve">, 2018. 71:9–16. </w:t>
      </w:r>
    </w:p>
    <w:p w14:paraId="7EB465C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Rayle, L., D. Dai, N. Chan, R. Cervero, and S. Shaheen. Just a Better Taxi? A Survey-Based Comparison of Taxis, Transit, and Ridesourcing Services in San Francisco. </w:t>
      </w:r>
      <w:r w:rsidRPr="00BE5A0A">
        <w:rPr>
          <w:rFonts w:cs="Times New Roman"/>
          <w:i/>
          <w:iCs/>
          <w:noProof/>
          <w:szCs w:val="24"/>
        </w:rPr>
        <w:t>Transport Policy</w:t>
      </w:r>
      <w:r w:rsidRPr="00BE5A0A">
        <w:rPr>
          <w:rFonts w:cs="Times New Roman"/>
          <w:noProof/>
          <w:szCs w:val="24"/>
        </w:rPr>
        <w:t xml:space="preserve">, </w:t>
      </w:r>
      <w:r w:rsidRPr="00BE5A0A">
        <w:rPr>
          <w:rFonts w:cs="Times New Roman"/>
          <w:noProof/>
          <w:szCs w:val="24"/>
        </w:rPr>
        <w:lastRenderedPageBreak/>
        <w:t>2016. 45: 168–178.</w:t>
      </w:r>
    </w:p>
    <w:p w14:paraId="69B0A388"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Gehrke, S. R., M. P. Huff, and T. G. Reardon. Social and Trip-Level Predictors of Pooled Ride-Hailing Service Adoption in the Greater Boston Region. </w:t>
      </w:r>
      <w:r w:rsidRPr="00BE5A0A">
        <w:rPr>
          <w:rFonts w:cs="Times New Roman"/>
          <w:i/>
          <w:iCs/>
          <w:noProof/>
          <w:szCs w:val="24"/>
        </w:rPr>
        <w:t>Case Studies on Transport Policy</w:t>
      </w:r>
      <w:r w:rsidRPr="00BE5A0A">
        <w:rPr>
          <w:rFonts w:cs="Times New Roman"/>
          <w:noProof/>
          <w:szCs w:val="24"/>
        </w:rPr>
        <w:t xml:space="preserve">, 2021. 9: 1026–1034. </w:t>
      </w:r>
    </w:p>
    <w:p w14:paraId="387E938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Tirachini, A., and M. del Río. Ride-Hailing in Santiago de Chile: Users’ Characterisation and Effects on Travel Behaviour. </w:t>
      </w:r>
      <w:r w:rsidRPr="00BE5A0A">
        <w:rPr>
          <w:rFonts w:cs="Times New Roman"/>
          <w:i/>
          <w:iCs/>
          <w:noProof/>
          <w:szCs w:val="24"/>
        </w:rPr>
        <w:t>Transport Policy</w:t>
      </w:r>
      <w:r w:rsidRPr="00BE5A0A">
        <w:rPr>
          <w:rFonts w:cs="Times New Roman"/>
          <w:noProof/>
          <w:szCs w:val="24"/>
        </w:rPr>
        <w:t xml:space="preserve">, 2019. 82:46–57. </w:t>
      </w:r>
    </w:p>
    <w:p w14:paraId="6AEDF323"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Kong, H., X. Zhang, and J. Zhao. How Does Ridesourcing Substitute for Public Transit? A Geospatial Perspective in Chengdu, China. </w:t>
      </w:r>
      <w:r w:rsidRPr="00BE5A0A">
        <w:rPr>
          <w:rFonts w:cs="Times New Roman"/>
          <w:i/>
          <w:iCs/>
          <w:noProof/>
          <w:szCs w:val="24"/>
        </w:rPr>
        <w:t>Journal of Transport Geography</w:t>
      </w:r>
      <w:r w:rsidRPr="00BE5A0A">
        <w:rPr>
          <w:rFonts w:cs="Times New Roman"/>
          <w:noProof/>
          <w:szCs w:val="24"/>
        </w:rPr>
        <w:t xml:space="preserve">, 2020. 86: 102769. </w:t>
      </w:r>
    </w:p>
    <w:p w14:paraId="45956AC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Gilibert, M., I. Ribas, N. Maslekar, C. Rosen, and A. Siebeneich. Mapping of Service Deployment Use Cases and User Requirements for an On-Demand Shared Ride-Hailing Service: MOIA Test Service Case Study. </w:t>
      </w:r>
      <w:r w:rsidRPr="00BE5A0A">
        <w:rPr>
          <w:rFonts w:cs="Times New Roman"/>
          <w:i/>
          <w:iCs/>
          <w:noProof/>
          <w:szCs w:val="24"/>
        </w:rPr>
        <w:t>Case Studies on Transport Policy</w:t>
      </w:r>
      <w:r w:rsidRPr="00BE5A0A">
        <w:rPr>
          <w:rFonts w:cs="Times New Roman"/>
          <w:noProof/>
          <w:szCs w:val="24"/>
        </w:rPr>
        <w:t xml:space="preserve">, 2019. 7:598–606. </w:t>
      </w:r>
    </w:p>
    <w:p w14:paraId="102EC8F0" w14:textId="77777777" w:rsidR="00BE5A0A" w:rsidRPr="00BE5A0A" w:rsidRDefault="00BE5A0A" w:rsidP="00BE5A0A">
      <w:pPr>
        <w:pStyle w:val="ListParagraph"/>
        <w:numPr>
          <w:ilvl w:val="0"/>
          <w:numId w:val="12"/>
        </w:numPr>
        <w:spacing w:after="0"/>
        <w:ind w:left="360"/>
        <w:rPr>
          <w:rFonts w:cs="Times New Roman"/>
          <w:i/>
          <w:iCs/>
          <w:szCs w:val="24"/>
        </w:rPr>
      </w:pPr>
      <w:r w:rsidRPr="00BE5A0A">
        <w:rPr>
          <w:rFonts w:cs="Times New Roman"/>
          <w:noProof/>
          <w:szCs w:val="24"/>
        </w:rPr>
        <w:t xml:space="preserve">Hou, Y., V. Garikapati, D. Weigl, A. Henao, M. Moniot, and J. Sperling. Factors Influencing Willingness to Pool in Ride-Hailing Trips. </w:t>
      </w:r>
      <w:r w:rsidRPr="00BE5A0A">
        <w:rPr>
          <w:rFonts w:cs="Times New Roman"/>
          <w:i/>
          <w:iCs/>
          <w:szCs w:val="24"/>
        </w:rPr>
        <w:t>Transportation Research Record: Journal of the Transportation Research Board</w:t>
      </w:r>
      <w:r w:rsidRPr="00BE5A0A">
        <w:rPr>
          <w:rFonts w:cs="Times New Roman"/>
          <w:iCs/>
          <w:szCs w:val="24"/>
        </w:rPr>
        <w:t>, 2020.</w:t>
      </w:r>
      <w:r w:rsidRPr="00BE5A0A">
        <w:rPr>
          <w:rFonts w:cs="Times New Roman"/>
          <w:noProof/>
          <w:szCs w:val="24"/>
        </w:rPr>
        <w:t xml:space="preserve"> 2674:419–429. </w:t>
      </w:r>
    </w:p>
    <w:p w14:paraId="6DDF54D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Jacob, J., and R. Roet-Green. Ride Solo or Pool: Designing Price-Service Menus for a Ride-Sharing Platform. </w:t>
      </w:r>
      <w:r w:rsidRPr="00BE5A0A">
        <w:rPr>
          <w:rFonts w:cs="Times New Roman"/>
          <w:i/>
          <w:iCs/>
          <w:noProof/>
          <w:szCs w:val="24"/>
        </w:rPr>
        <w:t>European Journal of Operational Research</w:t>
      </w:r>
      <w:r w:rsidRPr="00BE5A0A">
        <w:rPr>
          <w:rFonts w:cs="Times New Roman"/>
          <w:noProof/>
          <w:szCs w:val="24"/>
        </w:rPr>
        <w:t xml:space="preserve">, 2021. 295:1008–1024. </w:t>
      </w:r>
    </w:p>
    <w:p w14:paraId="2BC671AE"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Alemi, F., G. Circella, S. Handy, and P. Mokhtarian. What Influences Travelers to Use Uber? Exploring the Factors Affecting the Adoption of on-Demand Ride Services in California. </w:t>
      </w:r>
      <w:r w:rsidRPr="00BE5A0A">
        <w:rPr>
          <w:rFonts w:cs="Times New Roman"/>
          <w:i/>
          <w:iCs/>
          <w:noProof/>
          <w:szCs w:val="24"/>
        </w:rPr>
        <w:t>Travel Behaviour and Society</w:t>
      </w:r>
      <w:r w:rsidRPr="00BE5A0A">
        <w:rPr>
          <w:rFonts w:cs="Times New Roman"/>
          <w:noProof/>
          <w:szCs w:val="24"/>
        </w:rPr>
        <w:t xml:space="preserve">, 2018. 13:88–104. </w:t>
      </w:r>
    </w:p>
    <w:p w14:paraId="7703F540"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Schwieterman, J. P. Uber Economics: Evaluating the Monetary and Travel Time Trade-Offs of Transportation Network Companies and Transit Service in Chicago, Illinois. </w:t>
      </w:r>
      <w:r w:rsidRPr="00BE5A0A">
        <w:rPr>
          <w:rFonts w:cs="Times New Roman"/>
          <w:i/>
          <w:iCs/>
          <w:szCs w:val="24"/>
        </w:rPr>
        <w:t>Transportation Research Record: Journal of the Transportation Research Board</w:t>
      </w:r>
      <w:r w:rsidRPr="00BE5A0A">
        <w:rPr>
          <w:rFonts w:cs="Times New Roman"/>
          <w:iCs/>
          <w:szCs w:val="24"/>
        </w:rPr>
        <w:t xml:space="preserve">, 2019. </w:t>
      </w:r>
      <w:r w:rsidRPr="00BE5A0A">
        <w:rPr>
          <w:rFonts w:cs="Times New Roman"/>
          <w:noProof/>
          <w:szCs w:val="24"/>
        </w:rPr>
        <w:t>2673:295–304.</w:t>
      </w:r>
    </w:p>
    <w:p w14:paraId="6DE49EA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Dong, X. Linking TNC with Passengers: Investigating TNC Use among Lower-Income Residents with Limited Access to Cars. </w:t>
      </w:r>
      <w:r w:rsidRPr="00BE5A0A">
        <w:rPr>
          <w:rFonts w:cs="Times New Roman"/>
          <w:i/>
          <w:iCs/>
          <w:noProof/>
          <w:szCs w:val="24"/>
        </w:rPr>
        <w:t>Travel Behaviour and Society</w:t>
      </w:r>
      <w:r w:rsidRPr="00BE5A0A">
        <w:rPr>
          <w:rFonts w:cs="Times New Roman"/>
          <w:noProof/>
          <w:szCs w:val="24"/>
        </w:rPr>
        <w:t xml:space="preserve">, 2022. 27:184–191. </w:t>
      </w:r>
    </w:p>
    <w:p w14:paraId="76A8013A"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Young, M., and S. Farber. The Who, Why, and When of Uber and Other Ride-Hailing Trips: An Examination of a Large Sample Household Travel Survey. </w:t>
      </w:r>
      <w:r w:rsidRPr="00BE5A0A">
        <w:rPr>
          <w:rFonts w:cs="Times New Roman"/>
          <w:i/>
          <w:iCs/>
          <w:noProof/>
          <w:szCs w:val="24"/>
        </w:rPr>
        <w:t>Transportation Research Part A: Policy and Practice</w:t>
      </w:r>
      <w:r w:rsidRPr="00BE5A0A">
        <w:rPr>
          <w:rFonts w:cs="Times New Roman"/>
          <w:noProof/>
          <w:szCs w:val="24"/>
        </w:rPr>
        <w:t xml:space="preserve">, 2019. 119:383–392. </w:t>
      </w:r>
    </w:p>
    <w:p w14:paraId="2643F8B2"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SherpaShare. https://www.sherpashare.com/share/the-top-demographic-trends-of-the-on-demand-workforce/. Accessed Jun. 30, 2022.</w:t>
      </w:r>
    </w:p>
    <w:p w14:paraId="18A88A6D"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Opinion | When Your Boss Is an Algorithm - The New York Times. https://www.nytimes.com/2018/10/12/opinion/sunday/uber-driver-life.html. Accessed Jul. 2, 2022.</w:t>
      </w:r>
    </w:p>
    <w:p w14:paraId="14D32F33"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Henao, A., and W. E. Marshall. An Analysis of the Individual Economics of Ride-Hailing Drivers. </w:t>
      </w:r>
      <w:r w:rsidRPr="00BE5A0A">
        <w:rPr>
          <w:rFonts w:cs="Times New Roman"/>
          <w:i/>
          <w:iCs/>
          <w:noProof/>
          <w:szCs w:val="24"/>
        </w:rPr>
        <w:t>Transportation Research Part A: Policy and Practice</w:t>
      </w:r>
      <w:r w:rsidRPr="00BE5A0A">
        <w:rPr>
          <w:rFonts w:cs="Times New Roman"/>
          <w:noProof/>
          <w:szCs w:val="24"/>
        </w:rPr>
        <w:t xml:space="preserve">, 2019. 130:440–451. </w:t>
      </w:r>
    </w:p>
    <w:p w14:paraId="04C66277"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Hall, J. V., and A. B. Krueger. An Analysis of the Labor Market for Uber’s Driver-Partners in the United States. </w:t>
      </w:r>
      <w:r w:rsidRPr="00BE5A0A">
        <w:rPr>
          <w:rFonts w:cs="Times New Roman"/>
          <w:i/>
          <w:iCs/>
          <w:noProof/>
          <w:szCs w:val="24"/>
        </w:rPr>
        <w:t>Ilr Review</w:t>
      </w:r>
      <w:r w:rsidRPr="00BE5A0A">
        <w:rPr>
          <w:rFonts w:cs="Times New Roman"/>
          <w:noProof/>
          <w:szCs w:val="24"/>
        </w:rPr>
        <w:t xml:space="preserve">, 2017. 71(3):705–732. </w:t>
      </w:r>
    </w:p>
    <w:p w14:paraId="49BC25C7"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Hu, B., M. Hu, and H. Zhu. Surge Pricing and Two-Sided Temporal Responses in Ride Hailing. </w:t>
      </w:r>
      <w:r w:rsidRPr="00BE5A0A">
        <w:rPr>
          <w:rFonts w:cs="Times New Roman"/>
          <w:i/>
          <w:iCs/>
          <w:noProof/>
          <w:szCs w:val="24"/>
        </w:rPr>
        <w:t>Manufacturing and Service Operations Management</w:t>
      </w:r>
      <w:r w:rsidRPr="00BE5A0A">
        <w:rPr>
          <w:rFonts w:cs="Times New Roman"/>
          <w:noProof/>
          <w:szCs w:val="24"/>
        </w:rPr>
        <w:t>, 2021. 24 (1):91–109.</w:t>
      </w:r>
    </w:p>
    <w:p w14:paraId="5202261F"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Dean, M. D., and K. M. Kockelman. Spatial Variation in Shared Ride-Hail Trip Demand and Factors Contributing to Sharing: Lessons from Chicago. </w:t>
      </w:r>
      <w:r w:rsidRPr="00BE5A0A">
        <w:rPr>
          <w:rFonts w:cs="Times New Roman"/>
          <w:i/>
          <w:iCs/>
          <w:noProof/>
          <w:szCs w:val="24"/>
        </w:rPr>
        <w:t>Journal of Transport Geography</w:t>
      </w:r>
      <w:r w:rsidRPr="00BE5A0A">
        <w:rPr>
          <w:rFonts w:cs="Times New Roman"/>
          <w:noProof/>
          <w:szCs w:val="24"/>
        </w:rPr>
        <w:t xml:space="preserve">, 2021. 91:102944. </w:t>
      </w:r>
    </w:p>
    <w:p w14:paraId="377D638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Marquet, O. Spatial Distribution of Ride-Hailing Trip Demand and Its Association with Walkability and Neighborhood Characteristics. </w:t>
      </w:r>
      <w:r w:rsidRPr="00BE5A0A">
        <w:rPr>
          <w:rFonts w:cs="Times New Roman"/>
          <w:i/>
          <w:iCs/>
          <w:noProof/>
          <w:szCs w:val="24"/>
        </w:rPr>
        <w:t>Cities</w:t>
      </w:r>
      <w:r w:rsidRPr="00BE5A0A">
        <w:rPr>
          <w:rFonts w:cs="Times New Roman"/>
          <w:noProof/>
          <w:szCs w:val="24"/>
        </w:rPr>
        <w:t xml:space="preserve">, 2020. 106:102926. </w:t>
      </w:r>
      <w:bookmarkStart w:id="7" w:name="_Hlk110185025"/>
      <w:r w:rsidRPr="00BE5A0A">
        <w:rPr>
          <w:rFonts w:cs="Times New Roman"/>
          <w:szCs w:val="24"/>
        </w:rPr>
        <w:fldChar w:fldCharType="begin" w:fldLock="1"/>
      </w:r>
      <w:r w:rsidRPr="00BE5A0A">
        <w:rPr>
          <w:rFonts w:cs="Times New Roman"/>
          <w:szCs w:val="24"/>
        </w:rPr>
        <w:instrText xml:space="preserve">ADDIN Mendeley Bibliography CSL_BIBLIOGRAPHY </w:instrText>
      </w:r>
      <w:r w:rsidRPr="00BE5A0A">
        <w:rPr>
          <w:rFonts w:cs="Times New Roman"/>
          <w:szCs w:val="24"/>
        </w:rPr>
        <w:fldChar w:fldCharType="separate"/>
      </w:r>
    </w:p>
    <w:p w14:paraId="605F2972"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Grahn, R., C. D. Harper, C. Hendrickson, Z. Qian, and H. S. Matthews. Socioeconomic and Usage Characteristics of Transportation Network Company (TNC) Riders. </w:t>
      </w:r>
      <w:r w:rsidRPr="00BE5A0A">
        <w:rPr>
          <w:rFonts w:cs="Times New Roman"/>
          <w:i/>
          <w:iCs/>
          <w:noProof/>
          <w:szCs w:val="24"/>
        </w:rPr>
        <w:t>Transportation</w:t>
      </w:r>
      <w:r w:rsidRPr="00BE5A0A">
        <w:rPr>
          <w:rFonts w:cs="Times New Roman"/>
          <w:noProof/>
          <w:szCs w:val="24"/>
        </w:rPr>
        <w:t xml:space="preserve">, </w:t>
      </w:r>
      <w:r w:rsidRPr="00BE5A0A">
        <w:rPr>
          <w:rFonts w:cs="Times New Roman"/>
          <w:noProof/>
          <w:szCs w:val="24"/>
        </w:rPr>
        <w:lastRenderedPageBreak/>
        <w:t>2020. 47(6):3047–3067.</w:t>
      </w:r>
    </w:p>
    <w:p w14:paraId="3DC5F599"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Bimpikis, K., O. Candogan, and D. Saban. Spatial Pricing in Ride-Sharing Networks. </w:t>
      </w:r>
      <w:r w:rsidRPr="00BE5A0A">
        <w:rPr>
          <w:rFonts w:cs="Times New Roman"/>
          <w:i/>
          <w:iCs/>
          <w:noProof/>
          <w:szCs w:val="24"/>
        </w:rPr>
        <w:t>Operations Research, 2019.</w:t>
      </w:r>
      <w:r w:rsidRPr="00BE5A0A">
        <w:rPr>
          <w:rFonts w:cs="Times New Roman"/>
          <w:noProof/>
          <w:szCs w:val="24"/>
        </w:rPr>
        <w:t xml:space="preserve"> 67(3): 744–769. </w:t>
      </w:r>
    </w:p>
    <w:p w14:paraId="6E6BB9BC"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Afifah, F., and Z. Guo. Spatial Pricing of Ride-Sourcing Services in a Congested Transportation Network.  </w:t>
      </w:r>
      <w:r w:rsidRPr="00BE5A0A">
        <w:rPr>
          <w:rFonts w:cs="Times New Roman"/>
          <w:i/>
          <w:iCs/>
          <w:noProof/>
          <w:szCs w:val="24"/>
        </w:rPr>
        <w:t>Transportation Research Part C: Emerging Technologies, 2022. 142:103777</w:t>
      </w:r>
    </w:p>
    <w:p w14:paraId="35C1424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Guda, H., and U. Subramaniana. Your Uber Is Arriving: Managing On-Demand Workers Through Surge Pricing, Forecast Communication, and Worker Incentives. </w:t>
      </w:r>
      <w:r w:rsidRPr="00BE5A0A">
        <w:rPr>
          <w:rFonts w:cs="Times New Roman"/>
          <w:i/>
          <w:iCs/>
          <w:noProof/>
          <w:szCs w:val="24"/>
        </w:rPr>
        <w:t>Management Science</w:t>
      </w:r>
      <w:r w:rsidRPr="00BE5A0A">
        <w:rPr>
          <w:rFonts w:cs="Times New Roman"/>
          <w:noProof/>
          <w:szCs w:val="24"/>
        </w:rPr>
        <w:t xml:space="preserve">, 2019. 65(5):1995–2014. </w:t>
      </w:r>
    </w:p>
    <w:p w14:paraId="52179340"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Zha, L., Y. Yin, and Y. Du. Surge Pricing and Labor Supply in the Ride-Sourcing Market. </w:t>
      </w:r>
      <w:r w:rsidRPr="00BE5A0A">
        <w:rPr>
          <w:rFonts w:cs="Times New Roman"/>
          <w:i/>
          <w:iCs/>
          <w:noProof/>
          <w:szCs w:val="24"/>
        </w:rPr>
        <w:t>Transportation Research Procedia</w:t>
      </w:r>
      <w:r w:rsidRPr="00BE5A0A">
        <w:rPr>
          <w:rFonts w:cs="Times New Roman"/>
          <w:noProof/>
          <w:szCs w:val="24"/>
        </w:rPr>
        <w:t xml:space="preserve">, 2017. 23:2–21. </w:t>
      </w:r>
    </w:p>
    <w:p w14:paraId="6D78DDB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Liu, M., E. Brynjolfsson, and J. Dowlatabadi. Do Digital Platforms Reduce Moral Hazard? The Case of Uber and Taxis. </w:t>
      </w:r>
      <w:r w:rsidRPr="00BE5A0A">
        <w:rPr>
          <w:rFonts w:cs="Times New Roman"/>
          <w:i/>
          <w:iCs/>
          <w:noProof/>
          <w:szCs w:val="24"/>
        </w:rPr>
        <w:t>Management Science</w:t>
      </w:r>
      <w:r w:rsidRPr="00BE5A0A">
        <w:rPr>
          <w:rFonts w:cs="Times New Roman"/>
          <w:noProof/>
          <w:szCs w:val="24"/>
        </w:rPr>
        <w:t xml:space="preserve">, 2021. 67(8):4665–4685. </w:t>
      </w:r>
    </w:p>
    <w:p w14:paraId="50DE525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Pepić, L. The Sharing Economy: Uber and Its e?Ect on Taxi Companies. </w:t>
      </w:r>
      <w:r w:rsidRPr="00BE5A0A">
        <w:rPr>
          <w:rFonts w:cs="Times New Roman"/>
          <w:i/>
          <w:iCs/>
          <w:noProof/>
          <w:szCs w:val="24"/>
        </w:rPr>
        <w:t>Acta Economica</w:t>
      </w:r>
      <w:r w:rsidRPr="00BE5A0A">
        <w:rPr>
          <w:rFonts w:cs="Times New Roman"/>
          <w:noProof/>
          <w:szCs w:val="24"/>
        </w:rPr>
        <w:t>, Vol. 16, No. 28, 2018, pp. 123–136. https://doi.org/10.7251/ACE1828123P.</w:t>
      </w:r>
    </w:p>
    <w:p w14:paraId="7C0937CE"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Faghih-Imani, A., and N. Eluru. Analysing Bicycle-Sharing System User Destination Choice Preferences: Chicago’s Divvy System. </w:t>
      </w:r>
      <w:r w:rsidRPr="00BE5A0A">
        <w:rPr>
          <w:rFonts w:cs="Times New Roman"/>
          <w:i/>
          <w:iCs/>
          <w:noProof/>
          <w:szCs w:val="24"/>
        </w:rPr>
        <w:t>Journal of Transport Geography</w:t>
      </w:r>
      <w:r w:rsidRPr="00BE5A0A">
        <w:rPr>
          <w:rFonts w:cs="Times New Roman"/>
          <w:noProof/>
          <w:szCs w:val="24"/>
        </w:rPr>
        <w:t>, 2015. 44:53–64.</w:t>
      </w:r>
    </w:p>
    <w:p w14:paraId="08AECB22"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Mehadil Orvin, M., and M. Rahman Fatmi. Modeling Destination Choice Behavior of the Dockless Bike Sharing Service Users. </w:t>
      </w:r>
      <w:r w:rsidRPr="00BE5A0A">
        <w:rPr>
          <w:rFonts w:cs="Times New Roman"/>
          <w:i/>
          <w:iCs/>
          <w:szCs w:val="24"/>
        </w:rPr>
        <w:t>Transportation Research Record: Journal of the Transportation Research Board</w:t>
      </w:r>
      <w:r w:rsidRPr="00BE5A0A">
        <w:rPr>
          <w:rFonts w:cs="Times New Roman"/>
          <w:noProof/>
          <w:szCs w:val="24"/>
        </w:rPr>
        <w:t xml:space="preserve">, 2020. 2674(11):875–887. </w:t>
      </w:r>
    </w:p>
    <w:p w14:paraId="34B37D0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Kumar Dey, B., S. Anowar, and N. Eluru. A Framework for Estimating Bikeshare Origin Destination Flows Using a Multiple Discrete Continuous System. </w:t>
      </w:r>
      <w:r w:rsidRPr="00BE5A0A">
        <w:rPr>
          <w:rFonts w:cs="Times New Roman"/>
          <w:i/>
          <w:iCs/>
          <w:noProof/>
          <w:szCs w:val="24"/>
        </w:rPr>
        <w:t>Transportation Research Part A: Policy and Practice</w:t>
      </w:r>
      <w:r w:rsidRPr="00BE5A0A">
        <w:rPr>
          <w:rFonts w:cs="Times New Roman"/>
          <w:noProof/>
          <w:szCs w:val="24"/>
        </w:rPr>
        <w:t xml:space="preserve">, 2021. 144:119–133. </w:t>
      </w:r>
    </w:p>
    <w:p w14:paraId="64D0D07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Zhu, J., and X. Ye. Development of Destination Choice Model for Taxi Passengers in Shanghai, China. </w:t>
      </w:r>
      <w:r w:rsidRPr="00BE5A0A">
        <w:rPr>
          <w:rFonts w:cs="Times New Roman"/>
          <w:i/>
          <w:iCs/>
          <w:noProof/>
          <w:szCs w:val="24"/>
        </w:rPr>
        <w:t>CICTP 2017: Transportation Reform and Change - Equity, Inclusiveness, Sharing, and Innovation - Proceedings of the 17th COTA International Conference of Transportation Professionals</w:t>
      </w:r>
      <w:r w:rsidRPr="00BE5A0A">
        <w:rPr>
          <w:rFonts w:cs="Times New Roman"/>
          <w:noProof/>
          <w:szCs w:val="24"/>
        </w:rPr>
        <w:t xml:space="preserve">, 2018. 2018-January:3989–3997. </w:t>
      </w:r>
    </w:p>
    <w:p w14:paraId="39DAF572"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Zhang, S., X. Liu, J. Tang, S. Cheng, Y. Qi, and Y. Wang. Spatio-Temporal Modeling of Destination Choice Behavior through the Bayesian Hierarchical Approach. </w:t>
      </w:r>
      <w:r w:rsidRPr="00BE5A0A">
        <w:rPr>
          <w:rFonts w:cs="Times New Roman"/>
          <w:i/>
          <w:iCs/>
          <w:noProof/>
          <w:szCs w:val="24"/>
        </w:rPr>
        <w:t>Physica A: Statistical Mechanics and its Applications</w:t>
      </w:r>
      <w:r w:rsidRPr="00BE5A0A">
        <w:rPr>
          <w:rFonts w:cs="Times New Roman"/>
          <w:noProof/>
          <w:szCs w:val="24"/>
        </w:rPr>
        <w:t xml:space="preserve">, 2018. 512:537–551. </w:t>
      </w:r>
    </w:p>
    <w:p w14:paraId="2006EC6F"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Zhu, J., and X. Ye. Development of Destination Choice Model with Pairwise District-Level Constants Using Taxi GPS Data. </w:t>
      </w:r>
      <w:r w:rsidRPr="00BE5A0A">
        <w:rPr>
          <w:rFonts w:cs="Times New Roman"/>
          <w:i/>
          <w:iCs/>
          <w:noProof/>
          <w:szCs w:val="24"/>
        </w:rPr>
        <w:t>Transportation Research Part C: Emerging Technologies</w:t>
      </w:r>
      <w:r w:rsidRPr="00BE5A0A">
        <w:rPr>
          <w:rFonts w:cs="Times New Roman"/>
          <w:noProof/>
          <w:szCs w:val="24"/>
        </w:rPr>
        <w:t xml:space="preserve">, 2018. 93:410–424. </w:t>
      </w:r>
    </w:p>
    <w:p w14:paraId="44A925E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El Zarwi, F., A. Vij, and J. L. Walker. A Discrete Choice Framework for Modeling and Forecasting the Adoption and Diffusion of New Transportation Services. </w:t>
      </w:r>
      <w:r w:rsidRPr="00BE5A0A">
        <w:rPr>
          <w:rFonts w:cs="Times New Roman"/>
          <w:i/>
          <w:iCs/>
          <w:noProof/>
          <w:szCs w:val="24"/>
        </w:rPr>
        <w:t>Transportation Research Part C: Emerging Technologies</w:t>
      </w:r>
      <w:r w:rsidRPr="00BE5A0A">
        <w:rPr>
          <w:rFonts w:cs="Times New Roman"/>
          <w:noProof/>
          <w:szCs w:val="24"/>
        </w:rPr>
        <w:t xml:space="preserve">, 2017. 79:207–223. </w:t>
      </w:r>
    </w:p>
    <w:p w14:paraId="281F147D"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Perrine, K. A., K. M. Kockelman, and Y. Huang. Anticipating Long-Distance Travel Shifts Due to Self-Driving Vehicles. </w:t>
      </w:r>
      <w:r w:rsidRPr="00BE5A0A">
        <w:rPr>
          <w:rFonts w:cs="Times New Roman"/>
          <w:i/>
          <w:iCs/>
          <w:noProof/>
          <w:szCs w:val="24"/>
        </w:rPr>
        <w:t>Journal of Transport Geography</w:t>
      </w:r>
      <w:r w:rsidRPr="00BE5A0A">
        <w:rPr>
          <w:rFonts w:cs="Times New Roman"/>
          <w:noProof/>
          <w:szCs w:val="24"/>
        </w:rPr>
        <w:t xml:space="preserve">, 2020. 82:102547. </w:t>
      </w:r>
    </w:p>
    <w:p w14:paraId="4B61BA87"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Sener, I. N., R. M. Pendyala, and C. R. Bhat. Accommodating Spatial Correlation across Choice Alternatives in Discrete Choice Models: An Application to Modeling Residential Location Choice Behavior. </w:t>
      </w:r>
      <w:r w:rsidRPr="00BE5A0A">
        <w:rPr>
          <w:rFonts w:cs="Times New Roman"/>
          <w:i/>
          <w:iCs/>
          <w:noProof/>
          <w:szCs w:val="24"/>
        </w:rPr>
        <w:t>Journal of Transport Geography</w:t>
      </w:r>
      <w:r w:rsidRPr="00BE5A0A">
        <w:rPr>
          <w:rFonts w:cs="Times New Roman"/>
          <w:noProof/>
          <w:szCs w:val="24"/>
        </w:rPr>
        <w:t xml:space="preserve">, 2011. 19:294–303. </w:t>
      </w:r>
    </w:p>
    <w:p w14:paraId="7F3DB2F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Schönfelder, S. ;, H. ; Li, R. ; Guensler, J. ; Ogle, and K. W. Axhausen. Analysis of Commute Atlanta Instrumented Vehicle GPS Data. </w:t>
      </w:r>
      <w:r w:rsidRPr="00BE5A0A">
        <w:rPr>
          <w:rFonts w:cs="Times New Roman"/>
          <w:i/>
          <w:iCs/>
          <w:noProof/>
          <w:szCs w:val="24"/>
        </w:rPr>
        <w:t>Arbeitsberichte Verkehrs- und Raumplanung</w:t>
      </w:r>
      <w:r w:rsidRPr="00BE5A0A">
        <w:rPr>
          <w:rFonts w:cs="Times New Roman"/>
          <w:noProof/>
          <w:szCs w:val="24"/>
        </w:rPr>
        <w:t>, 2006. 350</w:t>
      </w:r>
    </w:p>
    <w:p w14:paraId="7D06C8F3"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Nicolau, J. L., and F. J. Más. Sequential Choice Behavior: Going on Vacation and Type of Destination. </w:t>
      </w:r>
      <w:r w:rsidRPr="00BE5A0A">
        <w:rPr>
          <w:rFonts w:cs="Times New Roman"/>
          <w:i/>
          <w:iCs/>
          <w:noProof/>
          <w:szCs w:val="24"/>
        </w:rPr>
        <w:t>Tourism Management</w:t>
      </w:r>
      <w:r w:rsidRPr="00BE5A0A">
        <w:rPr>
          <w:rFonts w:cs="Times New Roman"/>
          <w:noProof/>
          <w:szCs w:val="24"/>
        </w:rPr>
        <w:t xml:space="preserve">, 2008. 29(5):1023–1034. </w:t>
      </w:r>
    </w:p>
    <w:p w14:paraId="085806C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lastRenderedPageBreak/>
        <w:t xml:space="preserve">Kitamura, R., C. Chen, and R. Narayanan. Traveler Destination Choice Behavior: Effects of Time of Day, Activity Duration, and Home Location. </w:t>
      </w:r>
      <w:r w:rsidRPr="00BE5A0A">
        <w:rPr>
          <w:rFonts w:cs="Times New Roman"/>
          <w:i/>
          <w:iCs/>
          <w:szCs w:val="24"/>
        </w:rPr>
        <w:t>Transportation Research Record: Journal of the Transportation Research Board,</w:t>
      </w:r>
      <w:r w:rsidRPr="00BE5A0A">
        <w:rPr>
          <w:rFonts w:cs="Times New Roman"/>
          <w:noProof/>
          <w:szCs w:val="24"/>
        </w:rPr>
        <w:t xml:space="preserve"> 1998. 1645:76–81. </w:t>
      </w:r>
    </w:p>
    <w:p w14:paraId="34095E9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Pan, X., S. Rasouli, and H. Timmermans. Investigating Tourist Destination Choice: Effect of Destination Image from Social Network Members. </w:t>
      </w:r>
      <w:r w:rsidRPr="00BE5A0A">
        <w:rPr>
          <w:rFonts w:cs="Times New Roman"/>
          <w:i/>
          <w:iCs/>
          <w:noProof/>
          <w:szCs w:val="24"/>
        </w:rPr>
        <w:t>Tourism Management</w:t>
      </w:r>
      <w:r w:rsidRPr="00BE5A0A">
        <w:rPr>
          <w:rFonts w:cs="Times New Roman"/>
          <w:noProof/>
          <w:szCs w:val="24"/>
        </w:rPr>
        <w:t xml:space="preserve">, 2021. 83:104217. </w:t>
      </w:r>
    </w:p>
    <w:p w14:paraId="667F3760"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Zha, L., Y. Yin, and Z. Xu. Geometric Matching and Spatial Pricing in Ride-Sourcing Markets. </w:t>
      </w:r>
      <w:r w:rsidRPr="00BE5A0A">
        <w:rPr>
          <w:rFonts w:cs="Times New Roman"/>
          <w:i/>
          <w:iCs/>
          <w:noProof/>
          <w:szCs w:val="24"/>
        </w:rPr>
        <w:t>Transportation Research Part C: Emerging Technologies</w:t>
      </w:r>
      <w:r w:rsidRPr="00BE5A0A">
        <w:rPr>
          <w:rFonts w:cs="Times New Roman"/>
          <w:noProof/>
          <w:szCs w:val="24"/>
        </w:rPr>
        <w:t xml:space="preserve">, 2018. 92:58–75. </w:t>
      </w:r>
    </w:p>
    <w:p w14:paraId="397C3A43"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Du, J., H. A. Rakha, and H. Breuer. An In-Depth Spatiotemporal Analysis of Ride-Hailing Travel: The Chicago Case Study. </w:t>
      </w:r>
      <w:r w:rsidRPr="00BE5A0A">
        <w:rPr>
          <w:rFonts w:cs="Times New Roman"/>
          <w:i/>
          <w:iCs/>
          <w:noProof/>
          <w:szCs w:val="24"/>
        </w:rPr>
        <w:t>Case Studies on Transport Policy</w:t>
      </w:r>
      <w:r w:rsidRPr="00BE5A0A">
        <w:rPr>
          <w:rFonts w:cs="Times New Roman"/>
          <w:noProof/>
          <w:szCs w:val="24"/>
        </w:rPr>
        <w:t xml:space="preserve">, 2022. 10(1):118–129. </w:t>
      </w:r>
    </w:p>
    <w:p w14:paraId="6DD3F4C1"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Transportation Network Providers - Trips | City of Chicago | Data Portal. https://data.cityofchicago.org/Transportation/Transportation-Network-Providers-Trips/m6dm-c72p. Accessed Jul. 5, 2022.</w:t>
      </w:r>
    </w:p>
    <w:p w14:paraId="776176D6"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Land Use Inventory - CMAP. https://www.cmap.illinois.gov/data/land-use/inventory. Accessed Jul. 5, 2022.</w:t>
      </w:r>
    </w:p>
    <w:p w14:paraId="7118F12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Census Bureau Data. https://data.census.gov/cedsci/. Accessed Jul. 10, 2022.</w:t>
      </w:r>
    </w:p>
    <w:p w14:paraId="64E7E697"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Datasets | Climate Data Online (CDO) | National Climatic Data Center (NCDC). https://www.ncei.noaa.gov/cdo-web/datasets. Accessed Jul. 5, 2022.</w:t>
      </w:r>
    </w:p>
    <w:p w14:paraId="2F861A1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Boundaries - Census Tracts - 2010 | City of Chicago | Data Portal. https://data.cityofchicago.org/Facilities-Geographic-Boundaries/Boundaries-Census-Tracts-2010/5jrd-6zik. Accessed Jul. 5, 2022.</w:t>
      </w:r>
    </w:p>
    <w:p w14:paraId="46A3485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Pozsgay, M. A., and C. R. Bhat. Destination Choice Modeling for Home-Based Recreational Trips: Analysis and Implications for Land Use, Transportation, and Air Quality Planning. </w:t>
      </w:r>
      <w:r w:rsidRPr="00BE5A0A">
        <w:rPr>
          <w:rFonts w:cs="Times New Roman"/>
          <w:i/>
          <w:iCs/>
          <w:szCs w:val="24"/>
        </w:rPr>
        <w:t xml:space="preserve">Transportation Research Record: Journal of the Transportation Research Board, 2001. </w:t>
      </w:r>
      <w:r w:rsidRPr="00BE5A0A">
        <w:rPr>
          <w:rFonts w:cs="Times New Roman"/>
          <w:noProof/>
          <w:szCs w:val="24"/>
        </w:rPr>
        <w:t xml:space="preserve">1777:47–54. </w:t>
      </w:r>
    </w:p>
    <w:p w14:paraId="011AC14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Scott, D. M., P. A. Coomes, and A. I. Izyumov. The Location Choice of Employment-Based Immigrants among U.S. Metro Areas*. </w:t>
      </w:r>
      <w:r w:rsidRPr="00BE5A0A">
        <w:rPr>
          <w:rFonts w:cs="Times New Roman"/>
          <w:i/>
          <w:iCs/>
          <w:noProof/>
          <w:szCs w:val="24"/>
        </w:rPr>
        <w:t>Journal of Regional Science</w:t>
      </w:r>
      <w:r w:rsidRPr="00BE5A0A">
        <w:rPr>
          <w:rFonts w:cs="Times New Roman"/>
          <w:noProof/>
          <w:szCs w:val="24"/>
        </w:rPr>
        <w:t>, 2005. 45(1):113–145.</w:t>
      </w:r>
    </w:p>
    <w:p w14:paraId="7A75261E"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Scott, D. M., and S. Y. He. Modeling Constrained Destination Choice for Shopping: A GIS-Based, Time-Geographic Approach. </w:t>
      </w:r>
      <w:r w:rsidRPr="00BE5A0A">
        <w:rPr>
          <w:rFonts w:cs="Times New Roman"/>
          <w:i/>
          <w:iCs/>
          <w:noProof/>
          <w:szCs w:val="24"/>
        </w:rPr>
        <w:t>Journal of Transport Geography</w:t>
      </w:r>
      <w:r w:rsidRPr="00BE5A0A">
        <w:rPr>
          <w:rFonts w:cs="Times New Roman"/>
          <w:noProof/>
          <w:szCs w:val="24"/>
        </w:rPr>
        <w:t xml:space="preserve">, 2012. 23:60–71. </w:t>
      </w:r>
    </w:p>
    <w:p w14:paraId="7B44339F"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Mcfadden, D. Modelling the Choice of Residential Location. 1977.</w:t>
      </w:r>
    </w:p>
    <w:p w14:paraId="027D67B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Bhat, C. R. Quasi-Random Maximum Simulated Likelihood Estimation of the Mixed Multinomial Logit Model. </w:t>
      </w:r>
      <w:r w:rsidRPr="00BE5A0A">
        <w:rPr>
          <w:rFonts w:cs="Times New Roman"/>
          <w:i/>
          <w:iCs/>
          <w:noProof/>
          <w:szCs w:val="24"/>
        </w:rPr>
        <w:t>Transportation Research Part B: Methodological</w:t>
      </w:r>
      <w:r w:rsidRPr="00BE5A0A">
        <w:rPr>
          <w:rFonts w:cs="Times New Roman"/>
          <w:noProof/>
          <w:szCs w:val="24"/>
        </w:rPr>
        <w:t>, 2001. 35(7):677–693.</w:t>
      </w:r>
    </w:p>
    <w:p w14:paraId="2000317E"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Yasmin, S., and N. Eluru. Evaluating Alternate Discrete Outcome Frameworks for Modeling Crash Injury Severity. </w:t>
      </w:r>
      <w:r w:rsidRPr="00BE5A0A">
        <w:rPr>
          <w:rFonts w:cs="Times New Roman"/>
          <w:i/>
          <w:iCs/>
          <w:noProof/>
          <w:szCs w:val="24"/>
        </w:rPr>
        <w:t>Accident Analysis and Prevention</w:t>
      </w:r>
      <w:r w:rsidRPr="00BE5A0A">
        <w:rPr>
          <w:rFonts w:cs="Times New Roman"/>
          <w:noProof/>
          <w:szCs w:val="24"/>
        </w:rPr>
        <w:t xml:space="preserve">, 2013. 59: 506–521. </w:t>
      </w:r>
    </w:p>
    <w:p w14:paraId="42778518"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Gurumurthy, K. M., Kockelman, K. M., &amp; Auld, J. A system of shared autonomous vehicles for Chicago. </w:t>
      </w:r>
      <w:r w:rsidRPr="00BE5A0A">
        <w:rPr>
          <w:rFonts w:cs="Times New Roman"/>
          <w:i/>
          <w:iCs/>
          <w:noProof/>
          <w:szCs w:val="24"/>
        </w:rPr>
        <w:t>Journal of Transport and Land Use</w:t>
      </w:r>
      <w:r w:rsidRPr="00BE5A0A">
        <w:rPr>
          <w:rFonts w:cs="Times New Roman"/>
          <w:noProof/>
          <w:szCs w:val="24"/>
        </w:rPr>
        <w:t xml:space="preserve">, 2021. 14(1):933-948. </w:t>
      </w:r>
    </w:p>
    <w:p w14:paraId="7E39BDC9"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Joewono, T. B., Matthew, A., &amp; Rizki, M. Loyalty of Paratransit Users in the Era of Competition with Ride Sourcing. </w:t>
      </w:r>
      <w:r w:rsidRPr="00BE5A0A">
        <w:rPr>
          <w:rFonts w:cs="Times New Roman"/>
          <w:i/>
          <w:iCs/>
          <w:noProof/>
          <w:szCs w:val="24"/>
        </w:rPr>
        <w:t>Sustainability</w:t>
      </w:r>
      <w:r w:rsidRPr="00BE5A0A">
        <w:rPr>
          <w:rFonts w:cs="Times New Roman"/>
          <w:noProof/>
          <w:szCs w:val="24"/>
        </w:rPr>
        <w:t>, 2021. 13(22):12719.</w:t>
      </w:r>
    </w:p>
    <w:p w14:paraId="0832C09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Ryan, S., and L. F. Frank. Pedestrian Environments and Transit Ridership. </w:t>
      </w:r>
      <w:r w:rsidRPr="00BE5A0A">
        <w:rPr>
          <w:rFonts w:cs="Times New Roman"/>
          <w:i/>
          <w:iCs/>
          <w:noProof/>
          <w:szCs w:val="24"/>
        </w:rPr>
        <w:t>Journal of Public Transportation</w:t>
      </w:r>
      <w:r w:rsidRPr="00BE5A0A">
        <w:rPr>
          <w:rFonts w:cs="Times New Roman"/>
          <w:noProof/>
          <w:szCs w:val="24"/>
        </w:rPr>
        <w:t>, 2009. 12(1):3.</w:t>
      </w:r>
    </w:p>
    <w:p w14:paraId="1E12D1A6"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Seong, E. Y., N. H. Lee, and C. G. Choi. Relationship between Land Use Mix and Walking Choice in High-Density Cities: A Review of Walking in Seoul, South Korea. </w:t>
      </w:r>
      <w:r w:rsidRPr="00BE5A0A">
        <w:rPr>
          <w:rFonts w:cs="Times New Roman"/>
          <w:i/>
          <w:iCs/>
          <w:noProof/>
          <w:szCs w:val="24"/>
        </w:rPr>
        <w:t>Sustainability 2021. 13(2):810</w:t>
      </w:r>
      <w:r w:rsidRPr="00BE5A0A">
        <w:rPr>
          <w:rFonts w:cs="Times New Roman"/>
          <w:noProof/>
          <w:szCs w:val="24"/>
        </w:rPr>
        <w:t>.</w:t>
      </w:r>
    </w:p>
    <w:p w14:paraId="530185A6"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Dey, B. K., S. D. Tirtha, N. Eluru, and K. C. Konduri. Transformation of Ridehailing in New York City: A Quantitative Assessment. </w:t>
      </w:r>
      <w:r w:rsidRPr="00BE5A0A">
        <w:rPr>
          <w:rFonts w:cs="Times New Roman"/>
          <w:i/>
          <w:iCs/>
          <w:noProof/>
          <w:szCs w:val="24"/>
        </w:rPr>
        <w:t>Transportation Research Part C: Emerging Technologies</w:t>
      </w:r>
      <w:r w:rsidRPr="00BE5A0A">
        <w:rPr>
          <w:rFonts w:cs="Times New Roman"/>
          <w:noProof/>
          <w:szCs w:val="24"/>
        </w:rPr>
        <w:t xml:space="preserve">, 2021. 129:103235. </w:t>
      </w:r>
    </w:p>
    <w:p w14:paraId="7C7121E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lastRenderedPageBreak/>
        <w:t xml:space="preserve">Brodeur, A., and K. Nield. An Empirical Analysis of Taxi, Lyft and Uber Rides: Evidence from Weather Shocks in NYC. </w:t>
      </w:r>
      <w:r w:rsidRPr="00BE5A0A">
        <w:rPr>
          <w:rFonts w:cs="Times New Roman"/>
          <w:i/>
          <w:iCs/>
          <w:noProof/>
          <w:szCs w:val="24"/>
        </w:rPr>
        <w:t>Journal of Economic Behavior &amp; Organization</w:t>
      </w:r>
      <w:r w:rsidRPr="00BE5A0A">
        <w:rPr>
          <w:rFonts w:cs="Times New Roman"/>
          <w:noProof/>
          <w:szCs w:val="24"/>
        </w:rPr>
        <w:t xml:space="preserve">, 2018. 152:1–16. </w:t>
      </w:r>
    </w:p>
    <w:p w14:paraId="1B2F34CD"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Grahn, R., S. Qian, H. S. Matthews, and C. Hendrickson. Are Travelers Substituting between Transportation Network Companies (TNC) and Public Buses? A Case Study in Pittsburgh. </w:t>
      </w:r>
      <w:r w:rsidRPr="00BE5A0A">
        <w:rPr>
          <w:rFonts w:cs="Times New Roman"/>
          <w:i/>
          <w:iCs/>
          <w:noProof/>
          <w:szCs w:val="24"/>
        </w:rPr>
        <w:t>Transportation</w:t>
      </w:r>
      <w:r w:rsidRPr="00BE5A0A">
        <w:rPr>
          <w:rFonts w:cs="Times New Roman"/>
          <w:noProof/>
          <w:szCs w:val="24"/>
        </w:rPr>
        <w:t xml:space="preserve">, 2021. 48(2):977–1005. </w:t>
      </w:r>
    </w:p>
    <w:p w14:paraId="7D095CD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Zhang, W., F. Gao, S. Sun, Q. Yu, J. Tang, B. Liu, and D. Ma. A Distribution Model for Shared Parking in Residential Zones That Considers the Utilization Rate and the Walking Distance. </w:t>
      </w:r>
      <w:r w:rsidRPr="00BE5A0A">
        <w:rPr>
          <w:rFonts w:cs="Times New Roman"/>
          <w:i/>
          <w:iCs/>
          <w:noProof/>
          <w:szCs w:val="24"/>
        </w:rPr>
        <w:t>Journal of Advanced Transportation</w:t>
      </w:r>
      <w:r w:rsidRPr="00BE5A0A">
        <w:rPr>
          <w:rFonts w:cs="Times New Roman"/>
          <w:noProof/>
          <w:szCs w:val="24"/>
        </w:rPr>
        <w:t>, 2020. 2020.</w:t>
      </w:r>
    </w:p>
    <w:p w14:paraId="6B3B58B4"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Lyft Becomes America’s Largest Bikeshare Service - Lyft Blog. https://www.lyft.com/blog/posts/lyft-becomes-americas-largest-bikeshare-service. Accessed Jul. 7, 2022.</w:t>
      </w:r>
    </w:p>
    <w:p w14:paraId="5EC6DF02"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King, D. A., M. W. Conway, and D. Salon. Do For-Hire Vehicles Provide First Mile/Last Mile Access to Transit? </w:t>
      </w:r>
      <w:r w:rsidRPr="00BE5A0A">
        <w:rPr>
          <w:rFonts w:cs="Times New Roman"/>
          <w:i/>
          <w:iCs/>
          <w:noProof/>
          <w:szCs w:val="24"/>
        </w:rPr>
        <w:t>Transp. Find</w:t>
      </w:r>
      <w:r w:rsidRPr="00BE5A0A">
        <w:rPr>
          <w:rFonts w:cs="Times New Roman"/>
          <w:noProof/>
          <w:szCs w:val="24"/>
        </w:rPr>
        <w:t>, 2020. 14:1-7</w:t>
      </w:r>
    </w:p>
    <w:p w14:paraId="0E66460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Is Ridehailing Equitably Available Across Chicago? | Center for Neighborhood Technology. https://cnt.org/blog/is-ridehailing-equitably-available-across-chicago. Accessed Jul. 7, 2022.</w:t>
      </w:r>
    </w:p>
    <w:p w14:paraId="0499C035"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Barajas, J. M., and A. Brown. Not Minding the Gap: Does Ride-Hailing Serve Transit Deserts? </w:t>
      </w:r>
      <w:r w:rsidRPr="00BE5A0A">
        <w:rPr>
          <w:rFonts w:cs="Times New Roman"/>
          <w:i/>
          <w:iCs/>
          <w:noProof/>
          <w:szCs w:val="24"/>
        </w:rPr>
        <w:t>Journal of Transport Geography</w:t>
      </w:r>
      <w:r w:rsidRPr="00BE5A0A">
        <w:rPr>
          <w:rFonts w:cs="Times New Roman"/>
          <w:noProof/>
          <w:szCs w:val="24"/>
        </w:rPr>
        <w:t xml:space="preserve">, 2021. 90:102918. </w:t>
      </w:r>
    </w:p>
    <w:p w14:paraId="196F6B2D"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Dong, X. Trade Uber for the Bus?: An Investigation of Individual Willingness to Use Ride-Hail Versus Transit. </w:t>
      </w:r>
      <w:r w:rsidRPr="00BE5A0A">
        <w:rPr>
          <w:rFonts w:cs="Times New Roman"/>
          <w:i/>
          <w:iCs/>
          <w:noProof/>
          <w:szCs w:val="24"/>
        </w:rPr>
        <w:t>Journal of the American Planning Association</w:t>
      </w:r>
      <w:r w:rsidRPr="00BE5A0A">
        <w:rPr>
          <w:rFonts w:cs="Times New Roman"/>
          <w:noProof/>
          <w:szCs w:val="24"/>
        </w:rPr>
        <w:t xml:space="preserve">, 2020. 86(2):222–235. </w:t>
      </w:r>
    </w:p>
    <w:p w14:paraId="626F607B" w14:textId="77777777" w:rsidR="00BE5A0A" w:rsidRPr="00BE5A0A" w:rsidRDefault="00BE5A0A" w:rsidP="00BE5A0A">
      <w:pPr>
        <w:pStyle w:val="ListParagraph"/>
        <w:widowControl w:val="0"/>
        <w:numPr>
          <w:ilvl w:val="0"/>
          <w:numId w:val="12"/>
        </w:numPr>
        <w:autoSpaceDE w:val="0"/>
        <w:autoSpaceDN w:val="0"/>
        <w:adjustRightInd w:val="0"/>
        <w:ind w:left="360"/>
        <w:rPr>
          <w:rFonts w:cs="Times New Roman"/>
          <w:noProof/>
          <w:szCs w:val="24"/>
        </w:rPr>
      </w:pPr>
      <w:r w:rsidRPr="00BE5A0A">
        <w:rPr>
          <w:rFonts w:cs="Times New Roman"/>
          <w:noProof/>
          <w:szCs w:val="24"/>
        </w:rPr>
        <w:t xml:space="preserve">Dey, B. K., S. D. Tirtha, and N. Eluru. Transport Networking Companies Demand and Flow Estimation in New York City: </w:t>
      </w:r>
      <w:r w:rsidRPr="00BE5A0A">
        <w:rPr>
          <w:rFonts w:cs="Times New Roman"/>
          <w:i/>
          <w:iCs/>
          <w:szCs w:val="24"/>
        </w:rPr>
        <w:t>Transportation Research Record: Journal of the Transportation Research Board, 2021.</w:t>
      </w:r>
      <w:r w:rsidRPr="00BE5A0A">
        <w:rPr>
          <w:rFonts w:cs="Times New Roman"/>
          <w:noProof/>
          <w:szCs w:val="24"/>
        </w:rPr>
        <w:t xml:space="preserve"> 2675(9):139–153. </w:t>
      </w:r>
    </w:p>
    <w:p w14:paraId="4B6095C6" w14:textId="187B0235" w:rsidR="002E7B49" w:rsidRPr="00A31509" w:rsidRDefault="00BE5A0A" w:rsidP="00A31509">
      <w:pPr>
        <w:pStyle w:val="ListParagraph"/>
        <w:widowControl w:val="0"/>
        <w:numPr>
          <w:ilvl w:val="0"/>
          <w:numId w:val="12"/>
        </w:numPr>
        <w:autoSpaceDE w:val="0"/>
        <w:autoSpaceDN w:val="0"/>
        <w:adjustRightInd w:val="0"/>
        <w:spacing w:after="0"/>
        <w:ind w:left="360"/>
        <w:rPr>
          <w:rFonts w:cs="Times New Roman"/>
          <w:noProof/>
          <w:szCs w:val="24"/>
        </w:rPr>
      </w:pPr>
      <w:r w:rsidRPr="00BE5A0A">
        <w:rPr>
          <w:rFonts w:cs="Times New Roman"/>
          <w:noProof/>
          <w:szCs w:val="24"/>
        </w:rPr>
        <w:t xml:space="preserve">Lavieri, P. S., F. F. Dias, N. R. Juri, J. Kuhr, and C. R. Bhat. A Model of Ridesourcing Demand Generation and Distribution. </w:t>
      </w:r>
      <w:r w:rsidRPr="00BE5A0A">
        <w:rPr>
          <w:rFonts w:cs="Times New Roman"/>
          <w:i/>
          <w:iCs/>
          <w:szCs w:val="24"/>
        </w:rPr>
        <w:t>Transportation Research Record: Journal of the Transportation Research Board, 2018.</w:t>
      </w:r>
      <w:r w:rsidRPr="00BE5A0A">
        <w:rPr>
          <w:rFonts w:cs="Times New Roman"/>
          <w:noProof/>
          <w:szCs w:val="24"/>
        </w:rPr>
        <w:t xml:space="preserve"> 2672(46):31–40.</w:t>
      </w:r>
      <w:r w:rsidRPr="00BE5A0A">
        <w:fldChar w:fldCharType="end"/>
      </w:r>
      <w:bookmarkEnd w:id="7"/>
    </w:p>
    <w:sectPr w:rsidR="002E7B49" w:rsidRPr="00A31509" w:rsidSect="00326700">
      <w:headerReference w:type="first" r:id="rId14"/>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D7E2" w14:textId="77777777" w:rsidR="004F2FAE" w:rsidRDefault="004F2FAE" w:rsidP="00970588">
      <w:pPr>
        <w:spacing w:after="0"/>
      </w:pPr>
      <w:r>
        <w:separator/>
      </w:r>
    </w:p>
  </w:endnote>
  <w:endnote w:type="continuationSeparator" w:id="0">
    <w:p w14:paraId="58354BF5" w14:textId="77777777" w:rsidR="004F2FAE" w:rsidRDefault="004F2FAE" w:rsidP="00970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1855" w14:textId="77777777" w:rsidR="004F2FAE" w:rsidRDefault="004F2FAE" w:rsidP="00970588">
      <w:pPr>
        <w:spacing w:after="0"/>
      </w:pPr>
      <w:r>
        <w:separator/>
      </w:r>
    </w:p>
  </w:footnote>
  <w:footnote w:type="continuationSeparator" w:id="0">
    <w:p w14:paraId="493B5A2F" w14:textId="77777777" w:rsidR="004F2FAE" w:rsidRDefault="004F2FAE" w:rsidP="009705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88220"/>
      <w:docPartObj>
        <w:docPartGallery w:val="Page Numbers (Top of Page)"/>
        <w:docPartUnique/>
      </w:docPartObj>
    </w:sdtPr>
    <w:sdtEndPr>
      <w:rPr>
        <w:noProof/>
      </w:rPr>
    </w:sdtEndPr>
    <w:sdtContent>
      <w:p w14:paraId="155DCF35" w14:textId="227155D1" w:rsidR="00FB01C1" w:rsidRDefault="00FB01C1" w:rsidP="00FB01C1">
        <w:pPr>
          <w:pStyle w:val="Header"/>
          <w:jc w:val="left"/>
        </w:pPr>
        <w:r w:rsidRPr="001B1451">
          <w:rPr>
            <w:rFonts w:cs="Times New Roman"/>
            <w:szCs w:val="24"/>
          </w:rPr>
          <w:t>Parvez et al.</w:t>
        </w:r>
        <w:r>
          <w:rPr>
            <w:rFonts w:cs="Times New Roman"/>
            <w:szCs w:val="24"/>
          </w:rPr>
          <w:tab/>
        </w:r>
        <w:r>
          <w:rPr>
            <w:rFonts w:cs="Times New Roman"/>
            <w:szCs w:val="24"/>
          </w:rPr>
          <w:tab/>
        </w:r>
        <w:r>
          <w:fldChar w:fldCharType="begin"/>
        </w:r>
        <w:r>
          <w:instrText xml:space="preserve"> PAGE   \* MERGEFORMAT </w:instrText>
        </w:r>
        <w:r>
          <w:fldChar w:fldCharType="separate"/>
        </w:r>
        <w:r>
          <w:rPr>
            <w:noProof/>
          </w:rPr>
          <w:t>2</w:t>
        </w:r>
        <w:r>
          <w:rPr>
            <w:noProof/>
          </w:rPr>
          <w:fldChar w:fldCharType="end"/>
        </w:r>
      </w:p>
    </w:sdtContent>
  </w:sdt>
  <w:p w14:paraId="50FB4365" w14:textId="3193FD01" w:rsidR="00FB01C1" w:rsidRDefault="00FB0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823415"/>
      <w:docPartObj>
        <w:docPartGallery w:val="Page Numbers (Top of Page)"/>
        <w:docPartUnique/>
      </w:docPartObj>
    </w:sdtPr>
    <w:sdtEndPr>
      <w:rPr>
        <w:rFonts w:cs="Times New Roman"/>
        <w:noProof/>
        <w:szCs w:val="24"/>
      </w:rPr>
    </w:sdtEndPr>
    <w:sdtContent>
      <w:p w14:paraId="7D859EB2" w14:textId="32A33DF0" w:rsidR="00985753" w:rsidRPr="000B3CC4" w:rsidRDefault="00985753" w:rsidP="000B3CC4">
        <w:pPr>
          <w:pStyle w:val="Header"/>
          <w:tabs>
            <w:tab w:val="clear" w:pos="4680"/>
            <w:tab w:val="clear" w:pos="9360"/>
            <w:tab w:val="center" w:pos="9090"/>
            <w:tab w:val="right" w:pos="12780"/>
          </w:tabs>
          <w:jc w:val="left"/>
        </w:pPr>
        <w:r w:rsidRPr="001B1451">
          <w:rPr>
            <w:rFonts w:cs="Times New Roman"/>
            <w:szCs w:val="24"/>
          </w:rPr>
          <w:t>Parvez et al.</w:t>
        </w:r>
        <w:r>
          <w:tab/>
        </w:r>
        <w:r w:rsidRPr="001B1451">
          <w:rPr>
            <w:rFonts w:cs="Times New Roman"/>
            <w:szCs w:val="24"/>
          </w:rPr>
          <w:fldChar w:fldCharType="begin"/>
        </w:r>
        <w:r w:rsidRPr="001B1451">
          <w:rPr>
            <w:rFonts w:cs="Times New Roman"/>
            <w:szCs w:val="24"/>
          </w:rPr>
          <w:instrText xml:space="preserve"> PAGE   \* MERGEFORMAT </w:instrText>
        </w:r>
        <w:r w:rsidRPr="001B1451">
          <w:rPr>
            <w:rFonts w:cs="Times New Roman"/>
            <w:szCs w:val="24"/>
          </w:rPr>
          <w:fldChar w:fldCharType="separate"/>
        </w:r>
        <w:r w:rsidRPr="001B1451">
          <w:rPr>
            <w:rFonts w:cs="Times New Roman"/>
            <w:noProof/>
            <w:szCs w:val="24"/>
          </w:rPr>
          <w:t>2</w:t>
        </w:r>
        <w:r w:rsidRPr="001B1451">
          <w:rPr>
            <w:rFonts w:cs="Times New Roman"/>
            <w:noProof/>
            <w:szCs w:val="24"/>
          </w:rPr>
          <w:fldChar w:fldCharType="end"/>
        </w:r>
        <w:r>
          <w:rPr>
            <w:rFonts w:cs="Times New Roman"/>
            <w:noProof/>
            <w:szCs w:val="24"/>
          </w:rPr>
          <w:tab/>
        </w:r>
      </w:p>
    </w:sdtContent>
  </w:sdt>
  <w:p w14:paraId="0A261844" w14:textId="77777777" w:rsidR="00985753" w:rsidRDefault="00985753" w:rsidP="001B145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98863"/>
      <w:docPartObj>
        <w:docPartGallery w:val="Page Numbers (Top of Page)"/>
        <w:docPartUnique/>
      </w:docPartObj>
    </w:sdtPr>
    <w:sdtEndPr>
      <w:rPr>
        <w:rFonts w:cs="Times New Roman"/>
        <w:noProof/>
        <w:szCs w:val="24"/>
      </w:rPr>
    </w:sdtEndPr>
    <w:sdtContent>
      <w:p w14:paraId="0F5C5914" w14:textId="6FF98262" w:rsidR="00E83D72" w:rsidRPr="000B3CC4" w:rsidRDefault="00E83D72" w:rsidP="000B3CC4">
        <w:pPr>
          <w:pStyle w:val="Header"/>
          <w:tabs>
            <w:tab w:val="clear" w:pos="4680"/>
            <w:tab w:val="clear" w:pos="9360"/>
            <w:tab w:val="center" w:pos="9090"/>
            <w:tab w:val="right" w:pos="12780"/>
          </w:tabs>
          <w:jc w:val="left"/>
        </w:pPr>
        <w:r w:rsidRPr="001B1451">
          <w:rPr>
            <w:rFonts w:cs="Times New Roman"/>
            <w:szCs w:val="24"/>
          </w:rPr>
          <w:t>Parvez et al.</w:t>
        </w:r>
        <w:r>
          <w:tab/>
        </w:r>
        <w:r w:rsidRPr="001B1451">
          <w:rPr>
            <w:rFonts w:cs="Times New Roman"/>
            <w:szCs w:val="24"/>
          </w:rPr>
          <w:fldChar w:fldCharType="begin"/>
        </w:r>
        <w:r w:rsidRPr="001B1451">
          <w:rPr>
            <w:rFonts w:cs="Times New Roman"/>
            <w:szCs w:val="24"/>
          </w:rPr>
          <w:instrText xml:space="preserve"> PAGE   \* MERGEFORMAT </w:instrText>
        </w:r>
        <w:r w:rsidRPr="001B1451">
          <w:rPr>
            <w:rFonts w:cs="Times New Roman"/>
            <w:szCs w:val="24"/>
          </w:rPr>
          <w:fldChar w:fldCharType="separate"/>
        </w:r>
        <w:r w:rsidRPr="001B1451">
          <w:rPr>
            <w:rFonts w:cs="Times New Roman"/>
            <w:noProof/>
            <w:szCs w:val="24"/>
          </w:rPr>
          <w:t>2</w:t>
        </w:r>
        <w:r w:rsidRPr="001B1451">
          <w:rPr>
            <w:rFonts w:cs="Times New Roman"/>
            <w:noProof/>
            <w:szCs w:val="24"/>
          </w:rPr>
          <w:fldChar w:fldCharType="end"/>
        </w:r>
        <w:r>
          <w:rPr>
            <w:rFonts w:cs="Times New Roman"/>
            <w:noProof/>
            <w:szCs w:val="24"/>
          </w:rPr>
          <w:tab/>
        </w:r>
      </w:p>
    </w:sdtContent>
  </w:sdt>
  <w:p w14:paraId="64D1FDD9" w14:textId="77777777" w:rsidR="00E83D72" w:rsidRDefault="00E83D72" w:rsidP="001B14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18E4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2A01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7E5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CEB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DB8D8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30FD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EC3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4816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32F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5C9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21D95"/>
    <w:multiLevelType w:val="hybridMultilevel"/>
    <w:tmpl w:val="5B0435D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72AE4076"/>
    <w:multiLevelType w:val="hybridMultilevel"/>
    <w:tmpl w:val="BAAE5856"/>
    <w:lvl w:ilvl="0" w:tplc="59128BF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sDAyMjG3ACJLIyUdpeDU4uLM/DyQAqNaAFc8ftcsAAAA"/>
  </w:docVars>
  <w:rsids>
    <w:rsidRoot w:val="00970588"/>
    <w:rsid w:val="000000AF"/>
    <w:rsid w:val="00001903"/>
    <w:rsid w:val="00001E35"/>
    <w:rsid w:val="00006714"/>
    <w:rsid w:val="00006975"/>
    <w:rsid w:val="00007A3A"/>
    <w:rsid w:val="0001149D"/>
    <w:rsid w:val="000114C8"/>
    <w:rsid w:val="00011EA1"/>
    <w:rsid w:val="00014775"/>
    <w:rsid w:val="00015749"/>
    <w:rsid w:val="00016773"/>
    <w:rsid w:val="0001712E"/>
    <w:rsid w:val="00017437"/>
    <w:rsid w:val="000223C9"/>
    <w:rsid w:val="000224F8"/>
    <w:rsid w:val="00022AF3"/>
    <w:rsid w:val="00023303"/>
    <w:rsid w:val="00024FBA"/>
    <w:rsid w:val="000250B2"/>
    <w:rsid w:val="000256E7"/>
    <w:rsid w:val="00025F66"/>
    <w:rsid w:val="00031523"/>
    <w:rsid w:val="00031A40"/>
    <w:rsid w:val="00031B25"/>
    <w:rsid w:val="0003211A"/>
    <w:rsid w:val="0003645A"/>
    <w:rsid w:val="0003732F"/>
    <w:rsid w:val="0004053E"/>
    <w:rsid w:val="000421D5"/>
    <w:rsid w:val="00045EDE"/>
    <w:rsid w:val="000463D4"/>
    <w:rsid w:val="00051DE9"/>
    <w:rsid w:val="000526E8"/>
    <w:rsid w:val="00054FE4"/>
    <w:rsid w:val="000552D4"/>
    <w:rsid w:val="00055A2E"/>
    <w:rsid w:val="00057657"/>
    <w:rsid w:val="00057BD6"/>
    <w:rsid w:val="00062EAE"/>
    <w:rsid w:val="00065007"/>
    <w:rsid w:val="0006541F"/>
    <w:rsid w:val="00067402"/>
    <w:rsid w:val="0007235B"/>
    <w:rsid w:val="00080D05"/>
    <w:rsid w:val="00081212"/>
    <w:rsid w:val="000830B7"/>
    <w:rsid w:val="00090F36"/>
    <w:rsid w:val="00090FDC"/>
    <w:rsid w:val="000944E4"/>
    <w:rsid w:val="000A4393"/>
    <w:rsid w:val="000A47BD"/>
    <w:rsid w:val="000A487D"/>
    <w:rsid w:val="000A7A4C"/>
    <w:rsid w:val="000B1ECE"/>
    <w:rsid w:val="000B2733"/>
    <w:rsid w:val="000B3CC4"/>
    <w:rsid w:val="000B617F"/>
    <w:rsid w:val="000C2A9B"/>
    <w:rsid w:val="000C3236"/>
    <w:rsid w:val="000D7648"/>
    <w:rsid w:val="000E15E0"/>
    <w:rsid w:val="000E35B5"/>
    <w:rsid w:val="000F0203"/>
    <w:rsid w:val="000F0C90"/>
    <w:rsid w:val="000F365C"/>
    <w:rsid w:val="00101A22"/>
    <w:rsid w:val="001022AF"/>
    <w:rsid w:val="00102C48"/>
    <w:rsid w:val="0010398F"/>
    <w:rsid w:val="00107B68"/>
    <w:rsid w:val="00111A28"/>
    <w:rsid w:val="00113CA2"/>
    <w:rsid w:val="00115F6F"/>
    <w:rsid w:val="00117766"/>
    <w:rsid w:val="00117980"/>
    <w:rsid w:val="00122588"/>
    <w:rsid w:val="00123220"/>
    <w:rsid w:val="00123F50"/>
    <w:rsid w:val="00124C40"/>
    <w:rsid w:val="001273A2"/>
    <w:rsid w:val="00141B50"/>
    <w:rsid w:val="00143EA8"/>
    <w:rsid w:val="001474EF"/>
    <w:rsid w:val="00147EFA"/>
    <w:rsid w:val="00151FF1"/>
    <w:rsid w:val="00153B9B"/>
    <w:rsid w:val="00156347"/>
    <w:rsid w:val="00156631"/>
    <w:rsid w:val="00160908"/>
    <w:rsid w:val="0016741F"/>
    <w:rsid w:val="00167CC2"/>
    <w:rsid w:val="00173341"/>
    <w:rsid w:val="0017537D"/>
    <w:rsid w:val="00177288"/>
    <w:rsid w:val="00184BC8"/>
    <w:rsid w:val="00185557"/>
    <w:rsid w:val="00187B51"/>
    <w:rsid w:val="00187C56"/>
    <w:rsid w:val="00190DAF"/>
    <w:rsid w:val="001A3900"/>
    <w:rsid w:val="001A6622"/>
    <w:rsid w:val="001B1451"/>
    <w:rsid w:val="001B1915"/>
    <w:rsid w:val="001B3304"/>
    <w:rsid w:val="001B6B97"/>
    <w:rsid w:val="001B6E49"/>
    <w:rsid w:val="001B7834"/>
    <w:rsid w:val="001C26D9"/>
    <w:rsid w:val="001D00D7"/>
    <w:rsid w:val="001D4A7A"/>
    <w:rsid w:val="001D66A2"/>
    <w:rsid w:val="001D7822"/>
    <w:rsid w:val="001E1A01"/>
    <w:rsid w:val="001E47D1"/>
    <w:rsid w:val="001E5764"/>
    <w:rsid w:val="001E5CE1"/>
    <w:rsid w:val="001F0750"/>
    <w:rsid w:val="001F2DCE"/>
    <w:rsid w:val="001F593F"/>
    <w:rsid w:val="001F799C"/>
    <w:rsid w:val="00204E21"/>
    <w:rsid w:val="002071FE"/>
    <w:rsid w:val="00210D8A"/>
    <w:rsid w:val="002152FA"/>
    <w:rsid w:val="00217F0C"/>
    <w:rsid w:val="00220AC7"/>
    <w:rsid w:val="00223D71"/>
    <w:rsid w:val="002243CE"/>
    <w:rsid w:val="0023101E"/>
    <w:rsid w:val="00233338"/>
    <w:rsid w:val="00241161"/>
    <w:rsid w:val="0024242E"/>
    <w:rsid w:val="002424AF"/>
    <w:rsid w:val="0024387C"/>
    <w:rsid w:val="00251350"/>
    <w:rsid w:val="00252F25"/>
    <w:rsid w:val="0025399E"/>
    <w:rsid w:val="00255E14"/>
    <w:rsid w:val="00260319"/>
    <w:rsid w:val="0026187C"/>
    <w:rsid w:val="00263857"/>
    <w:rsid w:val="002642A4"/>
    <w:rsid w:val="0027079D"/>
    <w:rsid w:val="00271B52"/>
    <w:rsid w:val="00272556"/>
    <w:rsid w:val="00272810"/>
    <w:rsid w:val="002732C6"/>
    <w:rsid w:val="0027636F"/>
    <w:rsid w:val="0027793F"/>
    <w:rsid w:val="00280941"/>
    <w:rsid w:val="00281E94"/>
    <w:rsid w:val="00283C2A"/>
    <w:rsid w:val="00284A03"/>
    <w:rsid w:val="0029064D"/>
    <w:rsid w:val="00290C52"/>
    <w:rsid w:val="00293AE2"/>
    <w:rsid w:val="002A1885"/>
    <w:rsid w:val="002A26C1"/>
    <w:rsid w:val="002A38BE"/>
    <w:rsid w:val="002A5401"/>
    <w:rsid w:val="002A5A72"/>
    <w:rsid w:val="002A653E"/>
    <w:rsid w:val="002B1F1E"/>
    <w:rsid w:val="002B37FB"/>
    <w:rsid w:val="002B3FC1"/>
    <w:rsid w:val="002B5ACB"/>
    <w:rsid w:val="002B628B"/>
    <w:rsid w:val="002C16AD"/>
    <w:rsid w:val="002C5EBE"/>
    <w:rsid w:val="002D2FC0"/>
    <w:rsid w:val="002D699C"/>
    <w:rsid w:val="002D7E32"/>
    <w:rsid w:val="002E4BE4"/>
    <w:rsid w:val="002E6DF2"/>
    <w:rsid w:val="002E71DD"/>
    <w:rsid w:val="002E7B49"/>
    <w:rsid w:val="002F0B9F"/>
    <w:rsid w:val="002F4F76"/>
    <w:rsid w:val="003007F0"/>
    <w:rsid w:val="0030108A"/>
    <w:rsid w:val="00301937"/>
    <w:rsid w:val="003036D0"/>
    <w:rsid w:val="00305841"/>
    <w:rsid w:val="00305B92"/>
    <w:rsid w:val="00306864"/>
    <w:rsid w:val="003071F6"/>
    <w:rsid w:val="00312ECD"/>
    <w:rsid w:val="00313467"/>
    <w:rsid w:val="00314EF3"/>
    <w:rsid w:val="00316155"/>
    <w:rsid w:val="00320945"/>
    <w:rsid w:val="00322DC0"/>
    <w:rsid w:val="00322FED"/>
    <w:rsid w:val="003231AE"/>
    <w:rsid w:val="00326062"/>
    <w:rsid w:val="00326700"/>
    <w:rsid w:val="00330DB6"/>
    <w:rsid w:val="003414B7"/>
    <w:rsid w:val="00344665"/>
    <w:rsid w:val="00352863"/>
    <w:rsid w:val="003533F1"/>
    <w:rsid w:val="00353432"/>
    <w:rsid w:val="00360C46"/>
    <w:rsid w:val="0036224A"/>
    <w:rsid w:val="00363DAE"/>
    <w:rsid w:val="0036482D"/>
    <w:rsid w:val="00370F54"/>
    <w:rsid w:val="00370F7E"/>
    <w:rsid w:val="003710BD"/>
    <w:rsid w:val="003741DB"/>
    <w:rsid w:val="00375356"/>
    <w:rsid w:val="00380E85"/>
    <w:rsid w:val="00384DCD"/>
    <w:rsid w:val="00386A58"/>
    <w:rsid w:val="003878F2"/>
    <w:rsid w:val="00392AD7"/>
    <w:rsid w:val="00393035"/>
    <w:rsid w:val="0039304A"/>
    <w:rsid w:val="00394F53"/>
    <w:rsid w:val="00395A98"/>
    <w:rsid w:val="003978C6"/>
    <w:rsid w:val="003A164C"/>
    <w:rsid w:val="003A17A2"/>
    <w:rsid w:val="003B02CB"/>
    <w:rsid w:val="003B20C0"/>
    <w:rsid w:val="003B27E1"/>
    <w:rsid w:val="003B4CB4"/>
    <w:rsid w:val="003B782E"/>
    <w:rsid w:val="003C2165"/>
    <w:rsid w:val="003C7321"/>
    <w:rsid w:val="003D0122"/>
    <w:rsid w:val="003D1668"/>
    <w:rsid w:val="003D445D"/>
    <w:rsid w:val="003D47E2"/>
    <w:rsid w:val="003D4D83"/>
    <w:rsid w:val="003E0D67"/>
    <w:rsid w:val="003E45E9"/>
    <w:rsid w:val="003E6A6E"/>
    <w:rsid w:val="003F0E42"/>
    <w:rsid w:val="00406D9F"/>
    <w:rsid w:val="004072B6"/>
    <w:rsid w:val="004075B5"/>
    <w:rsid w:val="00411AED"/>
    <w:rsid w:val="00411E34"/>
    <w:rsid w:val="004130CC"/>
    <w:rsid w:val="0041536F"/>
    <w:rsid w:val="004219D8"/>
    <w:rsid w:val="00423EE0"/>
    <w:rsid w:val="004240E3"/>
    <w:rsid w:val="004314CA"/>
    <w:rsid w:val="004329A5"/>
    <w:rsid w:val="004344C8"/>
    <w:rsid w:val="004344D3"/>
    <w:rsid w:val="00436A5E"/>
    <w:rsid w:val="0044041B"/>
    <w:rsid w:val="00440DE5"/>
    <w:rsid w:val="00443605"/>
    <w:rsid w:val="00445C96"/>
    <w:rsid w:val="00446A48"/>
    <w:rsid w:val="00447112"/>
    <w:rsid w:val="00452FB7"/>
    <w:rsid w:val="004570D2"/>
    <w:rsid w:val="004602B0"/>
    <w:rsid w:val="004604D7"/>
    <w:rsid w:val="00462A68"/>
    <w:rsid w:val="00465B1B"/>
    <w:rsid w:val="00476464"/>
    <w:rsid w:val="00480791"/>
    <w:rsid w:val="004813BD"/>
    <w:rsid w:val="00481A7E"/>
    <w:rsid w:val="00481FB9"/>
    <w:rsid w:val="00482DA5"/>
    <w:rsid w:val="004834A1"/>
    <w:rsid w:val="00485500"/>
    <w:rsid w:val="00492DF9"/>
    <w:rsid w:val="0049415D"/>
    <w:rsid w:val="004A1169"/>
    <w:rsid w:val="004A1665"/>
    <w:rsid w:val="004A1F88"/>
    <w:rsid w:val="004A40C8"/>
    <w:rsid w:val="004A7705"/>
    <w:rsid w:val="004B0E72"/>
    <w:rsid w:val="004B13CD"/>
    <w:rsid w:val="004B5866"/>
    <w:rsid w:val="004B6FC8"/>
    <w:rsid w:val="004B7372"/>
    <w:rsid w:val="004C13A7"/>
    <w:rsid w:val="004C2523"/>
    <w:rsid w:val="004C2632"/>
    <w:rsid w:val="004C2E49"/>
    <w:rsid w:val="004C43E8"/>
    <w:rsid w:val="004C51BC"/>
    <w:rsid w:val="004D146B"/>
    <w:rsid w:val="004D18F2"/>
    <w:rsid w:val="004D1F52"/>
    <w:rsid w:val="004D25AF"/>
    <w:rsid w:val="004D3894"/>
    <w:rsid w:val="004D4CE8"/>
    <w:rsid w:val="004D7C51"/>
    <w:rsid w:val="004E11DF"/>
    <w:rsid w:val="004E4D1A"/>
    <w:rsid w:val="004E5947"/>
    <w:rsid w:val="004F04FA"/>
    <w:rsid w:val="004F0601"/>
    <w:rsid w:val="004F18F2"/>
    <w:rsid w:val="004F2FAE"/>
    <w:rsid w:val="004F4BBE"/>
    <w:rsid w:val="004F5359"/>
    <w:rsid w:val="004F67D2"/>
    <w:rsid w:val="004F6B03"/>
    <w:rsid w:val="00501AE5"/>
    <w:rsid w:val="00505675"/>
    <w:rsid w:val="005073DE"/>
    <w:rsid w:val="00511E53"/>
    <w:rsid w:val="00514123"/>
    <w:rsid w:val="005146DC"/>
    <w:rsid w:val="00514C1B"/>
    <w:rsid w:val="00516F8F"/>
    <w:rsid w:val="00525E03"/>
    <w:rsid w:val="00530AAA"/>
    <w:rsid w:val="00530AE9"/>
    <w:rsid w:val="00531BC5"/>
    <w:rsid w:val="00534181"/>
    <w:rsid w:val="005342B9"/>
    <w:rsid w:val="00535C9A"/>
    <w:rsid w:val="00540C0B"/>
    <w:rsid w:val="00542099"/>
    <w:rsid w:val="00542634"/>
    <w:rsid w:val="00543FDB"/>
    <w:rsid w:val="00546CA9"/>
    <w:rsid w:val="00550FA4"/>
    <w:rsid w:val="00556365"/>
    <w:rsid w:val="0055744D"/>
    <w:rsid w:val="00561996"/>
    <w:rsid w:val="00561C63"/>
    <w:rsid w:val="005632E2"/>
    <w:rsid w:val="00565C57"/>
    <w:rsid w:val="005709E8"/>
    <w:rsid w:val="005709EF"/>
    <w:rsid w:val="00572573"/>
    <w:rsid w:val="00574C18"/>
    <w:rsid w:val="00576473"/>
    <w:rsid w:val="00580553"/>
    <w:rsid w:val="00580F92"/>
    <w:rsid w:val="005855CF"/>
    <w:rsid w:val="00586977"/>
    <w:rsid w:val="00587BCA"/>
    <w:rsid w:val="00592823"/>
    <w:rsid w:val="00593001"/>
    <w:rsid w:val="00593F48"/>
    <w:rsid w:val="00593FA9"/>
    <w:rsid w:val="00596AD3"/>
    <w:rsid w:val="00596EE1"/>
    <w:rsid w:val="005973A2"/>
    <w:rsid w:val="005A5F60"/>
    <w:rsid w:val="005A6C09"/>
    <w:rsid w:val="005B09C9"/>
    <w:rsid w:val="005B1373"/>
    <w:rsid w:val="005B45EB"/>
    <w:rsid w:val="005B7BCA"/>
    <w:rsid w:val="005C0E50"/>
    <w:rsid w:val="005C1EF4"/>
    <w:rsid w:val="005C1F42"/>
    <w:rsid w:val="005C36B6"/>
    <w:rsid w:val="005C42C9"/>
    <w:rsid w:val="005D18BA"/>
    <w:rsid w:val="005D5578"/>
    <w:rsid w:val="005E12BF"/>
    <w:rsid w:val="005E173A"/>
    <w:rsid w:val="005E5472"/>
    <w:rsid w:val="005F118D"/>
    <w:rsid w:val="005F2DFC"/>
    <w:rsid w:val="005F44BF"/>
    <w:rsid w:val="005F4C0E"/>
    <w:rsid w:val="005F7A5A"/>
    <w:rsid w:val="00611680"/>
    <w:rsid w:val="00612C50"/>
    <w:rsid w:val="00614497"/>
    <w:rsid w:val="00614713"/>
    <w:rsid w:val="0061542F"/>
    <w:rsid w:val="00620B67"/>
    <w:rsid w:val="00622CE8"/>
    <w:rsid w:val="00627E16"/>
    <w:rsid w:val="0063123A"/>
    <w:rsid w:val="00633E4D"/>
    <w:rsid w:val="00634B62"/>
    <w:rsid w:val="0063557C"/>
    <w:rsid w:val="006365AF"/>
    <w:rsid w:val="00636B02"/>
    <w:rsid w:val="00636D04"/>
    <w:rsid w:val="006405E9"/>
    <w:rsid w:val="0064151C"/>
    <w:rsid w:val="00641AD9"/>
    <w:rsid w:val="00642BFD"/>
    <w:rsid w:val="00642E99"/>
    <w:rsid w:val="0064581F"/>
    <w:rsid w:val="0064650E"/>
    <w:rsid w:val="0064763F"/>
    <w:rsid w:val="00655149"/>
    <w:rsid w:val="00663541"/>
    <w:rsid w:val="00664039"/>
    <w:rsid w:val="006649AF"/>
    <w:rsid w:val="00664CD2"/>
    <w:rsid w:val="006706D0"/>
    <w:rsid w:val="006722FA"/>
    <w:rsid w:val="00672A79"/>
    <w:rsid w:val="00675AD6"/>
    <w:rsid w:val="00684DEA"/>
    <w:rsid w:val="00685A6F"/>
    <w:rsid w:val="00687765"/>
    <w:rsid w:val="00690AE8"/>
    <w:rsid w:val="006921E2"/>
    <w:rsid w:val="00695667"/>
    <w:rsid w:val="006976B5"/>
    <w:rsid w:val="006A4810"/>
    <w:rsid w:val="006B3533"/>
    <w:rsid w:val="006B4F01"/>
    <w:rsid w:val="006B546D"/>
    <w:rsid w:val="006C2A50"/>
    <w:rsid w:val="006C4DAE"/>
    <w:rsid w:val="006C7E6C"/>
    <w:rsid w:val="006D02B0"/>
    <w:rsid w:val="006D102A"/>
    <w:rsid w:val="006D13E5"/>
    <w:rsid w:val="006D71BA"/>
    <w:rsid w:val="006D73A3"/>
    <w:rsid w:val="006E0A9A"/>
    <w:rsid w:val="006E279B"/>
    <w:rsid w:val="006E5268"/>
    <w:rsid w:val="006E6CA0"/>
    <w:rsid w:val="006F5421"/>
    <w:rsid w:val="00700536"/>
    <w:rsid w:val="00700E18"/>
    <w:rsid w:val="00702022"/>
    <w:rsid w:val="00703578"/>
    <w:rsid w:val="007069AE"/>
    <w:rsid w:val="00707DDE"/>
    <w:rsid w:val="00714832"/>
    <w:rsid w:val="00714CB0"/>
    <w:rsid w:val="00720B44"/>
    <w:rsid w:val="0072116D"/>
    <w:rsid w:val="007261D2"/>
    <w:rsid w:val="007266DC"/>
    <w:rsid w:val="007302B0"/>
    <w:rsid w:val="00732122"/>
    <w:rsid w:val="00732E20"/>
    <w:rsid w:val="00740C92"/>
    <w:rsid w:val="0074101B"/>
    <w:rsid w:val="0074114C"/>
    <w:rsid w:val="0074126E"/>
    <w:rsid w:val="007500A6"/>
    <w:rsid w:val="0075203F"/>
    <w:rsid w:val="007524A8"/>
    <w:rsid w:val="0075255A"/>
    <w:rsid w:val="007557C4"/>
    <w:rsid w:val="00755C33"/>
    <w:rsid w:val="00756A47"/>
    <w:rsid w:val="00757128"/>
    <w:rsid w:val="0075727C"/>
    <w:rsid w:val="007575AA"/>
    <w:rsid w:val="00761522"/>
    <w:rsid w:val="00765440"/>
    <w:rsid w:val="00765530"/>
    <w:rsid w:val="0076717B"/>
    <w:rsid w:val="00775C82"/>
    <w:rsid w:val="00777296"/>
    <w:rsid w:val="007815E4"/>
    <w:rsid w:val="007822C5"/>
    <w:rsid w:val="00786484"/>
    <w:rsid w:val="00786E89"/>
    <w:rsid w:val="007928B7"/>
    <w:rsid w:val="00793974"/>
    <w:rsid w:val="007966F0"/>
    <w:rsid w:val="007A19FC"/>
    <w:rsid w:val="007A6648"/>
    <w:rsid w:val="007B29FC"/>
    <w:rsid w:val="007B4AE2"/>
    <w:rsid w:val="007B59E9"/>
    <w:rsid w:val="007B7756"/>
    <w:rsid w:val="007C3404"/>
    <w:rsid w:val="007D366B"/>
    <w:rsid w:val="007D3703"/>
    <w:rsid w:val="007D74A3"/>
    <w:rsid w:val="007D75D7"/>
    <w:rsid w:val="007E10EA"/>
    <w:rsid w:val="007E2DFE"/>
    <w:rsid w:val="007E5354"/>
    <w:rsid w:val="007E6F6C"/>
    <w:rsid w:val="007E78B3"/>
    <w:rsid w:val="007F00AC"/>
    <w:rsid w:val="007F2928"/>
    <w:rsid w:val="007F398E"/>
    <w:rsid w:val="007F70C4"/>
    <w:rsid w:val="007F74B5"/>
    <w:rsid w:val="008031B8"/>
    <w:rsid w:val="00803235"/>
    <w:rsid w:val="008054D6"/>
    <w:rsid w:val="008055AB"/>
    <w:rsid w:val="008055DD"/>
    <w:rsid w:val="00806FDD"/>
    <w:rsid w:val="00807F4A"/>
    <w:rsid w:val="00810108"/>
    <w:rsid w:val="008105D8"/>
    <w:rsid w:val="0081335F"/>
    <w:rsid w:val="00817AC8"/>
    <w:rsid w:val="008204F2"/>
    <w:rsid w:val="008253FB"/>
    <w:rsid w:val="00826B45"/>
    <w:rsid w:val="00835B0B"/>
    <w:rsid w:val="00837354"/>
    <w:rsid w:val="00842FD7"/>
    <w:rsid w:val="008439A2"/>
    <w:rsid w:val="008527A1"/>
    <w:rsid w:val="0086212D"/>
    <w:rsid w:val="008639AB"/>
    <w:rsid w:val="008644E0"/>
    <w:rsid w:val="00864E23"/>
    <w:rsid w:val="0086589E"/>
    <w:rsid w:val="0087342D"/>
    <w:rsid w:val="00881C2F"/>
    <w:rsid w:val="008879FA"/>
    <w:rsid w:val="00892FF0"/>
    <w:rsid w:val="008A1001"/>
    <w:rsid w:val="008A1ADF"/>
    <w:rsid w:val="008A2E5B"/>
    <w:rsid w:val="008B030E"/>
    <w:rsid w:val="008B0559"/>
    <w:rsid w:val="008B36F3"/>
    <w:rsid w:val="008B663D"/>
    <w:rsid w:val="008B7A0E"/>
    <w:rsid w:val="008C2EEB"/>
    <w:rsid w:val="008D16F2"/>
    <w:rsid w:val="008D40C1"/>
    <w:rsid w:val="008D48F0"/>
    <w:rsid w:val="008D4F6C"/>
    <w:rsid w:val="008D507A"/>
    <w:rsid w:val="008E3C2F"/>
    <w:rsid w:val="008E4555"/>
    <w:rsid w:val="008F0BBA"/>
    <w:rsid w:val="008F3F50"/>
    <w:rsid w:val="008F6603"/>
    <w:rsid w:val="0090291F"/>
    <w:rsid w:val="00902E1D"/>
    <w:rsid w:val="00904646"/>
    <w:rsid w:val="009056EE"/>
    <w:rsid w:val="00906330"/>
    <w:rsid w:val="009071AB"/>
    <w:rsid w:val="009129AC"/>
    <w:rsid w:val="00913A1B"/>
    <w:rsid w:val="00921D35"/>
    <w:rsid w:val="00922475"/>
    <w:rsid w:val="00924A6E"/>
    <w:rsid w:val="00925056"/>
    <w:rsid w:val="00926F50"/>
    <w:rsid w:val="00931AE4"/>
    <w:rsid w:val="00931E02"/>
    <w:rsid w:val="009324F9"/>
    <w:rsid w:val="00933E3A"/>
    <w:rsid w:val="00935E2D"/>
    <w:rsid w:val="00936B7A"/>
    <w:rsid w:val="00941E6E"/>
    <w:rsid w:val="00941EB8"/>
    <w:rsid w:val="00943392"/>
    <w:rsid w:val="00945FEA"/>
    <w:rsid w:val="00946954"/>
    <w:rsid w:val="00947700"/>
    <w:rsid w:val="00950EF3"/>
    <w:rsid w:val="00961CC4"/>
    <w:rsid w:val="00962CE0"/>
    <w:rsid w:val="00963ACE"/>
    <w:rsid w:val="00964DEF"/>
    <w:rsid w:val="00965799"/>
    <w:rsid w:val="00970328"/>
    <w:rsid w:val="00970588"/>
    <w:rsid w:val="00972ACB"/>
    <w:rsid w:val="00972B3B"/>
    <w:rsid w:val="00972C4E"/>
    <w:rsid w:val="00972E90"/>
    <w:rsid w:val="009735EC"/>
    <w:rsid w:val="00974979"/>
    <w:rsid w:val="00981585"/>
    <w:rsid w:val="009827A5"/>
    <w:rsid w:val="00982B3F"/>
    <w:rsid w:val="00985753"/>
    <w:rsid w:val="00986A9F"/>
    <w:rsid w:val="00990320"/>
    <w:rsid w:val="00993379"/>
    <w:rsid w:val="00994358"/>
    <w:rsid w:val="00995EA1"/>
    <w:rsid w:val="009A0564"/>
    <w:rsid w:val="009A1E2B"/>
    <w:rsid w:val="009A5744"/>
    <w:rsid w:val="009A6078"/>
    <w:rsid w:val="009A63AF"/>
    <w:rsid w:val="009A77AD"/>
    <w:rsid w:val="009B1F42"/>
    <w:rsid w:val="009B3811"/>
    <w:rsid w:val="009B46C1"/>
    <w:rsid w:val="009B6EEF"/>
    <w:rsid w:val="009C01AF"/>
    <w:rsid w:val="009C03B1"/>
    <w:rsid w:val="009C0467"/>
    <w:rsid w:val="009C0D5D"/>
    <w:rsid w:val="009C262F"/>
    <w:rsid w:val="009C6B0C"/>
    <w:rsid w:val="009C6FF4"/>
    <w:rsid w:val="009C797A"/>
    <w:rsid w:val="009C7F82"/>
    <w:rsid w:val="009D1DBE"/>
    <w:rsid w:val="009D1E20"/>
    <w:rsid w:val="009D4043"/>
    <w:rsid w:val="009D4396"/>
    <w:rsid w:val="009D686B"/>
    <w:rsid w:val="009E189C"/>
    <w:rsid w:val="009E1E51"/>
    <w:rsid w:val="009E2E22"/>
    <w:rsid w:val="009E334F"/>
    <w:rsid w:val="009E400A"/>
    <w:rsid w:val="009F04BA"/>
    <w:rsid w:val="00A02ECC"/>
    <w:rsid w:val="00A0556A"/>
    <w:rsid w:val="00A17691"/>
    <w:rsid w:val="00A204BD"/>
    <w:rsid w:val="00A21FB2"/>
    <w:rsid w:val="00A2318B"/>
    <w:rsid w:val="00A26943"/>
    <w:rsid w:val="00A30143"/>
    <w:rsid w:val="00A31509"/>
    <w:rsid w:val="00A326E1"/>
    <w:rsid w:val="00A32CAD"/>
    <w:rsid w:val="00A33B00"/>
    <w:rsid w:val="00A34699"/>
    <w:rsid w:val="00A3503D"/>
    <w:rsid w:val="00A364BF"/>
    <w:rsid w:val="00A373BA"/>
    <w:rsid w:val="00A433AC"/>
    <w:rsid w:val="00A44632"/>
    <w:rsid w:val="00A45A06"/>
    <w:rsid w:val="00A4669C"/>
    <w:rsid w:val="00A5269A"/>
    <w:rsid w:val="00A52A75"/>
    <w:rsid w:val="00A54175"/>
    <w:rsid w:val="00A5511C"/>
    <w:rsid w:val="00A7032A"/>
    <w:rsid w:val="00A70C8B"/>
    <w:rsid w:val="00A72165"/>
    <w:rsid w:val="00A7331A"/>
    <w:rsid w:val="00A7399B"/>
    <w:rsid w:val="00A766B7"/>
    <w:rsid w:val="00A80AED"/>
    <w:rsid w:val="00A822F7"/>
    <w:rsid w:val="00A8278A"/>
    <w:rsid w:val="00A911F9"/>
    <w:rsid w:val="00A93479"/>
    <w:rsid w:val="00A948ED"/>
    <w:rsid w:val="00A96A50"/>
    <w:rsid w:val="00AA05C2"/>
    <w:rsid w:val="00AA1274"/>
    <w:rsid w:val="00AA1494"/>
    <w:rsid w:val="00AA1FD3"/>
    <w:rsid w:val="00AA23B2"/>
    <w:rsid w:val="00AA5258"/>
    <w:rsid w:val="00AA7177"/>
    <w:rsid w:val="00AB21E5"/>
    <w:rsid w:val="00AB2A23"/>
    <w:rsid w:val="00AB2CB7"/>
    <w:rsid w:val="00AB598A"/>
    <w:rsid w:val="00AB6877"/>
    <w:rsid w:val="00AB72EA"/>
    <w:rsid w:val="00AC21EE"/>
    <w:rsid w:val="00AC637A"/>
    <w:rsid w:val="00AC65DF"/>
    <w:rsid w:val="00AD06D9"/>
    <w:rsid w:val="00AD0BF2"/>
    <w:rsid w:val="00AD1A29"/>
    <w:rsid w:val="00AD2701"/>
    <w:rsid w:val="00AD299D"/>
    <w:rsid w:val="00AD35ED"/>
    <w:rsid w:val="00AD4221"/>
    <w:rsid w:val="00AD4918"/>
    <w:rsid w:val="00AD4DEB"/>
    <w:rsid w:val="00AD6FEC"/>
    <w:rsid w:val="00AD7A98"/>
    <w:rsid w:val="00AE4006"/>
    <w:rsid w:val="00AE5504"/>
    <w:rsid w:val="00AF7E94"/>
    <w:rsid w:val="00B02861"/>
    <w:rsid w:val="00B037BC"/>
    <w:rsid w:val="00B03C4D"/>
    <w:rsid w:val="00B04F77"/>
    <w:rsid w:val="00B05AC0"/>
    <w:rsid w:val="00B05BB3"/>
    <w:rsid w:val="00B153D2"/>
    <w:rsid w:val="00B161F3"/>
    <w:rsid w:val="00B1648D"/>
    <w:rsid w:val="00B16BDF"/>
    <w:rsid w:val="00B16FCB"/>
    <w:rsid w:val="00B17EC4"/>
    <w:rsid w:val="00B225BE"/>
    <w:rsid w:val="00B248F7"/>
    <w:rsid w:val="00B25465"/>
    <w:rsid w:val="00B30087"/>
    <w:rsid w:val="00B31CDB"/>
    <w:rsid w:val="00B37795"/>
    <w:rsid w:val="00B40C15"/>
    <w:rsid w:val="00B41719"/>
    <w:rsid w:val="00B44EB6"/>
    <w:rsid w:val="00B45D69"/>
    <w:rsid w:val="00B46FBE"/>
    <w:rsid w:val="00B4787E"/>
    <w:rsid w:val="00B53D18"/>
    <w:rsid w:val="00B547E3"/>
    <w:rsid w:val="00B54F91"/>
    <w:rsid w:val="00B55B90"/>
    <w:rsid w:val="00B569F4"/>
    <w:rsid w:val="00B56B15"/>
    <w:rsid w:val="00B5717B"/>
    <w:rsid w:val="00B61038"/>
    <w:rsid w:val="00B64CB0"/>
    <w:rsid w:val="00B65068"/>
    <w:rsid w:val="00B654CD"/>
    <w:rsid w:val="00B65672"/>
    <w:rsid w:val="00B65FB6"/>
    <w:rsid w:val="00B66720"/>
    <w:rsid w:val="00B7452F"/>
    <w:rsid w:val="00B761FF"/>
    <w:rsid w:val="00B76299"/>
    <w:rsid w:val="00B77635"/>
    <w:rsid w:val="00B818A6"/>
    <w:rsid w:val="00B87905"/>
    <w:rsid w:val="00B87D52"/>
    <w:rsid w:val="00B90C13"/>
    <w:rsid w:val="00B92CA8"/>
    <w:rsid w:val="00B9317F"/>
    <w:rsid w:val="00B975A4"/>
    <w:rsid w:val="00B975CE"/>
    <w:rsid w:val="00B97831"/>
    <w:rsid w:val="00BA0C6F"/>
    <w:rsid w:val="00BB1448"/>
    <w:rsid w:val="00BB4241"/>
    <w:rsid w:val="00BB776F"/>
    <w:rsid w:val="00BC2B14"/>
    <w:rsid w:val="00BC6F27"/>
    <w:rsid w:val="00BD02FF"/>
    <w:rsid w:val="00BD2469"/>
    <w:rsid w:val="00BD306E"/>
    <w:rsid w:val="00BD3B02"/>
    <w:rsid w:val="00BE026E"/>
    <w:rsid w:val="00BE1F0D"/>
    <w:rsid w:val="00BE4B05"/>
    <w:rsid w:val="00BE4C09"/>
    <w:rsid w:val="00BE5A0A"/>
    <w:rsid w:val="00BE7EE6"/>
    <w:rsid w:val="00BF5236"/>
    <w:rsid w:val="00C057DD"/>
    <w:rsid w:val="00C106F8"/>
    <w:rsid w:val="00C14572"/>
    <w:rsid w:val="00C16AF1"/>
    <w:rsid w:val="00C173CB"/>
    <w:rsid w:val="00C20535"/>
    <w:rsid w:val="00C20630"/>
    <w:rsid w:val="00C31472"/>
    <w:rsid w:val="00C33A31"/>
    <w:rsid w:val="00C3425D"/>
    <w:rsid w:val="00C34394"/>
    <w:rsid w:val="00C36CD7"/>
    <w:rsid w:val="00C404C7"/>
    <w:rsid w:val="00C405AC"/>
    <w:rsid w:val="00C41DD8"/>
    <w:rsid w:val="00C42354"/>
    <w:rsid w:val="00C43D5E"/>
    <w:rsid w:val="00C45C2F"/>
    <w:rsid w:val="00C47962"/>
    <w:rsid w:val="00C545E6"/>
    <w:rsid w:val="00C56426"/>
    <w:rsid w:val="00C56611"/>
    <w:rsid w:val="00C647EF"/>
    <w:rsid w:val="00C654C6"/>
    <w:rsid w:val="00C67D78"/>
    <w:rsid w:val="00C721A3"/>
    <w:rsid w:val="00C72525"/>
    <w:rsid w:val="00C73BD3"/>
    <w:rsid w:val="00C740EE"/>
    <w:rsid w:val="00C74573"/>
    <w:rsid w:val="00C80F64"/>
    <w:rsid w:val="00C82476"/>
    <w:rsid w:val="00C83A66"/>
    <w:rsid w:val="00C85733"/>
    <w:rsid w:val="00C92C13"/>
    <w:rsid w:val="00C935B1"/>
    <w:rsid w:val="00C945B8"/>
    <w:rsid w:val="00C96E81"/>
    <w:rsid w:val="00CA0EE5"/>
    <w:rsid w:val="00CA66B1"/>
    <w:rsid w:val="00CA7437"/>
    <w:rsid w:val="00CA7A29"/>
    <w:rsid w:val="00CA7B0C"/>
    <w:rsid w:val="00CA7C9C"/>
    <w:rsid w:val="00CB3D8F"/>
    <w:rsid w:val="00CB50FB"/>
    <w:rsid w:val="00CB60D9"/>
    <w:rsid w:val="00CB78C5"/>
    <w:rsid w:val="00CC52A8"/>
    <w:rsid w:val="00CC68F5"/>
    <w:rsid w:val="00CD02F8"/>
    <w:rsid w:val="00CD0E0D"/>
    <w:rsid w:val="00CD0F26"/>
    <w:rsid w:val="00CD2BCC"/>
    <w:rsid w:val="00CD50AF"/>
    <w:rsid w:val="00CD6544"/>
    <w:rsid w:val="00CE0D2D"/>
    <w:rsid w:val="00CE0F89"/>
    <w:rsid w:val="00CE1DFD"/>
    <w:rsid w:val="00CE73A1"/>
    <w:rsid w:val="00CF05FE"/>
    <w:rsid w:val="00CF0D42"/>
    <w:rsid w:val="00D00978"/>
    <w:rsid w:val="00D03B35"/>
    <w:rsid w:val="00D0409C"/>
    <w:rsid w:val="00D05A9A"/>
    <w:rsid w:val="00D1037C"/>
    <w:rsid w:val="00D1149C"/>
    <w:rsid w:val="00D115B4"/>
    <w:rsid w:val="00D120A8"/>
    <w:rsid w:val="00D13F34"/>
    <w:rsid w:val="00D15B9D"/>
    <w:rsid w:val="00D23795"/>
    <w:rsid w:val="00D31778"/>
    <w:rsid w:val="00D32533"/>
    <w:rsid w:val="00D37F80"/>
    <w:rsid w:val="00D41016"/>
    <w:rsid w:val="00D45150"/>
    <w:rsid w:val="00D45B08"/>
    <w:rsid w:val="00D470B8"/>
    <w:rsid w:val="00D47334"/>
    <w:rsid w:val="00D47382"/>
    <w:rsid w:val="00D503DB"/>
    <w:rsid w:val="00D53B57"/>
    <w:rsid w:val="00D5409E"/>
    <w:rsid w:val="00D551CE"/>
    <w:rsid w:val="00D571CC"/>
    <w:rsid w:val="00D574A7"/>
    <w:rsid w:val="00D640E5"/>
    <w:rsid w:val="00D652E1"/>
    <w:rsid w:val="00D70788"/>
    <w:rsid w:val="00D80008"/>
    <w:rsid w:val="00D8549A"/>
    <w:rsid w:val="00D93D49"/>
    <w:rsid w:val="00D96B79"/>
    <w:rsid w:val="00DA1116"/>
    <w:rsid w:val="00DA36F0"/>
    <w:rsid w:val="00DA4B08"/>
    <w:rsid w:val="00DA55DA"/>
    <w:rsid w:val="00DA79B8"/>
    <w:rsid w:val="00DB2B96"/>
    <w:rsid w:val="00DB3279"/>
    <w:rsid w:val="00DB3CFA"/>
    <w:rsid w:val="00DB700C"/>
    <w:rsid w:val="00DC0F98"/>
    <w:rsid w:val="00DC1FF9"/>
    <w:rsid w:val="00DC45DF"/>
    <w:rsid w:val="00DC49B7"/>
    <w:rsid w:val="00DC6DCC"/>
    <w:rsid w:val="00DD26D4"/>
    <w:rsid w:val="00DD309C"/>
    <w:rsid w:val="00DD3651"/>
    <w:rsid w:val="00DD46BF"/>
    <w:rsid w:val="00DD7D05"/>
    <w:rsid w:val="00DE5A30"/>
    <w:rsid w:val="00DF0D58"/>
    <w:rsid w:val="00DF20F1"/>
    <w:rsid w:val="00DF260E"/>
    <w:rsid w:val="00DF2EEA"/>
    <w:rsid w:val="00DF4344"/>
    <w:rsid w:val="00DF6007"/>
    <w:rsid w:val="00E02C8A"/>
    <w:rsid w:val="00E05033"/>
    <w:rsid w:val="00E05FAB"/>
    <w:rsid w:val="00E06824"/>
    <w:rsid w:val="00E0710B"/>
    <w:rsid w:val="00E10990"/>
    <w:rsid w:val="00E10D13"/>
    <w:rsid w:val="00E12441"/>
    <w:rsid w:val="00E127BF"/>
    <w:rsid w:val="00E134EC"/>
    <w:rsid w:val="00E1352E"/>
    <w:rsid w:val="00E141E6"/>
    <w:rsid w:val="00E145B6"/>
    <w:rsid w:val="00E153F9"/>
    <w:rsid w:val="00E16DB7"/>
    <w:rsid w:val="00E2593D"/>
    <w:rsid w:val="00E26E0A"/>
    <w:rsid w:val="00E27C1A"/>
    <w:rsid w:val="00E34E5E"/>
    <w:rsid w:val="00E37EC6"/>
    <w:rsid w:val="00E405D8"/>
    <w:rsid w:val="00E43C30"/>
    <w:rsid w:val="00E446C9"/>
    <w:rsid w:val="00E45698"/>
    <w:rsid w:val="00E475CC"/>
    <w:rsid w:val="00E50560"/>
    <w:rsid w:val="00E5210D"/>
    <w:rsid w:val="00E54FF1"/>
    <w:rsid w:val="00E570D1"/>
    <w:rsid w:val="00E5719B"/>
    <w:rsid w:val="00E62890"/>
    <w:rsid w:val="00E63C4B"/>
    <w:rsid w:val="00E6750B"/>
    <w:rsid w:val="00E7092A"/>
    <w:rsid w:val="00E7151D"/>
    <w:rsid w:val="00E72ABE"/>
    <w:rsid w:val="00E72B0D"/>
    <w:rsid w:val="00E75825"/>
    <w:rsid w:val="00E7588E"/>
    <w:rsid w:val="00E766DD"/>
    <w:rsid w:val="00E81608"/>
    <w:rsid w:val="00E83D72"/>
    <w:rsid w:val="00E83FDF"/>
    <w:rsid w:val="00E84741"/>
    <w:rsid w:val="00E85011"/>
    <w:rsid w:val="00E863F9"/>
    <w:rsid w:val="00E87AF6"/>
    <w:rsid w:val="00E87C44"/>
    <w:rsid w:val="00E944CB"/>
    <w:rsid w:val="00E96D37"/>
    <w:rsid w:val="00EA4786"/>
    <w:rsid w:val="00EA50F0"/>
    <w:rsid w:val="00EA6667"/>
    <w:rsid w:val="00EB2639"/>
    <w:rsid w:val="00EB3526"/>
    <w:rsid w:val="00EB3F46"/>
    <w:rsid w:val="00EB46AD"/>
    <w:rsid w:val="00EB5B83"/>
    <w:rsid w:val="00EB5D2A"/>
    <w:rsid w:val="00EB5DBC"/>
    <w:rsid w:val="00EB71DC"/>
    <w:rsid w:val="00EC4D0E"/>
    <w:rsid w:val="00EC5A12"/>
    <w:rsid w:val="00ED09A0"/>
    <w:rsid w:val="00ED2CA0"/>
    <w:rsid w:val="00ED374F"/>
    <w:rsid w:val="00EE14AF"/>
    <w:rsid w:val="00EE246B"/>
    <w:rsid w:val="00EE5903"/>
    <w:rsid w:val="00EE6C79"/>
    <w:rsid w:val="00EE7D4B"/>
    <w:rsid w:val="00EF16AA"/>
    <w:rsid w:val="00EF27AB"/>
    <w:rsid w:val="00EF2A7A"/>
    <w:rsid w:val="00EF3085"/>
    <w:rsid w:val="00EF3391"/>
    <w:rsid w:val="00EF535B"/>
    <w:rsid w:val="00EF604D"/>
    <w:rsid w:val="00F02BE3"/>
    <w:rsid w:val="00F05DC1"/>
    <w:rsid w:val="00F104E2"/>
    <w:rsid w:val="00F1448A"/>
    <w:rsid w:val="00F206A1"/>
    <w:rsid w:val="00F23351"/>
    <w:rsid w:val="00F27CF8"/>
    <w:rsid w:val="00F354D7"/>
    <w:rsid w:val="00F3782C"/>
    <w:rsid w:val="00F40915"/>
    <w:rsid w:val="00F44BA6"/>
    <w:rsid w:val="00F44E2E"/>
    <w:rsid w:val="00F462D2"/>
    <w:rsid w:val="00F479B1"/>
    <w:rsid w:val="00F479D7"/>
    <w:rsid w:val="00F51772"/>
    <w:rsid w:val="00F54AB5"/>
    <w:rsid w:val="00F54D5B"/>
    <w:rsid w:val="00F57A6F"/>
    <w:rsid w:val="00F664BE"/>
    <w:rsid w:val="00F6758F"/>
    <w:rsid w:val="00F70DFD"/>
    <w:rsid w:val="00F71045"/>
    <w:rsid w:val="00F83FB7"/>
    <w:rsid w:val="00F858E3"/>
    <w:rsid w:val="00F864AD"/>
    <w:rsid w:val="00F9184F"/>
    <w:rsid w:val="00F93B59"/>
    <w:rsid w:val="00F947E8"/>
    <w:rsid w:val="00F95141"/>
    <w:rsid w:val="00F9557D"/>
    <w:rsid w:val="00F96BC4"/>
    <w:rsid w:val="00F96F18"/>
    <w:rsid w:val="00F96F2B"/>
    <w:rsid w:val="00F9711E"/>
    <w:rsid w:val="00FA23A0"/>
    <w:rsid w:val="00FA258B"/>
    <w:rsid w:val="00FA39EC"/>
    <w:rsid w:val="00FA3C2C"/>
    <w:rsid w:val="00FA4445"/>
    <w:rsid w:val="00FA6363"/>
    <w:rsid w:val="00FB01C1"/>
    <w:rsid w:val="00FB0D84"/>
    <w:rsid w:val="00FC0320"/>
    <w:rsid w:val="00FC2A61"/>
    <w:rsid w:val="00FC7103"/>
    <w:rsid w:val="00FC7A0D"/>
    <w:rsid w:val="00FD37EB"/>
    <w:rsid w:val="00FE1325"/>
    <w:rsid w:val="00FE2A18"/>
    <w:rsid w:val="00FF3F8B"/>
    <w:rsid w:val="00FF5D95"/>
    <w:rsid w:val="00FF6DC8"/>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7DDC5"/>
  <w15:chartTrackingRefBased/>
  <w15:docId w15:val="{E8D581E4-210A-49FD-8983-5E06AD43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841"/>
    <w:pPr>
      <w:spacing w:line="240" w:lineRule="auto"/>
      <w:contextualSpacing/>
      <w:jc w:val="both"/>
    </w:pPr>
    <w:rPr>
      <w:rFonts w:ascii="Times New Roman" w:hAnsi="Times New Roman"/>
      <w:sz w:val="24"/>
    </w:rPr>
  </w:style>
  <w:style w:type="paragraph" w:styleId="Heading1">
    <w:name w:val="heading 1"/>
    <w:aliases w:val="TRB Heading 1"/>
    <w:basedOn w:val="Normal"/>
    <w:link w:val="Heading1Char"/>
    <w:autoRedefine/>
    <w:uiPriority w:val="9"/>
    <w:qFormat/>
    <w:rsid w:val="00972ACB"/>
    <w:pPr>
      <w:keepNext/>
      <w:spacing w:after="0"/>
      <w:outlineLvl w:val="0"/>
    </w:pPr>
    <w:rPr>
      <w:rFonts w:ascii="Times New Roman Bold" w:eastAsiaTheme="majorEastAsia" w:hAnsi="Times New Roman Bold" w:cstheme="majorBidi"/>
      <w:b/>
      <w:szCs w:val="32"/>
    </w:rPr>
  </w:style>
  <w:style w:type="paragraph" w:styleId="Heading2">
    <w:name w:val="heading 2"/>
    <w:aliases w:val="TRB Heading 2"/>
    <w:basedOn w:val="Normal"/>
    <w:next w:val="Normal"/>
    <w:link w:val="Heading2Char"/>
    <w:autoRedefine/>
    <w:uiPriority w:val="9"/>
    <w:unhideWhenUsed/>
    <w:qFormat/>
    <w:rsid w:val="001D4A7A"/>
    <w:pPr>
      <w:keepNext/>
      <w:spacing w:after="0"/>
      <w:outlineLvl w:val="1"/>
    </w:pPr>
    <w:rPr>
      <w:rFonts w:eastAsiaTheme="majorEastAsia" w:cstheme="majorBidi"/>
      <w:b/>
      <w:szCs w:val="26"/>
    </w:rPr>
  </w:style>
  <w:style w:type="paragraph" w:styleId="Heading3">
    <w:name w:val="heading 3"/>
    <w:aliases w:val="TRB Heading 3"/>
    <w:basedOn w:val="Normal"/>
    <w:next w:val="Normal"/>
    <w:link w:val="Heading3Char"/>
    <w:uiPriority w:val="9"/>
    <w:unhideWhenUsed/>
    <w:qFormat/>
    <w:rsid w:val="001D4A7A"/>
    <w:pPr>
      <w:keepNext/>
      <w:keepLines/>
      <w:spacing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6B4F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D02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588"/>
    <w:pPr>
      <w:tabs>
        <w:tab w:val="center" w:pos="4680"/>
        <w:tab w:val="right" w:pos="9360"/>
      </w:tabs>
      <w:spacing w:after="0"/>
    </w:pPr>
  </w:style>
  <w:style w:type="character" w:customStyle="1" w:styleId="HeaderChar">
    <w:name w:val="Header Char"/>
    <w:basedOn w:val="DefaultParagraphFont"/>
    <w:link w:val="Header"/>
    <w:uiPriority w:val="99"/>
    <w:rsid w:val="00970588"/>
  </w:style>
  <w:style w:type="paragraph" w:styleId="Footer">
    <w:name w:val="footer"/>
    <w:basedOn w:val="Normal"/>
    <w:link w:val="FooterChar"/>
    <w:uiPriority w:val="99"/>
    <w:unhideWhenUsed/>
    <w:rsid w:val="00970588"/>
    <w:pPr>
      <w:tabs>
        <w:tab w:val="center" w:pos="4680"/>
        <w:tab w:val="right" w:pos="9360"/>
      </w:tabs>
      <w:spacing w:after="0"/>
    </w:pPr>
  </w:style>
  <w:style w:type="character" w:customStyle="1" w:styleId="FooterChar">
    <w:name w:val="Footer Char"/>
    <w:basedOn w:val="DefaultParagraphFont"/>
    <w:link w:val="Footer"/>
    <w:uiPriority w:val="99"/>
    <w:rsid w:val="00970588"/>
  </w:style>
  <w:style w:type="character" w:styleId="LineNumber">
    <w:name w:val="line number"/>
    <w:basedOn w:val="DefaultParagraphFont"/>
    <w:uiPriority w:val="99"/>
    <w:unhideWhenUsed/>
    <w:rsid w:val="00305841"/>
    <w:rPr>
      <w:rFonts w:ascii="Times New Roman" w:hAnsi="Times New Roman"/>
      <w:sz w:val="24"/>
    </w:rPr>
  </w:style>
  <w:style w:type="character" w:customStyle="1" w:styleId="Heading1Char">
    <w:name w:val="Heading 1 Char"/>
    <w:aliases w:val="TRB Heading 1 Char"/>
    <w:basedOn w:val="DefaultParagraphFont"/>
    <w:link w:val="Heading1"/>
    <w:uiPriority w:val="9"/>
    <w:rsid w:val="00972ACB"/>
    <w:rPr>
      <w:rFonts w:ascii="Times New Roman Bold" w:eastAsiaTheme="majorEastAsia" w:hAnsi="Times New Roman Bold" w:cstheme="majorBidi"/>
      <w:b/>
      <w:sz w:val="24"/>
      <w:szCs w:val="32"/>
    </w:rPr>
  </w:style>
  <w:style w:type="character" w:customStyle="1" w:styleId="Heading2Char">
    <w:name w:val="Heading 2 Char"/>
    <w:aliases w:val="TRB Heading 2 Char"/>
    <w:basedOn w:val="DefaultParagraphFont"/>
    <w:link w:val="Heading2"/>
    <w:uiPriority w:val="9"/>
    <w:rsid w:val="001D4A7A"/>
    <w:rPr>
      <w:rFonts w:ascii="Times New Roman" w:eastAsiaTheme="majorEastAsia" w:hAnsi="Times New Roman" w:cstheme="majorBidi"/>
      <w:b/>
      <w:sz w:val="24"/>
      <w:szCs w:val="26"/>
    </w:rPr>
  </w:style>
  <w:style w:type="character" w:customStyle="1" w:styleId="Heading3Char">
    <w:name w:val="Heading 3 Char"/>
    <w:aliases w:val="TRB Heading 3 Char"/>
    <w:basedOn w:val="DefaultParagraphFont"/>
    <w:link w:val="Heading3"/>
    <w:uiPriority w:val="9"/>
    <w:rsid w:val="001D4A7A"/>
    <w:rPr>
      <w:rFonts w:ascii="Times New Roman" w:eastAsiaTheme="majorEastAsia" w:hAnsi="Times New Roman" w:cstheme="majorBidi"/>
      <w:i/>
      <w:sz w:val="24"/>
      <w:szCs w:val="24"/>
    </w:rPr>
  </w:style>
  <w:style w:type="paragraph" w:customStyle="1" w:styleId="HD2">
    <w:name w:val="HD2"/>
    <w:basedOn w:val="Normal"/>
    <w:next w:val="Normal"/>
    <w:link w:val="HD2Char"/>
    <w:rsid w:val="00946954"/>
    <w:pPr>
      <w:spacing w:after="0"/>
    </w:pPr>
    <w:rPr>
      <w:b/>
    </w:rPr>
  </w:style>
  <w:style w:type="character" w:styleId="SubtleEmphasis">
    <w:name w:val="Subtle Emphasis"/>
    <w:basedOn w:val="DefaultParagraphFont"/>
    <w:uiPriority w:val="19"/>
    <w:qFormat/>
    <w:rsid w:val="00946954"/>
    <w:rPr>
      <w:rFonts w:ascii="Times New Roman" w:hAnsi="Times New Roman"/>
      <w:b/>
      <w:i w:val="0"/>
      <w:iCs/>
      <w:color w:val="404040" w:themeColor="text1" w:themeTint="BF"/>
      <w:sz w:val="24"/>
    </w:rPr>
  </w:style>
  <w:style w:type="character" w:customStyle="1" w:styleId="HD2Char">
    <w:name w:val="HD2 Char"/>
    <w:basedOn w:val="DefaultParagraphFont"/>
    <w:link w:val="HD2"/>
    <w:rsid w:val="00946954"/>
    <w:rPr>
      <w:rFonts w:ascii="Times New Roman" w:hAnsi="Times New Roman"/>
      <w:b/>
      <w:sz w:val="24"/>
    </w:rPr>
  </w:style>
  <w:style w:type="paragraph" w:styleId="Title">
    <w:name w:val="Title"/>
    <w:basedOn w:val="Normal"/>
    <w:next w:val="Normal"/>
    <w:link w:val="TitleChar"/>
    <w:uiPriority w:val="10"/>
    <w:qFormat/>
    <w:rsid w:val="00FD37EB"/>
    <w:pPr>
      <w:spacing w:after="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7EB"/>
    <w:rPr>
      <w:rFonts w:asciiTheme="majorHAnsi" w:eastAsiaTheme="majorEastAsia" w:hAnsiTheme="majorHAnsi" w:cstheme="majorBidi"/>
      <w:spacing w:val="-10"/>
      <w:kern w:val="28"/>
      <w:sz w:val="56"/>
      <w:szCs w:val="56"/>
    </w:rPr>
  </w:style>
  <w:style w:type="paragraph" w:styleId="NoSpacing">
    <w:name w:val="No Spacing"/>
    <w:uiPriority w:val="1"/>
    <w:qFormat/>
    <w:rsid w:val="00FD37EB"/>
    <w:pPr>
      <w:spacing w:after="0" w:line="240" w:lineRule="auto"/>
      <w:contextualSpacing/>
      <w:jc w:val="both"/>
    </w:pPr>
    <w:rPr>
      <w:rFonts w:ascii="Times New Roman" w:hAnsi="Times New Roman"/>
      <w:sz w:val="24"/>
    </w:rPr>
  </w:style>
  <w:style w:type="paragraph" w:styleId="Caption">
    <w:name w:val="caption"/>
    <w:basedOn w:val="Normal"/>
    <w:next w:val="Normal"/>
    <w:uiPriority w:val="35"/>
    <w:unhideWhenUsed/>
    <w:qFormat/>
    <w:rsid w:val="00622CE8"/>
    <w:rPr>
      <w:b/>
      <w:iCs/>
      <w:szCs w:val="18"/>
    </w:rPr>
  </w:style>
  <w:style w:type="character" w:styleId="Hyperlink">
    <w:name w:val="Hyperlink"/>
    <w:basedOn w:val="DefaultParagraphFont"/>
    <w:uiPriority w:val="99"/>
    <w:unhideWhenUsed/>
    <w:rsid w:val="005146DC"/>
    <w:rPr>
      <w:color w:val="0563C1" w:themeColor="hyperlink"/>
      <w:u w:val="single"/>
    </w:rPr>
  </w:style>
  <w:style w:type="paragraph" w:customStyle="1" w:styleId="Standard">
    <w:name w:val="Standard"/>
    <w:rsid w:val="005146DC"/>
    <w:pPr>
      <w:suppressAutoHyphens/>
      <w:autoSpaceDN w:val="0"/>
      <w:spacing w:after="200" w:line="276" w:lineRule="auto"/>
      <w:textAlignment w:val="baseline"/>
    </w:pPr>
    <w:rPr>
      <w:rFonts w:ascii="Calibri" w:eastAsia="SimSun" w:hAnsi="Calibri" w:cs="Calibri"/>
      <w:kern w:val="3"/>
      <w:lang w:val="en-CA"/>
    </w:rPr>
  </w:style>
  <w:style w:type="paragraph" w:styleId="NormalWeb">
    <w:name w:val="Normal (Web)"/>
    <w:basedOn w:val="Normal"/>
    <w:uiPriority w:val="99"/>
    <w:semiHidden/>
    <w:unhideWhenUsed/>
    <w:rsid w:val="005146DC"/>
    <w:pPr>
      <w:spacing w:before="100" w:beforeAutospacing="1" w:after="100" w:afterAutospacing="1"/>
      <w:contextualSpacing w:val="0"/>
      <w:jc w:val="left"/>
    </w:pPr>
    <w:rPr>
      <w:rFonts w:eastAsia="Times New Roman" w:cs="Times New Roman"/>
      <w:szCs w:val="24"/>
    </w:rPr>
  </w:style>
  <w:style w:type="character" w:styleId="CommentReference">
    <w:name w:val="annotation reference"/>
    <w:basedOn w:val="DefaultParagraphFont"/>
    <w:uiPriority w:val="99"/>
    <w:semiHidden/>
    <w:unhideWhenUsed/>
    <w:rsid w:val="005146DC"/>
    <w:rPr>
      <w:sz w:val="16"/>
      <w:szCs w:val="16"/>
    </w:rPr>
  </w:style>
  <w:style w:type="paragraph" w:styleId="CommentText">
    <w:name w:val="annotation text"/>
    <w:basedOn w:val="Normal"/>
    <w:link w:val="CommentTextChar"/>
    <w:uiPriority w:val="99"/>
    <w:unhideWhenUsed/>
    <w:rsid w:val="005146DC"/>
    <w:rPr>
      <w:sz w:val="20"/>
      <w:szCs w:val="20"/>
    </w:rPr>
  </w:style>
  <w:style w:type="character" w:customStyle="1" w:styleId="CommentTextChar">
    <w:name w:val="Comment Text Char"/>
    <w:basedOn w:val="DefaultParagraphFont"/>
    <w:link w:val="CommentText"/>
    <w:uiPriority w:val="99"/>
    <w:rsid w:val="005146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146DC"/>
    <w:rPr>
      <w:b/>
      <w:bCs/>
    </w:rPr>
  </w:style>
  <w:style w:type="character" w:customStyle="1" w:styleId="CommentSubjectChar">
    <w:name w:val="Comment Subject Char"/>
    <w:basedOn w:val="CommentTextChar"/>
    <w:link w:val="CommentSubject"/>
    <w:uiPriority w:val="99"/>
    <w:semiHidden/>
    <w:rsid w:val="005146DC"/>
    <w:rPr>
      <w:rFonts w:ascii="Times New Roman" w:hAnsi="Times New Roman"/>
      <w:b/>
      <w:bCs/>
      <w:sz w:val="20"/>
      <w:szCs w:val="20"/>
    </w:rPr>
  </w:style>
  <w:style w:type="character" w:styleId="Emphasis">
    <w:name w:val="Emphasis"/>
    <w:basedOn w:val="DefaultParagraphFont"/>
    <w:uiPriority w:val="20"/>
    <w:qFormat/>
    <w:rsid w:val="00A0556A"/>
    <w:rPr>
      <w:i/>
      <w:iCs/>
    </w:rPr>
  </w:style>
  <w:style w:type="character" w:styleId="PlaceholderText">
    <w:name w:val="Placeholder Text"/>
    <w:basedOn w:val="DefaultParagraphFont"/>
    <w:uiPriority w:val="99"/>
    <w:semiHidden/>
    <w:rsid w:val="00A8278A"/>
    <w:rPr>
      <w:color w:val="808080"/>
    </w:rPr>
  </w:style>
  <w:style w:type="table" w:customStyle="1" w:styleId="TableGrid2">
    <w:name w:val="Table Grid2"/>
    <w:basedOn w:val="TableNormal"/>
    <w:next w:val="TableGrid"/>
    <w:uiPriority w:val="59"/>
    <w:rsid w:val="00A8278A"/>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82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49A"/>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6B4F01"/>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
    <w:uiPriority w:val="59"/>
    <w:rsid w:val="00972B3B"/>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00A6"/>
    <w:rPr>
      <w:color w:val="605E5C"/>
      <w:shd w:val="clear" w:color="auto" w:fill="E1DFDD"/>
    </w:rPr>
  </w:style>
  <w:style w:type="character" w:customStyle="1" w:styleId="Heading5Char">
    <w:name w:val="Heading 5 Char"/>
    <w:basedOn w:val="DefaultParagraphFont"/>
    <w:link w:val="Heading5"/>
    <w:uiPriority w:val="9"/>
    <w:semiHidden/>
    <w:rsid w:val="00BD02FF"/>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BE5A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288">
      <w:bodyDiv w:val="1"/>
      <w:marLeft w:val="0"/>
      <w:marRight w:val="0"/>
      <w:marTop w:val="0"/>
      <w:marBottom w:val="0"/>
      <w:divBdr>
        <w:top w:val="none" w:sz="0" w:space="0" w:color="auto"/>
        <w:left w:val="none" w:sz="0" w:space="0" w:color="auto"/>
        <w:bottom w:val="none" w:sz="0" w:space="0" w:color="auto"/>
        <w:right w:val="none" w:sz="0" w:space="0" w:color="auto"/>
      </w:divBdr>
    </w:div>
    <w:div w:id="175928729">
      <w:bodyDiv w:val="1"/>
      <w:marLeft w:val="0"/>
      <w:marRight w:val="0"/>
      <w:marTop w:val="0"/>
      <w:marBottom w:val="0"/>
      <w:divBdr>
        <w:top w:val="none" w:sz="0" w:space="0" w:color="auto"/>
        <w:left w:val="none" w:sz="0" w:space="0" w:color="auto"/>
        <w:bottom w:val="none" w:sz="0" w:space="0" w:color="auto"/>
        <w:right w:val="none" w:sz="0" w:space="0" w:color="auto"/>
      </w:divBdr>
    </w:div>
    <w:div w:id="489907691">
      <w:bodyDiv w:val="1"/>
      <w:marLeft w:val="0"/>
      <w:marRight w:val="0"/>
      <w:marTop w:val="0"/>
      <w:marBottom w:val="0"/>
      <w:divBdr>
        <w:top w:val="none" w:sz="0" w:space="0" w:color="auto"/>
        <w:left w:val="none" w:sz="0" w:space="0" w:color="auto"/>
        <w:bottom w:val="none" w:sz="0" w:space="0" w:color="auto"/>
        <w:right w:val="none" w:sz="0" w:space="0" w:color="auto"/>
      </w:divBdr>
    </w:div>
    <w:div w:id="1273977740">
      <w:bodyDiv w:val="1"/>
      <w:marLeft w:val="0"/>
      <w:marRight w:val="0"/>
      <w:marTop w:val="0"/>
      <w:marBottom w:val="0"/>
      <w:divBdr>
        <w:top w:val="none" w:sz="0" w:space="0" w:color="auto"/>
        <w:left w:val="none" w:sz="0" w:space="0" w:color="auto"/>
        <w:bottom w:val="none" w:sz="0" w:space="0" w:color="auto"/>
        <w:right w:val="none" w:sz="0" w:space="0" w:color="auto"/>
      </w:divBdr>
    </w:div>
    <w:div w:id="1296982012">
      <w:bodyDiv w:val="1"/>
      <w:marLeft w:val="0"/>
      <w:marRight w:val="0"/>
      <w:marTop w:val="0"/>
      <w:marBottom w:val="0"/>
      <w:divBdr>
        <w:top w:val="none" w:sz="0" w:space="0" w:color="auto"/>
        <w:left w:val="none" w:sz="0" w:space="0" w:color="auto"/>
        <w:bottom w:val="none" w:sz="0" w:space="0" w:color="auto"/>
        <w:right w:val="none" w:sz="0" w:space="0" w:color="auto"/>
      </w:divBdr>
    </w:div>
    <w:div w:id="1454984846">
      <w:bodyDiv w:val="1"/>
      <w:marLeft w:val="0"/>
      <w:marRight w:val="0"/>
      <w:marTop w:val="0"/>
      <w:marBottom w:val="0"/>
      <w:divBdr>
        <w:top w:val="none" w:sz="0" w:space="0" w:color="auto"/>
        <w:left w:val="none" w:sz="0" w:space="0" w:color="auto"/>
        <w:bottom w:val="none" w:sz="0" w:space="0" w:color="auto"/>
        <w:right w:val="none" w:sz="0" w:space="0" w:color="auto"/>
      </w:divBdr>
    </w:div>
    <w:div w:id="1612085621">
      <w:bodyDiv w:val="1"/>
      <w:marLeft w:val="0"/>
      <w:marRight w:val="0"/>
      <w:marTop w:val="0"/>
      <w:marBottom w:val="0"/>
      <w:divBdr>
        <w:top w:val="none" w:sz="0" w:space="0" w:color="auto"/>
        <w:left w:val="none" w:sz="0" w:space="0" w:color="auto"/>
        <w:bottom w:val="none" w:sz="0" w:space="0" w:color="auto"/>
        <w:right w:val="none" w:sz="0" w:space="0" w:color="auto"/>
      </w:divBdr>
    </w:div>
    <w:div w:id="1756778883">
      <w:bodyDiv w:val="1"/>
      <w:marLeft w:val="0"/>
      <w:marRight w:val="0"/>
      <w:marTop w:val="0"/>
      <w:marBottom w:val="0"/>
      <w:divBdr>
        <w:top w:val="none" w:sz="0" w:space="0" w:color="auto"/>
        <w:left w:val="none" w:sz="0" w:space="0" w:color="auto"/>
        <w:bottom w:val="none" w:sz="0" w:space="0" w:color="auto"/>
        <w:right w:val="none" w:sz="0" w:space="0" w:color="auto"/>
      </w:divBdr>
    </w:div>
    <w:div w:id="20087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vez@knights.ucf.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nmoy78@knights.ucf.edu" TargetMode="External"/><Relationship Id="rId4" Type="http://schemas.openxmlformats.org/officeDocument/2006/relationships/settings" Target="settings.xml"/><Relationship Id="rId9" Type="http://schemas.openxmlformats.org/officeDocument/2006/relationships/hyperlink" Target="mailto:sudiptadeytirtha2018@knights.ucf.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6D0D-2068-422A-930B-1B3897E8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36410</Words>
  <Characters>207542</Characters>
  <Application>Microsoft Office Word</Application>
  <DocSecurity>0</DocSecurity>
  <Lines>1729</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Dewan Ashraful Parvez</dc:creator>
  <cp:keywords/>
  <dc:description/>
  <cp:lastModifiedBy>Naveen Eluru</cp:lastModifiedBy>
  <cp:revision>22</cp:revision>
  <cp:lastPrinted>2023-01-19T01:31:00Z</cp:lastPrinted>
  <dcterms:created xsi:type="dcterms:W3CDTF">2022-12-04T03:44:00Z</dcterms:created>
  <dcterms:modified xsi:type="dcterms:W3CDTF">2023-01-19T01:32:00Z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http://www.zotero.org/styles/transportation-research-part-c</vt:lpwstr>
  </property>
  <property fmtid="{D5CDD505-2E9C-101B-9397-08002B2CF9AE}" pid="19" name="Mendeley Recent Style Name 8_1">
    <vt:lpwstr>Transportation Research Part C</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Citation Style_1">
    <vt:lpwstr>http://www.zotero.org/styles/transportation-research-record</vt:lpwstr>
  </property>
  <property fmtid="{D5CDD505-2E9C-101B-9397-08002B2CF9AE}" pid="23" name="Mendeley Document_1">
    <vt:lpwstr>True</vt:lpwstr>
  </property>
  <property fmtid="{D5CDD505-2E9C-101B-9397-08002B2CF9AE}" pid="24" name="Mendeley Unique User Id_1">
    <vt:lpwstr>73e1aa79-93a9-3a7b-82c0-b222990da02a</vt:lpwstr>
  </property>
</Properties>
</file>