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94B03" w14:textId="70B447AE" w:rsidR="004108E8" w:rsidRPr="004108E8" w:rsidRDefault="00B757CF" w:rsidP="004108E8">
      <w:pPr>
        <w:pStyle w:val="Title"/>
      </w:pPr>
      <w:r>
        <w:t xml:space="preserve">Evaluation of </w:t>
      </w:r>
      <w:r w:rsidR="005D29CB">
        <w:t xml:space="preserve">Freeway </w:t>
      </w:r>
      <w:r>
        <w:t>Demand in Florida during COVID-19 Pandemic from a Spatiotemporal Perspectiv</w:t>
      </w:r>
      <w:r w:rsidR="008F7B3E">
        <w:t>e</w:t>
      </w:r>
    </w:p>
    <w:p w14:paraId="24A2BDA0" w14:textId="77777777" w:rsidR="00E0490B" w:rsidRDefault="00E0490B" w:rsidP="00D64911">
      <w:pPr>
        <w:spacing w:after="0" w:line="240" w:lineRule="auto"/>
        <w:contextualSpacing/>
        <w:jc w:val="center"/>
        <w:rPr>
          <w:b/>
          <w:bCs/>
        </w:rPr>
      </w:pPr>
    </w:p>
    <w:p w14:paraId="60C3305A" w14:textId="6858758E" w:rsidR="00B757CF" w:rsidRPr="00A44AE4" w:rsidRDefault="00B757CF" w:rsidP="00D64911">
      <w:pPr>
        <w:spacing w:after="0" w:line="240" w:lineRule="auto"/>
        <w:contextualSpacing/>
        <w:jc w:val="center"/>
        <w:rPr>
          <w:b/>
          <w:bCs/>
        </w:rPr>
      </w:pPr>
      <w:r w:rsidRPr="00A44AE4">
        <w:rPr>
          <w:b/>
          <w:bCs/>
        </w:rPr>
        <w:t>Md Istiak Jahan</w:t>
      </w:r>
    </w:p>
    <w:p w14:paraId="3B22D49F" w14:textId="77777777" w:rsidR="00B757CF" w:rsidRDefault="00B757CF" w:rsidP="00D64911">
      <w:pPr>
        <w:spacing w:after="0" w:line="240" w:lineRule="auto"/>
        <w:contextualSpacing/>
        <w:jc w:val="center"/>
      </w:pPr>
      <w:r>
        <w:t>Graduate Research Assistant</w:t>
      </w:r>
    </w:p>
    <w:p w14:paraId="4243AF21" w14:textId="77777777" w:rsidR="00B757CF" w:rsidRDefault="00B757CF" w:rsidP="00D64911">
      <w:pPr>
        <w:spacing w:after="0" w:line="240" w:lineRule="auto"/>
        <w:contextualSpacing/>
        <w:jc w:val="center"/>
      </w:pPr>
      <w:r>
        <w:t>Department of Civil, Environmental &amp; Construction Engineering</w:t>
      </w:r>
    </w:p>
    <w:p w14:paraId="39A256E3" w14:textId="77777777" w:rsidR="00B757CF" w:rsidRDefault="00B757CF" w:rsidP="00D64911">
      <w:pPr>
        <w:spacing w:after="0" w:line="240" w:lineRule="auto"/>
        <w:contextualSpacing/>
        <w:jc w:val="center"/>
      </w:pPr>
      <w:r w:rsidRPr="00C77D2A">
        <w:t>University of Central Florida</w:t>
      </w:r>
      <w:r>
        <w:t>, Florida, USA</w:t>
      </w:r>
    </w:p>
    <w:p w14:paraId="3157ACEB" w14:textId="77777777" w:rsidR="00B757CF" w:rsidRDefault="00B757CF" w:rsidP="00D64911">
      <w:pPr>
        <w:spacing w:after="0" w:line="240" w:lineRule="auto"/>
        <w:contextualSpacing/>
        <w:jc w:val="center"/>
        <w:rPr>
          <w:rStyle w:val="Hyperlink"/>
        </w:rPr>
      </w:pPr>
      <w:r>
        <w:t xml:space="preserve">Email: </w:t>
      </w:r>
      <w:hyperlink r:id="rId8" w:history="1">
        <w:r w:rsidRPr="00BB4364">
          <w:rPr>
            <w:rStyle w:val="Hyperlink"/>
          </w:rPr>
          <w:t>mdistiakjahan@knights.ucf.edu</w:t>
        </w:r>
      </w:hyperlink>
    </w:p>
    <w:p w14:paraId="0B918040" w14:textId="77777777" w:rsidR="00B757CF" w:rsidRPr="00B36CC1" w:rsidRDefault="00B757CF" w:rsidP="00D64911">
      <w:pPr>
        <w:spacing w:after="0" w:line="240" w:lineRule="auto"/>
        <w:contextualSpacing/>
        <w:jc w:val="center"/>
      </w:pPr>
      <w:proofErr w:type="spellStart"/>
      <w:r w:rsidRPr="00B36CC1">
        <w:rPr>
          <w:rStyle w:val="Hyperlink"/>
          <w:color w:val="auto"/>
          <w:u w:val="none"/>
        </w:rPr>
        <w:t>ORCiD</w:t>
      </w:r>
      <w:proofErr w:type="spellEnd"/>
      <w:r w:rsidRPr="00B36CC1">
        <w:rPr>
          <w:rStyle w:val="Hyperlink"/>
          <w:color w:val="auto"/>
          <w:u w:val="none"/>
        </w:rPr>
        <w:t xml:space="preserve"> number: 0000-0002-4056-7816</w:t>
      </w:r>
    </w:p>
    <w:p w14:paraId="699D8933" w14:textId="77777777" w:rsidR="00B4408C" w:rsidRDefault="00B4408C" w:rsidP="00D64911">
      <w:pPr>
        <w:spacing w:after="0" w:line="240" w:lineRule="auto"/>
        <w:contextualSpacing/>
        <w:jc w:val="center"/>
        <w:rPr>
          <w:b/>
        </w:rPr>
      </w:pPr>
    </w:p>
    <w:p w14:paraId="7746FA93" w14:textId="05780D29" w:rsidR="00B757CF" w:rsidRPr="00C77D2A" w:rsidRDefault="00B757CF" w:rsidP="00D64911">
      <w:pPr>
        <w:spacing w:after="0" w:line="240" w:lineRule="auto"/>
        <w:contextualSpacing/>
        <w:jc w:val="center"/>
        <w:rPr>
          <w:b/>
        </w:rPr>
      </w:pPr>
      <w:r w:rsidRPr="00C77D2A">
        <w:rPr>
          <w:b/>
        </w:rPr>
        <w:t>Tanmoy Bhowmik</w:t>
      </w:r>
      <w:r>
        <w:rPr>
          <w:b/>
        </w:rPr>
        <w:t>, PhD*</w:t>
      </w:r>
    </w:p>
    <w:p w14:paraId="7907C6F2" w14:textId="77777777" w:rsidR="00B757CF" w:rsidRPr="00C77D2A" w:rsidRDefault="00B757CF" w:rsidP="00D64911">
      <w:pPr>
        <w:spacing w:after="0" w:line="240" w:lineRule="auto"/>
        <w:contextualSpacing/>
        <w:jc w:val="center"/>
        <w:rPr>
          <w:szCs w:val="24"/>
        </w:rPr>
      </w:pPr>
      <w:r w:rsidRPr="00C77D2A">
        <w:rPr>
          <w:szCs w:val="24"/>
        </w:rPr>
        <w:t>Postdoctoral Scholar</w:t>
      </w:r>
    </w:p>
    <w:p w14:paraId="3A682155" w14:textId="77777777" w:rsidR="00B757CF" w:rsidRPr="00C77D2A" w:rsidRDefault="00B757CF" w:rsidP="00D64911">
      <w:pPr>
        <w:spacing w:after="0" w:line="240" w:lineRule="auto"/>
        <w:contextualSpacing/>
        <w:jc w:val="center"/>
      </w:pPr>
      <w:r w:rsidRPr="00C77D2A">
        <w:t>Department of Civil, Environmental &amp; Construction Engineering</w:t>
      </w:r>
    </w:p>
    <w:p w14:paraId="10E4DD72" w14:textId="77777777" w:rsidR="00B757CF" w:rsidRDefault="00B757CF" w:rsidP="00D64911">
      <w:pPr>
        <w:spacing w:after="0" w:line="240" w:lineRule="auto"/>
        <w:contextualSpacing/>
        <w:jc w:val="center"/>
      </w:pPr>
      <w:r w:rsidRPr="00C77D2A">
        <w:t>University of Central Florida</w:t>
      </w:r>
      <w:r>
        <w:t>, Florida, USA</w:t>
      </w:r>
    </w:p>
    <w:p w14:paraId="2397E2A9" w14:textId="6AA68262" w:rsidR="00B757CF" w:rsidRPr="00B757CF" w:rsidRDefault="00B757CF" w:rsidP="00D64911">
      <w:pPr>
        <w:spacing w:after="0" w:line="240" w:lineRule="auto"/>
        <w:contextualSpacing/>
        <w:jc w:val="center"/>
        <w:rPr>
          <w:rStyle w:val="Hyperlink"/>
          <w:rFonts w:cstheme="minorBidi"/>
          <w:color w:val="auto"/>
          <w:u w:val="none"/>
        </w:rPr>
      </w:pPr>
      <w:r w:rsidRPr="00C77D2A">
        <w:t xml:space="preserve">Email: </w:t>
      </w:r>
      <w:hyperlink r:id="rId9" w:history="1">
        <w:r w:rsidRPr="00C77D2A">
          <w:rPr>
            <w:rStyle w:val="Hyperlink"/>
          </w:rPr>
          <w:t>tanmoy78@knights.ucf.edu</w:t>
        </w:r>
      </w:hyperlink>
    </w:p>
    <w:p w14:paraId="14DF28BE" w14:textId="77777777" w:rsidR="00B757CF" w:rsidRPr="00C77D2A" w:rsidRDefault="00B757CF" w:rsidP="00D64911">
      <w:pPr>
        <w:spacing w:after="0" w:line="240" w:lineRule="auto"/>
        <w:contextualSpacing/>
        <w:jc w:val="center"/>
        <w:rPr>
          <w:color w:val="494A4C"/>
          <w:sz w:val="23"/>
          <w:szCs w:val="23"/>
          <w:shd w:val="clear" w:color="auto" w:fill="FFFFFF"/>
        </w:rPr>
      </w:pPr>
      <w:proofErr w:type="spellStart"/>
      <w:r w:rsidRPr="00C77D2A">
        <w:t>ORC</w:t>
      </w:r>
      <w:r>
        <w:t>iD</w:t>
      </w:r>
      <w:proofErr w:type="spellEnd"/>
      <w:r>
        <w:t xml:space="preserve"> number</w:t>
      </w:r>
      <w:r w:rsidRPr="00C77D2A">
        <w:t>: 0000-0002-0258-1692</w:t>
      </w:r>
    </w:p>
    <w:p w14:paraId="33EA72EA" w14:textId="77777777" w:rsidR="00B4408C" w:rsidRDefault="00B4408C" w:rsidP="00D64911">
      <w:pPr>
        <w:spacing w:after="0" w:line="240" w:lineRule="auto"/>
        <w:contextualSpacing/>
        <w:jc w:val="center"/>
        <w:rPr>
          <w:b/>
        </w:rPr>
      </w:pPr>
    </w:p>
    <w:p w14:paraId="1C103381" w14:textId="58C26005" w:rsidR="00B757CF" w:rsidRPr="00C77D2A" w:rsidRDefault="00B757CF" w:rsidP="00D64911">
      <w:pPr>
        <w:spacing w:after="0" w:line="240" w:lineRule="auto"/>
        <w:contextualSpacing/>
        <w:jc w:val="center"/>
        <w:rPr>
          <w:b/>
        </w:rPr>
      </w:pPr>
      <w:r w:rsidRPr="00C77D2A">
        <w:rPr>
          <w:b/>
        </w:rPr>
        <w:t>Naveen Eluru</w:t>
      </w:r>
      <w:r>
        <w:rPr>
          <w:b/>
        </w:rPr>
        <w:t>, PhD</w:t>
      </w:r>
    </w:p>
    <w:p w14:paraId="349498A2" w14:textId="77777777" w:rsidR="00B757CF" w:rsidRPr="00C77D2A" w:rsidRDefault="00B757CF" w:rsidP="00D64911">
      <w:pPr>
        <w:spacing w:after="0" w:line="240" w:lineRule="auto"/>
        <w:contextualSpacing/>
        <w:jc w:val="center"/>
      </w:pPr>
      <w:r w:rsidRPr="00C77D2A">
        <w:t>Professor</w:t>
      </w:r>
    </w:p>
    <w:p w14:paraId="43B03E3E" w14:textId="77777777" w:rsidR="00B757CF" w:rsidRPr="00C77D2A" w:rsidRDefault="00B757CF" w:rsidP="00D64911">
      <w:pPr>
        <w:spacing w:after="0" w:line="240" w:lineRule="auto"/>
        <w:contextualSpacing/>
        <w:jc w:val="center"/>
      </w:pPr>
      <w:r w:rsidRPr="00C77D2A">
        <w:t>Department of Civil, Environmental &amp; Construction Engineering</w:t>
      </w:r>
    </w:p>
    <w:p w14:paraId="48CC46BA" w14:textId="77777777" w:rsidR="00B757CF" w:rsidRDefault="00B757CF" w:rsidP="00D64911">
      <w:pPr>
        <w:spacing w:after="0" w:line="240" w:lineRule="auto"/>
        <w:contextualSpacing/>
        <w:jc w:val="center"/>
      </w:pPr>
      <w:r w:rsidRPr="00C77D2A">
        <w:t>University of Central Florida</w:t>
      </w:r>
      <w:r>
        <w:t>, Florida, USA</w:t>
      </w:r>
    </w:p>
    <w:p w14:paraId="6C8C9F47" w14:textId="77777777" w:rsidR="00B757CF" w:rsidRDefault="00B757CF" w:rsidP="00D64911">
      <w:pPr>
        <w:spacing w:after="0" w:line="240" w:lineRule="auto"/>
        <w:contextualSpacing/>
        <w:jc w:val="center"/>
      </w:pPr>
      <w:r w:rsidRPr="00C77D2A">
        <w:t xml:space="preserve">Email: </w:t>
      </w:r>
      <w:hyperlink r:id="rId10" w:history="1">
        <w:r w:rsidRPr="00C77D2A">
          <w:rPr>
            <w:color w:val="0000FF"/>
            <w:u w:val="single"/>
          </w:rPr>
          <w:t>naveen.eluru@ucf.edu</w:t>
        </w:r>
      </w:hyperlink>
    </w:p>
    <w:p w14:paraId="19327DFF" w14:textId="15CA7BA1" w:rsidR="00FB7AE4" w:rsidRDefault="00B757CF" w:rsidP="00D64911">
      <w:pPr>
        <w:spacing w:after="0" w:line="240" w:lineRule="auto"/>
        <w:contextualSpacing/>
        <w:jc w:val="center"/>
      </w:pPr>
      <w:proofErr w:type="spellStart"/>
      <w:r w:rsidRPr="00C77D2A">
        <w:t>ORC</w:t>
      </w:r>
      <w:r>
        <w:t>iD</w:t>
      </w:r>
      <w:proofErr w:type="spellEnd"/>
      <w:r>
        <w:t xml:space="preserve"> number</w:t>
      </w:r>
      <w:r w:rsidRPr="00C77D2A">
        <w:t>: 0000-0003-1221-4113</w:t>
      </w:r>
    </w:p>
    <w:p w14:paraId="3EF9B656" w14:textId="05B11ACA" w:rsidR="00757996" w:rsidRDefault="00D46ACA" w:rsidP="00D64911">
      <w:pPr>
        <w:spacing w:after="0" w:line="240" w:lineRule="auto"/>
        <w:contextualSpacing/>
        <w:jc w:val="center"/>
      </w:pPr>
      <w:r>
        <w:t>*Corresponding Author</w:t>
      </w:r>
    </w:p>
    <w:p w14:paraId="2E119C06" w14:textId="77777777" w:rsidR="00C2332E" w:rsidRDefault="00C2332E" w:rsidP="0078656F">
      <w:pPr>
        <w:pStyle w:val="Heading1"/>
        <w:spacing w:after="0"/>
      </w:pPr>
    </w:p>
    <w:p w14:paraId="78823891" w14:textId="2EE8A513" w:rsidR="00057EE5" w:rsidRDefault="00057EE5" w:rsidP="0078656F">
      <w:pPr>
        <w:pStyle w:val="Heading1"/>
        <w:spacing w:after="0"/>
      </w:pPr>
      <w:r>
        <w:t>ABSTRACT</w:t>
      </w:r>
    </w:p>
    <w:p w14:paraId="18F8D4B0" w14:textId="129557D9" w:rsidR="005110E1" w:rsidRDefault="00057EE5" w:rsidP="0078656F">
      <w:pPr>
        <w:spacing w:after="0" w:line="240" w:lineRule="auto"/>
      </w:pPr>
      <w:r>
        <w:t>This study contributes to our understanding of the changes in traffic volumes on major roadway facilities in Florida due to COVID-19 pandemic from a spatiotemporal perspective. Three different models were tested in this study- a) Linear regression model, b) Spatial Autoregressive Model (SAR) and c) Spatial Error Model (SEM). For the model estimation, traffic volume data for the year 2019 and 2020 from 3,9</w:t>
      </w:r>
      <w:r w:rsidR="00E473E4">
        <w:t>57</w:t>
      </w:r>
      <w:r>
        <w:t xml:space="preserve"> detectors were augmented with independent variables, such as- COVID-19 case information, socioeconomics, land-use </w:t>
      </w:r>
      <w:r w:rsidR="00E473E4">
        <w:t xml:space="preserve">and built environment </w:t>
      </w:r>
      <w:r>
        <w:t>characteristics, roadway characteristics</w:t>
      </w:r>
      <w:r w:rsidR="00E473E4">
        <w:t xml:space="preserve">, </w:t>
      </w:r>
      <w:r>
        <w:t xml:space="preserve">meteorological </w:t>
      </w:r>
      <w:r w:rsidR="004108E8">
        <w:t>information,</w:t>
      </w:r>
      <w:r w:rsidR="00E473E4">
        <w:t xml:space="preserve"> and spatial locations</w:t>
      </w:r>
      <w:r>
        <w:t>. Traffic volume data was analyzed separately for weekdays and holidays. SEM models offered good fit and intuitive parameter estimates. The significant value of spatial autocorrelation coefficients in the SEM models support our hypothesis that common unobserved factors affect traffic volumes in neighboring detectors. The model results clearly indicate a disruption in normal traffic demand due to the increased transmission rate of COVID-19. The traffic demand for</w:t>
      </w:r>
      <w:r w:rsidR="004C1DDF">
        <w:t xml:space="preserve"> </w:t>
      </w:r>
      <w:r>
        <w:t>recreational areas, especially on the holidays, was found to have declined after March 2020. In addition, change in daily COVID-19 cases was found to have larger impact on South Florida</w:t>
      </w:r>
      <w:r w:rsidR="00F06F98">
        <w:t xml:space="preserve"> (District 6)</w:t>
      </w:r>
      <w:r w:rsidR="00827C86">
        <w:t>’s</w:t>
      </w:r>
      <w:r>
        <w:t xml:space="preserve"> </w:t>
      </w:r>
      <w:r w:rsidR="00315FD7">
        <w:t xml:space="preserve">freeway </w:t>
      </w:r>
      <w:r>
        <w:t xml:space="preserve">demand on </w:t>
      </w:r>
      <w:r w:rsidR="003566E2">
        <w:t>weekd</w:t>
      </w:r>
      <w:r>
        <w:t xml:space="preserve">ays compared to other parts of the state. Further, the gradual increase of demand due to the rapid vaccination was also demonstrated in this study. The model system will help transportation researchers and policy makers understand the changes in </w:t>
      </w:r>
      <w:r w:rsidR="000D6B50">
        <w:t xml:space="preserve">freeway </w:t>
      </w:r>
      <w:r>
        <w:t xml:space="preserve">volume during the COVID-19 period as well as its spatiotemporal recovery. </w:t>
      </w:r>
    </w:p>
    <w:p w14:paraId="55DFFD15" w14:textId="1BCAEF97" w:rsidR="00B122AC" w:rsidRDefault="00057EE5" w:rsidP="00B122AC">
      <w:pPr>
        <w:pStyle w:val="Heading1"/>
        <w:spacing w:after="0"/>
        <w:rPr>
          <w:b w:val="0"/>
          <w:bCs/>
        </w:rPr>
      </w:pPr>
      <w:r>
        <w:t xml:space="preserve">Keywords: </w:t>
      </w:r>
      <w:r w:rsidRPr="00057EE5">
        <w:rPr>
          <w:b w:val="0"/>
          <w:bCs/>
        </w:rPr>
        <w:t>COVID-19, traffic volume, spatiotemporal, spatial panel mix model.</w:t>
      </w:r>
    </w:p>
    <w:p w14:paraId="53562FF2" w14:textId="77777777" w:rsidR="00104CE7" w:rsidRPr="00104CE7" w:rsidRDefault="00104CE7" w:rsidP="00DC3665"/>
    <w:p w14:paraId="495C2D7F" w14:textId="77777777" w:rsidR="00104CE7" w:rsidRDefault="00104CE7" w:rsidP="00DC3665">
      <w:pPr>
        <w:pStyle w:val="Heading1"/>
        <w:spacing w:after="0"/>
        <w:rPr>
          <w:rFonts w:eastAsiaTheme="minorEastAsia"/>
        </w:rPr>
      </w:pPr>
      <w:r>
        <w:rPr>
          <w:rFonts w:eastAsiaTheme="minorEastAsia"/>
        </w:rPr>
        <w:lastRenderedPageBreak/>
        <w:t>PRACTICAL APPLICATIONS</w:t>
      </w:r>
    </w:p>
    <w:p w14:paraId="704A2F96" w14:textId="77777777" w:rsidR="00104CE7" w:rsidRPr="00CA27FB" w:rsidRDefault="00104CE7" w:rsidP="00DC3665">
      <w:pPr>
        <w:spacing w:after="0" w:line="240" w:lineRule="auto"/>
      </w:pPr>
      <w:r w:rsidRPr="00BD768F">
        <w:t xml:space="preserve">The model framework developed in our study provides transportation planners with insight on infrastructure usage across freeways in Florida. Within this broad context, the study makes three important contributions. </w:t>
      </w:r>
      <w:r w:rsidRPr="00FC4958">
        <w:rPr>
          <w:u w:val="single"/>
        </w:rPr>
        <w:t>First</w:t>
      </w:r>
      <w:r w:rsidRPr="00BD768F">
        <w:t xml:space="preserve">, the study highlights the impact of a host of variables on traffic demand under normal conditions and the varying impact of these variables due to a shock. The model developed quantitatively identifies the varying spatiotemporal influence of variables on demand evolution in response to a shock. The proposed approach can be applied in other contexts such as a recession to reflect changes in traffic demand over time. </w:t>
      </w:r>
      <w:r w:rsidRPr="00FC4958">
        <w:rPr>
          <w:u w:val="single"/>
        </w:rPr>
        <w:t>Second</w:t>
      </w:r>
      <w:r w:rsidRPr="00BD768F">
        <w:t xml:space="preserve">, employing the model for Florida provides an understanding of the locations that exhibit faster recovery rates – such as recreational locations in Central and South Florida. Thus, in the future transportation planning can accommodate for potentially faster recovery in infrastructure usage in these locations. The finding might also be important for policy making to support various economic sectors to diversify the workforce adequately. </w:t>
      </w:r>
      <w:r w:rsidRPr="00FC4958">
        <w:rPr>
          <w:u w:val="single"/>
        </w:rPr>
        <w:t>Finally</w:t>
      </w:r>
      <w:r w:rsidRPr="00BD768F">
        <w:t>, the overall framework will also assist policy makers in assessing infrastructure usage over time under various scenarios to obtain inputs for efficient transportation asset management. An accurate estimation of demand over time while recognizing the freight share (not considered in our work) will allow evaluation of infrastructure deterioration and upkeep.</w:t>
      </w:r>
    </w:p>
    <w:p w14:paraId="50B5782D" w14:textId="77777777" w:rsidR="00B122AC" w:rsidRDefault="00B122AC">
      <w:pPr>
        <w:spacing w:line="259" w:lineRule="auto"/>
        <w:jc w:val="left"/>
        <w:rPr>
          <w:rFonts w:eastAsiaTheme="majorEastAsia" w:cstheme="majorBidi"/>
          <w:bCs/>
          <w:szCs w:val="32"/>
        </w:rPr>
      </w:pPr>
      <w:r>
        <w:rPr>
          <w:b/>
          <w:bCs/>
        </w:rPr>
        <w:br w:type="page"/>
      </w:r>
    </w:p>
    <w:p w14:paraId="68D239AF" w14:textId="59A1C6DC" w:rsidR="009C5EDA" w:rsidRDefault="009C5EDA" w:rsidP="00057EE5">
      <w:pPr>
        <w:pStyle w:val="Heading1"/>
      </w:pPr>
      <w:r>
        <w:lastRenderedPageBreak/>
        <w:t>I</w:t>
      </w:r>
      <w:r w:rsidR="0003163B">
        <w:t>NTRODUCTION</w:t>
      </w:r>
    </w:p>
    <w:p w14:paraId="1C3A1C03" w14:textId="05C97E79" w:rsidR="00916138" w:rsidRDefault="009C5EDA" w:rsidP="00612721">
      <w:r>
        <w:t xml:space="preserve">As of </w:t>
      </w:r>
      <w:r w:rsidR="004C6C76">
        <w:t>November</w:t>
      </w:r>
      <w:r>
        <w:t xml:space="preserve"> 2021, Coronavirus disease 2019 (COVID-19) pandemic, has affected the entire world with reported cases (and fatalities) amounting to </w:t>
      </w:r>
      <w:r w:rsidR="004C6C76">
        <w:t>261</w:t>
      </w:r>
      <w:r>
        <w:t xml:space="preserve"> million (</w:t>
      </w:r>
      <w:r w:rsidR="004C6C76">
        <w:t>5</w:t>
      </w:r>
      <w:r>
        <w:t xml:space="preserve"> million)</w:t>
      </w:r>
      <w:r w:rsidR="00302589">
        <w:t xml:space="preserve"> </w:t>
      </w:r>
      <w:r w:rsidR="00302589">
        <w:fldChar w:fldCharType="begin" w:fldLock="1"/>
      </w:r>
      <w:r w:rsidR="002061D6">
        <w:instrText>ADDIN CSL_CITATION {"citationItems":[{"id":"ITEM-1","itemData":{"URL":"https://www.worldometers.info/coronavirus/?","accessed":{"date-parts":[["2021","7","13"]]},"author":[{"dropping-particle":"","family":"Worldometer","given":"","non-dropping-particle":"","parse-names":false,"suffix":""}],"container-title":"Worldometer","id":"ITEM-1","issued":{"date-parts":[["2021"]]},"page":"1-22","title":"Coronavirus cases and Mortality","type":"webpage"},"uris":["http://www.mendeley.com/documents/?uuid=34d5ccec-e7e0-384b-b6e3-0853bc107033"]}],"mendeley":{"formattedCitation":"(Worldometer, 2021)","plainTextFormattedCitation":"(Worldometer, 2021)","previouslyFormattedCitation":"(Worldometer, 2021)"},"properties":{"noteIndex":0},"schema":"https://github.com/citation-style-language/schema/raw/master/csl-citation.json"}</w:instrText>
      </w:r>
      <w:r w:rsidR="00302589">
        <w:fldChar w:fldCharType="separate"/>
      </w:r>
      <w:r w:rsidR="00E61833" w:rsidRPr="00E61833">
        <w:rPr>
          <w:noProof/>
        </w:rPr>
        <w:t>(Worldometer, 2021)</w:t>
      </w:r>
      <w:r w:rsidR="00302589">
        <w:fldChar w:fldCharType="end"/>
      </w:r>
      <w:r>
        <w:t>. The pandemic has significantly taxed the social, health and economic systems affecting the mental and physical health of populations</w:t>
      </w:r>
      <w:r w:rsidR="0051465E">
        <w:t xml:space="preserve"> </w:t>
      </w:r>
      <w:r w:rsidR="0051465E">
        <w:fldChar w:fldCharType="begin" w:fldLock="1"/>
      </w:r>
      <w:r w:rsidR="002061D6">
        <w:instrText>ADDIN CSL_CITATION {"citationItems":[{"id":"ITEM-1","itemData":{"DOI":"10.1101/2021.02.19.21252117","abstract":"Background As of February 19, 2021, our review yielded a small number of studies that investigated high resolution hospitalization demand data from a public health planning perspective. The earlier studies compiled were conducted early in the pandemic and do not include any analysis of the hospitalization trends in the last 3 months when the US experienced a substantial surge in hospitalization and ICU demand. The earlier studies also focused on COVID 19 transmission influence on COVID 19 hospitalization rates. While this emphasis is understandable, there is evidence to suggest that non COVID hospitalization demand is being displaced due to the hospitalization and ICU surge. Further, with the discovery of multiple mutated variants of COVID 19, it is important to remain vigilant in an effort to control the pandemic. Given these circumstances, the development of a high resolution framework that examines overall hospitalizations and ICU usage rate for COVID and non COVID patients would allow us to build a prediction system that can identify potential vulnerable locations for hospitalization capacity in the nation so that appropriate remedial measures can be planned.\n\nMethod The current study recognizes that COVID 19 has affected overall hospitalizations – not only COVID 19 hospitalizations. Drawing from the recently released Department of Health and Human services (DHH) weekly hospitalization data (or the time period August 28th, 2020 to January 22nd, 2021.), we study the overall hospitalization and ICU usage as two components: COVID 19 hospitalization and ICU per capita rates; and non COVID hospitalization and ICU per capita rates. A mixed linear mixed model is adopted to study the response variables in our study. The estimated models are subsequently employed to generate predictions for county level hospitalization and ICU usage rates in the future under a host of COVID 19 transmission scenarios considering the new variants of COVID 19 and vaccination impacts.\n\nFindings We find a significant association of the virus transmissibility with COVID (positive) and non COVID (negative) hospitalization and ICU usage rates. Several county level factors including demographics, mobility and health indicators are also found to be strongly associated with the overall hospitalization and ICU demand. Among the various scenarios considered, the results indicate a small possibility of a new wave of infections that can substantially overload hospitalization and ICU usage.…","author":[{"dropping-particle":"","family":"Bhowmik","given":"Tanmoy","non-dropping-particle":"","parse-names":false,"suffix":""},{"dropping-particle":"","family":"Eluru","given":"Naveen","non-dropping-particle":"","parse-names":false,"suffix":""}],"container-title":"medRxiv","id":"ITEM-1","issued":{"date-parts":[["2021","2","25"]]},"page":"2021.02.19.21252117","publisher":"Cold Spring Harbor Laboratory Press","title":"A Comprehensive County Level Framework to Identify Factors Affecting Hospital Capacity and Predict Future Hospital Demand","type":"article-journal"},"uris":["http://www.mendeley.com/documents/?uuid=67026542-b6f5-3d7b-8677-61017eb15f2d"]},{"id":"ITEM-2","itemData":{"URL":"https://www.worldbank.org/en/news/feature/2020/06/08/the-global-economic-outlook-during-the-covid-19-pandemic-a-changed-world","accessed":{"date-parts":[["2021","7","13"]]},"author":[{"dropping-particle":"","family":"The World Bank","given":"","non-dropping-particle":"","parse-names":false,"suffix":""}],"id":"ITEM-2","issued":{"date-parts":[["2020"]]},"title":"The Global Economic Outlook During the COVID-19 Pandemic: A Changed World","type":"webpage"},"uris":["http://www.mendeley.com/documents/?uuid=fe006ffa-811d-308f-b961-43e17d087b41"]}],"mendeley":{"formattedCitation":"(Bhowmik &amp; Eluru, 2021; The World Bank, 2020)","plainTextFormattedCitation":"(Bhowmik &amp; Eluru, 2021; The World Bank, 2020)","previouslyFormattedCitation":"(Bhowmik &amp; Eluru, 2021; The World Bank, 2020)"},"properties":{"noteIndex":0},"schema":"https://github.com/citation-style-language/schema/raw/master/csl-citation.json"}</w:instrText>
      </w:r>
      <w:r w:rsidR="0051465E">
        <w:fldChar w:fldCharType="separate"/>
      </w:r>
      <w:r w:rsidR="00E61833" w:rsidRPr="00E61833">
        <w:rPr>
          <w:noProof/>
        </w:rPr>
        <w:t>(Bhowmik &amp; Eluru, 2021; The World Bank, 2020)</w:t>
      </w:r>
      <w:r w:rsidR="0051465E">
        <w:fldChar w:fldCharType="end"/>
      </w:r>
      <w:r>
        <w:t xml:space="preserve">. United States is one of the significantly affected countries with the highest number of confirmed cases (about </w:t>
      </w:r>
      <w:r w:rsidR="004C6C76">
        <w:t>48</w:t>
      </w:r>
      <w:r>
        <w:t xml:space="preserve"> million) and deaths (about </w:t>
      </w:r>
      <w:r w:rsidR="004C6C76">
        <w:t>776</w:t>
      </w:r>
      <w:r>
        <w:t xml:space="preserve"> thousand) in the world</w:t>
      </w:r>
      <w:r w:rsidR="003734FE">
        <w:t xml:space="preserve"> </w:t>
      </w:r>
      <w:r w:rsidR="003734FE">
        <w:fldChar w:fldCharType="begin" w:fldLock="1"/>
      </w:r>
      <w:r w:rsidR="002061D6">
        <w:instrText>ADDIN CSL_CITATION {"citationItems":[{"id":"ITEM-1","itemData":{"URL":"https://covid.cdc.gov/covid-data-tracker/?CDC_AA_refVal=https%3A%2F%2Fwww.cdc.gov%2Fcoronavirus%2F2019-ncov%2Fcases-updates%2Fcases-in-us.html#cases_casesper100klast7days","accessed":{"date-parts":[["2021","7","13"]]},"author":[{"dropping-particle":"","family":"Centers for Disease Control and Prevention","given":"","non-dropping-particle":"","parse-names":false,"suffix":""}],"id":"ITEM-1","issued":{"date-parts":[["2021"]]},"title":"CDC COVID Data Tracker","type":"webpage"},"uris":["http://www.mendeley.com/documents/?uuid=56963ef1-13e4-32fc-87ad-7572a0bd0af6"]}],"mendeley":{"formattedCitation":"(Centers for Disease Control and Prevention, 2021)","plainTextFormattedCitation":"(Centers for Disease Control and Prevention, 2021)","previouslyFormattedCitation":"(Centers for Disease Control and Prevention, 2021)"},"properties":{"noteIndex":0},"schema":"https://github.com/citation-style-language/schema/raw/master/csl-citation.json"}</w:instrText>
      </w:r>
      <w:r w:rsidR="003734FE">
        <w:fldChar w:fldCharType="separate"/>
      </w:r>
      <w:r w:rsidR="00E61833" w:rsidRPr="00E61833">
        <w:rPr>
          <w:noProof/>
        </w:rPr>
        <w:t>(Centers for Disease Control and Prevention, 2021)</w:t>
      </w:r>
      <w:r w:rsidR="003734FE">
        <w:fldChar w:fldCharType="end"/>
      </w:r>
      <w:r w:rsidR="00916138">
        <w:t>. The</w:t>
      </w:r>
      <w:r>
        <w:t xml:space="preserve"> emergence of pandemic and the associated social distancing, mask mandates and stay-at-home orders affected nearly every facet of life. The US economy was significantly affected by COVID-19 with an </w:t>
      </w:r>
      <w:r w:rsidR="001E798A" w:rsidRPr="00230420">
        <w:t>un</w:t>
      </w:r>
      <w:r w:rsidRPr="00230420">
        <w:t>employment rate of 14.7% by April 2020</w:t>
      </w:r>
      <w:r w:rsidR="00230420" w:rsidRPr="00230420">
        <w:t xml:space="preserve"> </w:t>
      </w:r>
      <w:r w:rsidR="00230420" w:rsidRPr="00230420">
        <w:fldChar w:fldCharType="begin" w:fldLock="1"/>
      </w:r>
      <w:r w:rsidR="00F01890">
        <w:instrText>ADDIN CSL_CITATION {"citationItems":[{"id":"ITEM-1","itemData":{"URL":"https://www.bls.gov/opub/ted/2020/unemployment-rate-rises-to-record-high-14-point-7-percent-in-april-2020.htm","accessed":{"date-parts":[["2023","1","20"]]},"container-title":"U.S. Bureau of Labor Statistics","id":"ITEM-1","issued":{"date-parts":[["2020"]]},"page":"1","title":"The economics daily","type":"webpage"},"uris":["http://www.mendeley.com/documents/?uuid=865e4bd9-7992-344e-9795-b2fc47a9ea09"]}],"mendeley":{"formattedCitation":"(&lt;i&gt;The Economics Daily&lt;/i&gt;, 2020)","plainTextFormattedCitation":"(The Economics Daily, 2020)","previouslyFormattedCitation":"(&lt;i&gt;The Economics Daily&lt;/i&gt;, 2020)"},"properties":{"noteIndex":0},"schema":"https://github.com/citation-style-language/schema/raw/master/csl-citation.json"}</w:instrText>
      </w:r>
      <w:r w:rsidR="00230420" w:rsidRPr="00230420">
        <w:fldChar w:fldCharType="separate"/>
      </w:r>
      <w:r w:rsidR="00230420" w:rsidRPr="00230420">
        <w:rPr>
          <w:noProof/>
        </w:rPr>
        <w:t>(The Economics Daily, 2020)</w:t>
      </w:r>
      <w:r w:rsidR="00230420" w:rsidRPr="00230420">
        <w:fldChar w:fldCharType="end"/>
      </w:r>
      <w:r w:rsidRPr="00230420">
        <w:t>. For perspective, the unemployment rate was</w:t>
      </w:r>
      <w:r>
        <w:t xml:space="preserve"> only as high as 10% during the great recession. The economy also significantly transformed with a rapid shift to teleworking. About 71% of the total workforce moved to teleworking during the pandemic period from the pre-pandemic levels of about 20%</w:t>
      </w:r>
      <w:r w:rsidR="003734FE">
        <w:t xml:space="preserve"> </w:t>
      </w:r>
      <w:r w:rsidR="003734FE">
        <w:fldChar w:fldCharType="begin" w:fldLock="1"/>
      </w:r>
      <w:r w:rsidR="002061D6">
        <w:instrText>ADDIN CSL_CITATION {"citationItems":[{"id":"ITEM-1","itemData":{"author":[{"dropping-particle":"","family":"Parker","given":"Kim","non-dropping-particle":"","parse-names":false,"suffix":""},{"dropping-particle":"","family":"Horowitz","given":"Juliana","non-dropping-particle":"","parse-names":false,"suffix":""},{"dropping-particle":"","family":"Minkin","given":"Rachel","non-dropping-particle":"","parse-names":false,"suffix":""}],"id":"ITEM-1","issued":{"date-parts":[["2020"]]},"title":"How the Coronavirus Outbreak Has – and Hasn’t – Changed the Way Americans Work","type":"report"},"uris":["http://www.mendeley.com/documents/?uuid=bc23487a-6abf-40d6-94c1-e8ef5ed876b4"]}],"mendeley":{"formattedCitation":"(Parker et al., 2020)","plainTextFormattedCitation":"(Parker et al., 2020)","previouslyFormattedCitation":"(Parker et al., 2020)"},"properties":{"noteIndex":0},"schema":"https://github.com/citation-style-language/schema/raw/master/csl-citation.json"}</w:instrText>
      </w:r>
      <w:r w:rsidR="003734FE">
        <w:fldChar w:fldCharType="separate"/>
      </w:r>
      <w:r w:rsidR="00E61833" w:rsidRPr="00E61833">
        <w:rPr>
          <w:noProof/>
        </w:rPr>
        <w:t>(Parker et al., 2020)</w:t>
      </w:r>
      <w:r w:rsidR="003734FE">
        <w:fldChar w:fldCharType="end"/>
      </w:r>
      <w:r>
        <w:t xml:space="preserve">. In recent months, the largely successful vaccination drive in the United States – about </w:t>
      </w:r>
      <w:r w:rsidR="00207649">
        <w:t>437</w:t>
      </w:r>
      <w:r>
        <w:t xml:space="preserve"> million shots delivered by </w:t>
      </w:r>
      <w:r w:rsidR="00207649">
        <w:t>October</w:t>
      </w:r>
      <w:r>
        <w:t xml:space="preserve"> 2021 </w:t>
      </w:r>
      <w:r w:rsidR="008F7B3E">
        <w:t>–</w:t>
      </w:r>
      <w:r>
        <w:t xml:space="preserve"> has contributed to reducing cases, and fatalities</w:t>
      </w:r>
      <w:r w:rsidR="00207649">
        <w:t xml:space="preserve"> </w:t>
      </w:r>
      <w:r w:rsidR="00207649">
        <w:fldChar w:fldCharType="begin" w:fldLock="1"/>
      </w:r>
      <w:r w:rsidR="002061D6">
        <w:instrText>ADDIN CSL_CITATION {"citationItems":[{"id":"ITEM-1","itemData":{"URL":"https://www.bloomberg.com/graphics/covid-vaccine-tracker-global-distribution/","accessed":{"date-parts":[["2021","7","13"]]},"author":[{"dropping-particle":"","family":"Bloomberg","given":"","non-dropping-particle":"","parse-names":false,"suffix":""}],"container-title":"Bloomberg","id":"ITEM-1","issued":{"date-parts":[["2021","7","12"]]},"title":"More Than 3.44 Billion Shots Given: Covid-19 Vaccine Tracker","type":"webpage"},"uris":["http://www.mendeley.com/documents/?uuid=65497175-34f9-37a3-b714-defff3475ac8"]}],"mendeley":{"formattedCitation":"(Bloomberg, 2021)","plainTextFormattedCitation":"(Bloomberg, 2021)","previouslyFormattedCitation":"(Bloomberg, 2021)"},"properties":{"noteIndex":0},"schema":"https://github.com/citation-style-language/schema/raw/master/csl-citation.json"}</w:instrText>
      </w:r>
      <w:r w:rsidR="00207649">
        <w:fldChar w:fldCharType="separate"/>
      </w:r>
      <w:r w:rsidR="00E61833" w:rsidRPr="00E61833">
        <w:rPr>
          <w:noProof/>
        </w:rPr>
        <w:t>(Bloomberg, 2021)</w:t>
      </w:r>
      <w:r w:rsidR="00207649">
        <w:fldChar w:fldCharType="end"/>
      </w:r>
      <w:r>
        <w:t>. While public health professionals are wary of potential variants and their impact on unvaccinated populations, there is growing optimism among the public and many communities are emerging into a post-pandemic environment.</w:t>
      </w:r>
    </w:p>
    <w:p w14:paraId="6A751679" w14:textId="39A5408A" w:rsidR="00916138" w:rsidRDefault="009C5EDA" w:rsidP="00612721">
      <w:pPr>
        <w:ind w:firstLine="720"/>
      </w:pPr>
      <w:r>
        <w:t xml:space="preserve">As described earlier, the pandemic has delivered a shock to every facet of life and </w:t>
      </w:r>
      <w:r w:rsidR="002F4E53">
        <w:t xml:space="preserve">the </w:t>
      </w:r>
      <w:r>
        <w:t>transportation system is no exception. For instance, after the stay-at-home orders were issued the average daily travel distance in the USA has declined by 80%</w:t>
      </w:r>
      <w:r w:rsidR="00561D26">
        <w:t xml:space="preserve"> </w:t>
      </w:r>
      <w:r w:rsidR="00561D26">
        <w:fldChar w:fldCharType="begin" w:fldLock="1"/>
      </w:r>
      <w:r w:rsidR="002061D6">
        <w:instrText>ADDIN CSL_CITATION {"citationItems":[{"id":"ITEM-1","itemData":{"DOI":"10.1061/jtepbs.0000418","ISSN":"2473-2907","abstract":"… Google Scholar. Sutter, J. 2020. “What does air pollution have to do with Covid-19?” Accessed April 13, 2020. https://www.cnn.com/2020/04/1/opinions/covid-19-climate- change-air-pollution-sutter/index.html. Google Scholar. Recommended.","author":[{"dropping-particle":"","family":"Hendrickson","given":"Chris","non-dropping-particle":"","parse-names":false,"suffix":""},{"dropping-particle":"","family":"Rilett","given":"Laurence R.","non-dropping-particle":"","parse-names":false,"suffix":""}],"container-title":"Journal of Transportation Engineering, Part A: Systems","id":"ITEM-1","issue":"7","issued":{"date-parts":[["2020"]]},"page":"01820001","title":"The COVID-19 Pandemic and Transportation Engineering","type":"article-journal","volume":"146"},"uris":["http://www.mendeley.com/documents/?uuid=c4476d63-c463-49fe-a661-d32fb66d5c02"]}],"mendeley":{"formattedCitation":"(Hendrickson &amp; Rilett, 2020)","plainTextFormattedCitation":"(Hendrickson &amp; Rilett, 2020)","previouslyFormattedCitation":"(Hendrickson &amp; Rilett, 2020)"},"properties":{"noteIndex":0},"schema":"https://github.com/citation-style-language/schema/raw/master/csl-citation.json"}</w:instrText>
      </w:r>
      <w:r w:rsidR="00561D26">
        <w:fldChar w:fldCharType="separate"/>
      </w:r>
      <w:r w:rsidR="00E61833" w:rsidRPr="00E61833">
        <w:rPr>
          <w:noProof/>
        </w:rPr>
        <w:t>(Hendrickson &amp; Rilett, 2020)</w:t>
      </w:r>
      <w:r w:rsidR="00561D26">
        <w:fldChar w:fldCharType="end"/>
      </w:r>
      <w:r>
        <w:t xml:space="preserve">. Traffic volume detector measurements in Florida for April 2020 indicated a drop of 41% relative </w:t>
      </w:r>
      <w:r>
        <w:lastRenderedPageBreak/>
        <w:t>to traffic volume measurements in April 2019. Transportation system usage patterns are a complex interaction of employment patterns, demographics, socioeconomics, transportation system attributes and urban regional characteristics. We hypothesize that spatial differences across regions are likely to result in varying evolution patterns across the country. As the country re-emerges from the pandemic, transportation system usage indicators can serve as important proxies for how the various communities were affected and possibly are reemerging from the pandemic.</w:t>
      </w:r>
    </w:p>
    <w:p w14:paraId="284FE3E3" w14:textId="68F84E01" w:rsidR="00916138" w:rsidRDefault="009C5EDA" w:rsidP="00612721">
      <w:pPr>
        <w:ind w:firstLine="720"/>
      </w:pPr>
      <w:r>
        <w:t>In our study, employing transportation system usage measures (such as traffic volumes) on major roadways as a surrogate for community mobility, we focus on (a) understanding how local COVID-19 case history, socio-demographics, socioeconomics, transportation system characteristics, and urban form influence system usage and (b) examine disparities across communities in transportation system demand recovery and draw insights on factors contributing to the recovery. Florida serves as an ideal test bed for our analysis with diversity in regional features, population, and COVID-19 spread. The study employs data from 3</w:t>
      </w:r>
      <w:r w:rsidR="00561D26">
        <w:t>,957</w:t>
      </w:r>
      <w:r>
        <w:t xml:space="preserve"> detectors, across </w:t>
      </w:r>
      <w:r w:rsidR="00BF6444">
        <w:t>4 major</w:t>
      </w:r>
      <w:r>
        <w:t xml:space="preserve"> interstate highways </w:t>
      </w:r>
      <w:r w:rsidR="00BF6444">
        <w:t>(I-4, I-10, I-</w:t>
      </w:r>
      <w:proofErr w:type="gramStart"/>
      <w:r w:rsidR="00BF6444">
        <w:t>75</w:t>
      </w:r>
      <w:proofErr w:type="gramEnd"/>
      <w:r w:rsidR="00BF6444">
        <w:t xml:space="preserve"> and I-95) </w:t>
      </w:r>
      <w:r>
        <w:t>of Florida, sourced from the Regional Integrated Transportation Information System (RITIS) for 2019 and 2020. To analyze the rich database of traffic volumes across the two years for the large number of sites, we employ a spatiotemporal mixed linear regression model. The traffic volume data is augmented with a host of independent variables including detailed COVID-19 information (such as per capita COVID cases), socio-economic characteristics (such as median income</w:t>
      </w:r>
      <w:r w:rsidR="00BF6444">
        <w:t>, household vehicle availability</w:t>
      </w:r>
      <w:r>
        <w:t>), land-use characteristics (such as residential, commercial, and recreational area), built environment attributes (such as number of restaurants, and shopping centers), roadway characteristics (such as number of lanes, and maximum speed limit)</w:t>
      </w:r>
      <w:r w:rsidR="00315260">
        <w:t xml:space="preserve">, </w:t>
      </w:r>
      <w:r>
        <w:t>meteorological information (such as wind speed and precipitation)</w:t>
      </w:r>
      <w:r w:rsidR="00315260">
        <w:t xml:space="preserve"> and spatial locations of the traffic count detectors</w:t>
      </w:r>
      <w:r>
        <w:t xml:space="preserve">.  The proposed spatiotemporal </w:t>
      </w:r>
      <w:r>
        <w:lastRenderedPageBreak/>
        <w:t>transportation volume model can offer insights to transportation and</w:t>
      </w:r>
      <w:r w:rsidR="00315260">
        <w:t xml:space="preserve"> </w:t>
      </w:r>
      <w:r>
        <w:t xml:space="preserve">economic agencies on factors influencing the recovery process. The performance of the proposed model is further illustrated by predicting traffic volumes for data records not used in the model estimation. The model provides a framework to predict demand recovery as conditions improve across the country. </w:t>
      </w:r>
    </w:p>
    <w:p w14:paraId="19247C0C" w14:textId="7A7C0616" w:rsidR="009C5EDA" w:rsidRDefault="00916138" w:rsidP="00916138">
      <w:pPr>
        <w:pStyle w:val="Heading1"/>
      </w:pPr>
      <w:r>
        <w:t>E</w:t>
      </w:r>
      <w:r w:rsidR="0003163B">
        <w:t>ARLIER RESEARCH</w:t>
      </w:r>
    </w:p>
    <w:p w14:paraId="17858261" w14:textId="1D07072B" w:rsidR="00916138" w:rsidRDefault="009C5EDA" w:rsidP="009C5EDA">
      <w:r>
        <w:t>Examining traffic volumes on major transportation roadways is a well-researched objective. Several researchers develop regional models focusing on the drivers of travel using travel demand modeling approaches such as trip-based model and activity-based models</w:t>
      </w:r>
      <w:r w:rsidR="003F13C4">
        <w:t xml:space="preserve"> </w:t>
      </w:r>
      <w:r w:rsidR="003F13C4">
        <w:fldChar w:fldCharType="begin" w:fldLock="1"/>
      </w:r>
      <w:r w:rsidR="002061D6">
        <w:instrText>ADDIN CSL_CITATION {"citationItems":[{"id":"ITEM-1","itemData":{"DOI":"10.1016/S0965-8564(99)00043-9","ISSN":"0965-8564","abstract":"We present an integrated activity-based discrete choice model system of an individual's activity and travel schedule, for forecasting urban passenger travel demand. A prototype demonstrates the system concept using a 1991 Boston travel survey and transportation system level of service data. The model system represents a person's choice of activities and associated travel as an activity pattern overarching a set of tours. A tour is defined as the travel from home to one or more activity locations and back home again. The activity pattern consists of important decisions that provide overall structure for the day's activities and travel. In the prototype the activity pattern includes (a) the primary - most important - activity of the day, with one alternative being to remain at home for all the day's activities; (b) the type of tour for the primary activity, including the number, purpose and sequence of activity stops; and (c) the number and purpose of secondary - additional - tours. Tour models include the choice of time of day, destination and mode of travel, and are conditioned by the choice of activity pattern. The choice of activity pattern is influenced by the expected maximum utility derived from the available tour alternatives.","author":[{"dropping-particle":"","family":"Bowman","given":"J. L.","non-dropping-particle":"","parse-names":false,"suffix":""},{"dropping-particle":"","family":"Ben-Akiva","given":"M. E.","non-dropping-particle":"","parse-names":false,"suffix":""}],"container-title":"Transportation Research Part A: Policy and Practice","id":"ITEM-1","issue":"1","issued":{"date-parts":[["2001","1","1"]]},"page":"1-28","publisher":"Pergamon","title":"Activity-based disaggregate travel demand model system with activity schedules","type":"article-journal","volume":"35"},"uris":["http://www.mendeley.com/documents/?uuid=a7fb7dc7-5549-3e02-b970-ec2e2730fa56"]},{"id":"ITEM-2","itemData":{"DOI":"10.3141/2303-08","abstract":"This paper presents results from the application of a comprehensive socioeconomic and demographic model system in conjunction with a continuous-time, activity-based microsimulation model of travel ...","author":[{"dropping-particle":"","family":"Pendyala","given":"Ram M.","non-dropping-particle":"","parse-names":false,"suffix":""},{"dropping-particle":"","family":"Bhat","given":"Chandra R.","non-dropping-particle":"","parse-names":false,"suffix":""},{"dropping-particle":"","family":"Goulias","given":"Konstadinos G.","non-dropping-particle":"","parse-names":false,"suffix":""},{"dropping-particle":"","family":"Paleti","given":"Rajesh","non-dropping-particle":"","parse-names":false,"suffix":""},{"dropping-particle":"","family":"Konduri","given":"Karthik C.","non-dropping-particle":"","parse-names":false,"suffix":""},{"dropping-particle":"","family":"Sidharthan","given":"Raghu","non-dropping-particle":"","parse-names":false,"suffix":""},{"dropping-particle":"","family":"Hu","given":"Hsi-Hwa","non-dropping-particle":"","parse-names":false,"suffix":""},{"dropping-particle":"","family":"Huang","given":"Guoxiong","non-dropping-particle":"","parse-names":false,"suffix":""},{"dropping-particle":"","family":"Christian","given":"Keith P.","non-dropping-particle":"","parse-names":false,"suffix":""}],"container-title":"https://doi.org/10.3141/2303-08","id":"ITEM-2","issue":"2303","issued":{"date-parts":[["2012","1","1"]]},"page":"71-80","publisher":"SAGE PublicationsSage CA: Los Angeles, CA","title":"Application of Socioeconomic Model System for Activity-Based Modeling: Experience from Southern California:","type":"article-journal"},"uris":["http://www.mendeley.com/documents/?uuid=b58a3f88-dfb4-3deb-9b14-25454cb1de65"]},{"id":"ITEM-3","itemData":{"author":[{"dropping-particle":"","family":"Pinjari","given":"Abdul Rawoof","non-dropping-particle":"","parse-names":false,"suffix":""},{"dropping-particle":"","family":"Eluru","given":"Naveen","non-dropping-particle":"","parse-names":false,"suffix":""},{"dropping-particle":"","family":"Srinivasan","given":"Sivaramakrishnan","non-dropping-particle":"","parse-names":false,"suffix":""},{"dropping-particle":"","family":"Guo","given":"Jessica Y","non-dropping-particle":"","parse-names":false,"suffix":""},{"dropping-particle":"","family":"Copperman","given":"Rachel B","non-dropping-particle":"","parse-names":false,"suffix":""},{"dropping-particle":"","family":"Sener","given":"Ipek Nese","non-dropping-particle":"","parse-names":false,"suffix":""},{"dropping-particle":"","family":"Bhat","given":"Chandra R","non-dropping-particle":"","parse-names":false,"suffix":""}],"container-title":"Transportation reserach board 87th annual meeting","id":"ITEM-3","issued":{"date-parts":[["2008"]]},"publisher":"Transportation research board","publisher-place":"Washington DC","title":"CEMDAP: Modeling and Microsimulation Frameworks, Software Development, and Verification","type":"paper-conference"},"uris":["http://www.mendeley.com/documents/?uuid=9df479aa-ba31-3912-afd7-5b0bdff6d999"]},{"id":"ITEM-4","itemData":{"DOI":"10.1016/j.jtrangeo.2013.08.006","ISSN":"09666923","abstract":"This paper presents a modeling framework developed for the City of Montreal, Canada, and is intended to quantify two indicators that can explain the spatial distribution of traffic-related air pollution at a metropolitan level. The indicators are estimated at the level of the traffic analysis zone (TAZ) and include: (1) the average level of emissions generated per individual and (2) the level of emissions occurring in a zone as a proxy for air pollution exposure. A regional traffic assignment model is extended with capabilities for emission modeling at an individual trip level while taking into account vehicle (type and age) and trip attributes (road type, speed, and volume). We observe that individuals who generate higher emissions from travel tend to reside in areas with lower exposure to traffic emissions while individuals associated with low levels of travel emissions (e.g. travel smaller distances, conduct less trips, and use alternative modes) reside in areas with high levels of traffic pollution. A regression analysis of the two indicators against a set of land-use and socio-economic variables shows that generated emissions per individual are positively associated with car ownership and larger vehicles, while being negatively associated with ownership of newer vehicles, and location in dense and walkable neighborhoods with high levels of commercial land-use. Meanwhile, exposure to emissions is positively associated with dense and walkable neighborhoods and negatively associated with car ownership and larger vehicles. These findings indicate major inequities in the generation of and exposure to traffic-related air pollution. © 2013 Elsevier Ltd.","author":[{"dropping-particle":"","family":"Sider","given":"Timothy","non-dropping-particle":"","parse-names":false,"suffix":""},{"dropping-particle":"","family":"Alam","given":"Ahsan","non-dropping-particle":"","parse-names":false,"suffix":""},{"dropping-particle":"","family":"Zukari","given":"Mohamad","non-dropping-particle":"","parse-names":false,"suffix":""},{"dropping-particle":"","family":"Dugum","given":"Hussam","non-dropping-particle":"","parse-names":false,"suffix":""},{"dropping-particle":"","family":"Goldstein","given":"Nathan","non-dropping-particle":"","parse-names":false,"suffix":""},{"dropping-particle":"","family":"Eluru","given":"Naveen","non-dropping-particle":"","parse-names":false,"suffix":""},{"dropping-particle":"","family":"Hatzopoulou","given":"Marianne","non-dropping-particle":"","parse-names":false,"suffix":""}],"container-title":"Journal of Transport Geography","id":"ITEM-4","issued":{"date-parts":[["2013"]]},"page":"230-239","publisher":"Elsevier Ltd","title":"Land-use and socio-economics as determinants of traffic emissions and individual exposure to air pollution","type":"article-journal","volume":"33"},"uris":["http://www.mendeley.com/documents/?uuid=b9bcf17c-3e4d-408d-9b41-3a8007fb6e16"]},{"id":"ITEM-5","itemData":{"DOI":"10.3141/2493-13","abstract":"An activity-based approach to transport demand modeling is considered the most behaviorally sound procedure to assess the effects of transport policies. This paper investigates whether it is possib...","author":[{"dropping-particle":"","family":"Ziemke","given":"Dominik","non-dropping-particle":"","parse-names":false,"suffix":""},{"dropping-particle":"","family":"Nagel","given":"Kai","non-dropping-particle":"","parse-names":false,"suffix":""},{"dropping-particle":"","family":"Bhat","given":"Chandra","non-dropping-particle":"","parse-names":false,"suffix":""}],"container-title":"https://doi.org/10.3141/2493-13","id":"ITEM-5","issued":{"date-parts":[["2019","4","28"]]},"page":"117-125","publisher":"SAGE PublicationsSage CA: Los Angeles, CA","title":"Integrating CEMDAP and MATSIM to Increase the Transferability of Transport Demand Models:","type":"article-journal","volume":"2493"},"uris":["http://www.mendeley.com/documents/?uuid=07e70909-2996-3d4b-a7ae-639585a3a1e7"]}],"mendeley":{"formattedCitation":"(Bowman &amp; Ben-Akiva, 2001; Pendyala et al., 2012; Pinjari et al., 2008; Sider et al., 2013; Ziemke et al., 2019)","plainTextFormattedCitation":"(Bowman &amp; Ben-Akiva, 2001; Pendyala et al., 2012; Pinjari et al., 2008; Sider et al., 2013; Ziemke et al., 2019)","previouslyFormattedCitation":"(Bowman &amp; Ben-Akiva, 2001; Pendyala et al., 2012; Pinjari et al., 2008; Sider et al., 2013; Ziemke et al., 2019)"},"properties":{"noteIndex":0},"schema":"https://github.com/citation-style-language/schema/raw/master/csl-citation.json"}</w:instrText>
      </w:r>
      <w:r w:rsidR="003F13C4">
        <w:fldChar w:fldCharType="separate"/>
      </w:r>
      <w:r w:rsidR="00E61833" w:rsidRPr="00E61833">
        <w:rPr>
          <w:noProof/>
        </w:rPr>
        <w:t>(Bowman &amp; Ben-Akiva, 2001; Pendyala et al., 2012; Pinjari et al., 2008; Sider et al., 2013; Ziemke et al., 2019)</w:t>
      </w:r>
      <w:r w:rsidR="003F13C4">
        <w:fldChar w:fldCharType="end"/>
      </w:r>
      <w:r>
        <w:t xml:space="preserve">. However, these approaches are focused on capturing regional trends and are not appropriate for modeling traffic volumes on specific facilities. In our review, we focus on research efforts that are developed to specifically study traffic volumes on roadway facilities. The review is organized along two groups of studies. The first group of studies examine approaches to study traffic volumes on roadways. The second group of studies are focused on understanding volume evolution in response to changes/shocks to the system. </w:t>
      </w:r>
    </w:p>
    <w:p w14:paraId="5CAA1EC8" w14:textId="2D766987" w:rsidR="00916138" w:rsidRDefault="009C5EDA" w:rsidP="00612721">
      <w:pPr>
        <w:ind w:firstLine="720"/>
      </w:pPr>
      <w:r>
        <w:t xml:space="preserve">The </w:t>
      </w:r>
      <w:r w:rsidRPr="001D3A94">
        <w:rPr>
          <w:i/>
          <w:iCs/>
          <w:u w:val="single"/>
        </w:rPr>
        <w:t>first group of studies</w:t>
      </w:r>
      <w:r>
        <w:t xml:space="preserve"> </w:t>
      </w:r>
      <w:r w:rsidR="001E285B">
        <w:t>analyzes</w:t>
      </w:r>
      <w:r>
        <w:t xml:space="preserve"> traffic volume data by developing frameworks to (a) identify the factors affecting traffic volumes and (b) predict traffic volumes </w:t>
      </w:r>
      <w:proofErr w:type="gramStart"/>
      <w:r>
        <w:t>in the near future</w:t>
      </w:r>
      <w:proofErr w:type="gramEnd"/>
      <w:r>
        <w:t>. The various traffic volume variables considered in earlier literature include traffic volumes</w:t>
      </w:r>
      <w:r w:rsidR="003F13C4">
        <w:t xml:space="preserve"> </w:t>
      </w:r>
      <w:r w:rsidR="003F13C4">
        <w:fldChar w:fldCharType="begin" w:fldLock="1"/>
      </w:r>
      <w:r w:rsidR="002061D6">
        <w:instrText>ADDIN CSL_CITATION {"citationItems":[{"id":"ITEM-1","itemData":{"DOI":"10.1007/bf02838323","ISSN":"1226-7988","abstract":"In Korea, the Seoul-Busan High Speed Rail (HSR) of which length is 430.7 km is under construction with plan to complete at the end of 2011. Therefore, there will be great change at modal split of this corridor travel, especially at air travel denand. This study forecasted the air travel demand changes of Seoul-Busan and Seoul-Daegu airlines which are competitive with the HSR. The result of this study can be used for airline companies to prepare the impact and for government to adjust the domestic air transportation planning. First, studies were conducted to establish a modal split model of regional transit travel by using the travel data between Seoul and 8 regional cities where the airplane, express train and express bus are mutually competitive. For the model, abstract, Logit and neural network models were analyzed, and the best result was obtained at the neural network model. The model has an input layer, 4 hidden layers and an output layer. The input units consists of travel time, travel cost, number of service frequency and number of seats of regional transit modes such as express bus, express train and airplane, and the hidden layers have 8 neurons. Using the neural network model, the travel demands of Seoul-Busan and Seoul-Daegu airlines in the horizon year when the HSR would begin service were estimated. Due to the HSR opening, the demand of Seoul-Busan airline is forecasted to decrease by 69.5% and the demand of the Seoul-Daegu airline is forecasted to decrease by 59.0%.[PUBLICATION ABSTRACT]","author":[{"dropping-particle":"","family":"Kim","given":"Kyung Whan","non-dropping-particle":"","parse-names":false,"suffix":""},{"dropping-particle":"","family":"Seo","given":"Hyun Yeal","non-dropping-particle":"","parse-names":false,"suffix":""},{"dropping-particle":"","family":"Kim","given":"Young","non-dropping-particle":"","parse-names":false,"suffix":""}],"container-title":"KSCE Journal of Civil Engineering","id":"ITEM-1","issue":"5","issued":{"date-parts":[["2003"]]},"page":"603-609","title":"Forecast of domestic air travel demand change by opening the high speed rail","type":"article-journal","volume":"7"},"uris":["http://www.mendeley.com/documents/?uuid=f2fa2067-f4f7-4565-9c54-ff0b0b0cbed6"]},{"id":"ITEM-2","itemData":{"DOI":"10.1016/j.tra.2020.06.022","ISSN":"09658564","abstract":"The co-existence of traditional docked bike-sharing and emerging dockless systems presents new opportunities for sustainable transportation in cities all over the world, both serving door to door trips and accessing/egressing to/from public transport systems. However, most of the previous studies have separately examined the travel patterns of docked and dockless bike-sharing schemes, whereas the difference in travel patterns and the determinants of user demand for both systems have not been fully understood. To fill this gap, this study firstly compares the travel characteristics, including travel distance, travel time, usage frequency and spatio-temporal travel patterns by exploring the smart card data from a docked bike-sharing scheme and trip origin–destination (OD) data from a dockless bike-sharing scheme in the city of Nanjing, China over the same spatio-temporal dimension. Next, this study examines the influence of the bike-sharing fleets, socio-demographic factors and land use factors on user demand of both bike-sharing systems using multi-sourced data (e.g., trip OD information, smart card, survey, land use information, and housing prices data). To this end, geographically and temporally weighted regression (GTWR) models are built to examine the determinants of user demand over space and time. Comparative analysis shows that dockless bike-sharing systems have a shorter average travel distance and travel time, but a higher use frequency and hourly usage volume compared to docked bike-sharing systems. Trips of docked and dockless bike-sharing on workdays are more frequent than those on weekends, especially during the morning and evening rush hours. Significant differences in the spatial distribution between docked and dockless bike-sharing systems are observed in different city areas. The results of the GTWR models reveal that hourly docked bike-sharing trips and dockless bike-share trips influence each other throughout the week. The density of Entertainment points of interest (POIs) is positively correlated with the usage of dockless bike-sharing, but negatively correlated with docked bike-sharing usage. On the contrary, the proportion of the elderly has a positive association with the usage of docked bike-sharing, but a negative association with the usage of dockless bike-sharing. Finally, policy implications and suggestions are proposed to improve the performance of docked and dockless bike-sharing systems, such as increasing the flexibility o…","author":[{"dropping-particle":"","family":"Ma","given":"Xinwei","non-dropping-particle":"","parse-names":false,"suffix":""},{"dropping-particle":"","family":"Ji","given":"Yanjie","non-dropping-particle":"","parse-names":false,"suffix":""},{"dropping-particle":"","family":"Yuan","given":"Yufei","non-dropping-particle":"","parse-names":false,"suffix":""},{"dropping-particle":"","family":"Oort","given":"Niels","non-dropping-particle":"Van","parse-names":false,"suffix":""},{"dropping-particle":"","family":"Jin","given":"Yuchuan","non-dropping-particle":"","parse-names":false,"suffix":""},{"dropping-particle":"","family":"Hoogendoorn","given":"Serge","non-dropping-particle":"","parse-names":false,"suffix":""}],"container-title":"Transportation Research Part A: Policy and Practice","id":"ITEM-2","issue":"July","issued":{"date-parts":[["2020"]]},"page":"148-173","publisher":"Elsevier","title":"A comparison in travel patterns and determinants of user demand between docked and dockless bike-sharing systems using multi-sourced data","type":"article-journal","volume":"139"},"uris":["http://www.mendeley.com/documents/?uuid=09abea2e-db73-423f-adbb-fc2be3711604"]}],"mendeley":{"formattedCitation":"(Kim et al., 2003; Ma et al., 2020)","plainTextFormattedCitation":"(Kim et al., 2003; Ma et al., 2020)","previouslyFormattedCitation":"(Kim et al., 2003; Ma et al., 2020)"},"properties":{"noteIndex":0},"schema":"https://github.com/citation-style-language/schema/raw/master/csl-citation.json"}</w:instrText>
      </w:r>
      <w:r w:rsidR="003F13C4">
        <w:fldChar w:fldCharType="separate"/>
      </w:r>
      <w:r w:rsidR="00E61833" w:rsidRPr="00E61833">
        <w:rPr>
          <w:noProof/>
        </w:rPr>
        <w:t>(Kim et al., 2003; Ma et al., 2020)</w:t>
      </w:r>
      <w:r w:rsidR="003F13C4">
        <w:fldChar w:fldCharType="end"/>
      </w:r>
      <w:r>
        <w:t xml:space="preserve">, transformed traffic volumes such as natural logarithm or Box-cox transformation </w:t>
      </w:r>
      <w:r w:rsidR="00803AD9">
        <w:fldChar w:fldCharType="begin" w:fldLock="1"/>
      </w:r>
      <w:r w:rsidR="002061D6">
        <w:instrText>ADDIN CSL_CITATION {"citationItems":[{"id":"ITEM-1","itemData":{"DOI":"10.1016/j.tra.2018.01.004","ISSN":"09658564","abstract":"This paper presents a comprehensive gravity model in which the most important determinants for air travel demand have been identified using a two-stage least squares technique. Besides including the standard demand factors like GDP, population and tourism, the effects of other determinants such as domestic traffic, low-cost carrier (LCC) activity and public service obligations are also estimated. The profound contribution of the paper lies in the inclusion of two innovative variables in the estimations: ethnic links and aviation-dependent employment. The econometric results show that both ethnic links between countries and the share of aviation-dependent employment increase passenger demand. Moreover, the results confirm that LCC presence leads to a significant increase in passenger demand, particularly on routes where Europe's largest LCCs, Ryanair and easyJet, are active.","author":[{"dropping-particle":"","family":"Boonekamp","given":"Thijs","non-dropping-particle":"","parse-names":false,"suffix":""},{"dropping-particle":"","family":"Zuidberg","given":"Joost","non-dropping-particle":"","parse-names":false,"suffix":""},{"dropping-particle":"","family":"Burghouwt","given":"Guillaume","non-dropping-particle":"","parse-names":false,"suffix":""}],"container-title":"Transportation Research Part A: Policy and Practice","id":"ITEM-1","issue":"February","issued":{"date-parts":[["2018"]]},"page":"18-28","publisher":"Elsevier","title":"Determinants of air travel demand: The role of low-cost carriers, ethnic links and aviation-dependent employment","type":"article-journal","volume":"112"},"uris":["http://www.mendeley.com/documents/?uuid=316d9246-e5b4-44a1-a661-b0920774f889"]},{"id":"ITEM-2","itemData":{"DOI":"10.1016/j.jtrangeo.2016.06.008","ISSN":"09666923","abstract":"Recent success of bicycle-sharing systems (BSS) have led to their growth around the world. Not surprisingly, there is increased research towards better understanding of the contributing factors for BSS demand. However, these research efforts have neglected to adequately consider spatial and temporal interaction of BSS station's demand (arrivals and departures). It is possible that bicycle arrival and departure rates of one BSS station are potentially inter connected with bicycle flow rates for neighboring stations. It is also plausible that the arrival and departure rates at one time period are influenced by the arrival and departure rates of earlier time periods for that station and neighboring stations. Neglecting the presence of such effects, when they are actually present will result in biased model estimates. The major objective of this study is to accommodate for spatial and temporal effects (observed and unobserved) for modelling bicycle demand employing data from New York City's bicycle-sharing system (CitiBike). Towards this end, spatial error and spatial lag models that accommodate for the influence of spatial and temporal interactions are estimated. The exogenous variables for these models are drawn from BSS infrastructure, transportation network infrastructure, land use, point of interests, and meteorological and temporal attributes. The results provide strong evidence for the presence of spatial and temporal dependency for BSS station's arrival and departure rates. A hold out sample validation exercise further emphasizes the improved accuracy of the models with spatial and temporal interactions.","author":[{"dropping-particle":"","family":"Faghih-Imani","given":"Ahmadreza","non-dropping-particle":"","parse-names":false,"suffix":""},{"dropping-particle":"","family":"Eluru","given":"Naveen","non-dropping-particle":"","parse-names":false,"suffix":""}],"container-title":"Journal of Transport Geography","id":"ITEM-2","issued":{"date-parts":[["2016"]]},"page":"218-227","publisher":"Elsevier B.V.","title":"Incorporating the impact of spatio-temporal interactions on bicycle sharing system demand: A case study of New York CitiBike system","type":"article-journal","volume":"54"},"uris":["http://www.mendeley.com/documents/?uuid=43ea2532-9641-4d56-b5af-cf88a3ea3faa"]},{"id":"ITEM-3","itemData":{"DOI":"10.1007/BF00223044","ISSN":"00494488","abstract":"Many problems in transport planning and management tasks require an origindestination (O-D) matrix to represent the travel pattern. However, O-D matrices obtained through a large scale survey such as home or roadside interviews, tend to be costly, labour intensive and time disruptive to trip makers. Therefore, the use of low cost and easily available data is particularly attractive. The need of low-cost methods to estimate current and future O-D matrices is even more valuable in developing countries because of the rapid changes in population, economic activity and land use. Models of transport demand have been used for many years to synthesize O-D matrices in study areas. A typical example of this is the gravity model; its functional form, plus the appropriate values for the parameters involved, is employed to produce acceptable matrices representing trip making behaviour for many trip purposes and time periods. The work reported in this paper has combined the advantages of acceptable travel demand models with the low cost and availability of traffic counts. Three types of demand models have been used: gravity (GR), opportunity (OP) and gravity-opportunity (GO) models. Three estimation methods have been developed to calibrate these models from traffic counts, namely: non-linear-least-squares (NLLS), weighted-non-linear-least-squares (WNLLS) and maximumlikelihood (ML). The 1978 Ripon (urban vehicle movement) survey was used to test these methods. They were found to perform satisfactorily since each calibrated model reproduced the observed O-D matrix fairly closely. The tests were carried out using two assignment techniques, all-or-nothing and the stochastic method due to Burrell, in determining the routes taken through the network. © 1989 Kluwer Academic Publishers.","author":[{"dropping-particle":"","family":"Tamin","given":"O. Z.","non-dropping-particle":"","parse-names":false,"suffix":""},{"dropping-particle":"","family":"Willumsen","given":"L. G.","non-dropping-particle":"","parse-names":false,"suffix":""}],"container-title":"Transportation","id":"ITEM-3","issue":"1","issued":{"date-parts":[["1989"]]},"page":"3-26","title":"Transport demand model estimation from traffic counts","type":"article-journal","volume":"16"},"uris":["http://www.mendeley.com/documents/?uuid=692cef72-9451-4f64-ae60-09542e158756"]}],"mendeley":{"formattedCitation":"(Boonekamp et al., 2018; Faghih-Imani &amp; Eluru, 2016b; Tamin &amp; Willumsen, 1989)","plainTextFormattedCitation":"(Boonekamp et al., 2018; Faghih-Imani &amp; Eluru, 2016b; Tamin &amp; Willumsen, 1989)","previouslyFormattedCitation":"(Boonekamp et al., 2018; Faghih-Imani &amp; Eluru, 2016b; Tamin &amp; Willumsen, 1989)"},"properties":{"noteIndex":0},"schema":"https://github.com/citation-style-language/schema/raw/master/csl-citation.json"}</w:instrText>
      </w:r>
      <w:r w:rsidR="00803AD9">
        <w:fldChar w:fldCharType="separate"/>
      </w:r>
      <w:r w:rsidR="00E61833" w:rsidRPr="00E61833">
        <w:rPr>
          <w:noProof/>
        </w:rPr>
        <w:t>(Boonekamp et al., 2018; Faghih-Imani &amp; Eluru, 2016b; Tamin &amp; Willumsen, 1989)</w:t>
      </w:r>
      <w:r w:rsidR="00803AD9">
        <w:fldChar w:fldCharType="end"/>
      </w:r>
      <w:r w:rsidR="00803AD9">
        <w:t xml:space="preserve"> </w:t>
      </w:r>
      <w:r>
        <w:t>and change in traffic volumes over time</w:t>
      </w:r>
      <w:r w:rsidR="00803AD9">
        <w:t xml:space="preserve"> </w:t>
      </w:r>
      <w:r w:rsidR="00803AD9">
        <w:fldChar w:fldCharType="begin" w:fldLock="1"/>
      </w:r>
      <w:r w:rsidR="002061D6">
        <w:instrText>ADDIN CSL_CITATION {"citationItems":[{"id":"ITEM-1","itemData":{"DOI":"10.1080/0308106022000019026","ISSN":"03081060","abstract":"The dynamic characteristics of automobile demand are critical for national economic and revenue predictions. Automobile demand and ownership level forecasts are also the basis for travel demand models, land-use-transport interaction models, and transport policies and regulations. In this article, a dynamic automobile demand simulation model is developed utilizing a simultaneous-equation system. The system considers the interaction between supply and demand and the resulting equilibrium. Although forecasting automobile demand has been previously investigated, it has not been within such a dynamic simulation framework. Our model includes the current and lagged automobile quantity and price variables; economic, financial and operating cost variables; and income and government policy variables. The capabilities of the model are then demonstrated through performing a number of simulation experiments considering various growth-development scenarios, changes in operating costs, government policies towards automobile imports, and demographic/employment shifts. Relevant tests are applied to examine the econometric specifications and to evaluate the simulation model performance.","author":[{"dropping-particle":"","family":"Abu-Eisheh","given":"Sameer A.","non-dropping-particle":"","parse-names":false,"suffix":""},{"dropping-particle":"","family":"Mannering","given":"Fred L.","non-dropping-particle":"","parse-names":false,"suffix":""}],"container-title":"Transportation Planning and Technology","id":"ITEM-1","issue":"4","issued":{"date-parts":[["2002"]]},"page":"311-331","title":"Forecasting automobile demand for economies in transition: A dynamic simultaneous-equation system approach","type":"article-journal","volume":"25"},"uris":["http://www.mendeley.com/documents/?uuid=397f0ef5-f7c5-45e6-af93-82ce2294a3ab"]}],"mendeley":{"formattedCitation":"(Abu-Eisheh &amp; Mannering, 2002)","plainTextFormattedCitation":"(Abu-Eisheh &amp; Mannering, 2002)","previouslyFormattedCitation":"(Abu-Eisheh &amp; Mannering, 2002)"},"properties":{"noteIndex":0},"schema":"https://github.com/citation-style-language/schema/raw/master/csl-citation.json"}</w:instrText>
      </w:r>
      <w:r w:rsidR="00803AD9">
        <w:fldChar w:fldCharType="separate"/>
      </w:r>
      <w:r w:rsidR="00E61833" w:rsidRPr="00E61833">
        <w:rPr>
          <w:noProof/>
        </w:rPr>
        <w:t>(Abu-Eisheh &amp; Mannering, 2002)</w:t>
      </w:r>
      <w:r w:rsidR="00803AD9">
        <w:fldChar w:fldCharType="end"/>
      </w:r>
      <w:r>
        <w:t>. The prevalent approaches for analysis of the volume variable with a focus on identifying important factors include simple linear regression models</w:t>
      </w:r>
      <w:r w:rsidR="00011BA1">
        <w:t xml:space="preserve"> </w:t>
      </w:r>
      <w:r w:rsidR="00011BA1">
        <w:fldChar w:fldCharType="begin" w:fldLock="1"/>
      </w:r>
      <w:r w:rsidR="002061D6">
        <w:instrText>ADDIN CSL_CITATION {"citationItems":[{"id":"ITEM-1","itemData":{"DOI":"10.1061/(asce)up.1943-5444.0000281","ISSN":"0733-9488","abstract":"AbstractLink level annual average daily traffic (AADT) or travel demand is used in several urban planning, roadway design, operational, and safety analyses by transportation planners and engineers. Existing AADT estimation methods do not adequately account for spatial proximity, variations, and dependency to address modeling needs. The primary focus of this paper, therefore, is to incorporate these aspects and develop a method to estimate link level AADT by the urban road functional class. Geospatial analytical techniques were explored to capture spatial data within proximal areas of selected roadway links and develop statistical models to estimate link level AADT. Polygon-based network buffers were generated within the proximal roadway distance of each study link to account for actual connectivity and capture off-network data instead of Euclidean distance-based buffers. On-network characteristics of the study links and upstream, downstream, and cross-street network links were considered to account for the spatial dependency of on-network characteristics. The applicability of the method and predictive capability of the models to estimate link level AADT, considering all of the selected study links and by each road functional class, was researched. The working of the method and development of the models is illustrated using data for the city of Charlotte in the state of North Carolina. The generalized estimating equation (GEE) models developed indicate that a negative binomial distribution fits better than a Poisson distribution for the data considered in this research. The ideal proximal distance to capture spatial data and accurately estimate AADT was observed to vary when all study links and different road functional classes were modeled separately. Overall, the results obtained indicate that spatial proximity and dependency play a vital role in accurately estimating travel demand on various urban road functional classes.","author":[{"dropping-particle":"","family":"Kusam","given":"Prasanna R.","non-dropping-particle":"","parse-names":false,"suffix":""},{"dropping-particle":"","family":"Pulugurtha","given":"Srinivas S.","non-dropping-particle":"","parse-names":false,"suffix":""}],"container-title":"Journal of Urban Planning and Development","id":"ITEM-1","issue":"2","issued":{"date-parts":[["2016"]]},"page":"04015014","title":"Spatial Proximity and Dependency to Model Urban Travel Demand","type":"article-journal","volume":"142"},"uris":["http://www.mendeley.com/documents/?uuid=6030008a-46d4-4c4d-83c5-1142a9f7d746"]}],"mendeley":{"formattedCitation":"(Kusam &amp; Pulugurtha, 2016)","plainTextFormattedCitation":"(Kusam &amp; Pulugurtha, 2016)","previouslyFormattedCitation":"(Kusam &amp; Pulugurtha, 2016)"},"properties":{"noteIndex":0},"schema":"https://github.com/citation-style-language/schema/raw/master/csl-citation.json"}</w:instrText>
      </w:r>
      <w:r w:rsidR="00011BA1">
        <w:fldChar w:fldCharType="separate"/>
      </w:r>
      <w:r w:rsidR="00E61833" w:rsidRPr="00E61833">
        <w:rPr>
          <w:noProof/>
        </w:rPr>
        <w:t>(Kusam &amp; Pulugurtha, 2016)</w:t>
      </w:r>
      <w:r w:rsidR="00011BA1">
        <w:fldChar w:fldCharType="end"/>
      </w:r>
      <w:r>
        <w:t xml:space="preserve">, two stage least squares </w:t>
      </w:r>
      <w:r>
        <w:lastRenderedPageBreak/>
        <w:t>techniques</w:t>
      </w:r>
      <w:r w:rsidR="00011BA1">
        <w:t xml:space="preserve"> </w:t>
      </w:r>
      <w:r w:rsidR="00011BA1">
        <w:fldChar w:fldCharType="begin" w:fldLock="1"/>
      </w:r>
      <w:r w:rsidR="002061D6">
        <w:instrText>ADDIN CSL_CITATION {"citationItems":[{"id":"ITEM-1","itemData":{"DOI":"10.1016/j.tra.2018.01.004","ISSN":"09658564","abstract":"This paper presents a comprehensive gravity model in which the most important determinants for air travel demand have been identified using a two-stage least squares technique. Besides including the standard demand factors like GDP, population and tourism, the effects of other determinants such as domestic traffic, low-cost carrier (LCC) activity and public service obligations are also estimated. The profound contribution of the paper lies in the inclusion of two innovative variables in the estimations: ethnic links and aviation-dependent employment. The econometric results show that both ethnic links between countries and the share of aviation-dependent employment increase passenger demand. Moreover, the results confirm that LCC presence leads to a significant increase in passenger demand, particularly on routes where Europe's largest LCCs, Ryanair and easyJet, are active.","author":[{"dropping-particle":"","family":"Boonekamp","given":"Thijs","non-dropping-particle":"","parse-names":false,"suffix":""},{"dropping-particle":"","family":"Zuidberg","given":"Joost","non-dropping-particle":"","parse-names":false,"suffix":""},{"dropping-particle":"","family":"Burghouwt","given":"Guillaume","non-dropping-particle":"","parse-names":false,"suffix":""}],"container-title":"Transportation Research Part A: Policy and Practice","id":"ITEM-1","issue":"February","issued":{"date-parts":[["2018"]]},"page":"18-28","publisher":"Elsevier","title":"Determinants of air travel demand: The role of low-cost carriers, ethnic links and aviation-dependent employment","type":"article-journal","volume":"112"},"uris":["http://www.mendeley.com/documents/?uuid=316d9246-e5b4-44a1-a661-b0920774f889"]}],"mendeley":{"formattedCitation":"(Boonekamp et al., 2018)","plainTextFormattedCitation":"(Boonekamp et al., 2018)","previouslyFormattedCitation":"(Boonekamp et al., 2018)"},"properties":{"noteIndex":0},"schema":"https://github.com/citation-style-language/schema/raw/master/csl-citation.json"}</w:instrText>
      </w:r>
      <w:r w:rsidR="00011BA1">
        <w:fldChar w:fldCharType="separate"/>
      </w:r>
      <w:r w:rsidR="00E61833" w:rsidRPr="00E61833">
        <w:rPr>
          <w:noProof/>
        </w:rPr>
        <w:t>(Boonekamp et al., 2018)</w:t>
      </w:r>
      <w:r w:rsidR="00011BA1">
        <w:fldChar w:fldCharType="end"/>
      </w:r>
      <w:r>
        <w:t>, geographically and temporally weighted regression model</w:t>
      </w:r>
      <w:r w:rsidR="00011BA1">
        <w:t xml:space="preserve"> </w:t>
      </w:r>
      <w:r w:rsidR="00011BA1">
        <w:fldChar w:fldCharType="begin" w:fldLock="1"/>
      </w:r>
      <w:r w:rsidR="002061D6">
        <w:instrText>ADDIN CSL_CITATION {"citationItems":[{"id":"ITEM-1","itemData":{"DOI":"10.1016/j.tra.2020.06.022","ISSN":"09658564","abstract":"The co-existence of traditional docked bike-sharing and emerging dockless systems presents new opportunities for sustainable transportation in cities all over the world, both serving door to door trips and accessing/egressing to/from public transport systems. However, most of the previous studies have separately examined the travel patterns of docked and dockless bike-sharing schemes, whereas the difference in travel patterns and the determinants of user demand for both systems have not been fully understood. To fill this gap, this study firstly compares the travel characteristics, including travel distance, travel time, usage frequency and spatio-temporal travel patterns by exploring the smart card data from a docked bike-sharing scheme and trip origin–destination (OD) data from a dockless bike-sharing scheme in the city of Nanjing, China over the same spatio-temporal dimension. Next, this study examines the influence of the bike-sharing fleets, socio-demographic factors and land use factors on user demand of both bike-sharing systems using multi-sourced data (e.g., trip OD information, smart card, survey, land use information, and housing prices data). To this end, geographically and temporally weighted regression (GTWR) models are built to examine the determinants of user demand over space and time. Comparative analysis shows that dockless bike-sharing systems have a shorter average travel distance and travel time, but a higher use frequency and hourly usage volume compared to docked bike-sharing systems. Trips of docked and dockless bike-sharing on workdays are more frequent than those on weekends, especially during the morning and evening rush hours. Significant differences in the spatial distribution between docked and dockless bike-sharing systems are observed in different city areas. The results of the GTWR models reveal that hourly docked bike-sharing trips and dockless bike-share trips influence each other throughout the week. The density of Entertainment points of interest (POIs) is positively correlated with the usage of dockless bike-sharing, but negatively correlated with docked bike-sharing usage. On the contrary, the proportion of the elderly has a positive association with the usage of docked bike-sharing, but a negative association with the usage of dockless bike-sharing. Finally, policy implications and suggestions are proposed to improve the performance of docked and dockless bike-sharing systems, such as increasing the flexibility o…","author":[{"dropping-particle":"","family":"Ma","given":"Xinwei","non-dropping-particle":"","parse-names":false,"suffix":""},{"dropping-particle":"","family":"Ji","given":"Yanjie","non-dropping-particle":"","parse-names":false,"suffix":""},{"dropping-particle":"","family":"Yuan","given":"Yufei","non-dropping-particle":"","parse-names":false,"suffix":""},{"dropping-particle":"","family":"Oort","given":"Niels","non-dropping-particle":"Van","parse-names":false,"suffix":""},{"dropping-particle":"","family":"Jin","given":"Yuchuan","non-dropping-particle":"","parse-names":false,"suffix":""},{"dropping-particle":"","family":"Hoogendoorn","given":"Serge","non-dropping-particle":"","parse-names":false,"suffix":""}],"container-title":"Transportation Research Part A: Policy and Practice","id":"ITEM-1","issue":"July","issued":{"date-parts":[["2020"]]},"page":"148-173","publisher":"Elsevier","title":"A comparison in travel patterns and determinants of user demand between docked and dockless bike-sharing systems using multi-sourced data","type":"article-journal","volume":"139"},"uris":["http://www.mendeley.com/documents/?uuid=09abea2e-db73-423f-adbb-fc2be3711604"]}],"mendeley":{"formattedCitation":"(Ma et al., 2020)","plainTextFormattedCitation":"(Ma et al., 2020)","previouslyFormattedCitation":"(Ma et al., 2020)"},"properties":{"noteIndex":0},"schema":"https://github.com/citation-style-language/schema/raw/master/csl-citation.json"}</w:instrText>
      </w:r>
      <w:r w:rsidR="00011BA1">
        <w:fldChar w:fldCharType="separate"/>
      </w:r>
      <w:r w:rsidR="00E61833" w:rsidRPr="00E61833">
        <w:rPr>
          <w:noProof/>
        </w:rPr>
        <w:t>(Ma et al., 2020)</w:t>
      </w:r>
      <w:r w:rsidR="00011BA1">
        <w:fldChar w:fldCharType="end"/>
      </w:r>
      <w:r>
        <w:t>, dynamic simultaneous equation systems</w:t>
      </w:r>
      <w:r w:rsidR="00011BA1">
        <w:t xml:space="preserve"> </w:t>
      </w:r>
      <w:r w:rsidR="00011BA1">
        <w:fldChar w:fldCharType="begin" w:fldLock="1"/>
      </w:r>
      <w:r w:rsidR="002061D6">
        <w:instrText>ADDIN CSL_CITATION {"citationItems":[{"id":"ITEM-1","itemData":{"DOI":"10.1080/0308106022000019026","ISSN":"03081060","abstract":"The dynamic characteristics of automobile demand are critical for national economic and revenue predictions. Automobile demand and ownership level forecasts are also the basis for travel demand models, land-use-transport interaction models, and transport policies and regulations. In this article, a dynamic automobile demand simulation model is developed utilizing a simultaneous-equation system. The system considers the interaction between supply and demand and the resulting equilibrium. Although forecasting automobile demand has been previously investigated, it has not been within such a dynamic simulation framework. Our model includes the current and lagged automobile quantity and price variables; economic, financial and operating cost variables; and income and government policy variables. The capabilities of the model are then demonstrated through performing a number of simulation experiments considering various growth-development scenarios, changes in operating costs, government policies towards automobile imports, and demographic/employment shifts. Relevant tests are applied to examine the econometric specifications and to evaluate the simulation model performance.","author":[{"dropping-particle":"","family":"Abu-Eisheh","given":"Sameer A.","non-dropping-particle":"","parse-names":false,"suffix":""},{"dropping-particle":"","family":"Mannering","given":"Fred L.","non-dropping-particle":"","parse-names":false,"suffix":""}],"container-title":"Transportation Planning and Technology","id":"ITEM-1","issue":"4","issued":{"date-parts":[["2002"]]},"page":"311-331","title":"Forecasting automobile demand for economies in transition: A dynamic simultaneous-equation system approach","type":"article-journal","volume":"25"},"uris":["http://www.mendeley.com/documents/?uuid=397f0ef5-f7c5-45e6-af93-82ce2294a3ab"]}],"mendeley":{"formattedCitation":"(Abu-Eisheh &amp; Mannering, 2002)","plainTextFormattedCitation":"(Abu-Eisheh &amp; Mannering, 2002)","previouslyFormattedCitation":"(Abu-Eisheh &amp; Mannering, 2002)"},"properties":{"noteIndex":0},"schema":"https://github.com/citation-style-language/schema/raw/master/csl-citation.json"}</w:instrText>
      </w:r>
      <w:r w:rsidR="00011BA1">
        <w:fldChar w:fldCharType="separate"/>
      </w:r>
      <w:r w:rsidR="00E61833" w:rsidRPr="00E61833">
        <w:rPr>
          <w:noProof/>
        </w:rPr>
        <w:t>(Abu-Eisheh &amp; Mannering, 2002)</w:t>
      </w:r>
      <w:r w:rsidR="00011BA1">
        <w:fldChar w:fldCharType="end"/>
      </w:r>
      <w:r>
        <w:t>, spatial mixed linear model</w:t>
      </w:r>
      <w:r w:rsidR="00154F6F">
        <w:fldChar w:fldCharType="begin" w:fldLock="1"/>
      </w:r>
      <w:r w:rsidR="002061D6">
        <w:instrText>ADDIN CSL_CITATION {"citationItems":[{"id":"ITEM-1","itemData":{"DOI":"10.1016/j.tra.2016.10.024","ISSN":"09658564","abstract":"The traditional quantitative approach to studying Bicycle Sharing System (BSS) usage involves examining the influence of BSS infrastructure (such as number of BSS stations and capacity), transportation network infrastructure, land use and urban form, meteorological data, and temporal characteristics. These studies, as expected, conclude that BSS infrastructure (number of stations and capacity) have substantial influence on BSS usage. The earlier studies consider usage as a dependent variable and employ BSS infrastructure as an independent variable. Thus, in the models developed, the unobserved factors influencing the measured dependent variable (BSS usage) also strongly influence one of the independent variables (BSS infrastructure). This is a classic violation of the most basic assumption in econometric modeling i.e. the error component in the model is not correlated with any of the exogenous variables. The model estimates obtained with this erroneous assumption are likely to over-estimate the impact of BSS infrastructure. Our research effort proposes an econometric framework that remedies this drawback. We propose a measurement equation to account for the installation process and relate it to the usage equations thus correcting for the bias introduced in earlier research efforts by formulating a multi-level joint econometric framework. The econometric models developed have been estimated using data compiled from April 2012 to August 2012 for the BIXI system in Montreal. The model estimates support our hypothesis and clearly show over-estimation of BSS infrastructure impacts in models that neglect the installation process. An elasticity analysis to highlight the advantages of the proposed econometric model is also conducted.","author":[{"dropping-particle":"","family":"Faghih-Imani","given":"Ahmadreza","non-dropping-particle":"","parse-names":false,"suffix":""},{"dropping-particle":"","family":"Eluru","given":"Naveen","non-dropping-particle":"","parse-names":false,"suffix":""}],"container-title":"Transportation Research Part A: Policy and Practice","id":"ITEM-1","issued":{"date-parts":[["2016"]]},"page":"685-698","publisher":"Elsevier Ltd","title":"Determining the role of bicycle sharing system infrastructure installation decision on usage: Case study of montreal BIXI system","type":"article-journal","volume":"94"},"uris":["http://www.mendeley.com/documents/?uuid=ecd5301d-ac7e-41fb-9161-c6a44abece27"]}],"mendeley":{"formattedCitation":"(Faghih-Imani &amp; Eluru, 2016a)","plainTextFormattedCitation":"(Faghih-Imani &amp; Eluru, 2016a)","previouslyFormattedCitation":"(Faghih-Imani &amp; Eluru, 2016a)"},"properties":{"noteIndex":0},"schema":"https://github.com/citation-style-language/schema/raw/master/csl-citation.json"}</w:instrText>
      </w:r>
      <w:r w:rsidR="00154F6F">
        <w:fldChar w:fldCharType="separate"/>
      </w:r>
      <w:r w:rsidR="00E61833" w:rsidRPr="00E61833">
        <w:rPr>
          <w:noProof/>
        </w:rPr>
        <w:t>(Faghih-Imani &amp; Eluru, 2016a)</w:t>
      </w:r>
      <w:r w:rsidR="00154F6F">
        <w:fldChar w:fldCharType="end"/>
      </w:r>
      <w:r>
        <w:t>, autoregressive integrated moving average model</w:t>
      </w:r>
      <w:r w:rsidR="00154F6F">
        <w:t xml:space="preserve"> </w:t>
      </w:r>
      <w:r w:rsidR="00154F6F">
        <w:fldChar w:fldCharType="begin" w:fldLock="1"/>
      </w:r>
      <w:r w:rsidR="002061D6">
        <w:instrText>ADDIN CSL_CITATION {"citationItems":[{"id":"ITEM-1","itemData":{"DOI":"10.1061/ASCE0733-947X2003129:6664","abstract":"This article presents the theoretical basis for modeling univariate traffic condition data streams as seasonal autoregressive integrated moving average processes. This foundation rests on the Wold decomposition theorem and on the assertion that a one-week lagged first seasonal difference applied to discrete interval traffic condition data will yield a weakly stationary transformation. Moreover, empirical results using actual intelligent transportation system data are presented and found to be consistent with the theoretical hypothesis. Conclusions are given on the implications of these assertions and findings relative to ongoing intelligent transportation systems research, deployment, and operations.","author":[{"dropping-particle":"","family":"Williams","given":"Billy M","non-dropping-particle":"","parse-names":false,"suffix":""},{"dropping-particle":"","family":"Hoel","given":"Lester A","non-dropping-particle":"","parse-names":false,"suffix":""}],"container-title":"American Society of Civil Engineers","id":"ITEM-1","issue":"6","issued":{"date-parts":[["2003"]]},"page":"664-672","title":"Modeling and Forecasting Vehicular Traffic Flow as a Seasonal ARIMA Process: Theoretical Basis and Empirical Results","type":"article-journal","volume":"129"},"uris":["http://www.mendeley.com/documents/?uuid=de12de1b-153b-3668-be2f-cb0b1794d35c"]}],"mendeley":{"formattedCitation":"(Williams &amp; Hoel, 2003)","plainTextFormattedCitation":"(Williams &amp; Hoel, 2003)","previouslyFormattedCitation":"(Williams &amp; Hoel, 2003)"},"properties":{"noteIndex":0},"schema":"https://github.com/citation-style-language/schema/raw/master/csl-citation.json"}</w:instrText>
      </w:r>
      <w:r w:rsidR="00154F6F">
        <w:fldChar w:fldCharType="separate"/>
      </w:r>
      <w:r w:rsidR="00E61833" w:rsidRPr="00E61833">
        <w:rPr>
          <w:noProof/>
        </w:rPr>
        <w:t>(Williams &amp; Hoel, 2003)</w:t>
      </w:r>
      <w:r w:rsidR="00154F6F">
        <w:fldChar w:fldCharType="end"/>
      </w:r>
      <w:r>
        <w:t>, and spatial panel mixed multilevel ordered logit model</w:t>
      </w:r>
      <w:r w:rsidR="00154F6F">
        <w:t xml:space="preserve"> </w:t>
      </w:r>
      <w:r w:rsidR="00154F6F">
        <w:fldChar w:fldCharType="begin" w:fldLock="1"/>
      </w:r>
      <w:r w:rsidR="002061D6">
        <w:instrText>ADDIN CSL_CITATION {"citationItems":[{"id":"ITEM-1","itemData":{"DOI":"10.1016/j.jtrangeo.2016.06.008","ISSN":"09666923","abstract":"Recent success of bicycle-sharing systems (BSS) have led to their growth around the world. Not surprisingly, there is increased research towards better understanding of the contributing factors for BSS demand. However, these research efforts have neglected to adequately consider spatial and temporal interaction of BSS station's demand (arrivals and departures). It is possible that bicycle arrival and departure rates of one BSS station are potentially inter connected with bicycle flow rates for neighboring stations. It is also plausible that the arrival and departure rates at one time period are influenced by the arrival and departure rates of earlier time periods for that station and neighboring stations. Neglecting the presence of such effects, when they are actually present will result in biased model estimates. The major objective of this study is to accommodate for spatial and temporal effects (observed and unobserved) for modelling bicycle demand employing data from New York City's bicycle-sharing system (CitiBike). Towards this end, spatial error and spatial lag models that accommodate for the influence of spatial and temporal interactions are estimated. The exogenous variables for these models are drawn from BSS infrastructure, transportation network infrastructure, land use, point of interests, and meteorological and temporal attributes. The results provide strong evidence for the presence of spatial and temporal dependency for BSS station's arrival and departure rates. A hold out sample validation exercise further emphasizes the improved accuracy of the models with spatial and temporal interactions.","author":[{"dropping-particle":"","family":"Faghih-Imani","given":"Ahmadreza","non-dropping-particle":"","parse-names":false,"suffix":""},{"dropping-particle":"","family":"Eluru","given":"Naveen","non-dropping-particle":"","parse-names":false,"suffix":""}],"container-title":"Journal of Transport Geography","id":"ITEM-1","issued":{"date-parts":[["2016"]]},"page":"218-227","publisher":"Elsevier B.V.","title":"Incorporating the impact of spatio-temporal interactions on bicycle sharing system demand: A case study of New York CitiBike system","type":"article-journal","volume":"54"},"uris":["http://www.mendeley.com/documents/?uuid=23c55cd7-d695-4f54-8eb8-37f868d2e77b"]}],"mendeley":{"formattedCitation":"(Faghih-Imani &amp; Eluru, 2016b)","plainTextFormattedCitation":"(Faghih-Imani &amp; Eluru, 2016b)","previouslyFormattedCitation":"(Faghih-Imani &amp; Eluru, 2016b)"},"properties":{"noteIndex":0},"schema":"https://github.com/citation-style-language/schema/raw/master/csl-citation.json"}</w:instrText>
      </w:r>
      <w:r w:rsidR="00154F6F">
        <w:fldChar w:fldCharType="separate"/>
      </w:r>
      <w:r w:rsidR="00E61833" w:rsidRPr="00E61833">
        <w:rPr>
          <w:noProof/>
        </w:rPr>
        <w:t>(Faghih-Imani &amp; Eluru, 2016b)</w:t>
      </w:r>
      <w:r w:rsidR="00154F6F">
        <w:fldChar w:fldCharType="end"/>
      </w:r>
      <w:r w:rsidR="00154F6F">
        <w:t xml:space="preserve">. </w:t>
      </w:r>
      <w:r>
        <w:t>Multiple research efforts have also been developed with a focus on improving volume prediction drawing on machine learning and artificial intelligence-based research approaches including artificial neural networks</w:t>
      </w:r>
      <w:r w:rsidR="00154F6F">
        <w:t xml:space="preserve"> </w:t>
      </w:r>
      <w:r w:rsidR="00154F6F">
        <w:fldChar w:fldCharType="begin" w:fldLock="1"/>
      </w:r>
      <w:r w:rsidR="002061D6">
        <w:instrText>ADDIN CSL_CITATION {"citationItems":[{"id":"ITEM-1","itemData":{"DOI":"10.1016/S0895-7177(98)00065-X","ISSN":"0895-7177","abstract":"Forecasting traffic volume is an important task in controlling urban highways, guiding drivers' routes, and providing real-time transportation information. Previous research on traffic volume forecasting has concentrated on a single forecasting model and has reported positive results, which has been frequently better than those of other models. In addition, many previous researchers have claimed that neural network models are better than linear statistical models in terms of prediction accuracy. However, the forecasting power of a single model is limited to the typical cases to which the model fits best. In other words, even though many research efforts have claimed the general superiority of a single model over others in predicting future events, we believe it depends on the data characteristics used, the composition of the training data, the model architecture, and the algorithm itself. In this paper, we have studied the relationship in forecasting traffic volume between data characteristics and the forecasting accuracy of different models, particularly neural network models. To compare and test the forecasting accuracy of the models, three different data sets of traffic volume were collected from interstate highways, intercity highways, and urban intersections. The data sets show very different characteristics in terms of volatility, period, and fluctuations as measured by the Hurst exponent, the correlation dimension. The data sets were tested using a back-propagation network model, a FIR model, and a time-delayed recurrent model. The test results show that the time-delayed recurrent model outperforms other models in forecasting very randomly moving data described by a low Hurst exponent. In contrast, the FIR model shows better forecasting accuracy than the time-delayed recurrent network for relatively regular periodic data described by a high Hurst exponent. The interpretation of these results shows that the feedback mechanism of the previous error, through the temporal learning technique in the time-delayed recurrent network, naturally absorbs the dynamic change of any underlying nonlinear movement. The FIR and back-propagation model, which have claimed a nonlinear learning mechanism, may not be very good in handling randomly fluctuating events.","author":[{"dropping-particle":"","family":"Yun","given":"S. Y.","non-dropping-particle":"","parse-names":false,"suffix":""},{"dropping-particle":"","family":"Namkoong","given":"S.","non-dropping-particle":"","parse-names":false,"suffix":""},{"dropping-particle":"","family":"Rho","given":"J. H.","non-dropping-particle":"","parse-names":false,"suffix":""},{"dropping-particle":"","family":"Shin","given":"S. W.","non-dropping-particle":"","parse-names":false,"suffix":""},{"dropping-particle":"","family":"Choi","given":"J. U.","non-dropping-particle":"","parse-names":false,"suffix":""}],"container-title":"Mathematical and Computer Modelling","id":"ITEM-1","issue":"9-11","issued":{"date-parts":[["1998","5","1"]]},"page":"293-310","publisher":"Pergamon","title":"A Performance evaluation of neural network models in traffic volume forecasting","type":"article-journal","volume":"27"},"uris":["http://www.mendeley.com/documents/?uuid=3f2ccea8-e57a-3612-9c0d-db9173709b9f"]},{"id":"ITEM-2","itemData":{"DOI":"10.1016/J.TRC.2014.06.011","ISSN":"0968-090X","abstract":"The forecasting of short-term traffic flow is one of the key issues in the field of dynamic traffic control and management. Because of the uncertainty and nonlinearity, short-term traffic flow forecasting could be a challenging task. Artificial Neural Network (ANN) could be a good solution to this issue as it is possible to obtain a higher forecasting accuracy within relatively short time through this tool. Traditional methods for traffic flow forecasting generally based on a separated single point. However, it is found that traffic flows from adjacent intersections show a similar trend. It indicates that the vehicle accumulation and dissipation influence the traffic volumes of the adjacent intersections. This paper presents a novel method, which considers the travel flows of the adjacent intersections when forecasting the one of the middle. Computational experiments show that the proposed model is both effective and practical.","author":[{"dropping-particle":"","family":"Zhu","given":"J. Z.","non-dropping-particle":"","parse-names":false,"suffix":""},{"dropping-particle":"","family":"Cao","given":"J. X.","non-dropping-particle":"","parse-names":false,"suffix":""},{"dropping-particle":"","family":"Zhu","given":"Y.","non-dropping-particle":"","parse-names":false,"suffix":""}],"container-title":"Transportation Research Part C: Emerging Technologies","id":"ITEM-2","issue":"P2","issued":{"date-parts":[["2014","10","1"]]},"page":"139-154","publisher":"Pergamon","title":"Traffic volume forecasting based on radial basis function neural network with the consideration of traffic flows at the adjacent intersections","type":"article-journal","volume":"47"},"uris":["http://www.mendeley.com/documents/?uuid=472377a5-ffdf-3278-8c5b-06b655a405e5"]}],"mendeley":{"formattedCitation":"(Yun et al., 1998; Zhu et al., 2014)","plainTextFormattedCitation":"(Yun et al., 1998; Zhu et al., 2014)","previouslyFormattedCitation":"(Yun et al., 1998; Zhu et al., 2014)"},"properties":{"noteIndex":0},"schema":"https://github.com/citation-style-language/schema/raw/master/csl-citation.json"}</w:instrText>
      </w:r>
      <w:r w:rsidR="00154F6F">
        <w:fldChar w:fldCharType="separate"/>
      </w:r>
      <w:r w:rsidR="00E61833" w:rsidRPr="00E61833">
        <w:rPr>
          <w:noProof/>
        </w:rPr>
        <w:t>(Yun et al., 1998; Zhu et al., 2014)</w:t>
      </w:r>
      <w:r w:rsidR="00154F6F">
        <w:fldChar w:fldCharType="end"/>
      </w:r>
      <w:r>
        <w:t>, support vector machines</w:t>
      </w:r>
      <w:r w:rsidR="00F472FD">
        <w:t xml:space="preserve"> </w:t>
      </w:r>
      <w:r w:rsidR="00F472FD">
        <w:fldChar w:fldCharType="begin" w:fldLock="1"/>
      </w:r>
      <w:r w:rsidR="002061D6">
        <w:instrText>ADDIN CSL_CITATION {"citationItems":[{"id":"ITEM-1","itemData":{"DOI":"10.3141/2165-08","ISSN":"03611981","abstract":"The accurate modeling and forecasting of traffic flow data such as volume and travel time are critical to intelligent transportation systems. Many forecasting models have been developed for this purpose since the 1970s. Recently kernel-based machine learning methods such as support vector machines (SVMs) have gained special attention in traffic flow modeling and other time series analyses because of their outstanding generalization capability and superior nonlinear approximation. In this study, a novel kernel-based machine learning method, the Gaussian processes (GPs) model, was proposed to perform short-term traffic flow forecasting. This GP model was evaluated and compared with SVMs and autoregressive integrated moving average (ARIMA) models based on four sets of traffic volume data collected from three interstate highways in Seattle, Washington. The comparative results showed that the GP and SVM models consistently outperformed the ARIMA model. This study also showed that because the GP model is formulated in a full Bayesian framework, it can allow for explicit probabilistic interpretation of forecasting outputs. This capacity gives the GP an advantage over SVMs to model and forecast traffic flow.","author":[{"dropping-particle":"","family":"Xie","given":"Yuanchang","non-dropping-particle":"","parse-names":false,"suffix":""},{"dropping-particle":"","family":"Zhao","given":"Kaiguang","non-dropping-particle":"","parse-names":false,"suffix":""},{"dropping-particle":"","family":"Sun","given":"Ying","non-dropping-particle":"","parse-names":false,"suffix":""},{"dropping-particle":"","family":"Chen","given":"Dawei","non-dropping-particle":"","parse-names":false,"suffix":""}],"container-title":"Transportation Research Record","id":"ITEM-1","issue":"2165","issued":{"date-parts":[["2010"]]},"page":"69-78","title":"Gaussian processes for short-term traffic volume forecasting","type":"article-journal","volume":"d"},"uris":["http://www.mendeley.com/documents/?uuid=4c9e1440-3809-4317-9a88-0007ea4f1bed"]}],"mendeley":{"formattedCitation":"(Xie et al., 2010)","plainTextFormattedCitation":"(Xie et al., 2010)","previouslyFormattedCitation":"(Xie et al., 2010)"},"properties":{"noteIndex":0},"schema":"https://github.com/citation-style-language/schema/raw/master/csl-citation.json"}</w:instrText>
      </w:r>
      <w:r w:rsidR="00F472FD">
        <w:fldChar w:fldCharType="separate"/>
      </w:r>
      <w:r w:rsidR="00E61833" w:rsidRPr="00E61833">
        <w:rPr>
          <w:noProof/>
        </w:rPr>
        <w:t>(Xie et al., 2010)</w:t>
      </w:r>
      <w:r w:rsidR="00F472FD">
        <w:fldChar w:fldCharType="end"/>
      </w:r>
      <w:r>
        <w:t>, gaussian processes</w:t>
      </w:r>
      <w:r w:rsidR="00F472FD">
        <w:t xml:space="preserve"> </w:t>
      </w:r>
      <w:r w:rsidR="00F472FD">
        <w:fldChar w:fldCharType="begin" w:fldLock="1"/>
      </w:r>
      <w:r w:rsidR="002061D6">
        <w:instrText>ADDIN CSL_CITATION {"citationItems":[{"id":"ITEM-1","itemData":{"DOI":"10.3141/2165-08","ISSN":"03611981","abstract":"The accurate modeling and forecasting of traffic flow data such as volume and travel time are critical to intelligent transportation systems. Many forecasting models have been developed for this purpose since the 1970s. Recently kernel-based machine learning methods such as support vector machines (SVMs) have gained special attention in traffic flow modeling and other time series analyses because of their outstanding generalization capability and superior nonlinear approximation. In this study, a novel kernel-based machine learning method, the Gaussian processes (GPs) model, was proposed to perform short-term traffic flow forecasting. This GP model was evaluated and compared with SVMs and autoregressive integrated moving average (ARIMA) models based on four sets of traffic volume data collected from three interstate highways in Seattle, Washington. The comparative results showed that the GP and SVM models consistently outperformed the ARIMA model. This study also showed that because the GP model is formulated in a full Bayesian framework, it can allow for explicit probabilistic interpretation of forecasting outputs. This capacity gives the GP an advantage over SVMs to model and forecast traffic flow.","author":[{"dropping-particle":"","family":"Xie","given":"Yuanchang","non-dropping-particle":"","parse-names":false,"suffix":""},{"dropping-particle":"","family":"Zhao","given":"Kaiguang","non-dropping-particle":"","parse-names":false,"suffix":""},{"dropping-particle":"","family":"Sun","given":"Ying","non-dropping-particle":"","parse-names":false,"suffix":""},{"dropping-particle":"","family":"Chen","given":"Dawei","non-dropping-particle":"","parse-names":false,"suffix":""}],"container-title":"Transportation Research Record","id":"ITEM-1","issue":"2165","issued":{"date-parts":[["2010"]]},"page":"69-78","title":"Gaussian processes for short-term traffic volume forecasting","type":"article-journal","volume":"d"},"uris":["http://www.mendeley.com/documents/?uuid=4c9e1440-3809-4317-9a88-0007ea4f1bed"]}],"mendeley":{"formattedCitation":"(Xie et al., 2010)","plainTextFormattedCitation":"(Xie et al., 2010)","previouslyFormattedCitation":"(Xie et al., 2010)"},"properties":{"noteIndex":0},"schema":"https://github.com/citation-style-language/schema/raw/master/csl-citation.json"}</w:instrText>
      </w:r>
      <w:r w:rsidR="00F472FD">
        <w:fldChar w:fldCharType="separate"/>
      </w:r>
      <w:r w:rsidR="00E61833" w:rsidRPr="00E61833">
        <w:rPr>
          <w:noProof/>
        </w:rPr>
        <w:t>(Xie et al., 2010)</w:t>
      </w:r>
      <w:r w:rsidR="00F472FD">
        <w:fldChar w:fldCharType="end"/>
      </w:r>
      <w:r>
        <w:t>, k-nearest neighbors algorithm</w:t>
      </w:r>
      <w:r w:rsidR="0027141B">
        <w:t xml:space="preserve"> </w:t>
      </w:r>
      <w:r w:rsidR="0027141B">
        <w:fldChar w:fldCharType="begin" w:fldLock="1"/>
      </w:r>
      <w:r w:rsidR="002061D6">
        <w:instrText>ADDIN CSL_CITATION {"citationItems":[{"id":"ITEM-1","itemData":{"DOI":"10.1155/2019/4589437","abstract":"Short-term traffic volume forecasting is one of the most essential elements in Intelligent Transportation System (ITS) by providing prediction of traffic condition for traffic management and control applications. Among previous substantial forecasting approaches, K nearest neighbor (KNN) is a nonparametric and data-driven method popular for conciseness, interpretability, and real-time performance. However, in previous related researches, the limitations of Euclidean distance and forecasting with asymmetric loss have rarely been focused on. This research aims to fill up these gaps. This paper reconstructs Euclidean distance to overcome its limitation and proposes a KNN forecasting algorithm with asymmetric loss. Correspondingly, an asymmetric loss index, Imbalanced Mean Squared Error (IMSE), has also been proposed to test the effectiveness of newly designed algorithm. Moreover, the effect of Loess technique and suitable parameter value of dynamic KNN method have also been tested. In contrast to the traditional KNN algorithm, the proposed algorithm reduces the IMSE index by more than 10%, which shows its effectiveness when the cost of forecasting residual direction is notably different. This research expands the applicability of KNN method in short-term traffic volume forecasting and provides an available approach to forecast with asymmetric loss.","author":[{"dropping-particle":"","family":"Wang","given":"Zhiyuan","non-dropping-particle":"","parse-names":false,"suffix":""},{"dropping-particle":"","family":"Ji","given":"Shouwen","non-dropping-particle":"","parse-names":false,"suffix":""},{"dropping-particle":"","family":"Yu","given":"Bowen","non-dropping-particle":"","parse-names":false,"suffix":""}],"container-title":"Mathematical Problems in Engineering","id":"ITEM-1","issued":{"date-parts":[["2019"]]},"publisher":"Hindawi Limited","title":"Short-Term Traffic Volume Forecasting with Asymmetric Loss Based on Enhanced KNN Method","type":"article-journal","volume":"2019"},"uris":["http://www.mendeley.com/documents/?uuid=e74fa157-d2da-352f-91b7-f8dc90952261"]},{"id":"ITEM-2","itemData":{"DOI":"10.1016/J.TRC.2014.02.009","ISSN":"0968-090X","abstract":"To enhance the performance of the k-nearest neighbors approach in forecasting short-term traffic volume, this paper proposed and tested a two-step approach with the ability of forecasting multiple steps. In selecting k-nearest neighbors, a time constraint window is introduced, and then local minima of the distances between the state vectors are ranked to avoid overlappings among candidates. Moreover, to control extreme values' undesirable impact, a novel algorithm with attractive analytical features is developed based on the principle component. The enhanced KNN method has been evaluated using the field data, and our comparison analysis shows that it outperformed the competing algorithms in most cases. © 2014 Elsevier Ltd.","author":[{"dropping-particle":"","family":"Zheng","given":"Zuduo","non-dropping-particle":"","parse-names":false,"suffix":""},{"dropping-particle":"","family":"Su","given":"Dongcai","non-dropping-particle":"","parse-names":false,"suffix":""}],"container-title":"Transportation Research Part C: Emerging Technologies","id":"ITEM-2","issued":{"date-parts":[["2014","6","1"]]},"page":"143-157","publisher":"Pergamon","title":"Short-term traffic volume forecasting: A k-nearest neighbor approach enhanced by constrained linearly sewing principle component algorithm","type":"article-journal","volume":"43"},"uris":["http://www.mendeley.com/documents/?uuid=3f608e1d-a6a0-3b6a-b92a-6e23198a1e98"]}],"mendeley":{"formattedCitation":"(Z. Wang et al., 2019; Zheng &amp; Su, 2014)","plainTextFormattedCitation":"(Z. Wang et al., 2019; Zheng &amp; Su, 2014)","previouslyFormattedCitation":"(Z. Wang et al., 2019; Zheng &amp; Su, 2014)"},"properties":{"noteIndex":0},"schema":"https://github.com/citation-style-language/schema/raw/master/csl-citation.json"}</w:instrText>
      </w:r>
      <w:r w:rsidR="0027141B">
        <w:fldChar w:fldCharType="separate"/>
      </w:r>
      <w:r w:rsidR="00E61833" w:rsidRPr="00E61833">
        <w:rPr>
          <w:noProof/>
        </w:rPr>
        <w:t>(Z. Wang et al., 2019; Zheng &amp; Su, 2014)</w:t>
      </w:r>
      <w:r w:rsidR="0027141B">
        <w:fldChar w:fldCharType="end"/>
      </w:r>
      <w:r>
        <w:t xml:space="preserve"> and CNN-LTSM model</w:t>
      </w:r>
      <w:r w:rsidR="0027141B">
        <w:t xml:space="preserve"> </w:t>
      </w:r>
      <w:r w:rsidR="0027141B">
        <w:fldChar w:fldCharType="begin" w:fldLock="1"/>
      </w:r>
      <w:r w:rsidR="002061D6">
        <w:instrText>ADDIN CSL_CITATION {"citationItems":[{"id":"ITEM-1","itemData":{"DOI":"10.1155/2021/5579451","abstract":"With the acceleration of urbanization and the increase in the number of motor vehicles, more and more social problems such as traffic congestion have emerged. Accordingly, efficient and accurate traffic flow prediction has become a research hot spot in the field of intelligent transportation. However, traditional machine learning algorithms cannot further optimize the model with the increase of the data scale, and the deep learning algorithms perform poorly in mobile application or real-time application; how to train and update deep learning models efficiently and accurately is still an urgent problem since they require huge computation resources and time costs. Therefore, an incremental learning-based CNN-LTSM model, IL-TFNet, is proposed for traffic flow prediction in this study. The lightweight convolution neural network-based model architecture is designed to process spatiotemporal and external environment features simultaneously to improve the prediction performance and prediction efficiency of the model. Especially, the K-means clustering algorithm is applied as an uncertainty feature to extract unknown traffic accident information. During the model training, instead of the traditional batch learning algorithm, the incremental learning algorithm is applied to reduce the cost of updating the model and satisfy the requirements of high real-time performance and low computational overhead in short-term traffic prediction. Furthermore, the idea of combining incremental learning with active learning is proposed to fine-tune the prediction model to improve prediction accuracy in special situations. Experiments have proved that compared with other traffic flow prediction models, the IL-TFNet model performs well in short-term traffic flow prediction.","author":[{"dropping-particle":"","family":"Shao","given":"Yanli","non-dropping-particle":"","parse-names":false,"suffix":""},{"dropping-particle":"","family":"Zhao","given":"Yiming","non-dropping-particle":"","parse-names":false,"suffix":""},{"dropping-particle":"","family":"Yu","given":"Feng","non-dropping-particle":"","parse-names":false,"suffix":""},{"dropping-particle":"","family":"Zhu","given":"Huawei","non-dropping-particle":"","parse-names":false,"suffix":""},{"dropping-particle":"","family":"Fang","given":"Jinglong","non-dropping-particle":"","parse-names":false,"suffix":""}],"container-title":"Mobile Information Systems","id":"ITEM-1","issued":{"date-parts":[["2021"]]},"publisher":"Hindawi Limited","title":"The Traffic Flow Prediction Method Using the Incremental Learning-Based CNN-LTSM Model: The Solution of Mobile Application","type":"article-journal","volume":"2021"},"uris":["http://www.mendeley.com/documents/?uuid=91687fb9-3b4a-3e1e-93dd-8f0471eb252d"]}],"mendeley":{"formattedCitation":"(Shao et al., 2021)","plainTextFormattedCitation":"(Shao et al., 2021)","previouslyFormattedCitation":"(Shao et al., 2021)"},"properties":{"noteIndex":0},"schema":"https://github.com/citation-style-language/schema/raw/master/csl-citation.json"}</w:instrText>
      </w:r>
      <w:r w:rsidR="0027141B">
        <w:fldChar w:fldCharType="separate"/>
      </w:r>
      <w:r w:rsidR="00E61833" w:rsidRPr="00E61833">
        <w:rPr>
          <w:noProof/>
        </w:rPr>
        <w:t>(Shao et al., 2021)</w:t>
      </w:r>
      <w:r w:rsidR="0027141B">
        <w:fldChar w:fldCharType="end"/>
      </w:r>
      <w:r>
        <w:t xml:space="preserve">. The most important factors identified </w:t>
      </w:r>
      <w:r w:rsidR="00461737">
        <w:t xml:space="preserve">in these research </w:t>
      </w:r>
      <w:r>
        <w:t xml:space="preserve">as affecting traffic volumes include population density, employment rate, land-use and built environment characteristics (such as number of restaurants, and proportion of commercial area), temperature and rain. </w:t>
      </w:r>
    </w:p>
    <w:p w14:paraId="69233B5F" w14:textId="6444C6A4" w:rsidR="00916138" w:rsidRDefault="009C5EDA" w:rsidP="00612721">
      <w:pPr>
        <w:ind w:firstLine="720"/>
      </w:pPr>
      <w:r>
        <w:t xml:space="preserve">The </w:t>
      </w:r>
      <w:r w:rsidRPr="001D3A94">
        <w:rPr>
          <w:i/>
          <w:iCs/>
          <w:u w:val="single"/>
        </w:rPr>
        <w:t>second stream of studies</w:t>
      </w:r>
      <w:r>
        <w:t xml:space="preserve"> are focused on understanding changes to traffic volumes in response to a major transportation system change (such as addition of new lanes, addition of significant public transit facility along the roadway corridor)</w:t>
      </w:r>
      <w:r w:rsidR="00F962C2">
        <w:t xml:space="preserve"> </w:t>
      </w:r>
      <w:r w:rsidR="00F962C2">
        <w:fldChar w:fldCharType="begin" w:fldLock="1"/>
      </w:r>
      <w:r w:rsidR="002061D6">
        <w:instrText>ADDIN CSL_CITATION {"citationItems":[{"id":"ITEM-1","itemData":{"DOI":"10.1016/J.RETREC.2015.10.004","ISSN":"0739-8859","abstract":"In this paper we provide a framework for evaluating public transit investment, taking account of the effects of transit investment on traffic congestion and air quality. We discuss how to assess the sustainability of transit investment and the mechanisms through which public transit investment can affect equilibrium auto travel volumes and the associated congestion and air quality outcomes. Several related issues are addressed: the differences between short-run and long-run equilibria; the role of regional heterogeneity; regulatory and policy considerations; and the potential endogeneity of transit investment when conducting empirical analyses. As the transportation policy landscape evolves and technological advancements continue, a complete evaluation of the social benefits of transit investment is essential both for allocating investment funds and for designing policies that result in an efficient level of investment and travel in the long run. Does the existing evidence bolster public transit's 'green' reputation? Reviewing the recent empirical literature, it appears that transit can both reduce congestion and improve air quality, but the magnitudes of these benefits are uncertain and may be specific to each location.","author":[{"dropping-particle":"","family":"Beaudoin","given":"Justin","non-dropping-particle":"","parse-names":false,"suffix":""},{"dropping-particle":"","family":"Farzin","given":"Y. Hossein","non-dropping-particle":"","parse-names":false,"suffix":""},{"dropping-particle":"","family":"Lin Lawell","given":"C. Y.Cynthia","non-dropping-particle":"","parse-names":false,"suffix":""}],"container-title":"Research in Transportation Economics","id":"ITEM-1","issued":{"date-parts":[["2015","10","1"]]},"page":"15-22","publisher":"Elsevier","title":"Public transit investment and sustainable transportation: A review of studies of transit's impact on traffic congestion and air quality","type":"article-journal","volume":"52"},"uris":["http://www.mendeley.com/documents/?uuid=f5ffc05d-e7f1-339f-976a-db5256dcf80d"]},{"id":"ITEM-2","itemData":{"DOI":"10.1080/03081060.2020.1780710","abstract":"Transportation agencies are facing problems of inadequate capacities to meet growing traffic demand. Street widening, signal operations optimization, innovative designs and multimodal transportatio...","author":[{"dropping-particle":"","family":"Shams","given":"Andalib","non-dropping-particle":"","parse-names":false,"suffix":""},{"dropping-particle":"","family":"Zlatkovic","given":"Milan","non-dropping-particle":"","parse-names":false,"suffix":""}],"container-title":"https://doi.org/10.1080/03081060.2020.1780710","id":"ITEM-2","issue":"6","issued":{"date-parts":[["2020","8","17"]]},"page":"602-619","publisher":"Routledge","title":"Effects of capacity and transit improvements on traffic and transit operations","type":"article-journal","volume":"43"},"uris":["http://www.mendeley.com/documents/?uuid=81886597-7b52-3f66-bc64-9af99f5eaca0"]},{"id":"ITEM-3","itemData":{"DOI":"10.1177/0361198113235600114","abstract":"The Sydney Coordinated Adaptive Traffic System (SCATS) is designed to improve mobility on congested corridors with variable demand; SCATS is expected to improve transit performance. Because many ur...","author":[{"dropping-particle":"","family":"Slavin","given":"Courtney","non-dropping-particle":"","parse-names":false,"suffix":""},{"dropping-particle":"","family":"Feng","given":"Wei","non-dropping-particle":"","parse-names":false,"suffix":""},{"dropping-particle":"","family":"Figliozzi","given":"Miguel","non-dropping-particle":"","parse-names":false,"suffix":""},{"dropping-particle":"","family":"Koonce","given":"Peter","non-dropping-particle":"","parse-names":false,"suffix":""}],"container-title":"Transportation Research Record","id":"ITEM-3","issue":"1","issued":{"date-parts":[["2013","3","8"]]},"page":"117-126","publisher":"SAGE PublicationsSage CA: Los Angeles, CA","title":"Statistical Study of the Impact of Adaptive Traffic Signal Control on Traffic and Transit Performance:","type":"article-journal","volume":"2356"},"uris":["http://www.mendeley.com/documents/?uuid=67190387-2cba-36a5-a9d3-25a185564750"]}],"mendeley":{"formattedCitation":"(Beaudoin et al., 2015; Shams &amp; Zlatkovic, 2020; Slavin et al., 2013)","plainTextFormattedCitation":"(Beaudoin et al., 2015; Shams &amp; Zlatkovic, 2020; Slavin et al., 2013)","previouslyFormattedCitation":"(Beaudoin et al., 2015; Shams &amp; Zlatkovic, 2020; Slavin et al., 2013)"},"properties":{"noteIndex":0},"schema":"https://github.com/citation-style-language/schema/raw/master/csl-citation.json"}</w:instrText>
      </w:r>
      <w:r w:rsidR="00F962C2">
        <w:fldChar w:fldCharType="separate"/>
      </w:r>
      <w:r w:rsidR="00E61833" w:rsidRPr="00E61833">
        <w:rPr>
          <w:noProof/>
        </w:rPr>
        <w:t>(Beaudoin et al., 2015; Shams &amp; Zlatkovic, 2020; Slavin et al., 2013)</w:t>
      </w:r>
      <w:r w:rsidR="00F962C2">
        <w:fldChar w:fldCharType="end"/>
      </w:r>
      <w:r w:rsidR="00F962C2">
        <w:t xml:space="preserve"> </w:t>
      </w:r>
      <w:r>
        <w:t>or system level shocks (such as a major economic recession or a pandemic)</w:t>
      </w:r>
      <w:r w:rsidR="00F962C2">
        <w:t xml:space="preserve"> </w:t>
      </w:r>
      <w:r w:rsidR="00151CEE">
        <w:fldChar w:fldCharType="begin" w:fldLock="1"/>
      </w:r>
      <w:r w:rsidR="002061D6">
        <w:instrText>ADDIN CSL_CITATION {"citationItems":[{"id":"ITEM-1","itemData":{"DOI":"10.1016/J.TRA.2006.03.001","ISSN":"0965-8564","abstract":"In this paper we investigate the effect of the Los Angeles transit strike on highway congestion through analysis of highway sensor data, using both a before-and-after comparison, and a control group comparison. We found that average 5:00 a.m. to 10:00 p.m. traffic speeds declined by as much as 20% during the strike, and the average length of the rush period increased by as much as 200%, even though increases in traffic were small, despite the fact that transit riders constitute a small fraction of the traveling population. Speeds declined the most at locations upstream from the places where queues normally end. We believe that highways are especially susceptible to congestion during strikes because travelers have little opportunity to adjust and equilibrate their travel patterns, as is possible during ordinary periods of traffic growth. © 2006 Elsevier Ltd. All rights reserved.","author":[{"dropping-particle":"","family":"Lo","given":"Shih Che","non-dropping-particle":"","parse-names":false,"suffix":""},{"dropping-particle":"","family":"Hall","given":"Randolph W.","non-dropping-particle":"","parse-names":false,"suffix":""}],"container-title":"Transportation Research Part A: Policy and Practice","id":"ITEM-1","issue":"10","issued":{"date-parts":[["2006","12","1"]]},"page":"903-917","publisher":"Pergamon","title":"Effects of the Los Angeles transit strike on highway congestion","type":"article-journal","volume":"40"},"uris":["http://www.mendeley.com/documents/?uuid=44ac923b-29f4-3574-a9ed-84c945465905"]},{"id":"ITEM-2","itemData":{"DOI":"10.1016/J.SCITOTENV.2018.09.169","ISSN":"0048-9697","abstract":"Recent studies have suggested that automobile pollution poses significantly more harmful health impacts than previously realized. Light-rail transit (LRT) is a major type of transportation infrastructure, but there has been little research assessing the air quality effects of LRT based on the actual air pollution data. This study aimed to assess the effects of LRT on automobile-related air emissions in Houston. Specifically, we examined the effects of LRT on key tailpipe pollutants-carbon monoxide and acetylene-as well as other traffic pollution surrogates referred to as BTEX (benzene, toluene, ethylbenzene, and xylene), measured from ambient air monitoring stations. An interrupted time series design and analysis was used to determine the impact of an intervention, where the intervention was the opening of an LRT on January 1, 2004, with two years (2002−2003) of before and two years (2004–2005) of after period data. We found that, after controlling for weather, the opening of the LRT was associated with statistically significant reductions in traffic-related air emissions. Specifically, at the exposure sites, the daily maximum carbon monoxide level was reduced roughly by 24%, and the daily level of toluene was reduced roughly by 60% (33% after accounting for the reduction at the comparison site). Our findings lend support to the air quality benefits of LRT by providing suggestive evidence of positive effects of LRT based on actual air pollution monitoring data. This study's findings also emphasize the importance of developing effective measures to assess traffic-related pollution and call for advanced data collection strategies of additional data, including traffic volume and speed data.","author":[{"dropping-particle":"","family":"Park","given":"Eun Sug","non-dropping-particle":"","parse-names":false,"suffix":""},{"dropping-particle":"","family":"Sener","given":"Ipek Nese","non-dropping-particle":"","parse-names":false,"suffix":""}],"container-title":"Science of The Total Environment","id":"ITEM-2","issued":{"date-parts":[["2019","2","15"]]},"page":"154-161","publisher":"Elsevier","title":"Traffic-related air emissions in Houston: Effects of light-rail transit","type":"article-journal","volume":"651"},"uris":["http://www.mendeley.com/documents/?uuid=c0e0b5ac-e506-3839-9eee-84154ee17747"]}],"mendeley":{"formattedCitation":"(Lo &amp; Hall, 2006; Park &amp; Sener, 2019)","plainTextFormattedCitation":"(Lo &amp; Hall, 2006; Park &amp; Sener, 2019)","previouslyFormattedCitation":"(Lo &amp; Hall, 2006; Park &amp; Sener, 2019)"},"properties":{"noteIndex":0},"schema":"https://github.com/citation-style-language/schema/raw/master/csl-citation.json"}</w:instrText>
      </w:r>
      <w:r w:rsidR="00151CEE">
        <w:fldChar w:fldCharType="separate"/>
      </w:r>
      <w:r w:rsidR="00E61833" w:rsidRPr="00E61833">
        <w:rPr>
          <w:noProof/>
        </w:rPr>
        <w:t>(Lo &amp; Hall, 2006; Park &amp; Sener, 2019)</w:t>
      </w:r>
      <w:r w:rsidR="00151CEE">
        <w:fldChar w:fldCharType="end"/>
      </w:r>
      <w:r>
        <w:t>. The reader would note that some studies focused on understanding air quality impacts of COVID-19 and as part of their analysis developed aggregate traffic volume trends/predictions</w:t>
      </w:r>
      <w:r w:rsidR="0098416A">
        <w:t xml:space="preserve"> </w:t>
      </w:r>
      <w:r w:rsidR="0098416A">
        <w:fldChar w:fldCharType="begin" w:fldLock="1"/>
      </w:r>
      <w:r w:rsidR="002061D6">
        <w:instrText>ADDIN CSL_CITATION {"citationItems":[{"id":"ITEM-1","itemData":{"DOI":"10.3390/RS13030369","abstract":"The recent COVID-19 pandemic has prompted global governments to take several measures to limit and contain the spread of the novel virus. In the United States (US), most states have imposed a partial to complete lockdown that has led to decreased traffic volumes and reduced vehicle emissions. In this study, we investigate the impacts of the pandemic-related lockdown on air quality in the US using remote sensing products for nitrogen dioxide tropospheric column (NO2), carbon monoxide atmospheric column (CO), tropospheric ozone column (O3), and aerosol optical depth (AOD). We focus on states with distinctive anomalies and high traffic volume, New York (NY), Illinois (IL), Florida (FL), Texas (TX), and California (CA). We evaluate the effectiveness of reduced traffic volume to improve air quality by comparing the significant reductions during the pandemic to the interannual variability (IAV) of a respective reference period for each pollutant. We also investigate and address the potential factors that might have contributed to changes in air quality during the pandemic. As a result of the lockdown and the significant reduction in traffic volume, there have been reductions in CO and NO2. These reductions were, in many instances, compensated by local emissions and, or affected by meteorological conditions. Ozone was reduced by varying magnitude in all cases related to the decrease or increase of NO2 concentrations, depending on ozone photochemical sensitivity. Regarding the policy impacts of this large-scale experiment, our results indicate that reduction of traffic volume during the pandemic was effective in improving air quality in regions where traffic is the main pollution source, such as in New York City and FL, while was not effective in reducing pollution events where other pollution sources dominate, such as in IL, TX and CA. Therefore, policies to reduce other emissions sources (e.g., industrial emissions) should also be considered, especially in places where the reduction in traffic volume was not effective in improving air quality (AQ).","author":[{"dropping-particle":"","family":"Elshorbany","given":"Yasin F.","non-dropping-particle":"","parse-names":false,"suffix":""},{"dropping-particle":"","family":"Kapper","given":"Hannah C.","non-dropping-particle":"","parse-names":false,"suffix":""},{"dropping-particle":"","family":"Ziemke","given":"Jerald R.","non-dropping-particle":"","parse-names":false,"suffix":""},{"dropping-particle":"","family":"Parr","given":"Scott A.","non-dropping-particle":"","parse-names":false,"suffix":""}],"container-title":"Remote Sensing 2021, Vol. 13, Page 369","id":"ITEM-1","issue":"3","issued":{"date-parts":[["2021","1","21"]]},"page":"369","publisher":"Multidisciplinary Digital Publishing Institute","title":"The Status of Air Quality in the United States During the COVID-19 Pandemic: A Remote Sensing Perspective","type":"article-journal","volume":"13"},"uris":["http://www.mendeley.com/documents/?uuid=9b4d7512-b05a-3eab-8d52-9ff286144849"]},{"id":"ITEM-2","itemData":{"DOI":"10.1016/J.SCITOTENV.2020.144270","ISSN":"0048-9697","abstract":"The global outbreak and spread of COVID-19 had a significant impact on the environment of urban areas. This study aimed to provide a new insight into the urban transportation and air pollutant emission of representative Canadian cities impacted by this pandemic. The consumption of urban transportation fuel was analyzed and the corresponding CO2 emissions was evaluated. The changes in urban traffic volume and air pollutant concentrations before and after the outbreak of this pandemic was investigated. Due to the lockdown after the outbreak of COVID-19, the domestic consumption of motor gasoline and estimated CO2 emissions from urban vehicles in Canada has continuously decreased with a lowest level in April 2020, and rebounded in May 2020. It will still take a long time to recover to pre-pandemic levels because of the upcoming second wave of pandemic and further change. The Air Quality Health Index (AQHI), level of urban congestion and concentration level of NO2 and CO had strong relevance with the COVID-19 period while SO2 did not show significant relation. The comprehensive analysis of changing fuel consumptions, traffic volume and emission levels can help the government assess the impact and make corresponding strategy for such a pandemic in the future.","author":[{"dropping-particle":"","family":"Tian","given":"Xuelin","non-dropping-particle":"","parse-names":false,"suffix":""},{"dropping-particle":"","family":"An","given":"Chunjiang","non-dropping-particle":"","parse-names":false,"suffix":""},{"dropping-particle":"","family":"Chen","given":"Zhikun","non-dropping-particle":"","parse-names":false,"suffix":""},{"dropping-particle":"","family":"Tian","given":"Zhiqiang","non-dropping-particle":"","parse-names":false,"suffix":""}],"container-title":"Science of The Total Environment","id":"ITEM-2","issued":{"date-parts":[["2021","4","15"]]},"page":"144270","publisher":"Elsevier","title":"Assessing the impact of COVID-19 pandemic on urban transportation and air quality in Canada","type":"article-journal","volume":"765"},"uris":["http://www.mendeley.com/documents/?uuid=0565cbf1-2976-336b-b69c-958cb530c12b"]},{"id":"ITEM-3","itemData":{"DOI":"10.1016/J.SCITOTENV.2020.141325","ISSN":"0048-9697","abstract":"This study evaluates the COVID-19 impacts on traffic-related air pollution, including ultrafine particles (UFPs), PM2.5, black carbon (BC), NO, NO2, NOx, and CO in a Northwestern US city. Hourly traffic, air pollutants, and meteorological data on/near a major freeway in the downtown of Seattle, Washington, were collected for five weeks before and ten weeks after the Washington Stay Home Order (SHO) was enacted, respectively (February 17–May 31, 2020). The pollutants between pre- and post-SHO periods were compared, and their differences were statistically tested. Besides, first-order multivariate autoregressive (MAR(1)) models were developed to reveal the impacts specific to the change of traffic due to the COVID-19 responses while controlling for meteorological conditions. Results indicate that compared with those in the post-SHO period, the median traffic volume and road occupancy decreased by 37% and 52%, respectively. As for pollutants, the median BC and PM2.5 levels significantly decreased by 25% and 33%, relatively, while NO, NO2, NOx, and CO decreased by 33%, 29%, 30%, and 17%, respectively. In contrast, neither size-resolved UFPs nor total UFPs showed significant changes between the two periods, although larger particles (≥115.5 nm) decreased by 4–29%. Additionally, significant differences were found in meteorological conditions between the two periods. Based on the MAR(1) models, controlling for meteorological conditions, the COVID-19 responses were associated with significant decreases in median levels of traffic-related pollutants including 11.5–154.0 nm particles (ranging from −3% [95% confidence interval (CI): −1%, −4%] to −12% [95% CI: −10%, −14%]), total UFPs (−7% [95% CI: −5%, −8%]), BC (−6% [95% CI: −5%, −7%]), PM2.5 (−2% [95% CI: −1%, −3%]), NO, NO2, NOx (ranging from −3% [95% CI: −2%, −4%] to −10% [95% CI: −18%, −12%]), and CO (−4% [95% CI, −3%, −5%]). These findings illustrate that the conclusion of the COVID-19 impacts on urban traffic-related air pollutant levels could be completely different in scenarios whether meteorology was adjusted for or not. Fully adjusting for meteorology, this study shows that the COVID-19 responses were associated with much more reductions in traffic-related UFPs than PM2.5 in the Seattle region, in contrast to the reverse trend from the direct empirical data comparison.","author":[{"dropping-particle":"","family":"Xiang","given":"Jianbang","non-dropping-particle":"","parse-names":false,"suffix":""},{"dropping-particle":"","family":"Austin","given":"Elena","non-dropping-particle":"","parse-names":false,"suffix":""},{"dropping-particle":"","family":"Gould","given":"Timothy","non-dropping-particle":"","parse-names":false,"suffix":""},{"dropping-particle":"","family":"Larson","given":"Timothy","non-dropping-particle":"","parse-names":false,"suffix":""},{"dropping-particle":"","family":"Shirai","given":"Jeffry","non-dropping-particle":"","parse-names":false,"suffix":""},{"dropping-particle":"","family":"Liu","given":"Yisi","non-dropping-particle":"","parse-names":false,"suffix":""},{"dropping-particle":"","family":"Marshall","given":"Julian","non-dropping-particle":"","parse-names":false,"suffix":""},{"dropping-particle":"","family":"Seto","given":"Edmund","non-dropping-particle":"","parse-names":false,"suffix":""}],"container-title":"Science of The Total Environment","id":"ITEM-3","issued":{"date-parts":[["2020","12","10"]]},"page":"141325","publisher":"Elsevier","title":"Impacts of the COVID-19 responses on traffic-related air pollution in a Northwestern US city","type":"article-journal","volume":"747"},"uris":["http://www.mendeley.com/documents/?uuid=b3507022-9bd4-3863-8544-eb0a04e83d4f"]}],"mendeley":{"formattedCitation":"(Elshorbany et al., 2021; Tian et al., 2021; Xiang et al., 2020)","plainTextFormattedCitation":"(Elshorbany et al., 2021; Tian et al., 2021; Xiang et al., 2020)","previouslyFormattedCitation":"(Elshorbany et al., 2021; Tian et al., 2021; Xiang et al., 2020)"},"properties":{"noteIndex":0},"schema":"https://github.com/citation-style-language/schema/raw/master/csl-citation.json"}</w:instrText>
      </w:r>
      <w:r w:rsidR="0098416A">
        <w:fldChar w:fldCharType="separate"/>
      </w:r>
      <w:r w:rsidR="00E61833" w:rsidRPr="00E61833">
        <w:rPr>
          <w:noProof/>
        </w:rPr>
        <w:t>(Elshorbany et al., 2021; Tian et al., 2021; Xiang et al., 2020)</w:t>
      </w:r>
      <w:r w:rsidR="0098416A">
        <w:fldChar w:fldCharType="end"/>
      </w:r>
      <w:r>
        <w:t xml:space="preserve"> and are not directly relevant to our study. </w:t>
      </w:r>
      <w:proofErr w:type="gramStart"/>
      <w:r>
        <w:t>A number of</w:t>
      </w:r>
      <w:proofErr w:type="gramEnd"/>
      <w:r>
        <w:t xml:space="preserve"> research efforts examined how COVID-19 is affecting transport</w:t>
      </w:r>
      <w:r w:rsidR="00230460">
        <w:t xml:space="preserve">ation volumes on multiple roadways. For example, </w:t>
      </w:r>
      <w:proofErr w:type="spellStart"/>
      <w:r w:rsidR="00230460">
        <w:t>Loske</w:t>
      </w:r>
      <w:proofErr w:type="spellEnd"/>
      <w:r w:rsidR="00230460">
        <w:t xml:space="preserve"> </w:t>
      </w:r>
      <w:r w:rsidR="00230460">
        <w:fldChar w:fldCharType="begin" w:fldLock="1"/>
      </w:r>
      <w:r w:rsidR="002061D6">
        <w:instrText>ADDIN CSL_CITATION {"citationItems":[{"id":"ITEM-1","itemData":{"DOI":"10.1016/j.trip.2020.100165","ISSN":"25901982","abstract":"Governmental restrictions aspiring to slow down the spread of epidemic and pandemic outbreaks lead to impairments for economic operations, which impact transportation networks comprising the maritime, rail, air, and trucking industries. Witnessing a substantial increase in the number of infections in Germany, the authorities have imposed drastic restrictions on everyday life. Resulting panic buying and increasing home consumption had versatile impacts on transport volume and freight capacity dynamics in German food retail logistics. Due to the lack of prior research on the effects of COVID-19 on transport volume in retail logistics, as well as resulting implications, this article aspires to shed light on the phenomenon of changing volume and capacity dynamics in road haulage. After analyzing the transport volume of n = 15,715 routes in the timeframe of 23.03.2020 to 30.04.2020, a transport volume growth rate expressing the difference of real and expected transport volume was calculated. This ratio was then examined concerning the number of COVID-19 infections per day. The results of this study prove that the increasing freight volume for dry products in retail logistics does not depend on the duration of the COVID-19 epidemy but on the strength quantified through the total number of new infections per day. This causes a conflict of interest between transportation companies and food retail logistics for non-cooled transport capacity. The contributions of this paper are highly relevant to assess the impact of a possibly occurring second COVID-19 virus infection wave.","author":[{"dropping-particle":"","family":"Loske","given":"Dominic","non-dropping-particle":"","parse-names":false,"suffix":""}],"container-title":"Transportation Research Interdisciplinary Perspectives","id":"ITEM-1","issued":{"date-parts":[["2020"]]},"page":"100165","publisher":"The Author(s)","title":"The impact of COVID-19 on transport volume and freight capacity dynamics: An empirical analysis in German food retail logistics","type":"article-journal","volume":"6"},"uris":["http://www.mendeley.com/documents/?uuid=94b3b4d2-1c41-40d6-9685-508e70987502"]}],"mendeley":{"formattedCitation":"(Loske, 2020)","manualFormatting":"(2020)","plainTextFormattedCitation":"(Loske, 2020)","previouslyFormattedCitation":"(Loske, 2020)"},"properties":{"noteIndex":0},"schema":"https://github.com/citation-style-language/schema/raw/master/csl-citation.json"}</w:instrText>
      </w:r>
      <w:r w:rsidR="00230460">
        <w:fldChar w:fldCharType="separate"/>
      </w:r>
      <w:r w:rsidR="00230460" w:rsidRPr="00230460">
        <w:rPr>
          <w:noProof/>
        </w:rPr>
        <w:t>(2020)</w:t>
      </w:r>
      <w:r w:rsidR="00230460">
        <w:fldChar w:fldCharType="end"/>
      </w:r>
      <w:r>
        <w:t xml:space="preserve"> </w:t>
      </w:r>
      <w:r w:rsidR="00230460">
        <w:t xml:space="preserve">and Lee et al. </w:t>
      </w:r>
      <w:r w:rsidR="00230460">
        <w:fldChar w:fldCharType="begin" w:fldLock="1"/>
      </w:r>
      <w:r w:rsidR="002061D6">
        <w:instrText>ADDIN CSL_CITATION {"citationItems":[{"id":"ITEM-1","itemData":{"DOI":"10.1016/J.IJID.2020.05.031","ISSN":"1201-9712","abstract":"Objective: The World Health Organization (WHO) declared a COVID-19 pandemic on March 12, 2020. Several studies have indicated that densely populated urban environments and the heavy dependence on traffic could increase the potential spread of COVID-19. This study investigated the association between changes in traffic volume and the spread of COVID-19 in South Korea. Methods: This study analyzed the daily national traffic and traffic trend for 3 months from January 1, 2020. Traffic data were measured using 6307 vehicle detection system (VDS). This study analyzed the difference in traffic levels between 2019 and 2020. Non-linear regression was performed to analyze the change in traffic trend in 2020. The relationship between traffic and confirmed COVID-19 cases was analyzed using single linear regression. Results: The mean daily nationwide level of traffic for the first 3 months of 2020 was 143 655 563 vehicles, which was 9.7% lower than the same period in 2019 (159 044 566 vehicles). All regions showed a decreasing trend in traffic in February, which shifted to an increasing trend from March. In Incheon there was a positive, but insignificant, linear relationship between increasing numbers of newly confirmed cases and increasing traffic (β = 43 146; p = 0.056). Conclusions: Numbers of newly confirmed COVID-19 patients have been decreasing since March, while the traffic has been increasing. The fact that traffic is increasing indicates greater contact between people, which in turn increases the risk of further COVID-19 spread. Therefore, the government will need to devise suitable policies, such as total social distancing.","author":[{"dropping-particle":"","family":"Lee","given":"Hocheol","non-dropping-particle":"","parse-names":false,"suffix":""},{"dropping-particle":"","family":"Park","given":"Sung Jong","non-dropping-particle":"","parse-names":false,"suffix":""},{"dropping-particle":"","family":"Lee","given":"Ga Ram","non-dropping-particle":"","parse-names":false,"suffix":""},{"dropping-particle":"","family":"Kim","given":"Ji Eon","non-dropping-particle":"","parse-names":false,"suffix":""},{"dropping-particle":"","family":"Lee","given":"Ji Ho","non-dropping-particle":"","parse-names":false,"suffix":""},{"dropping-particle":"","family":"Jung","given":"Yeseul","non-dropping-particle":"","parse-names":false,"suffix":""},{"dropping-particle":"","family":"Nam","given":"Eun Woo","non-dropping-particle":"","parse-names":false,"suffix":""}],"container-title":"International Journal of Infectious Diseases","id":"ITEM-1","issued":{"date-parts":[["2020","7","1"]]},"page":"399-407","publisher":"Elsevier","title":"The relationship between trends in COVID-19 prevalence and traffic levels in South Korea","type":"article-journal","volume":"96"},"uris":["http://www.mendeley.com/documents/?uuid=3099d9ef-b6b4-3c29-875b-2d18dcef8d38"]}],"mendeley":{"formattedCitation":"(Lee et al., 2020)","manualFormatting":"(2020)","plainTextFormattedCitation":"(Lee et al., 2020)","previouslyFormattedCitation":"(Lee et al., 2020)"},"properties":{"noteIndex":0},"schema":"https://github.com/citation-style-language/schema/raw/master/csl-citation.json"}</w:instrText>
      </w:r>
      <w:r w:rsidR="00230460">
        <w:fldChar w:fldCharType="separate"/>
      </w:r>
      <w:r w:rsidR="00230460" w:rsidRPr="00230460">
        <w:rPr>
          <w:noProof/>
        </w:rPr>
        <w:t>(2020)</w:t>
      </w:r>
      <w:r w:rsidR="00230460">
        <w:fldChar w:fldCharType="end"/>
      </w:r>
      <w:r w:rsidR="00230460">
        <w:t xml:space="preserve"> </w:t>
      </w:r>
      <w:r>
        <w:t xml:space="preserve">examined COVID-19 data until March 2020 and examined how transport volumes were affected.  The studies developed linear regression models with only one variable of </w:t>
      </w:r>
      <w:r>
        <w:lastRenderedPageBreak/>
        <w:t xml:space="preserve">interest (COVID-19 cases). </w:t>
      </w:r>
      <w:proofErr w:type="spellStart"/>
      <w:r>
        <w:t>Macioszek</w:t>
      </w:r>
      <w:proofErr w:type="spellEnd"/>
      <w:r>
        <w:t xml:space="preserve"> and Kurek</w:t>
      </w:r>
      <w:r w:rsidR="00230460">
        <w:t xml:space="preserve"> </w:t>
      </w:r>
      <w:r w:rsidR="00230460">
        <w:fldChar w:fldCharType="begin" w:fldLock="1"/>
      </w:r>
      <w:r w:rsidR="002061D6">
        <w:instrText>ADDIN CSL_CITATION {"citationItems":[{"id":"ITEM-1","itemData":{"DOI":"10.3390/RS13122329","abstract":"Continuous, automatic measurements of road traffic volume allow the obtaining of information on daily, weekly or seasonal fluctuations in road traffic volume. They are the basis for calculating the annual average daily traffic volume, obtaining information about the relevant traffic volume, or calculating indicators for converting traffic volume from short-term measurements to average daily traffic volume. The covid-19 pandemic has contributed to extensive social and economic anomalies worldwide. In addition to the health consequences, the impact on travel behavior on the transport network was also sudden, extensive, and unpredictable. Changes in the transport behavior resulted in different values of traffic volume on the road and street network than before. The article presents road traffic volume analysis in the city before and during the restrictions related to covid-19. Selected traffic characteristics were compared for 2019 and 2020. This analysis made it possible to characterize the daily, weekly and annual variability of traffic volume in 2019 and 2020. Moreover, the article attempts to estimate daily traffic patterns at particular stages of the pandemic. These types of patterns were also constructed for the weeks in 2019 corresponding to these stages of the pandemic. Daily traffic volume distributions in 2020 were compared with the corresponding ones in 2019. The obtained results may be useful in terms of planning operational and strategic activities in the field of traffic management in the city and management in subsequent stages of a pandemic or subsequent pandemics.","author":[{"dropping-particle":"","family":"Macioszek","given":"Elżbieta","non-dropping-particle":"","parse-names":false,"suffix":""},{"dropping-particle":"","family":"Kurek","given":"Agata","non-dropping-particle":"","parse-names":false,"suffix":""}],"container-title":"Remote Sensing 2021, Vol. 13, Page 2329","id":"ITEM-1","issue":"12","issued":{"date-parts":[["2021","6","14"]]},"page":"2329","publisher":"Multidisciplinary Digital Publishing Institute","title":"Extracting Road Traffic Volume in the City before and during covid-19 through Video Remote Sensing","type":"article-journal","volume":"13"},"uris":["http://www.mendeley.com/documents/?uuid=0995ed77-fb8a-31ed-9881-3d4150e7d2d8"]}],"mendeley":{"formattedCitation":"(Macioszek &amp; Kurek, 2021)","manualFormatting":"(2021)","plainTextFormattedCitation":"(Macioszek &amp; Kurek, 2021)","previouslyFormattedCitation":"(Macioszek &amp; Kurek, 2021)"},"properties":{"noteIndex":0},"schema":"https://github.com/citation-style-language/schema/raw/master/csl-citation.json"}</w:instrText>
      </w:r>
      <w:r w:rsidR="00230460">
        <w:fldChar w:fldCharType="separate"/>
      </w:r>
      <w:r w:rsidR="00230460" w:rsidRPr="00230460">
        <w:rPr>
          <w:noProof/>
        </w:rPr>
        <w:t>(2021)</w:t>
      </w:r>
      <w:r w:rsidR="00230460">
        <w:fldChar w:fldCharType="end"/>
      </w:r>
      <w:r>
        <w:t xml:space="preserve"> employed data for 2019 and 2020 from a small number of intersections in an urban region to examine the changes in average daily traffic, changes to traffic at different points of the pandemic using linear combinations of Gaussian functions. Parr et al. </w:t>
      </w:r>
      <w:r w:rsidR="00230460">
        <w:fldChar w:fldCharType="begin" w:fldLock="1"/>
      </w:r>
      <w:r w:rsidR="002061D6">
        <w:instrText>ADDIN CSL_CITATION {"citationItems":[{"id":"ITEM-1","itemData":{"DOI":"10.1061/(ASCE)NH.1527-6996.0000409","abstract":"AbstractThe COVID-19 pandemic resulted in significant social and economic impacts throughout the world. In addition to the health consequences, the impacts on travel behavior have also been sudden ...","author":[{"dropping-particle":"","family":"Parr","given":"Scott","non-dropping-particle":"","parse-names":false,"suffix":""},{"dropping-particle":"","family":"Wolshon","given":"Brian","non-dropping-particle":"","parse-names":false,"suffix":""},{"dropping-particle":"","family":"Renne","given":"John","non-dropping-particle":"","parse-names":false,"suffix":""},{"dropping-particle":"","family":"Murray-Tuite","given":"Pamela","non-dropping-particle":"","parse-names":false,"suffix":""},{"dropping-particle":"","family":"Kim","given":"Karl","non-dropping-particle":"","parse-names":false,"suffix":""}],"container-title":"Natural Hazards Review","id":"ITEM-1","issue":"3","issued":{"date-parts":[["2020","6","8"]]},"page":"04020025","publisher":"American Society of Civil Engineers","title":"Traffic Impacts of the COVID-19 Pandemic: Statewide Analysis of Social Separation and Activity Restriction","type":"article-journal","volume":"21"},"uris":["http://www.mendeley.com/documents/?uuid=0020a94a-10bb-36be-992d-fe804eef1095"]}],"mendeley":{"formattedCitation":"(Parr et al., 2020)","manualFormatting":"(2020)","plainTextFormattedCitation":"(Parr et al., 2020)","previouslyFormattedCitation":"(Parr et al., 2020)"},"properties":{"noteIndex":0},"schema":"https://github.com/citation-style-language/schema/raw/master/csl-citation.json"}</w:instrText>
      </w:r>
      <w:r w:rsidR="00230460">
        <w:fldChar w:fldCharType="separate"/>
      </w:r>
      <w:r w:rsidR="00230460" w:rsidRPr="00230460">
        <w:rPr>
          <w:noProof/>
        </w:rPr>
        <w:t>(2020)</w:t>
      </w:r>
      <w:r w:rsidR="00230460">
        <w:fldChar w:fldCharType="end"/>
      </w:r>
      <w:r w:rsidR="00230460">
        <w:t xml:space="preserve"> </w:t>
      </w:r>
      <w:r>
        <w:t>employed data from Florida from more than 200 sites to evaluate the differences in traffic volumes between 2019 and 2020. The study conducted a host of univariate analyses comparing how traffic volumes in 2019 and 2020 changed for (a) specific locations (such as South Florida), (b) between urban and rural locations, (c) between arterials and interstates. Patra et al.</w:t>
      </w:r>
      <w:r w:rsidR="00BB59CA">
        <w:t xml:space="preserve"> </w:t>
      </w:r>
      <w:r w:rsidR="00BB59CA">
        <w:fldChar w:fldCharType="begin" w:fldLock="1"/>
      </w:r>
      <w:r w:rsidR="002061D6">
        <w:instrText>ADDIN CSL_CITATION {"citationItems":[{"id":"ITEM-1","itemData":{"DOI":"10.1080/19427867.2021.1899580","abstract":"In the absence of pharmaceutical interventions for the Novel Coronavirus (COVID-19), countries have taken drastic steps like quarantine, prohibit large-scale gatherings, limited transport, social d...","author":[{"dropping-particle":"","family":"Patra","given":"Satya S.","non-dropping-particle":"","parse-names":false,"suffix":""},{"dropping-particle":"","family":"Chilukuri","given":"Bhargava Rama","non-dropping-particle":"","parse-names":false,"suffix":""},{"dropping-particle":"","family":"Vanajakshi","given":"Lelitha","non-dropping-particle":"","parse-names":false,"suffix":""}],"container-title":"https://doi.org/10.1080/19427867.2021.1899580","id":"ITEM-1","issue":"5-6","issued":{"date-parts":[["2021"]]},"page":"473-481","publisher":"Taylor &amp; Francis","title":"Analysis of road traffic pattern changes due to activity restrictions during COVID-19 pandemic in Chennai","type":"article-journal","volume":"13"},"uris":["http://www.mendeley.com/documents/?uuid=fd55f929-8f45-3820-bc70-49c08c50c375"]}],"mendeley":{"formattedCitation":"(Patra et al., 2021)","manualFormatting":"(2021)","plainTextFormattedCitation":"(Patra et al., 2021)","previouslyFormattedCitation":"(Patra et al., 2021)"},"properties":{"noteIndex":0},"schema":"https://github.com/citation-style-language/schema/raw/master/csl-citation.json"}</w:instrText>
      </w:r>
      <w:r w:rsidR="00BB59CA">
        <w:fldChar w:fldCharType="separate"/>
      </w:r>
      <w:r w:rsidR="00BB59CA" w:rsidRPr="00BB59CA">
        <w:rPr>
          <w:noProof/>
        </w:rPr>
        <w:t>(2021)</w:t>
      </w:r>
      <w:r w:rsidR="00BB59CA">
        <w:fldChar w:fldCharType="end"/>
      </w:r>
      <w:r>
        <w:t xml:space="preserve"> examined changes in traffic volumes using Wi-Fi MAC Scanners (WMS) at two intersections in India in response to the multiple phases of COVID-19 lockdowns and found that traffic initially dropped. However, when enforcement was lax, traffic volumes were closer to normal due to the population ignoring the mandates. </w:t>
      </w:r>
    </w:p>
    <w:p w14:paraId="54FDADCA" w14:textId="3281CC67" w:rsidR="00916138" w:rsidRDefault="009C5EDA" w:rsidP="00916138">
      <w:pPr>
        <w:pStyle w:val="Heading2"/>
      </w:pPr>
      <w:r>
        <w:t>Current Study</w:t>
      </w:r>
    </w:p>
    <w:p w14:paraId="7A9989E8" w14:textId="2B59C9E0" w:rsidR="00916138" w:rsidRDefault="009C5EDA" w:rsidP="00612721">
      <w:r>
        <w:t xml:space="preserve">The literature presented clearly illustrates how several researchers have examined traffic volume data in response to COVID-19 pandemic. However, prior research </w:t>
      </w:r>
      <w:r w:rsidR="00F545C2">
        <w:t xml:space="preserve">efforts have </w:t>
      </w:r>
      <w:r>
        <w:t xml:space="preserve">several limitations. </w:t>
      </w:r>
      <w:r w:rsidRPr="00FC4958">
        <w:rPr>
          <w:u w:val="single"/>
        </w:rPr>
        <w:t>First</w:t>
      </w:r>
      <w:r>
        <w:t xml:space="preserve">, </w:t>
      </w:r>
      <w:proofErr w:type="gramStart"/>
      <w:r>
        <w:t>a majority of</w:t>
      </w:r>
      <w:proofErr w:type="gramEnd"/>
      <w:r>
        <w:t xml:space="preserve"> these research efforts have focused on a short time frame between a few weeks and 3 months to study the impact of COVID-19. </w:t>
      </w:r>
      <w:r w:rsidRPr="00FC4958">
        <w:rPr>
          <w:u w:val="single"/>
        </w:rPr>
        <w:t>Second</w:t>
      </w:r>
      <w:r>
        <w:t xml:space="preserve">, </w:t>
      </w:r>
      <w:proofErr w:type="gramStart"/>
      <w:r>
        <w:t>a majority of</w:t>
      </w:r>
      <w:proofErr w:type="gramEnd"/>
      <w:r>
        <w:t xml:space="preserve"> these studies employed very simple descriptive measures (such as traffic volume percentage change) or linear regression models with only one variable. </w:t>
      </w:r>
      <w:r w:rsidRPr="00FC4958">
        <w:rPr>
          <w:u w:val="single"/>
        </w:rPr>
        <w:t>Third</w:t>
      </w:r>
      <w:r>
        <w:t>, earlier studies (with the exception of</w:t>
      </w:r>
      <w:r w:rsidR="00E33A78">
        <w:t xml:space="preserve"> Parr et al. </w:t>
      </w:r>
      <w:r w:rsidR="00E33A78">
        <w:fldChar w:fldCharType="begin" w:fldLock="1"/>
      </w:r>
      <w:r w:rsidR="002061D6">
        <w:instrText>ADDIN CSL_CITATION {"citationItems":[{"id":"ITEM-1","itemData":{"DOI":"10.1061/(ASCE)NH.1527-6996.0000409","abstract":"AbstractThe COVID-19 pandemic resulted in significant social and economic impacts throughout the world. In addition to the health consequences, the impacts on travel behavior have also been sudden ...","author":[{"dropping-particle":"","family":"Parr","given":"Scott","non-dropping-particle":"","parse-names":false,"suffix":""},{"dropping-particle":"","family":"Wolshon","given":"Brian","non-dropping-particle":"","parse-names":false,"suffix":""},{"dropping-particle":"","family":"Renne","given":"John","non-dropping-particle":"","parse-names":false,"suffix":""},{"dropping-particle":"","family":"Murray-Tuite","given":"Pamela","non-dropping-particle":"","parse-names":false,"suffix":""},{"dropping-particle":"","family":"Kim","given":"Karl","non-dropping-particle":"","parse-names":false,"suffix":""}],"container-title":"Natural Hazards Review","id":"ITEM-1","issue":"3","issued":{"date-parts":[["2020","6","8"]]},"page":"04020025","publisher":"American Society of Civil Engineers","title":"Traffic Impacts of the COVID-19 Pandemic: Statewide Analysis of Social Separation and Activity Restriction","type":"article-journal","volume":"21"},"uris":["http://www.mendeley.com/documents/?uuid=0020a94a-10bb-36be-992d-fe804eef1095"]}],"mendeley":{"formattedCitation":"(Parr et al., 2020)","manualFormatting":"(2020)","plainTextFormattedCitation":"(Parr et al., 2020)","previouslyFormattedCitation":"(Parr et al., 2020)"},"properties":{"noteIndex":0},"schema":"https://github.com/citation-style-language/schema/raw/master/csl-citation.json"}</w:instrText>
      </w:r>
      <w:r w:rsidR="00E33A78">
        <w:fldChar w:fldCharType="separate"/>
      </w:r>
      <w:r w:rsidR="00E33A78" w:rsidRPr="00E33A78">
        <w:rPr>
          <w:noProof/>
        </w:rPr>
        <w:t>(2020)</w:t>
      </w:r>
      <w:r w:rsidR="00E33A78">
        <w:fldChar w:fldCharType="end"/>
      </w:r>
      <w:r>
        <w:t xml:space="preserve">) focused on less than ten sites to conduct the analysis. </w:t>
      </w:r>
      <w:r w:rsidRPr="00FC4958">
        <w:rPr>
          <w:u w:val="single"/>
        </w:rPr>
        <w:t>Fourth</w:t>
      </w:r>
      <w:r>
        <w:t xml:space="preserve">, differences in traffic volumes between weekdays and holidays was not explicitly recognized. </w:t>
      </w:r>
      <w:r w:rsidRPr="00FC4958">
        <w:rPr>
          <w:u w:val="single"/>
        </w:rPr>
        <w:t>Finally</w:t>
      </w:r>
      <w:r>
        <w:t xml:space="preserve">, all the earlier research that developed statistical models used simple linear regression models without considering for </w:t>
      </w:r>
      <w:r w:rsidR="00F545C2">
        <w:t xml:space="preserve">potential </w:t>
      </w:r>
      <w:r>
        <w:t xml:space="preserve">spatial correlations between traffic volume sites. The proposed research addresses these limitations by conducting a detailed spatiotemporal analysis of traffic volumes considering </w:t>
      </w:r>
      <w:r w:rsidR="00E33A78">
        <w:t>3</w:t>
      </w:r>
      <w:r w:rsidR="001200C9">
        <w:t>,</w:t>
      </w:r>
      <w:r w:rsidR="00E33A78">
        <w:t>957</w:t>
      </w:r>
      <w:r>
        <w:t xml:space="preserve"> detectors </w:t>
      </w:r>
      <w:r>
        <w:lastRenderedPageBreak/>
        <w:t>processing data for the full 2019 and 2020 years on major Florida interstate facilities. The research develops three model systems: a) Linear regression model, b) Spatial Autoregressive Model (SAR) and c) Spatial Error Model (SEM) (see for earlier work using these methods</w:t>
      </w:r>
      <w:r w:rsidR="00BC258D">
        <w:t xml:space="preserve"> </w:t>
      </w:r>
      <w:r w:rsidR="00BC258D">
        <w:fldChar w:fldCharType="begin" w:fldLock="1"/>
      </w:r>
      <w:r w:rsidR="002061D6">
        <w:instrText>ADDIN CSL_CITATION {"citationItems":[{"id":"ITEM-1","itemData":{"DOI":"10.1016/j.jtrangeo.2016.06.008","ISSN":"09666923","abstract":"Recent success of bicycle-sharing systems (BSS) have led to their growth around the world. Not surprisingly, there is increased research towards better understanding of the contributing factors for BSS demand. However, these research efforts have neglected to adequately consider spatial and temporal interaction of BSS station's demand (arrivals and departures). It is possible that bicycle arrival and departure rates of one BSS station are potentially inter connected with bicycle flow rates for neighboring stations. It is also plausible that the arrival and departure rates at one time period are influenced by the arrival and departure rates of earlier time periods for that station and neighboring stations. Neglecting the presence of such effects, when they are actually present will result in biased model estimates. The major objective of this study is to accommodate for spatial and temporal effects (observed and unobserved) for modelling bicycle demand employing data from New York City's bicycle-sharing system (CitiBike). Towards this end, spatial error and spatial lag models that accommodate for the influence of spatial and temporal interactions are estimated. The exogenous variables for these models are drawn from BSS infrastructure, transportation network infrastructure, land use, point of interests, and meteorological and temporal attributes. The results provide strong evidence for the presence of spatial and temporal dependency for BSS station's arrival and departure rates. A hold out sample validation exercise further emphasizes the improved accuracy of the models with spatial and temporal interactions.","author":[{"dropping-particle":"","family":"Faghih-Imani","given":"Ahmadreza","non-dropping-particle":"","parse-names":false,"suffix":""},{"dropping-particle":"","family":"Eluru","given":"Naveen","non-dropping-particle":"","parse-names":false,"suffix":""}],"container-title":"Journal of Transport Geography","id":"ITEM-1","issued":{"date-parts":[["2016"]]},"page":"218-227","publisher":"Elsevier B.V.","title":"Incorporating the impact of spatio-temporal interactions on bicycle sharing system demand: A case study of New York CitiBike system","type":"article-journal","volume":"54"},"uris":["http://www.mendeley.com/documents/?uuid=23c55cd7-d695-4f54-8eb8-37f868d2e77b"]},{"id":"ITEM-2","itemData":{"DOI":"10.1007/s10109-012-0165-0","abstract":"This paper proposes and estimates a spatial panel ordered-response probit model with temporal autoregressive error terms to analyze changes in urban land development intensity levels over time. Such a model structure maintains a close linkage between the land owner's decision (unobserved to the analyst) and the land development intensity level (observed by the analyst) and accommodates spatial interactions between land owners that lead to spatial spillover effects. In addition, the model structure incorporates spatial heterogeneity as well as spatial heteroscedasticity. The resulting model is estimated using a composite marginal likelihood (CML) approach that does not require any simulation machinery and that can be applied to data sets of any size. A simulation exercise indicates that the CML approach recovers the model parameters very well, even in the presence of high spatial and temporal dependence. In addition, the simulation results demonstrate that ignoring spatial dependency and spatial heterogeneity when both are actually present will lead to bias in parameter estimation. A demonstration exercise applies the proposed model to examine urban land development intensity levels using parcel-level data from Austin, Texas. Keywords Spatial econometrics Á Panel data Á Random coefficients Á Urban land development intensity Á Composite marginal likelihood (CML) approach JEL Classification C13 Á C18 Á C33 Á C35 Á C51 Á R14 Á R15","author":[{"dropping-particle":"","family":"Ferdous","given":"Nazneen","non-dropping-particle":"","parse-names":false,"suffix":""},{"dropping-particle":"","family":"Bhat","given":"Chandra R","non-dropping-particle":"","parse-names":false,"suffix":""},{"dropping-particle":"","family":"Ferdous","given":"N","non-dropping-particle":"","parse-names":false,"suffix":""},{"dropping-particle":"","family":"Bhat","given":"C R","non-dropping-particle":"","parse-names":false,"suffix":""}],"container-title":"J Geogr Syst","id":"ITEM-2","issued":{"date-parts":[["2013"]]},"page":"1-29","title":"A spatial panel ordered-response model with application to the analysis of urban land-use development intensity patterns","type":"article-journal","volume":"15"},"uris":["http://www.mendeley.com/documents/?uuid=0d8d8c2d-fd1f-350c-a47f-82dc424c9e8d"]},{"id":"ITEM-3","itemData":{"abstract":"Cities are constantly evolving, complex systems; and modeling them, both theoretically and empirically, is a complicated task. However, understanding the manner in which developed regions change over time and space can be of great importance for transportation researchers and planners. In this paper, methodologies for modeling developed areas are developed while incorporating spatial and temporal effects of the data. The work emphasizes spatial relationships between various geographic, land-use, and demographic variables characterizing fine zones across regions. It derives and combines land cover data for the Austin, Texas region from a panel of satellite images and U.S. Census of Population data. Models for population, vehicle ownership, and developed, residential, and agricultural land cover are estimated; and the effects of space and time on the models are shown to be statistically significant. Simulations of population and land cover for the year 2020 help to illustrate the strengths and limitations of the models. INTRODUCTION Urban systems are intricate, multifaceted and constantly evolving. Their evolution is dictated by a large number of influences, including public policy, individual preferences and actions, the physical landscape, technology and history. All of these factors (and more) interact in myriad ways. Discerning how and why urban systems evolve is, from the start, an extremely difficult task. There is great benefit to uncovering the dynamics underlying urban systems. Understanding the ways in which geographic, economic, demographic, political and other factors interact is of interest to transportation engineers and land use planners, economists as well as historians, policymakers and the public. Models that reliably track these interactions are of great interest to transportation planners, as they illuminate how, among other things, policy impacts land use and travel patterns, welfare and development, congestion and air quality.","author":[{"dropping-particle":"","family":"Frazier","given":"Christopher","non-dropping-particle":"","parse-names":false,"suffix":""},{"dropping-particle":"","family":"Kockelman","given":"Kara M","non-dropping-particle":"","parse-names":false,"suffix":""},{"dropping-particle":"","family":"Luce","given":"Clare Boothe","non-dropping-particle":"","parse-names":false,"suffix":""}],"container-title":"Transportation Research Record","id":"ITEM-3","issued":{"date-parts":[["2005"]]},"page":"80-90","title":"Spatial Econometric Models for Panel Data: Incorporating Spatial and Temporal Data","type":"article-journal"},"uris":["http://www.mendeley.com/documents/?uuid=3346ad98-397c-3b6e-babf-c023089ea6ef"]},{"id":"ITEM-4","itemData":{"DOI":"10.1016/J.JTRANGEO.2012.06.011","ISSN":"0966-6923","abstract":"Many transportation-related behaviors involve multinomial discrete response in a temporal and spatial context. These include quality of paved roadway sections over time, evolution of land use at the parcel level, vehicle purchases by socially networked households, and mode choices by individuals residing across adjacent homes or neighborhoods. Such responses depend on various influential factors, and can have temporal and spatial dependence or autocorrelation. In many cases, dynamic spatial-model specifications based on maximum fitness, profit or utility may be most appropriate.This study develops a dynamic spatial multinomial probit (DSMNP) model by pivoting off the ordinary MNP model while incorporating spatial and temporal dependencies. The study adds value to existing work by addressing polytomous outcomes and space-time data. (Most spatial models rely on cross-sectional data sets and/or binary outcomes.) The paper first explains how the model reflects behaviors at play, and then describes estimation using Bayesian methods, which are of great interest in multiple fields. Simulated data sets containing both generic and alternative-specific explanatory variables are used to validate the model's performance (and that of its associated code). Estimation efficiency issues and identification issues are discussed. The model is then applied to analyze parcel-level land use changes in Austin, Texas. It is found that better accessibility boosts the potential of residential development while hampering non-residential development. The effects of job and population density, neighborhood income and soil slope are also explored, and found to exert variable effects across space. It is also found that land development tends to cluster when existing development intensity in a neighborhood is low. © 2012 Elsevier Ltd.","author":[{"dropping-particle":"","family":"Wang","given":"Xiaokun Cara","non-dropping-particle":"","parse-names":false,"suffix":""},{"dropping-particle":"","family":"Kockelman","given":"Kara M.","non-dropping-particle":"","parse-names":false,"suffix":""},{"dropping-particle":"","family":"Lemp","given":"Jason D.","non-dropping-particle":"","parse-names":false,"suffix":""}],"container-title":"Journal of Transport Geography","id":"ITEM-4","issued":{"date-parts":[["2012","9","1"]]},"page":"77-88","publisher":"Pergamon","title":"The dynamic spatial multinomial probit model: analysis of land use change using parcel-level data","type":"article-journal","volume":"24"},"uris":["http://www.mendeley.com/documents/?uuid=1a53a316-a2e5-360c-b44d-9fefeacbbf85"]},{"id":"ITEM-5","itemData":{"abstract":"As an essential part of integrated land use-transport models, prediction of land cover changes and illumination of the many factors behind such change are always of interest to planners, policy makers, developers, and others. A mixed logit framework is used to study land cover evolution in the Austin, Texas, region, recognizing distance-dependent correlations-both observed and unobserved-over space and time, in a sea of satellite image pixels. The computational methods used for model estimation and application are described, including generalized Cholesky decomposition and likelihood simulation. Results indicate that neighborhood characteristics have strong effects on land cover evolution: clustering is significant over time, but high residential densities can impede future development. Model application produces graphic predictions, allowing one to confirm these results visually and appreciate the variability in potential urban futures. Over the years, researchers have put considerable effort into understanding relationships among populations, travel, and land cover (1-4), and several land use-transport models have resulted (5-7). However, because of the complexity of the real world, no existing models are perfectly satisfactory in application. There is growing interest in more disaggregate data sets as well as the temporal and spatial correlations that underpin urban patterns. Fortunately, developments in remote sensing via satellites provide opportunities for modeling improvements through temporally consistent and spatially detailed information. As part of an integrated land use-transport model's development , this paper presents a model of land cover change based on data derived from satellite imagery. The derived panel data allow direct incorporation of temporal and spatial correlation into a model's specification. In addition to the smaller spatial units (mea-suring 30 × 30 m), another advantage of satellite data is that they offer much more precise information on vegetation, which can be critical to air quality, due to biogenic sources of (and sinks for) various chemicals of interest. This implies that use of satellite data may be an optimal choice for integrated land use-transport environment (ILUTE) models, which are required in many regions to demonstrate compliance with air quality-related planning standards. Moreover, with further development in the satellite image precision and classification techniques, such data may provide a promising fu…","author":[{"dropping-particle":"","family":"Wang","given":"Xiaokun","non-dropping-particle":"","parse-names":false,"suffix":""},{"dropping-particle":"","family":"Kockelman","given":"Kara M","non-dropping-particle":"","parse-names":false,"suffix":""}],"container-title":"Transportation Research Record: Journal of the Transportation Research Board","id":"ITEM-5","issued":{"date-parts":[["2006"]]},"page":"112-120","title":"Tracking Land Cover Change in Mixed Logit Model Recognizing Temporal and Spatial Effects","type":"article-journal"},"uris":["http://www.mendeley.com/documents/?uuid=8d5c12a3-ec2c-3af1-831b-92537ee77928"]}],"mendeley":{"formattedCitation":"(Faghih-Imani &amp; Eluru, 2016b; Ferdous et al., 2013; Frazier et al., 2005; X. C. Wang et al., 2012; X. Wang &amp; Kockelman, 2006)","plainTextFormattedCitation":"(Faghih-Imani &amp; Eluru, 2016b; Ferdous et al., 2013; Frazier et al., 2005; X. C. Wang et al., 2012; X. Wang &amp; Kockelman, 2006)","previouslyFormattedCitation":"(Faghih-Imani &amp; Eluru, 2016b; Ferdous et al., 2013; Frazier et al., 2005; X. C. Wang et al., 2012; X. Wang &amp; Kockelman, 2006)"},"properties":{"noteIndex":0},"schema":"https://github.com/citation-style-language/schema/raw/master/csl-citation.json"}</w:instrText>
      </w:r>
      <w:r w:rsidR="00BC258D">
        <w:fldChar w:fldCharType="separate"/>
      </w:r>
      <w:r w:rsidR="00E61833" w:rsidRPr="00E61833">
        <w:rPr>
          <w:noProof/>
        </w:rPr>
        <w:t>(Faghih-Imani &amp; Eluru, 2016b; Ferdous et al., 2013; Frazier et al., 2005; X. C. Wang et al., 2012; X. Wang &amp; Kockelman, 2006)</w:t>
      </w:r>
      <w:r w:rsidR="00BC258D">
        <w:fldChar w:fldCharType="end"/>
      </w:r>
      <w:r>
        <w:t xml:space="preserve">). The model development is conducted using a host of independent variables from </w:t>
      </w:r>
      <w:r w:rsidR="009363A8">
        <w:t xml:space="preserve">seven </w:t>
      </w:r>
      <w:r>
        <w:t>categories: 1) COVID-19 related factors, 2) socioeconomics, 3) land-use characteristics, 4) built environment attributes, 5) roadway characteristics, 6) meteorological variables</w:t>
      </w:r>
      <w:r w:rsidR="009363A8">
        <w:t xml:space="preserve"> and 7) spatial factors</w:t>
      </w:r>
      <w:r>
        <w:t xml:space="preserve">. The model estimation results are intuitive and highlight various important factors affecting traffic volumes. The results also support our hypothesis that common unobserved factors have a significant impact on traffic volumes. </w:t>
      </w:r>
    </w:p>
    <w:p w14:paraId="1BD7361E" w14:textId="48C45A04" w:rsidR="009C5EDA" w:rsidRDefault="00916138" w:rsidP="00916138">
      <w:pPr>
        <w:pStyle w:val="Heading1"/>
      </w:pPr>
      <w:r>
        <w:t>D</w:t>
      </w:r>
      <w:r w:rsidR="0003163B">
        <w:t>ATA</w:t>
      </w:r>
    </w:p>
    <w:p w14:paraId="3CE806C2" w14:textId="44DD7689" w:rsidR="004110BE" w:rsidRDefault="009C5EDA" w:rsidP="001173E7">
      <w:r>
        <w:t>The data for our analysis is obtained from the Regional Integrated Transportation Information System (RITIS) data archive</w:t>
      </w:r>
      <w:r w:rsidR="004110BE">
        <w:t xml:space="preserve"> </w:t>
      </w:r>
      <w:r w:rsidR="004110BE">
        <w:fldChar w:fldCharType="begin" w:fldLock="1"/>
      </w:r>
      <w:r w:rsidR="002061D6">
        <w:instrText>ADDIN CSL_CITATION {"citationItems":[{"id":"ITEM-1","itemData":{"URL":"https://ritis.org/archive/traffic","accessed":{"date-parts":[["2021","1","17"]]},"author":[{"dropping-particle":"","family":"RITIS","given":"","non-dropping-particle":"","parse-names":false,"suffix":""}],"id":"ITEM-1","issued":{"date-parts":[["2021"]]},"title":"Detector Tools :: RITIS | Regional Integrated Transportation Information System","type":"webpage"},"uris":["http://www.mendeley.com/documents/?uuid=57f0bdda-c77f-35d0-afa6-1a941608cd44"]}],"mendeley":{"formattedCitation":"(RITIS, 2021)","plainTextFormattedCitation":"(RITIS, 2021)","previouslyFormattedCitation":"(RITIS, 2021)"},"properties":{"noteIndex":0},"schema":"https://github.com/citation-style-language/schema/raw/master/csl-citation.json"}</w:instrText>
      </w:r>
      <w:r w:rsidR="004110BE">
        <w:fldChar w:fldCharType="separate"/>
      </w:r>
      <w:r w:rsidR="00E61833" w:rsidRPr="00E61833">
        <w:rPr>
          <w:noProof/>
        </w:rPr>
        <w:t>(RITIS, 2021)</w:t>
      </w:r>
      <w:r w:rsidR="004110BE">
        <w:fldChar w:fldCharType="end"/>
      </w:r>
      <w:r>
        <w:t>. The RITIS database is an automated data sharing system with real time data feeds providing information including the hourly traffic count data, detector coordinates and details of the roadway. The traffic count data for the current research effort is obtained for 4 major interstates in the state of Florida from 5,978 detectors for the years 2019 and 2020. The interstates considered include I-4, I-10, I-</w:t>
      </w:r>
      <w:r w:rsidR="00C65987">
        <w:t>75,</w:t>
      </w:r>
      <w:r>
        <w:t xml:space="preserve"> and</w:t>
      </w:r>
      <w:r w:rsidR="00C65987">
        <w:t xml:space="preserve"> </w:t>
      </w:r>
      <w:r>
        <w:t>I-95. The number of detectors for each interstate facility range between 910 and 2,061. A spatial</w:t>
      </w:r>
      <w:r w:rsidR="00612721">
        <w:t xml:space="preserve"> </w:t>
      </w:r>
      <w:r>
        <w:t xml:space="preserve">map of the interstates along with the detector locations considered for the empirical study is presented in </w:t>
      </w:r>
      <w:r w:rsidRPr="009D7CA2">
        <w:t>Fig</w:t>
      </w:r>
      <w:r w:rsidR="001173E7">
        <w:t>ure</w:t>
      </w:r>
      <w:r w:rsidRPr="009D7CA2">
        <w:t xml:space="preserve"> 1</w:t>
      </w:r>
      <w:r>
        <w:t xml:space="preserve">. </w:t>
      </w:r>
    </w:p>
    <w:p w14:paraId="1CE30148" w14:textId="149DFBCC" w:rsidR="009C5EDA" w:rsidRDefault="009C5EDA" w:rsidP="00C85715">
      <w:pPr>
        <w:pStyle w:val="Heading2"/>
      </w:pPr>
      <w:r>
        <w:t>Dependent Variable</w:t>
      </w:r>
    </w:p>
    <w:p w14:paraId="3048A95A" w14:textId="0E8ECDB1" w:rsidR="00C85715" w:rsidRDefault="00E95BD1" w:rsidP="009C5EDA">
      <w:r w:rsidRPr="00E95BD1">
        <w:t>Hourly traffic data for the evening peak period (4PM – 7PM) was the main variable of interest of this study. The dataset obtained from the RITIS data portal contain daily traffic volume at hourly resolution. For evening peak period, traffic volume data of 4PM to 7PM duration were aggregated</w:t>
      </w:r>
      <w:r w:rsidR="004C4789">
        <w:t>.</w:t>
      </w:r>
      <w:r w:rsidR="009C5EDA">
        <w:t xml:space="preserve"> </w:t>
      </w:r>
      <w:r w:rsidR="004C4789">
        <w:lastRenderedPageBreak/>
        <w:t>In our study, t</w:t>
      </w:r>
      <w:r w:rsidR="004C4789" w:rsidRPr="004C4789">
        <w:t>he I-10 corridor covers two time zones. The data compiled for our analysis for each detector is based on the local time at the detector location</w:t>
      </w:r>
      <w:r w:rsidR="004C4789">
        <w:t xml:space="preserve">. </w:t>
      </w:r>
      <w:r w:rsidR="009C5EDA">
        <w:t xml:space="preserve">The daily traffic volume for the peak period was compiled for each day for 2019 and 2020. The data was not available for all 5,978 detectors for the 24 months duration. Hence, </w:t>
      </w:r>
      <w:r w:rsidR="00E3321C">
        <w:t xml:space="preserve">to maximize detector coverage and ensure adequate number of records from each detector, </w:t>
      </w:r>
      <w:r w:rsidR="009C5EDA">
        <w:t xml:space="preserve">we compiled data from 3,957 detectors across the various roadway facilities with traffic volume data </w:t>
      </w:r>
      <w:r w:rsidR="00E3321C">
        <w:t xml:space="preserve">available </w:t>
      </w:r>
      <w:r w:rsidR="009C5EDA">
        <w:t>for at least 20 months</w:t>
      </w:r>
      <w:r w:rsidR="001D3A94">
        <w:t xml:space="preserve">. </w:t>
      </w:r>
      <w:r w:rsidR="004C4789" w:rsidRPr="004C4789">
        <w:t>The reader would note that several detectors on the eastern part of the I-10 corridor were not considered in our analysis as data was unavailable across multiple months</w:t>
      </w:r>
      <w:r w:rsidR="004C4789">
        <w:t xml:space="preserve">. </w:t>
      </w:r>
      <w:r w:rsidR="009C5EDA">
        <w:t xml:space="preserve">The aggregated daily peak volumes dataset was classified into weekdays and holidays (weekends and Florida state holidays). From the weekday and holiday dataset, one record per month for the two-year duration is randomly sampled for our analysis. </w:t>
      </w:r>
      <w:r w:rsidR="00E463DB" w:rsidRPr="00155809">
        <w:t>We employed the one day per month randomly to reduce computational complexity. We examined the stability of model estimation by employing multiple random samples following the same process used for the estimation sample. The results of the comparison exercise are documented in Appendix</w:t>
      </w:r>
      <w:r w:rsidR="00E463DB">
        <w:t xml:space="preserve"> A</w:t>
      </w:r>
      <w:r w:rsidR="00E463DB" w:rsidRPr="00155809">
        <w:t>.</w:t>
      </w:r>
      <w:r w:rsidR="00E463DB">
        <w:t xml:space="preserve"> </w:t>
      </w:r>
      <w:r w:rsidR="009C5EDA">
        <w:t>The final weekday and holiday datasets contain a total of 94,373 (Total records =</w:t>
      </w:r>
      <w:r w:rsidR="004110BE">
        <w:t xml:space="preserve"> </w:t>
      </w:r>
      <m:oMath>
        <m:nary>
          <m:naryPr>
            <m:chr m:val="∑"/>
            <m:limLoc m:val="subSup"/>
            <m:ctrlPr>
              <w:rPr>
                <w:rFonts w:ascii="Cambria Math" w:hAnsi="Cambria Math" w:cs="Times New Roman"/>
                <w:iCs/>
              </w:rPr>
            </m:ctrlPr>
          </m:naryPr>
          <m:sub>
            <m:r>
              <m:rPr>
                <m:sty m:val="p"/>
              </m:rPr>
              <w:rPr>
                <w:rFonts w:ascii="Cambria Math" w:hAnsi="Cambria Math" w:cs="Times New Roman"/>
              </w:rPr>
              <m:t>M=20</m:t>
            </m:r>
          </m:sub>
          <m:sup>
            <m:r>
              <m:rPr>
                <m:sty m:val="p"/>
              </m:rPr>
              <w:rPr>
                <w:rFonts w:ascii="Cambria Math" w:hAnsi="Cambria Math" w:cs="Times New Roman"/>
              </w:rPr>
              <m:t>24</m:t>
            </m:r>
          </m:sup>
          <m:e>
            <m:r>
              <m:rPr>
                <m:sty m:val="p"/>
              </m:rPr>
              <w:rPr>
                <w:rFonts w:ascii="Cambria Math" w:hAnsi="Cambria Math" w:cs="Times New Roman"/>
              </w:rPr>
              <m:t>M*detectors with M records</m:t>
            </m:r>
          </m:e>
        </m:nary>
      </m:oMath>
      <w:r w:rsidR="004110BE" w:rsidRPr="004110BE">
        <w:rPr>
          <w:rFonts w:cs="Times New Roman"/>
          <w:iCs/>
        </w:rPr>
        <w:t>;</w:t>
      </w:r>
      <w:r w:rsidR="009C5EDA">
        <w:t xml:space="preserve"> 20 x 27 + 21 x 36 + 22 x 132 + 23 x 115 + 24 x 3,647) and 94,197 (20 x 34 + 21 x 48 + 22 x 164 + 23 x 163 + 24 x 3548) observations respective</w:t>
      </w:r>
      <w:r w:rsidR="00C85715">
        <w:t>ly.</w:t>
      </w:r>
      <w:r w:rsidR="00FC04DE">
        <w:t xml:space="preserve"> </w:t>
      </w:r>
      <w:r w:rsidR="000864E8">
        <w:t xml:space="preserve">The reader would note that appropriate modifications were made to ensure the </w:t>
      </w:r>
      <w:r w:rsidR="000C42D8">
        <w:t xml:space="preserve">spatial matrix employed always has an order of 3,957 x 3,957 with zero’s added in for detectors with missing data for the corresponding </w:t>
      </w:r>
      <w:proofErr w:type="gramStart"/>
      <w:r w:rsidR="000C42D8">
        <w:t>time period</w:t>
      </w:r>
      <w:proofErr w:type="gramEnd"/>
      <w:r w:rsidR="000C42D8">
        <w:t xml:space="preserve">. </w:t>
      </w:r>
    </w:p>
    <w:p w14:paraId="7AA12296" w14:textId="77777777" w:rsidR="00C85715" w:rsidRDefault="009C5EDA" w:rsidP="00C85715">
      <w:pPr>
        <w:pStyle w:val="Heading2"/>
      </w:pPr>
      <w:r>
        <w:t>Independent Variables</w:t>
      </w:r>
    </w:p>
    <w:p w14:paraId="52AE5D8E" w14:textId="77777777" w:rsidR="00C85715" w:rsidRDefault="009C5EDA" w:rsidP="009C5EDA">
      <w:r>
        <w:t xml:space="preserve">The traffic volume data compiled was augmented with a host of independent variables from seven categories: 1) COVID-19 related factors, 2) socioeconomics, 3) land-use characteristics, 4) built </w:t>
      </w:r>
      <w:r>
        <w:lastRenderedPageBreak/>
        <w:t xml:space="preserve">environment attributes, 5) roadway characteristics, 6) meteorological variables and 7) spatial factors (regional location of the detectors). </w:t>
      </w:r>
    </w:p>
    <w:p w14:paraId="60B5C3BB" w14:textId="08BEEA20" w:rsidR="00732FC1" w:rsidRDefault="009C5EDA" w:rsidP="00732FC1">
      <w:pPr>
        <w:ind w:firstLine="720"/>
      </w:pPr>
      <w:r>
        <w:t>COVID-19 data compiled from the Johns Hopkins University COVID-19 data archive</w:t>
      </w:r>
      <w:r w:rsidR="00483974">
        <w:t xml:space="preserve"> </w:t>
      </w:r>
      <w:r w:rsidR="00F01890">
        <w:fldChar w:fldCharType="begin" w:fldLock="1"/>
      </w:r>
      <w:r w:rsidR="00980E42">
        <w:instrText>ADDIN CSL_CITATION {"citationItems":[{"id":"ITEM-1","itemData":{"DOI":"10.1016/S1473-3099(20)30120-1","ISSN":"1474-4457","PMID":"32087114","author":[{"dropping-particle":"","family":"Dong","given":"Ensheng","non-dropping-particle":"","parse-names":false,"suffix":""},{"dropping-particle":"","family":"Du","given":"Hongru","non-dropping-particle":"","parse-names":false,"suffix":""},{"dropping-particle":"","family":"Gardner","given":"Lauren","non-dropping-particle":"","parse-names":false,"suffix":""}],"container-title":"The Lancet. Infectious diseases","id":"ITEM-1","issue":"5","issued":{"date-parts":[["2020","5","1"]]},"page":"533-534","publisher":"Lancet Infect Dis","title":"An interactive web-based dashboard to track COVID-19 in real time","type":"article-journal","volume":"20"},"uris":["http://www.mendeley.com/documents/?uuid=b12c13f3-d0e9-3360-8dfd-132ef40b51b3"]}],"mendeley":{"formattedCitation":"(Dong et al., 2020)","plainTextFormattedCitation":"(Dong et al., 2020)","previouslyFormattedCitation":"(Dong et al., 2020)"},"properties":{"noteIndex":0},"schema":"https://github.com/citation-style-language/schema/raw/master/csl-citation.json"}</w:instrText>
      </w:r>
      <w:r w:rsidR="00F01890">
        <w:fldChar w:fldCharType="separate"/>
      </w:r>
      <w:r w:rsidR="00F01890" w:rsidRPr="00F01890">
        <w:rPr>
          <w:noProof/>
        </w:rPr>
        <w:t>(Dong et al., 2020)</w:t>
      </w:r>
      <w:r w:rsidR="00F01890">
        <w:fldChar w:fldCharType="end"/>
      </w:r>
      <w:r w:rsidRPr="008E27B0">
        <w:t>,</w:t>
      </w:r>
      <w:r>
        <w:t xml:space="preserve"> </w:t>
      </w:r>
      <w:r w:rsidRPr="008E27B0">
        <w:t xml:space="preserve">was employed to identify county level COVID case information </w:t>
      </w:r>
      <w:r w:rsidR="00DA2B20" w:rsidRPr="008E27B0">
        <w:t>(see Bhowmik et al., 202</w:t>
      </w:r>
      <w:r w:rsidR="00E21965" w:rsidRPr="008E27B0">
        <w:t>1</w:t>
      </w:r>
      <w:r w:rsidR="00DA2B20" w:rsidRPr="008E27B0">
        <w:t xml:space="preserve"> for details) </w:t>
      </w:r>
      <w:r w:rsidRPr="008E27B0">
        <w:t>for each day in 2020 data (excluding January and February). The detectors were assigned to the corresponding county data based on their location.  The data sources for other independent variables include the United States Census Bureau (for demographics and socio-economics)</w:t>
      </w:r>
      <w:r w:rsidR="00F01890">
        <w:t xml:space="preserve"> </w:t>
      </w:r>
      <w:r w:rsidR="00980E42" w:rsidRPr="00980E42">
        <w:fldChar w:fldCharType="begin" w:fldLock="1"/>
      </w:r>
      <w:r w:rsidR="00592533">
        <w:instrText>ADDIN CSL_CITATION {"citationItems":[{"id":"ITEM-1","itemData":{"URL":"https://data.census.gov/all?g=0400000US12$1400000&amp;y=2019","accessed":{"date-parts":[["2021","1","26"]]},"id":"ITEM-1","issued":{"date-parts":[["2019"]]},"title":"US Census Bureau","type":"webpage"},"uris":["http://www.mendeley.com/documents/?uuid=204ca77c-a72c-424a-ace0-6491f6c3984d"]}],"mendeley":{"formattedCitation":"(&lt;i&gt;US Census Bureau&lt;/i&gt;, 2019)","plainTextFormattedCitation":"(US Census Bureau, 2019)","previouslyFormattedCitation":"(&lt;i&gt;US Census Bureau&lt;/i&gt;, 2019)"},"properties":{"noteIndex":0},"schema":"https://github.com/citation-style-language/schema/raw/master/csl-citation.json"}</w:instrText>
      </w:r>
      <w:r w:rsidR="00980E42" w:rsidRPr="00980E42">
        <w:fldChar w:fldCharType="separate"/>
      </w:r>
      <w:r w:rsidR="00980E42" w:rsidRPr="00980E42">
        <w:rPr>
          <w:noProof/>
        </w:rPr>
        <w:t>(US Census Bureau, 2019)</w:t>
      </w:r>
      <w:r w:rsidR="00980E42" w:rsidRPr="00980E42">
        <w:fldChar w:fldCharType="end"/>
      </w:r>
      <w:r w:rsidRPr="00980E42">
        <w:t>, Florida</w:t>
      </w:r>
      <w:r w:rsidRPr="008E27B0">
        <w:t xml:space="preserve"> Department of Revenue parcel level data (for land-use and built environment </w:t>
      </w:r>
      <w:r w:rsidRPr="00592533">
        <w:t>data)</w:t>
      </w:r>
      <w:r w:rsidR="00592533" w:rsidRPr="00592533">
        <w:t xml:space="preserve"> </w:t>
      </w:r>
      <w:r w:rsidR="00592533" w:rsidRPr="00592533">
        <w:fldChar w:fldCharType="begin" w:fldLock="1"/>
      </w:r>
      <w:r w:rsidR="00C85FFC">
        <w:instrText>ADDIN CSL_CITATION {"citationItems":[{"id":"ITEM-1","itemData":{"URL":"https://floridarevenue.com/property/Pages/DataPortal_RequestAssessmentRollGISData.aspx","accessed":{"date-parts":[["2021","2","11"]]},"container-title":"Florida Department of Revenue","id":"ITEM-1","issued":{"date-parts":[["2015"]]},"title":"Property Tax Data Portal","type":"webpage"},"uris":["http://www.mendeley.com/documents/?uuid=5f206612-b32d-3c59-88cc-444755fb15aa"]}],"mendeley":{"formattedCitation":"(&lt;i&gt;Property Tax Data Portal&lt;/i&gt;, 2015)","plainTextFormattedCitation":"(Property Tax Data Portal, 2015)","previouslyFormattedCitation":"(&lt;i&gt;Property Tax Data Portal&lt;/i&gt;, 2015)"},"properties":{"noteIndex":0},"schema":"https://github.com/citation-style-language/schema/raw/master/csl-citation.json"}</w:instrText>
      </w:r>
      <w:r w:rsidR="00592533" w:rsidRPr="00592533">
        <w:fldChar w:fldCharType="separate"/>
      </w:r>
      <w:r w:rsidR="00592533" w:rsidRPr="00592533">
        <w:rPr>
          <w:noProof/>
        </w:rPr>
        <w:t>(Property Tax Data Portal, 2015)</w:t>
      </w:r>
      <w:r w:rsidR="00592533" w:rsidRPr="00592533">
        <w:fldChar w:fldCharType="end"/>
      </w:r>
      <w:r w:rsidRPr="00592533">
        <w:t>, Florida</w:t>
      </w:r>
      <w:r w:rsidRPr="008E27B0">
        <w:t xml:space="preserve"> Department of Transportation website (for roadway characteristics and spatial factors)</w:t>
      </w:r>
      <w:r w:rsidR="00F26D40" w:rsidRPr="008E27B0">
        <w:t xml:space="preserve"> </w:t>
      </w:r>
      <w:r w:rsidR="00C85FFC" w:rsidRPr="00C85FFC">
        <w:fldChar w:fldCharType="begin" w:fldLock="1"/>
      </w:r>
      <w:r w:rsidR="00D1267D">
        <w:instrText>ADDIN CSL_CITATION {"citationItems":[{"id":"ITEM-1","itemData":{"URL":"https://www.fdot.gov/statistics/gis/default.shtm#Designated","accessed":{"date-parts":[["2021","2","15"]]},"container-title":"Florida Department of Transportation","id":"ITEM-1","issued":{"date-parts":[["2019"]]},"title":"Geographic Information System","type":"webpage"},"uris":["http://www.mendeley.com/documents/?uuid=f4c328cc-76a3-4c63-ae92-86ed94b0e27f"]}],"mendeley":{"formattedCitation":"(&lt;i&gt;Geographic Information System&lt;/i&gt;, 2019)","plainTextFormattedCitation":"(Geographic Information System, 2019)","previouslyFormattedCitation":"(&lt;i&gt;Geographic Information System&lt;/i&gt;, 2019)"},"properties":{"noteIndex":0},"schema":"https://github.com/citation-style-language/schema/raw/master/csl-citation.json"}</w:instrText>
      </w:r>
      <w:r w:rsidR="00C85FFC" w:rsidRPr="00C85FFC">
        <w:fldChar w:fldCharType="separate"/>
      </w:r>
      <w:r w:rsidR="00C85FFC" w:rsidRPr="00C85FFC">
        <w:rPr>
          <w:noProof/>
        </w:rPr>
        <w:t>(Geographic Information System, 2019)</w:t>
      </w:r>
      <w:r w:rsidR="00C85FFC" w:rsidRPr="00C85FFC">
        <w:fldChar w:fldCharType="end"/>
      </w:r>
      <w:r w:rsidR="00C85FFC">
        <w:t xml:space="preserve"> </w:t>
      </w:r>
      <w:r w:rsidRPr="00D1267D">
        <w:t>and Florida Automated Weather Network (FAWN) data portal (2019 and 2020 meteorological data)</w:t>
      </w:r>
      <w:r w:rsidR="00D1267D" w:rsidRPr="00D1267D">
        <w:t xml:space="preserve"> </w:t>
      </w:r>
      <w:r w:rsidR="00D1267D" w:rsidRPr="00D1267D">
        <w:fldChar w:fldCharType="begin" w:fldLock="1"/>
      </w:r>
      <w:r w:rsidR="009663B5">
        <w:instrText>ADDIN CSL_CITATION {"citationItems":[{"id":"ITEM-1","itemData":{"URL":"https://fawn.ifas.ufl.edu/data/","accessed":{"date-parts":[["2021","2","15"]]},"container-title":"University of Florida","id":"ITEM-1","issued":{"date-parts":[["2021"]]},"title":"Florida Automated Weather Network","type":"webpage"},"uris":["http://www.mendeley.com/documents/?uuid=6e83f1b8-b1a9-46bd-965e-af0f1d3ed9f3"]}],"mendeley":{"formattedCitation":"(&lt;i&gt;Florida Automated Weather Network&lt;/i&gt;, 2021)","plainTextFormattedCitation":"(Florida Automated Weather Network, 2021)","previouslyFormattedCitation":"(&lt;i&gt;Florida Automated Weather Network&lt;/i&gt;, 2021)"},"properties":{"noteIndex":0},"schema":"https://github.com/citation-style-language/schema/raw/master/csl-citation.json"}</w:instrText>
      </w:r>
      <w:r w:rsidR="00D1267D" w:rsidRPr="00D1267D">
        <w:fldChar w:fldCharType="separate"/>
      </w:r>
      <w:r w:rsidR="00D1267D" w:rsidRPr="00D1267D">
        <w:rPr>
          <w:noProof/>
        </w:rPr>
        <w:t>(Florida Automated Weather Network, 2021)</w:t>
      </w:r>
      <w:r w:rsidR="00D1267D" w:rsidRPr="00D1267D">
        <w:fldChar w:fldCharType="end"/>
      </w:r>
      <w:r w:rsidR="002235B6" w:rsidRPr="00D1267D">
        <w:t>.</w:t>
      </w:r>
    </w:p>
    <w:p w14:paraId="44028A1E" w14:textId="76C84312" w:rsidR="00DB568D" w:rsidRPr="002214B2" w:rsidRDefault="009C5EDA" w:rsidP="002214B2">
      <w:pPr>
        <w:ind w:firstLine="720"/>
      </w:pPr>
      <w:r>
        <w:t xml:space="preserve">The data for socioeconomics, land-use, built environment and roadway information were aggregated within a </w:t>
      </w:r>
      <w:r w:rsidR="00D06BD7">
        <w:t xml:space="preserve">1.61 km (1 </w:t>
      </w:r>
      <w:r>
        <w:t>mile</w:t>
      </w:r>
      <w:r w:rsidR="00D06BD7">
        <w:t>)</w:t>
      </w:r>
      <w:r>
        <w:t xml:space="preserve"> buffer for each detector for our analysis.</w:t>
      </w:r>
      <w:r w:rsidR="00732FC1">
        <w:t xml:space="preserve"> </w:t>
      </w:r>
      <w:r w:rsidR="00732FC1" w:rsidRPr="00732FC1">
        <w:rPr>
          <w:rFonts w:cs="Times New Roman"/>
          <w:szCs w:val="24"/>
        </w:rPr>
        <w:t xml:space="preserve">In earlier work, the use of different buffer sizes for predicting several transportation modal </w:t>
      </w:r>
      <w:r w:rsidR="003A1BD3" w:rsidRPr="00732FC1">
        <w:rPr>
          <w:rFonts w:cs="Times New Roman"/>
          <w:szCs w:val="24"/>
        </w:rPr>
        <w:t>demand</w:t>
      </w:r>
      <w:r w:rsidR="00732FC1" w:rsidRPr="00732FC1">
        <w:rPr>
          <w:rFonts w:cs="Times New Roman"/>
          <w:szCs w:val="24"/>
        </w:rPr>
        <w:t xml:space="preserve"> and crash analysis is prevalent</w:t>
      </w:r>
      <w:r w:rsidR="00732FC1">
        <w:rPr>
          <w:rFonts w:cs="Times New Roman"/>
          <w:i/>
          <w:iCs/>
          <w:szCs w:val="24"/>
        </w:rPr>
        <w:t xml:space="preserve">. </w:t>
      </w:r>
      <w:r w:rsidR="00732FC1" w:rsidRPr="00732FC1">
        <w:rPr>
          <w:rFonts w:cs="Times New Roman"/>
          <w:szCs w:val="24"/>
        </w:rPr>
        <w:t xml:space="preserve">For instance, </w:t>
      </w:r>
      <w:r w:rsidR="00732FC1" w:rsidRPr="00732FC1">
        <w:rPr>
          <w:rFonts w:cs="Times New Roman"/>
          <w:szCs w:val="24"/>
        </w:rPr>
        <w:fldChar w:fldCharType="begin" w:fldLock="1"/>
      </w:r>
      <w:r w:rsidR="002061D6">
        <w:rPr>
          <w:rFonts w:cs="Times New Roman"/>
          <w:szCs w:val="24"/>
        </w:rPr>
        <w:instrText>ADDIN CSL_CITATION {"citationItems":[{"id":"ITEM-1","itemData":{"DOI":"10.1016/J.TRA.2020.06.015","ISSN":"09658564","abstract":"Detailed ridership analytics requires refined data on transit ridership to understand factors affecting ridership (at the stop and/or route-level). However, detailed data for stop-based boarding and alighting information are not readily available for the entire bus system. Transit agencies usually resort to compiling ridership data on a sample of buses operating on the various routes. We propose an approach to infer stop-level ridership for transit systems that only compile route-level ridership information. A joint model structure of binary logit and fractional split model is proposed to estimate stop-level ridership data sourced from route-level ridership. The model is developed for the Greater Orlando region with ridership data for 8 quadrimesters (four-month time periods) from May 2014 through December 2016. In the presence of repeated data measures, panel version of the joint econometric models for boarding and alighting are estimated. The development of such an analytical framework will allow bus systems with only route-level ridership data to generate stop-level ridership data. The model results offer intuitive results and clearly supports our hypothesis that it is feasible to generate stop-level ridership with route-level ridership data. For transit agencies with ridership data at the stop-level, the proposed model can also be employed to understand how various stops along a route interact with one another toward affecting route-level ridership contributions.","author":[{"dropping-particle":"","family":"Rahman","given":"Moshiur","non-dropping-particle":"","parse-names":false,"suffix":""},{"dropping-particle":"","family":"Yasmin","given":"Shamsunnahar","non-dropping-particle":"","parse-names":false,"suffix":""},{"dropping-particle":"","family":"Eluru","given":"Naveen","non-dropping-particle":"","parse-names":false,"suffix":""}],"container-title":"Transportation Research Part A: Policy and Practice","id":"ITEM-1","issued":{"date-parts":[["2020","9","1"]]},"page":"1-16","publisher":"Elsevier Ltd","title":"A joint panel binary logit and fractional split model for converting route-level transit ridership data to stop-level boarding and alighting data","type":"article-journal","volume":"139"},"uris":["http://www.mendeley.com/documents/?uuid=6c7e6d4a-dbf1-3b46-b2ca-49fc3aeb7057"]},{"id":"ITEM-2","itemData":{"DOI":"10.1016/J.JTRANGEO.2016.01.007","ISSN":"09666923","abstract":"We studied transit ridership from the perspective of the transit provider, with the objective of quantifying the influence of transit system operational attributes, transportation system infrastructure attributes and built environment attributes on the disaggregate stop level boardings and alightings by time of day for the bus transit system in the Montreal region. A Composite Marginal Likelihood (CML) based ordered response probit (ORP) model, that simultaneously allows us to incorporate the influence of exogenous variables and potential correlations between boardings and alightings across multiple time periods of the day is employed. Our results indicate that headway affects ridership negatively, while the presence of public transportation around the stop has a positive and significant effect. Moreover, parks, commercial enterprises, and residential area, amongst others, have various effects across the day on boardings and alightings at bus stops. An elasticity analysis provides useful insights. Specifically, we observe that the most effective way to increase ridership is to increase public transport service and accessibility, whereas enhancements to land use have a smaller effect on ridership. The framework from our analysis provides transit agencies a mechanism to study the influence of transit accessibility, transit connectivity, transit schedule alterations (to increase/reduce headway), and land-use pattern changes on ridership.","author":[{"dropping-particle":"","family":"Chakour","given":"Vincent","non-dropping-particle":"","parse-names":false,"suffix":""},{"dropping-particle":"","family":"Eluru","given":"Naveen","non-dropping-particle":"","parse-names":false,"suffix":""}],"container-title":"Journal of Transport Geography","id":"ITEM-2","issued":{"date-parts":[["2016","2","1"]]},"page":"205-217","publisher":"Elsevier Ltd","title":"Examining the influence of stop level infrastructure and built environment on bus ridership in Montreal","type":"article-journal","volume":"51"},"uris":["http://www.mendeley.com/documents/?uuid=65db3615-864f-391c-80f4-1ab640febb3f"]}],"mendeley":{"formattedCitation":"(Chakour &amp; Eluru, 2016; Rahman et al., 2020)","manualFormatting":"Chakour &amp; Eluru (2016), and Rahman et al. (2020)","plainTextFormattedCitation":"(Chakour &amp; Eluru, 2016; Rahman et al., 2020)","previouslyFormattedCitation":"(Chakour &amp; Eluru, 2016; Rahman et al., 2020)"},"properties":{"noteIndex":0},"schema":"https://github.com/citation-style-language/schema/raw/master/csl-citation.json"}</w:instrText>
      </w:r>
      <w:r w:rsidR="00732FC1" w:rsidRPr="00732FC1">
        <w:rPr>
          <w:rFonts w:cs="Times New Roman"/>
          <w:szCs w:val="24"/>
        </w:rPr>
        <w:fldChar w:fldCharType="separate"/>
      </w:r>
      <w:r w:rsidR="00732FC1" w:rsidRPr="00732FC1">
        <w:rPr>
          <w:rFonts w:cs="Times New Roman"/>
          <w:noProof/>
          <w:szCs w:val="24"/>
        </w:rPr>
        <w:t>Chakour &amp; Eluru (2016), and Rahman et al. (2020)</w:t>
      </w:r>
      <w:r w:rsidR="00732FC1" w:rsidRPr="00732FC1">
        <w:rPr>
          <w:rFonts w:cs="Times New Roman"/>
          <w:szCs w:val="24"/>
        </w:rPr>
        <w:fldChar w:fldCharType="end"/>
      </w:r>
      <w:r w:rsidR="00732FC1" w:rsidRPr="00732FC1">
        <w:rPr>
          <w:rFonts w:cs="Times New Roman"/>
          <w:szCs w:val="24"/>
        </w:rPr>
        <w:t xml:space="preserve"> examined various buffer siz</w:t>
      </w:r>
      <w:r w:rsidR="00B3162E">
        <w:rPr>
          <w:rFonts w:cs="Times New Roman"/>
          <w:szCs w:val="24"/>
        </w:rPr>
        <w:t>e</w:t>
      </w:r>
      <w:r w:rsidR="00732FC1" w:rsidRPr="00732FC1">
        <w:rPr>
          <w:rFonts w:cs="Times New Roman"/>
          <w:szCs w:val="24"/>
        </w:rPr>
        <w:t xml:space="preserve"> and found 800</w:t>
      </w:r>
      <w:r w:rsidR="00D06BD7">
        <w:rPr>
          <w:rFonts w:cs="Times New Roman"/>
          <w:szCs w:val="24"/>
        </w:rPr>
        <w:t xml:space="preserve"> </w:t>
      </w:r>
      <w:r w:rsidR="00732FC1" w:rsidRPr="00732FC1">
        <w:rPr>
          <w:rFonts w:cs="Times New Roman"/>
          <w:szCs w:val="24"/>
        </w:rPr>
        <w:t>m or 0.5</w:t>
      </w:r>
      <w:r w:rsidR="004E0954">
        <w:rPr>
          <w:rFonts w:cs="Times New Roman"/>
          <w:szCs w:val="24"/>
        </w:rPr>
        <w:t>0</w:t>
      </w:r>
      <w:r w:rsidR="00732FC1" w:rsidRPr="00732FC1">
        <w:rPr>
          <w:rFonts w:cs="Times New Roman"/>
          <w:szCs w:val="24"/>
        </w:rPr>
        <w:t xml:space="preserve"> mile offering the best fit</w:t>
      </w:r>
      <w:r w:rsidR="00732FC1">
        <w:rPr>
          <w:rFonts w:cs="Times New Roman"/>
          <w:i/>
          <w:iCs/>
          <w:szCs w:val="24"/>
        </w:rPr>
        <w:t xml:space="preserve">. </w:t>
      </w:r>
      <w:r w:rsidR="00732FC1" w:rsidRPr="00732FC1">
        <w:rPr>
          <w:rFonts w:cs="Times New Roman"/>
          <w:szCs w:val="24"/>
        </w:rPr>
        <w:t xml:space="preserve">Further, for predicting toll road or freeway traffic behavior </w:t>
      </w:r>
      <w:r w:rsidR="00732FC1" w:rsidRPr="00732FC1">
        <w:rPr>
          <w:rFonts w:cs="Times New Roman"/>
          <w:szCs w:val="24"/>
        </w:rPr>
        <w:fldChar w:fldCharType="begin" w:fldLock="1"/>
      </w:r>
      <w:r w:rsidR="002061D6">
        <w:rPr>
          <w:rFonts w:cs="Times New Roman"/>
          <w:szCs w:val="24"/>
        </w:rPr>
        <w:instrText>ADDIN CSL_CITATION {"citationItems":[{"id":"ITEM-1","itemData":{"DOI":"10.1016/J.AAP.2010.09.014","ISSN":"00014575","PMID":"21094342","abstract":"The focus of this paper is twofold: (1) to examine the non-linear relationship between pedestrian crashes and predictor variables such as demographic characteristics (population and household units), socio-economic characteristics (mean income and total employment), land use characteristics, road network characteristics (the number of lanes, speed limit, presence of median, and pedestrian and vehicular volume) and accessibility to public transit systems, and (2) to develop generalized linear pedestrian crash estimation models (based on negative binomial distribution to accommodate for over-dispersion of data) by the level of pedestrian activity and spatial proximity to extract site specific data at signalized intersections. Data for 176 randomly selected signalized intersections in the City of Charlotte, North Carolina were used to examine the non-linear relationships and develop pedestrian crash estimation models. The average number of pedestrian crashes per year within 200 feet of each intersection was considered as the dependent variable whereas the demographic characteristics, socio-economic characteristics, land use characteristics, road network characteristics and the number of transit stops were considered as the predictor variables. The Pearson correlation coefficient was used to eliminate predictor variables that were correlated to each other. Models were then developed separately for all signalized intersections, high pedestrian activity signalized intersections and low pedestrian activity signalized intersections. The use of 0.25 mile, 0.5 mile and 1 mile buffer widths to extract data and develop models was also evaluated. © 2010 Elsevier Ltd.","author":[{"dropping-particle":"","family":"Pulugurtha","given":"Srinivas S.","non-dropping-particle":"","parse-names":false,"suffix":""},{"dropping-particle":"","family":"Sambhara","given":"Venkata R.","non-dropping-particle":"","parse-names":false,"suffix":""}],"container-title":"Accident Analysis and Prevention","id":"ITEM-1","issue":"1","issued":{"date-parts":[["2011","1"]]},"page":"439-446","title":"Pedestrian crash estimation models for signalized intersections","type":"article-journal","volume":"43"},"uris":["http://www.mendeley.com/documents/?uuid=a21c172c-2fb7-32bb-8867-9a6dd40a01f8"]},{"id":"ITEM-2","itemData":{"DOI":"10.1061/9780784483541.022","ISBN":"9780784483541","abstract":"The extent to which the construction of a new toll road influences the land use developments and travel demand is evaluated and presented by considering the Triangle Expressway in Raleigh, North Carolina, as the study corridor. The raw data, such as the land use, road characteristics, and annual average daily traffic (AADT) for different years, for the toll road and the roads in its vicinity, were gathered from the North Carolina Department of Transportation (NCDOT). The Triangle Expressway has stimulated urban spatial expansion and residential growth in its vicinity. A marginal reduction in the vehicle miles traveled (VMT) on the parallel route and a significant increase in VMT on the toll road were observed. The methodological framework illustrated in this research helps to evaluate the influence of a toll road or a similar road project on land use developments and travel demand.","author":[{"dropping-particle":"","family":"Mathew","given":"Sonu","non-dropping-particle":"","parse-names":false,"suffix":""},{"dropping-particle":"","family":"Sravya Jayanthi","given":"L.","non-dropping-particle":"","parse-names":false,"suffix":""},{"dropping-particle":"","family":"Pulugurtha","given":"Srinivas S.","non-dropping-particle":"","parse-names":false,"suffix":""}],"container-title":"International Conference on Transportation and Development 2021: Transportation Planning and Development","id":"ITEM-2","issue":"June","issued":{"date-parts":[["2021"]]},"page":"235-246","title":"Spatial and temporal effects of a toll road on land use developments and travel demand","type":"article-journal"},"uris":["http://www.mendeley.com/documents/?uuid=b2e8f8a6-22af-49eb-990f-26580735f066"]}],"mendeley":{"formattedCitation":"(Mathew et al., 2021; Pulugurtha &amp; Sambhara, 2011)","manualFormatting":"Mathew et al. (2021), and Pulugurtha &amp; Sambhara (2011)","plainTextFormattedCitation":"(Mathew et al., 2021; Pulugurtha &amp; Sambhara, 2011)","previouslyFormattedCitation":"(Mathew et al., 2021; Pulugurtha &amp; Sambhara, 2011)"},"properties":{"noteIndex":0},"schema":"https://github.com/citation-style-language/schema/raw/master/csl-citation.json"}</w:instrText>
      </w:r>
      <w:r w:rsidR="00732FC1" w:rsidRPr="00732FC1">
        <w:rPr>
          <w:rFonts w:cs="Times New Roman"/>
          <w:szCs w:val="24"/>
        </w:rPr>
        <w:fldChar w:fldCharType="separate"/>
      </w:r>
      <w:r w:rsidR="00732FC1" w:rsidRPr="00732FC1">
        <w:rPr>
          <w:rFonts w:cs="Times New Roman"/>
          <w:noProof/>
          <w:szCs w:val="24"/>
        </w:rPr>
        <w:t>Mathew et al. (2021), and Pulugurtha &amp; Sambhara (2011)</w:t>
      </w:r>
      <w:r w:rsidR="00732FC1" w:rsidRPr="00732FC1">
        <w:rPr>
          <w:rFonts w:cs="Times New Roman"/>
          <w:szCs w:val="24"/>
        </w:rPr>
        <w:fldChar w:fldCharType="end"/>
      </w:r>
      <w:r w:rsidR="00732FC1" w:rsidRPr="00732FC1">
        <w:rPr>
          <w:rFonts w:cs="Times New Roman"/>
          <w:szCs w:val="24"/>
        </w:rPr>
        <w:t xml:space="preserve"> considered</w:t>
      </w:r>
      <w:r w:rsidR="00D06BD7">
        <w:rPr>
          <w:rFonts w:cs="Times New Roman"/>
          <w:szCs w:val="24"/>
        </w:rPr>
        <w:t xml:space="preserve"> 1.61 km</w:t>
      </w:r>
      <w:r w:rsidR="00732FC1" w:rsidRPr="00732FC1">
        <w:rPr>
          <w:rFonts w:cs="Times New Roman"/>
          <w:szCs w:val="24"/>
        </w:rPr>
        <w:t xml:space="preserve"> </w:t>
      </w:r>
      <w:r w:rsidR="00D06BD7">
        <w:rPr>
          <w:rFonts w:cs="Times New Roman"/>
          <w:szCs w:val="24"/>
        </w:rPr>
        <w:t>(</w:t>
      </w:r>
      <w:r w:rsidR="00732FC1" w:rsidRPr="00732FC1">
        <w:rPr>
          <w:rFonts w:cs="Times New Roman"/>
          <w:szCs w:val="24"/>
        </w:rPr>
        <w:t>1</w:t>
      </w:r>
      <w:r w:rsidR="00D06BD7">
        <w:rPr>
          <w:rFonts w:cs="Times New Roman"/>
          <w:szCs w:val="24"/>
        </w:rPr>
        <w:t xml:space="preserve"> </w:t>
      </w:r>
      <w:r w:rsidR="00732FC1" w:rsidRPr="00732FC1">
        <w:rPr>
          <w:rFonts w:cs="Times New Roman"/>
          <w:szCs w:val="24"/>
        </w:rPr>
        <w:t>mile</w:t>
      </w:r>
      <w:r w:rsidR="00D06BD7">
        <w:rPr>
          <w:rFonts w:cs="Times New Roman"/>
          <w:szCs w:val="24"/>
        </w:rPr>
        <w:t>)</w:t>
      </w:r>
      <w:r w:rsidR="00732FC1" w:rsidRPr="00732FC1">
        <w:rPr>
          <w:rFonts w:cs="Times New Roman"/>
          <w:szCs w:val="24"/>
        </w:rPr>
        <w:t xml:space="preserve">  buffer area</w:t>
      </w:r>
      <w:r w:rsidR="00732FC1">
        <w:rPr>
          <w:rFonts w:cs="Times New Roman"/>
          <w:i/>
          <w:iCs/>
          <w:szCs w:val="24"/>
        </w:rPr>
        <w:t xml:space="preserve">. </w:t>
      </w:r>
      <w:r w:rsidR="00732FC1" w:rsidRPr="00732FC1">
        <w:rPr>
          <w:rFonts w:cs="Times New Roman"/>
          <w:szCs w:val="24"/>
        </w:rPr>
        <w:t xml:space="preserve">So, in our analysis, we tested with </w:t>
      </w:r>
      <w:r w:rsidR="00D06BD7">
        <w:rPr>
          <w:rFonts w:cs="Times New Roman"/>
          <w:szCs w:val="24"/>
        </w:rPr>
        <w:t>800 m (</w:t>
      </w:r>
      <w:r w:rsidR="00732FC1" w:rsidRPr="00732FC1">
        <w:rPr>
          <w:rFonts w:cs="Times New Roman"/>
          <w:szCs w:val="24"/>
        </w:rPr>
        <w:t>0.5</w:t>
      </w:r>
      <w:r w:rsidR="00D06BD7">
        <w:rPr>
          <w:rFonts w:cs="Times New Roman"/>
          <w:szCs w:val="24"/>
        </w:rPr>
        <w:t xml:space="preserve"> mile)</w:t>
      </w:r>
      <w:r w:rsidR="00732FC1" w:rsidRPr="00732FC1">
        <w:rPr>
          <w:rFonts w:cs="Times New Roman"/>
          <w:szCs w:val="24"/>
        </w:rPr>
        <w:t xml:space="preserve">, and </w:t>
      </w:r>
      <w:r w:rsidR="00D06BD7">
        <w:rPr>
          <w:rFonts w:cs="Times New Roman"/>
          <w:szCs w:val="24"/>
        </w:rPr>
        <w:t>1.61 km (</w:t>
      </w:r>
      <w:r w:rsidR="00732FC1" w:rsidRPr="00732FC1">
        <w:rPr>
          <w:rFonts w:cs="Times New Roman"/>
          <w:szCs w:val="24"/>
        </w:rPr>
        <w:t>1</w:t>
      </w:r>
      <w:r w:rsidR="00D06BD7">
        <w:rPr>
          <w:rFonts w:cs="Times New Roman"/>
          <w:szCs w:val="24"/>
        </w:rPr>
        <w:t xml:space="preserve"> </w:t>
      </w:r>
      <w:r w:rsidR="00732FC1" w:rsidRPr="00732FC1">
        <w:rPr>
          <w:rFonts w:cs="Times New Roman"/>
          <w:szCs w:val="24"/>
        </w:rPr>
        <w:t>mile</w:t>
      </w:r>
      <w:r w:rsidR="00D06BD7">
        <w:rPr>
          <w:rFonts w:cs="Times New Roman"/>
          <w:szCs w:val="24"/>
        </w:rPr>
        <w:t>)</w:t>
      </w:r>
      <w:r w:rsidR="00732FC1" w:rsidRPr="00732FC1">
        <w:rPr>
          <w:rFonts w:cs="Times New Roman"/>
          <w:szCs w:val="24"/>
        </w:rPr>
        <w:t xml:space="preserve"> buffer and the estimation results with </w:t>
      </w:r>
      <w:r w:rsidR="00D06BD7">
        <w:rPr>
          <w:rFonts w:cs="Times New Roman"/>
          <w:szCs w:val="24"/>
        </w:rPr>
        <w:t>1.61 km (</w:t>
      </w:r>
      <w:r w:rsidR="00732FC1" w:rsidRPr="00732FC1">
        <w:rPr>
          <w:rFonts w:cs="Times New Roman"/>
          <w:szCs w:val="24"/>
        </w:rPr>
        <w:t>1</w:t>
      </w:r>
      <w:r w:rsidR="00D06BD7">
        <w:rPr>
          <w:rFonts w:cs="Times New Roman"/>
          <w:szCs w:val="24"/>
        </w:rPr>
        <w:t xml:space="preserve"> </w:t>
      </w:r>
      <w:r w:rsidR="00732FC1" w:rsidRPr="00732FC1">
        <w:rPr>
          <w:rFonts w:cs="Times New Roman"/>
          <w:szCs w:val="24"/>
        </w:rPr>
        <w:t>mile</w:t>
      </w:r>
      <w:r w:rsidR="00D06BD7">
        <w:rPr>
          <w:rFonts w:cs="Times New Roman"/>
          <w:szCs w:val="24"/>
        </w:rPr>
        <w:t>)</w:t>
      </w:r>
      <w:r w:rsidR="00732FC1" w:rsidRPr="00732FC1">
        <w:rPr>
          <w:rFonts w:cs="Times New Roman"/>
          <w:szCs w:val="24"/>
        </w:rPr>
        <w:t xml:space="preserve"> buffer offered improved model fit.</w:t>
      </w:r>
      <w:r w:rsidR="003B153D">
        <w:rPr>
          <w:rFonts w:cs="Times New Roman"/>
          <w:szCs w:val="24"/>
        </w:rPr>
        <w:t xml:space="preserve"> </w:t>
      </w:r>
      <w:r w:rsidR="003B153D" w:rsidRPr="00DB568D">
        <w:rPr>
          <w:rFonts w:cs="Times New Roman"/>
          <w:szCs w:val="24"/>
        </w:rPr>
        <w:t>Using US census data at CT resolution, we generate buffer specific variable measures by allocating full CTs directly and employing area-weighted characteristics from partially covered CTs</w:t>
      </w:r>
      <w:r w:rsidR="003B153D">
        <w:rPr>
          <w:rFonts w:cs="Times New Roman"/>
          <w:szCs w:val="24"/>
        </w:rPr>
        <w:t>.</w:t>
      </w:r>
    </w:p>
    <w:p w14:paraId="284E79E4" w14:textId="77777777" w:rsidR="00BD6C6D" w:rsidRDefault="00164466" w:rsidP="00BD6C6D">
      <w:pPr>
        <w:ind w:firstLine="720"/>
      </w:pPr>
      <w:r w:rsidRPr="00DB568D">
        <w:lastRenderedPageBreak/>
        <w:t>The</w:t>
      </w:r>
      <w:r w:rsidRPr="00164466">
        <w:t xml:space="preserve"> meteorological data from 27 weather stations across the state of Florida have been assigned to the 3,957 traffic detectors considered in this study. The near table tool in ArcGIS software was used to assign the weather information of the nearest weather station to each of the detector. The descriptive statistics of the distance between the traffic detectors and the weather station</w:t>
      </w:r>
      <w:r w:rsidR="00FD3B4F">
        <w:t>s</w:t>
      </w:r>
      <w:r w:rsidRPr="00164466">
        <w:t xml:space="preserve"> </w:t>
      </w:r>
      <w:r w:rsidR="00FD3B4F">
        <w:t>are</w:t>
      </w:r>
      <w:r w:rsidRPr="00164466">
        <w:t xml:space="preserve"> shown in Table 1. </w:t>
      </w:r>
      <w:r w:rsidR="00B50363">
        <w:t xml:space="preserve"> </w:t>
      </w:r>
    </w:p>
    <w:p w14:paraId="6CB76D27" w14:textId="5CA7B16D" w:rsidR="006E353C" w:rsidRDefault="006E353C" w:rsidP="00BD6C6D">
      <w:pPr>
        <w:ind w:firstLine="720"/>
      </w:pPr>
      <w:r w:rsidRPr="006E353C">
        <w:t xml:space="preserve">It is observed that the mean distance between weather stations and traffic detectors is </w:t>
      </w:r>
      <w:r w:rsidR="00AA670B">
        <w:t>27.6</w:t>
      </w:r>
      <w:r w:rsidR="004E0954">
        <w:t>0</w:t>
      </w:r>
      <w:r w:rsidR="00AA670B">
        <w:t xml:space="preserve"> km (</w:t>
      </w:r>
      <w:r w:rsidRPr="006E353C">
        <w:t>17.15 miles</w:t>
      </w:r>
      <w:r w:rsidR="00AA670B">
        <w:t>)</w:t>
      </w:r>
      <w:r w:rsidRPr="006E353C">
        <w:t xml:space="preserve">. Ideally, we would like the distance to be even lower. However, given that the data is needed reliably across the year, this is a </w:t>
      </w:r>
      <w:r w:rsidRPr="00EA6E8A">
        <w:t>reasonable compromise.</w:t>
      </w:r>
    </w:p>
    <w:p w14:paraId="65C7964F" w14:textId="58A8B1E5" w:rsidR="00604D16" w:rsidRDefault="00604D16" w:rsidP="00612721">
      <w:pPr>
        <w:ind w:firstLine="720"/>
        <w:rPr>
          <w:rFonts w:cs="Times New Roman"/>
          <w:szCs w:val="24"/>
        </w:rPr>
      </w:pPr>
      <w:r>
        <w:t xml:space="preserve">The reader would note that </w:t>
      </w:r>
      <w:r w:rsidR="000F164A">
        <w:t xml:space="preserve">several lockdown measures were implemented across the state. However, </w:t>
      </w:r>
      <w:r>
        <w:rPr>
          <w:rFonts w:cs="Times New Roman"/>
          <w:szCs w:val="24"/>
        </w:rPr>
        <w:t xml:space="preserve">lockdown and COVID-19 policy implementations across the state </w:t>
      </w:r>
      <w:r w:rsidR="000F164A">
        <w:rPr>
          <w:rFonts w:cs="Times New Roman"/>
          <w:szCs w:val="24"/>
        </w:rPr>
        <w:t xml:space="preserve">were not readily available for consideration in our models. Hence, </w:t>
      </w:r>
      <w:r>
        <w:rPr>
          <w:rFonts w:cs="Times New Roman"/>
          <w:szCs w:val="24"/>
        </w:rPr>
        <w:t xml:space="preserve">we </w:t>
      </w:r>
      <w:r w:rsidR="000F164A">
        <w:rPr>
          <w:rFonts w:cs="Times New Roman"/>
          <w:szCs w:val="24"/>
        </w:rPr>
        <w:t xml:space="preserve">employed COVID-19 temporal factors and </w:t>
      </w:r>
      <w:r>
        <w:rPr>
          <w:rFonts w:cs="Times New Roman"/>
          <w:szCs w:val="24"/>
        </w:rPr>
        <w:t xml:space="preserve">spatial factors to serve as controls for these differences. For </w:t>
      </w:r>
      <w:r w:rsidRPr="002C541C">
        <w:rPr>
          <w:rFonts w:cs="Times New Roman"/>
          <w:i/>
          <w:iCs/>
          <w:szCs w:val="24"/>
          <w:u w:val="single"/>
        </w:rPr>
        <w:t>temporal factors</w:t>
      </w:r>
      <w:r>
        <w:rPr>
          <w:rFonts w:cs="Times New Roman"/>
          <w:szCs w:val="24"/>
        </w:rPr>
        <w:t xml:space="preserve">, we examined indicator variables by month to represent the varying actions considered as time elapsed since the beginning of the pandemic. The variables considered include indicator variables for </w:t>
      </w:r>
      <w:r w:rsidR="00D913B2">
        <w:rPr>
          <w:rFonts w:cs="Times New Roman"/>
          <w:szCs w:val="24"/>
        </w:rPr>
        <w:t>1</w:t>
      </w:r>
      <w:r w:rsidR="00D913B2" w:rsidRPr="00D913B2">
        <w:rPr>
          <w:rFonts w:cs="Times New Roman"/>
          <w:szCs w:val="24"/>
          <w:vertAlign w:val="superscript"/>
        </w:rPr>
        <w:t>st</w:t>
      </w:r>
      <w:r w:rsidR="00D913B2">
        <w:rPr>
          <w:rFonts w:cs="Times New Roman"/>
          <w:szCs w:val="24"/>
        </w:rPr>
        <w:t xml:space="preserve"> M</w:t>
      </w:r>
      <w:r>
        <w:rPr>
          <w:rFonts w:cs="Times New Roman"/>
          <w:szCs w:val="24"/>
        </w:rPr>
        <w:t xml:space="preserve">arch 2020 and later, </w:t>
      </w:r>
      <w:r w:rsidR="00D913B2">
        <w:rPr>
          <w:rFonts w:cs="Times New Roman"/>
          <w:szCs w:val="24"/>
        </w:rPr>
        <w:t>1</w:t>
      </w:r>
      <w:r w:rsidR="00D913B2" w:rsidRPr="00D913B2">
        <w:rPr>
          <w:rFonts w:cs="Times New Roman"/>
          <w:szCs w:val="24"/>
          <w:vertAlign w:val="superscript"/>
        </w:rPr>
        <w:t>st</w:t>
      </w:r>
      <w:r w:rsidR="00D913B2">
        <w:rPr>
          <w:rFonts w:cs="Times New Roman"/>
          <w:szCs w:val="24"/>
        </w:rPr>
        <w:t xml:space="preserve"> </w:t>
      </w:r>
      <w:r>
        <w:rPr>
          <w:rFonts w:cs="Times New Roman"/>
          <w:szCs w:val="24"/>
        </w:rPr>
        <w:t xml:space="preserve">April 2020 and later and so on. For </w:t>
      </w:r>
      <w:r w:rsidRPr="002C541C">
        <w:rPr>
          <w:rFonts w:cs="Times New Roman"/>
          <w:i/>
          <w:iCs/>
          <w:szCs w:val="24"/>
          <w:u w:val="single"/>
        </w:rPr>
        <w:t>spatial factors</w:t>
      </w:r>
      <w:r>
        <w:rPr>
          <w:rFonts w:cs="Times New Roman"/>
          <w:szCs w:val="24"/>
        </w:rPr>
        <w:t>, we created indicator variables for the seven Florida Department of Transportation Districts. Further, we considered the potential interactions of these two variable groups with all independent variables in our analysis.</w:t>
      </w:r>
    </w:p>
    <w:p w14:paraId="78FA3263" w14:textId="182DB0E3" w:rsidR="00EA6E8A" w:rsidRDefault="00EA6E8A" w:rsidP="00612721">
      <w:pPr>
        <w:ind w:firstLine="720"/>
      </w:pPr>
      <w:r w:rsidRPr="00EA6E8A">
        <w:t>The reader would recognize that temporal and spatial factors (and the various interactions) serve as surrogates for pandemic policy implementation across the state.</w:t>
      </w:r>
    </w:p>
    <w:p w14:paraId="2AEC8CA7" w14:textId="1AAE77A7" w:rsidR="00C85715" w:rsidRDefault="00C85715" w:rsidP="00C85715">
      <w:pPr>
        <w:pStyle w:val="Heading2"/>
      </w:pPr>
      <w:r>
        <w:t xml:space="preserve">Sample Characteristics </w:t>
      </w:r>
    </w:p>
    <w:p w14:paraId="1CCFBC7D" w14:textId="7CF37558" w:rsidR="009D7CA2" w:rsidRDefault="00C85715" w:rsidP="00C85715">
      <w:r>
        <w:t>A descriptive summary of the dependent and independent variables is provided in Table 1</w:t>
      </w:r>
      <w:r w:rsidR="00BD6C6D">
        <w:t xml:space="preserve"> </w:t>
      </w:r>
      <w:r w:rsidR="00E270C1">
        <w:t>and 2</w:t>
      </w:r>
      <w:r>
        <w:t xml:space="preserve">. An illustration of the sudden impact of COVID-19 emergence and its continuing influence on </w:t>
      </w:r>
      <w:r>
        <w:lastRenderedPageBreak/>
        <w:t>weekly traffic volumes is presented in Fig</w:t>
      </w:r>
      <w:r w:rsidR="00BD5E73">
        <w:t>ure</w:t>
      </w:r>
      <w:r>
        <w:t xml:space="preserve"> 2. From </w:t>
      </w:r>
      <w:r w:rsidR="007D6795">
        <w:t>Figure</w:t>
      </w:r>
      <w:r>
        <w:t xml:space="preserve"> 2, we can observe the sudden drop </w:t>
      </w:r>
      <w:r w:rsidR="00626CC7" w:rsidRPr="00626CC7">
        <w:t xml:space="preserve">(46.19%) </w:t>
      </w:r>
      <w:r>
        <w:t xml:space="preserve">in traffic volumes in March 2020. The figure also overlays the weekly count of COVID-19 cases in the state. The traffic volume data indicates a reasonable recovery from middle of 2020 with traffic volumes very close </w:t>
      </w:r>
      <w:r w:rsidR="00626CC7" w:rsidRPr="00626CC7">
        <w:t xml:space="preserve">(13% to 15% difference) </w:t>
      </w:r>
      <w:r>
        <w:t>to 2019 traffic volumes as we get to the end of 2020</w:t>
      </w:r>
      <w:r w:rsidR="00626CC7">
        <w:t xml:space="preserve">, </w:t>
      </w:r>
      <w:r w:rsidR="00626CC7" w:rsidRPr="00626CC7">
        <w:t>when the difference was 4.03%</w:t>
      </w:r>
      <w:r>
        <w:t xml:space="preserve">. Surprisingly, the August surge in COVID-19 cases results in a minor dip </w:t>
      </w:r>
      <w:r w:rsidR="00903DB2" w:rsidRPr="00903DB2">
        <w:t xml:space="preserve">(13.02%) </w:t>
      </w:r>
      <w:r>
        <w:t>in traffic volumes. Further, it is interesting to note that the December surge in COVID-19 cases did not influence the weekly traffic volumes.</w:t>
      </w:r>
    </w:p>
    <w:p w14:paraId="6F81356C" w14:textId="57327724" w:rsidR="00C85715" w:rsidRPr="00C85715" w:rsidRDefault="00C85715" w:rsidP="00C85715">
      <w:pPr>
        <w:pStyle w:val="Heading1"/>
      </w:pPr>
      <w:r>
        <w:t>M</w:t>
      </w:r>
      <w:r w:rsidR="0003163B">
        <w:t>ETHODOLOGY</w:t>
      </w:r>
    </w:p>
    <w:p w14:paraId="443CD655" w14:textId="44EA1363" w:rsidR="00C85715" w:rsidRDefault="00C85715" w:rsidP="00C85715">
      <w:r>
        <w:t xml:space="preserve">The formulation of the different spatial panel models considered in our analysis are described </w:t>
      </w:r>
      <w:r w:rsidR="006B75BD">
        <w:t xml:space="preserve">in </w:t>
      </w:r>
      <w:r w:rsidR="006B75BD">
        <w:fldChar w:fldCharType="begin" w:fldLock="1"/>
      </w:r>
      <w:r w:rsidR="002061D6">
        <w:instrText>ADDIN CSL_CITATION {"citationItems":[{"id":"ITEM-1","itemData":{"DOI":"10.1177/0160017603253791","abstract":"This article provides a survey of the specification and estimation of spatial panel data models. These models include spatial error autocorrelation, or the specification is extended with a spatiall...","author":[{"dropping-particle":"","family":"Elhorst","given":"J. Paul","non-dropping-particle":"","parse-names":false,"suffix":""}],"container-title":"International Regional Science Review","id":"ITEM-1","issue":"3","issued":{"date-parts":[["2003","7","26"]]},"page":"244-268","publisher":"SAGE Publications","title":"Specification and Estimation of Spatial Panel Data Models:","type":"article-journal","volume":"26"},"uris":["http://www.mendeley.com/documents/?uuid=33031540-e36b-3ed8-bff7-5bbd71de1494"]}],"mendeley":{"formattedCitation":"(Elhorst, 2003)","manualFormatting":"Elhorst (2003)","plainTextFormattedCitation":"(Elhorst, 2003)","previouslyFormattedCitation":"(Elhorst, 2003)"},"properties":{"noteIndex":0},"schema":"https://github.com/citation-style-language/schema/raw/master/csl-citation.json"}</w:instrText>
      </w:r>
      <w:r w:rsidR="006B75BD">
        <w:fldChar w:fldCharType="separate"/>
      </w:r>
      <w:r w:rsidR="006B75BD" w:rsidRPr="006B75BD">
        <w:rPr>
          <w:noProof/>
        </w:rPr>
        <w:t xml:space="preserve">Elhorst </w:t>
      </w:r>
      <w:r w:rsidR="006B75BD">
        <w:rPr>
          <w:noProof/>
        </w:rPr>
        <w:t>(</w:t>
      </w:r>
      <w:r w:rsidR="006B75BD" w:rsidRPr="006B75BD">
        <w:rPr>
          <w:noProof/>
        </w:rPr>
        <w:t>2003)</w:t>
      </w:r>
      <w:r w:rsidR="006B75BD">
        <w:fldChar w:fldCharType="end"/>
      </w:r>
      <w:r w:rsidR="006B75BD">
        <w:t>.</w:t>
      </w:r>
      <w:r w:rsidR="007003F1">
        <w:t xml:space="preserve"> </w:t>
      </w:r>
      <w:r w:rsidRPr="007003F1">
        <w:rPr>
          <w:rFonts w:cs="Times New Roman"/>
        </w:rPr>
        <w:t xml:space="preserve">Let </w:t>
      </w:r>
      <m:oMath>
        <m:r>
          <w:rPr>
            <w:rFonts w:ascii="Cambria Math" w:eastAsiaTheme="minorEastAsia" w:hAnsi="Cambria Math" w:cs="Times New Roman"/>
          </w:rPr>
          <m:t>i (=1,2,3,    ,N)</m:t>
        </m:r>
      </m:oMath>
      <w:r w:rsidRPr="007003F1">
        <w:rPr>
          <w:rFonts w:eastAsiaTheme="minorEastAsia" w:cs="Times New Roman"/>
        </w:rPr>
        <w:t xml:space="preserve"> </w:t>
      </w:r>
      <w:r w:rsidRPr="007003F1">
        <w:rPr>
          <w:rFonts w:cs="Times New Roman"/>
        </w:rPr>
        <w:t xml:space="preserve"> be an index</w:t>
      </w:r>
      <w:r w:rsidRPr="00BB3CBB">
        <w:t xml:space="preserve"> to represent each </w:t>
      </w:r>
      <w:r>
        <w:t>detector (</w:t>
      </w:r>
      <w:r w:rsidRPr="009B7D99">
        <w:rPr>
          <w:i/>
          <w:iCs/>
        </w:rPr>
        <w:t>N =</w:t>
      </w:r>
      <w:r>
        <w:t xml:space="preserve"> 3,</w:t>
      </w:r>
      <w:r w:rsidR="007003F1">
        <w:t>957</w:t>
      </w:r>
      <w:r>
        <w:t>)</w:t>
      </w:r>
      <w:r w:rsidRPr="00BB3CBB">
        <w:t xml:space="preserve">, </w:t>
      </w:r>
      <w:r w:rsidRPr="007003F1">
        <w:rPr>
          <w:rFonts w:cs="Times New Roman"/>
        </w:rPr>
        <w:t xml:space="preserve">and </w:t>
      </w:r>
      <w:r w:rsidRPr="007003F1">
        <w:rPr>
          <w:rFonts w:eastAsiaTheme="minorEastAsia" w:cs="Times New Roman"/>
        </w:rPr>
        <w:t xml:space="preserve"> </w:t>
      </w:r>
      <m:oMath>
        <m:r>
          <w:rPr>
            <w:rFonts w:ascii="Cambria Math" w:eastAsiaTheme="minorEastAsia" w:hAnsi="Cambria Math" w:cs="Times New Roman"/>
          </w:rPr>
          <m:t>t (=1,2,3,   , 24)</m:t>
        </m:r>
      </m:oMath>
      <w:r w:rsidRPr="007003F1">
        <w:rPr>
          <w:rFonts w:eastAsiaTheme="minorEastAsia" w:cs="Times New Roman"/>
        </w:rPr>
        <w:t xml:space="preserve"> </w:t>
      </w:r>
      <w:r w:rsidRPr="007003F1">
        <w:rPr>
          <w:rFonts w:cs="Times New Roman"/>
        </w:rPr>
        <w:t xml:space="preserve">be an index to represent the </w:t>
      </w:r>
      <w:proofErr w:type="gramStart"/>
      <w:r w:rsidRPr="007003F1">
        <w:rPr>
          <w:rFonts w:cs="Times New Roman"/>
        </w:rPr>
        <w:t>time period</w:t>
      </w:r>
      <w:proofErr w:type="gramEnd"/>
      <w:r w:rsidRPr="007003F1">
        <w:rPr>
          <w:rFonts w:cs="Times New Roman"/>
        </w:rPr>
        <w:t xml:space="preserve"> of data collec</w:t>
      </w:r>
      <w:r>
        <w:t>tion</w:t>
      </w:r>
      <w:r w:rsidRPr="00BB3CBB">
        <w:t xml:space="preserve">. The general form of the </w:t>
      </w:r>
      <w:r>
        <w:t>pooled linear regression model considering spatial effects has the following structure:</w:t>
      </w:r>
    </w:p>
    <w:p w14:paraId="6CF756BD" w14:textId="593FC999" w:rsidR="00C85715" w:rsidRPr="00940C2D" w:rsidRDefault="003F3854" w:rsidP="00C85715">
      <w:pPr>
        <w:spacing w:line="276" w:lineRule="auto"/>
        <w:ind w:firstLine="720"/>
        <w:rPr>
          <w:rFonts w:cs="Times New Roman"/>
          <w:szCs w:val="24"/>
        </w:rPr>
      </w:pPr>
      <m:oMathPara>
        <m:oMathParaPr>
          <m:jc m:val="right"/>
        </m:oMathParaP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it</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i</m:t>
              </m:r>
            </m:sub>
          </m:sSub>
          <m:r>
            <w:rPr>
              <w:rFonts w:ascii="Cambria Math" w:hAnsi="Cambria Math" w:cs="Times New Roman"/>
              <w:szCs w:val="24"/>
            </w:rPr>
            <m:t xml:space="preserve">                                                                                                                                  (1)</m:t>
          </m:r>
        </m:oMath>
      </m:oMathPara>
    </w:p>
    <w:p w14:paraId="1BA1ABEA" w14:textId="0D2825F8" w:rsidR="00C85715" w:rsidRDefault="00C85715" w:rsidP="00B54D5E">
      <w:r>
        <w:t xml:space="preserve">where,  </w:t>
      </w:r>
      <m:oMath>
        <m:sSub>
          <m:sSubPr>
            <m:ctrlPr>
              <w:rPr>
                <w:rFonts w:ascii="Cambria Math" w:hAnsi="Cambria Math"/>
                <w:i/>
              </w:rPr>
            </m:ctrlPr>
          </m:sSubPr>
          <m:e>
            <m:r>
              <w:rPr>
                <w:rFonts w:ascii="Cambria Math" w:hAnsi="Cambria Math"/>
              </w:rPr>
              <m:t>y</m:t>
            </m:r>
          </m:e>
          <m:sub>
            <m:r>
              <w:rPr>
                <w:rFonts w:ascii="Cambria Math" w:hAnsi="Cambria Math"/>
              </w:rPr>
              <m:t>it</m:t>
            </m:r>
          </m:sub>
        </m:sSub>
      </m:oMath>
      <w:r>
        <w:t xml:space="preserve"> is the natural logarithm of traffic volume incremented by 1, </w:t>
      </w:r>
      <m:oMath>
        <m:sSub>
          <m:sSubPr>
            <m:ctrlPr>
              <w:rPr>
                <w:rFonts w:ascii="Cambria Math" w:hAnsi="Cambria Math"/>
                <w:i/>
              </w:rPr>
            </m:ctrlPr>
          </m:sSubPr>
          <m:e>
            <m:r>
              <w:rPr>
                <w:rFonts w:ascii="Cambria Math" w:hAnsi="Cambria Math"/>
              </w:rPr>
              <m:t>X</m:t>
            </m:r>
          </m:e>
          <m:sub>
            <m:r>
              <w:rPr>
                <w:rFonts w:ascii="Cambria Math" w:hAnsi="Cambria Math"/>
              </w:rPr>
              <m:t>it</m:t>
            </m:r>
          </m:sub>
        </m:sSub>
        <m:r>
          <w:rPr>
            <w:rFonts w:ascii="Cambria Math" w:hAnsi="Cambria Math"/>
          </w:rPr>
          <m:t xml:space="preserve"> </m:t>
        </m:r>
      </m:oMath>
      <w:r>
        <w:t xml:space="preserve">is a matrix of variables at detector </w:t>
      </w:r>
      <m:oMath>
        <m:r>
          <w:rPr>
            <w:rFonts w:ascii="Cambria Math" w:hAnsi="Cambria Math"/>
          </w:rPr>
          <m:t>i</m:t>
        </m:r>
      </m:oMath>
      <w:r>
        <w:t xml:space="preserve"> and time </w:t>
      </w:r>
      <m:oMath>
        <m:r>
          <w:rPr>
            <w:rFonts w:ascii="Cambria Math" w:hAnsi="Cambria Math"/>
          </w:rPr>
          <m:t>t</m:t>
        </m:r>
      </m:oMath>
      <w:r>
        <w:t xml:space="preserve">, </w:t>
      </w:r>
      <m:oMath>
        <m:r>
          <w:rPr>
            <w:rFonts w:ascii="Cambria Math" w:hAnsi="Cambria Math"/>
          </w:rPr>
          <m:t>β</m:t>
        </m:r>
      </m:oMath>
      <w:r>
        <w:t xml:space="preserve"> is the model coefficients to be estimated and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t xml:space="preserve"> are independently and </w:t>
      </w:r>
      <w:r w:rsidR="00C3082C">
        <w:t>identically</w:t>
      </w:r>
      <w:r>
        <w:t xml:space="preserve"> distributed error terms for all </w:t>
      </w:r>
      <m:oMath>
        <m:r>
          <w:rPr>
            <w:rFonts w:ascii="Cambria Math" w:hAnsi="Cambria Math"/>
          </w:rPr>
          <m:t>i</m:t>
        </m:r>
      </m:oMath>
      <w:r>
        <w:t xml:space="preserve"> and </w:t>
      </w:r>
      <m:oMath>
        <m:r>
          <w:rPr>
            <w:rFonts w:ascii="Cambria Math" w:hAnsi="Cambria Math"/>
          </w:rPr>
          <m:t>t</m:t>
        </m:r>
      </m:oMath>
      <w:r>
        <w:t xml:space="preserve">, with zero mean and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t xml:space="preserve">. The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t xml:space="preserve"> </w:t>
      </w:r>
      <w:r w:rsidRPr="007C45A3">
        <w:t xml:space="preserve">represents </w:t>
      </w:r>
      <w:r>
        <w:t xml:space="preserve">the </w:t>
      </w:r>
      <w:r w:rsidRPr="007C45A3">
        <w:t xml:space="preserve">spatial effect to account for all the </w:t>
      </w:r>
      <w:r>
        <w:t>detector</w:t>
      </w:r>
      <w:r w:rsidRPr="007C45A3">
        <w:t>-specific time-invariant</w:t>
      </w:r>
      <w:r>
        <w:t xml:space="preserve"> </w:t>
      </w:r>
      <w:r w:rsidRPr="007C45A3">
        <w:t>unobserved attributes</w:t>
      </w:r>
      <w:r>
        <w:t>. Now, c</w:t>
      </w:r>
      <w:r w:rsidRPr="00D570B0">
        <w:t>onditional on the specification</w:t>
      </w:r>
      <w:r>
        <w:t xml:space="preserve">, this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t xml:space="preserve"> can be treated as fixed or random effect in the model estimation. However, a fixed effect model is not suitable in the presence of time-invariant exogenous variables</w:t>
      </w:r>
      <w:r w:rsidR="00C3082C">
        <w:t xml:space="preserve"> </w:t>
      </w:r>
      <w:r w:rsidR="00C3082C">
        <w:fldChar w:fldCharType="begin" w:fldLock="1"/>
      </w:r>
      <w:r w:rsidR="002061D6">
        <w:instrText>ADDIN CSL_CITATION {"citationItems":[{"id":"ITEM-1","itemData":{"DOI":"10.1016/j.jtrangeo.2016.06.008","ISSN":"09666923","abstract":"Recent success of bicycle-sharing systems (BSS) have led to their growth around the world. Not surprisingly, there is increased research towards better understanding of the contributing factors for BSS demand. However, these research efforts have neglected to adequately consider spatial and temporal interaction of BSS station's demand (arrivals and departures). It is possible that bicycle arrival and departure rates of one BSS station are potentially inter connected with bicycle flow rates for neighboring stations. It is also plausible that the arrival and departure rates at one time period are influenced by the arrival and departure rates of earlier time periods for that station and neighboring stations. Neglecting the presence of such effects, when they are actually present will result in biased model estimates. The major objective of this study is to accommodate for spatial and temporal effects (observed and unobserved) for modelling bicycle demand employing data from New York City's bicycle-sharing system (CitiBike). Towards this end, spatial error and spatial lag models that accommodate for the influence of spatial and temporal interactions are estimated. The exogenous variables for these models are drawn from BSS infrastructure, transportation network infrastructure, land use, point of interests, and meteorological and temporal attributes. The results provide strong evidence for the presence of spatial and temporal dependency for BSS station's arrival and departure rates. A hold out sample validation exercise further emphasizes the improved accuracy of the models with spatial and temporal interactions.","author":[{"dropping-particle":"","family":"Faghih-Imani","given":"Ahmadreza","non-dropping-particle":"","parse-names":false,"suffix":""},{"dropping-particle":"","family":"Eluru","given":"Naveen","non-dropping-particle":"","parse-names":false,"suffix":""}],"container-title":"Journal of Transport Geography","id":"ITEM-1","issued":{"date-parts":[["2016"]]},"page":"218-227","publisher":"Elsevier B.V.","title":"Incorporating the impact of spatio-temporal interactions on bicycle sharing system demand: A case study of New York CitiBike system","type":"article-journal","volume":"54"},"uris":["http://www.mendeley.com/documents/?uuid=23c55cd7-d695-4f54-8eb8-37f868d2e77b"]}],"mendeley":{"formattedCitation":"(Faghih-Imani &amp; Eluru, 2016b)","plainTextFormattedCitation":"(Faghih-Imani &amp; Eluru, 2016b)","previouslyFormattedCitation":"(Faghih-Imani &amp; Eluru, 2016b)"},"properties":{"noteIndex":0},"schema":"https://github.com/citation-style-language/schema/raw/master/csl-citation.json"}</w:instrText>
      </w:r>
      <w:r w:rsidR="00C3082C">
        <w:fldChar w:fldCharType="separate"/>
      </w:r>
      <w:r w:rsidR="00E61833" w:rsidRPr="00E61833">
        <w:rPr>
          <w:noProof/>
        </w:rPr>
        <w:t>(Faghih-Imani &amp; Eluru, 2016b)</w:t>
      </w:r>
      <w:r w:rsidR="00C3082C">
        <w:fldChar w:fldCharType="end"/>
      </w:r>
      <w:r>
        <w:t xml:space="preserve">. In our analysis, socioeconomics and land use patterns did not change over the months for any detector. Hence, we adopt the spatial random effect model formulation for our study context. </w:t>
      </w:r>
    </w:p>
    <w:p w14:paraId="605C31A3" w14:textId="77777777" w:rsidR="00C85715" w:rsidRDefault="00C85715" w:rsidP="00612721">
      <w:pPr>
        <w:ind w:firstLine="720"/>
      </w:pPr>
      <w:r>
        <w:lastRenderedPageBreak/>
        <w:t xml:space="preserve">Several specifications are used for accounting spatial dependence in the literature including Spatial Lag or Autoregressive Model (SAR), Spatial Error Model (SEM), and Geographically Weighted Regression Model (GWRM). In the current study, we restrict ourselves to the use of SAR and SEM models. The SAR accommodates for the spatial dependency by adding a spatial lagged dependent variable in the model while the SEM model considers a spatial lagged error structure for incorporating spatial correlation. </w:t>
      </w:r>
    </w:p>
    <w:p w14:paraId="7DE8F889" w14:textId="73A61D78" w:rsidR="00C85715" w:rsidRPr="00C85715" w:rsidRDefault="00C85715" w:rsidP="00612721">
      <w:pPr>
        <w:ind w:firstLine="720"/>
      </w:pPr>
      <w:r>
        <w:rPr>
          <w:rFonts w:cs="Times New Roman"/>
          <w:szCs w:val="24"/>
        </w:rPr>
        <w:t xml:space="preserve">The general form of the </w:t>
      </w:r>
      <w:r>
        <w:rPr>
          <w:rFonts w:eastAsiaTheme="minorEastAsia" w:cs="Times New Roman"/>
          <w:szCs w:val="24"/>
        </w:rPr>
        <w:t xml:space="preserve">SAR (see equation 2) and SEM (see equation 3 and 4) are as </w:t>
      </w:r>
      <w:r w:rsidRPr="00984635">
        <w:rPr>
          <w:rFonts w:eastAsiaTheme="minorEastAsia" w:cs="Times New Roman"/>
          <w:szCs w:val="24"/>
        </w:rPr>
        <w:t xml:space="preserve">follows </w:t>
      </w:r>
      <w:r w:rsidRPr="00984635">
        <w:rPr>
          <w:rFonts w:eastAsiaTheme="minorEastAsia" w:cs="Times New Roman"/>
          <w:szCs w:val="24"/>
        </w:rPr>
        <w:fldChar w:fldCharType="begin" w:fldLock="1"/>
      </w:r>
      <w:r w:rsidR="002061D6">
        <w:rPr>
          <w:rFonts w:eastAsiaTheme="minorEastAsia" w:cs="Times New Roman"/>
          <w:szCs w:val="24"/>
        </w:rPr>
        <w:instrText>ADDIN CSL_CITATION {"citationItems":[{"id":"ITEM-1","itemData":{"DOI":"10.1177/0160017603253791","abstract":"This article provides a survey of the specification and estimation of spatial panel data models. These models include spatial error autocorrelation, or the specification is extended with a spatiall...","author":[{"dropping-particle":"","family":"Elhorst","given":"J. Paul","non-dropping-particle":"","parse-names":false,"suffix":""}],"container-title":"International Regional Science Review","id":"ITEM-1","issue":"3","issued":{"date-parts":[["2003","7","26"]]},"page":"244-268","publisher":"SAGE Publications","title":"Specification and Estimation of Spatial Panel Data Models:","type":"article-journal","volume":"26"},"uris":["http://www.mendeley.com/documents/?uuid=33031540-e36b-3ed8-bff7-5bbd71de1494"]}],"mendeley":{"formattedCitation":"(Elhorst, 2003)","plainTextFormattedCitation":"(Elhorst, 2003)","previouslyFormattedCitation":"(Elhorst, 2003)"},"properties":{"noteIndex":0},"schema":"https://github.com/citation-style-language/schema/raw/master/csl-citation.json"}</w:instrText>
      </w:r>
      <w:r w:rsidRPr="00984635">
        <w:rPr>
          <w:rFonts w:eastAsiaTheme="minorEastAsia" w:cs="Times New Roman"/>
          <w:szCs w:val="24"/>
        </w:rPr>
        <w:fldChar w:fldCharType="separate"/>
      </w:r>
      <w:r w:rsidR="00E61833" w:rsidRPr="00E61833">
        <w:rPr>
          <w:rFonts w:eastAsiaTheme="minorEastAsia" w:cs="Times New Roman"/>
          <w:noProof/>
          <w:szCs w:val="24"/>
        </w:rPr>
        <w:t>(Elhorst, 2003)</w:t>
      </w:r>
      <w:r w:rsidRPr="00984635">
        <w:rPr>
          <w:rFonts w:eastAsiaTheme="minorEastAsia" w:cs="Times New Roman"/>
          <w:szCs w:val="24"/>
        </w:rPr>
        <w:fldChar w:fldCharType="end"/>
      </w:r>
      <w:r w:rsidRPr="00984635">
        <w:rPr>
          <w:rFonts w:eastAsiaTheme="minorEastAsia" w:cs="Times New Roman"/>
          <w:szCs w:val="24"/>
        </w:rPr>
        <w:t>:</w:t>
      </w:r>
    </w:p>
    <w:p w14:paraId="6D93A1C5" w14:textId="6F24D9EF" w:rsidR="00C85715" w:rsidRPr="002214B2" w:rsidRDefault="003F3854" w:rsidP="00336368">
      <w:pPr>
        <w:spacing w:line="276" w:lineRule="auto"/>
        <w:ind w:firstLine="720"/>
        <w:rPr>
          <w:rFonts w:eastAsiaTheme="minorEastAsia"/>
          <w:szCs w:val="24"/>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it</m:t>
              </m:r>
            </m:sub>
          </m:sSub>
          <m:r>
            <w:rPr>
              <w:rFonts w:ascii="Cambria Math" w:eastAsiaTheme="minorEastAsia" w:hAnsi="Cambria Math" w:cs="Times New Roman"/>
              <w:szCs w:val="24"/>
            </w:rPr>
            <m:t>=</m:t>
          </m:r>
          <m:r>
            <w:rPr>
              <w:rFonts w:ascii="Cambria Math" w:eastAsiaTheme="minorEastAsia" w:hAnsi="Cambria Math" w:cs="Times New Roman"/>
              <w:szCs w:val="24"/>
            </w:rPr>
            <m:t>α</m:t>
          </m:r>
          <m:nary>
            <m:naryPr>
              <m:chr m:val="∑"/>
              <m:limLoc m:val="subSup"/>
              <m:ctrlPr>
                <w:rPr>
                  <w:rFonts w:ascii="Cambria Math" w:eastAsiaTheme="minorEastAsia" w:hAnsi="Cambria Math" w:cs="Times New Roman"/>
                  <w:i/>
                  <w:szCs w:val="24"/>
                </w:rPr>
              </m:ctrlPr>
            </m:naryPr>
            <m:sub>
              <m:r>
                <w:rPr>
                  <w:rFonts w:ascii="Cambria Math" w:eastAsiaTheme="minorEastAsia" w:hAnsi="Cambria Math" w:cs="Times New Roman"/>
                  <w:szCs w:val="24"/>
                </w:rPr>
                <m:t>j</m:t>
              </m:r>
              <m:r>
                <w:rPr>
                  <w:rFonts w:ascii="Cambria Math" w:eastAsiaTheme="minorEastAsia" w:hAnsi="Cambria Math" w:cs="Times New Roman"/>
                  <w:szCs w:val="24"/>
                </w:rPr>
                <m:t>=1</m:t>
              </m:r>
            </m:sub>
            <m:sup>
              <m:r>
                <w:rPr>
                  <w:rFonts w:ascii="Cambria Math" w:eastAsiaTheme="minorEastAsia" w:hAnsi="Cambria Math" w:cs="Times New Roman"/>
                  <w:szCs w:val="24"/>
                </w:rPr>
                <m:t>N</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ij</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j</m:t>
                  </m:r>
                  <m:r>
                    <w:rPr>
                      <w:rFonts w:ascii="Cambria Math" w:eastAsiaTheme="minorEastAsia" w:hAnsi="Cambria Math" w:cs="Times New Roman"/>
                      <w:szCs w:val="24"/>
                    </w:rPr>
                    <m:t>t</m:t>
                  </m:r>
                </m:sub>
              </m:sSub>
            </m:e>
          </m:nary>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β</m:t>
              </m:r>
            </m:e>
            <m:sup>
              <m:r>
                <w:rPr>
                  <w:rFonts w:ascii="Cambria Math" w:eastAsiaTheme="minorEastAsia" w:hAnsi="Cambria Math" w:cs="Times New Roman"/>
                  <w:szCs w:val="24"/>
                </w:rPr>
                <m:t>'</m:t>
              </m:r>
            </m:sup>
          </m:s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it</m:t>
              </m:r>
            </m:sub>
          </m:sSub>
          <m:r>
            <w:rPr>
              <w:rFonts w:ascii="Cambria Math" w:eastAsiaTheme="minorEastAsia"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i</m:t>
              </m:r>
            </m:sub>
          </m:sSub>
          <m:r>
            <w:rPr>
              <w:rFonts w:ascii="Cambria Math" w:hAnsi="Cambria Math" w:cs="Times New Roman"/>
              <w:szCs w:val="24"/>
            </w:rPr>
            <m:t xml:space="preserve">                                                                                                (2)</m:t>
          </m:r>
        </m:oMath>
      </m:oMathPara>
    </w:p>
    <w:p w14:paraId="53B1E219" w14:textId="1757EDA8" w:rsidR="00C85715" w:rsidRPr="002214B2" w:rsidRDefault="003F3854" w:rsidP="00C85715">
      <w:pPr>
        <w:spacing w:line="276" w:lineRule="auto"/>
        <w:ind w:firstLine="720"/>
        <w:rPr>
          <w:rFonts w:eastAsiaTheme="minorEastAsia" w:cs="Times New Roman"/>
          <w:szCs w:val="24"/>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y</m:t>
              </m:r>
            </m:e>
            <m:sub>
              <m:r>
                <w:rPr>
                  <w:rFonts w:ascii="Cambria Math" w:eastAsiaTheme="minorEastAsia" w:hAnsi="Cambria Math" w:cs="Times New Roman"/>
                  <w:szCs w:val="24"/>
                </w:rPr>
                <m:t>it</m:t>
              </m:r>
            </m:sub>
          </m:sSub>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β</m:t>
              </m:r>
            </m:e>
            <m:sup>
              <m:r>
                <w:rPr>
                  <w:rFonts w:ascii="Cambria Math" w:eastAsiaTheme="minorEastAsia" w:hAnsi="Cambria Math" w:cs="Times New Roman"/>
                  <w:szCs w:val="24"/>
                </w:rPr>
                <m:t>'</m:t>
              </m:r>
            </m:sup>
          </m:s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it</m:t>
              </m:r>
            </m:sub>
          </m:sSub>
          <m:r>
            <w:rPr>
              <w:rFonts w:ascii="Cambria Math" w:eastAsiaTheme="minorEastAsia"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ϑ</m:t>
              </m:r>
            </m:e>
            <m:sub>
              <m:r>
                <w:rPr>
                  <w:rFonts w:ascii="Cambria Math" w:hAnsi="Cambria Math" w:cs="Times New Roman"/>
                  <w:szCs w:val="24"/>
                </w:rPr>
                <m:t>it</m:t>
              </m:r>
            </m:sub>
          </m:sSub>
          <m:r>
            <w:rPr>
              <w:rFonts w:ascii="Cambria Math" w:hAnsi="Cambria Math" w:cs="Times New Roman"/>
              <w:szCs w:val="24"/>
            </w:rPr>
            <m:t xml:space="preserve">                                                                                                                                  (3)</m:t>
          </m:r>
        </m:oMath>
      </m:oMathPara>
    </w:p>
    <w:p w14:paraId="6A3BC9B2" w14:textId="4B00C0DA" w:rsidR="00C85715" w:rsidRPr="002214B2" w:rsidRDefault="003F3854" w:rsidP="00C85715">
      <w:pPr>
        <w:spacing w:line="276" w:lineRule="auto"/>
        <w:ind w:firstLine="720"/>
        <w:rPr>
          <w:rFonts w:eastAsiaTheme="minorEastAsia" w:cs="Times New Roman"/>
          <w:szCs w:val="24"/>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ϑ</m:t>
              </m:r>
            </m:e>
            <m:sub>
              <m:r>
                <w:rPr>
                  <w:rFonts w:ascii="Cambria Math" w:eastAsiaTheme="minorEastAsia" w:hAnsi="Cambria Math" w:cs="Times New Roman"/>
                  <w:szCs w:val="24"/>
                </w:rPr>
                <m:t>it</m:t>
              </m:r>
            </m:sub>
          </m:sSub>
          <m:r>
            <w:rPr>
              <w:rFonts w:ascii="Cambria Math" w:eastAsiaTheme="minorEastAsia" w:hAnsi="Cambria Math" w:cs="Times New Roman"/>
              <w:szCs w:val="24"/>
            </w:rPr>
            <m:t>=</m:t>
          </m:r>
          <m:r>
            <w:rPr>
              <w:rFonts w:ascii="Cambria Math" w:eastAsiaTheme="minorEastAsia" w:hAnsi="Cambria Math" w:cs="Times New Roman"/>
              <w:szCs w:val="24"/>
            </w:rPr>
            <m:t>γ</m:t>
          </m:r>
          <m:nary>
            <m:naryPr>
              <m:chr m:val="∑"/>
              <m:limLoc m:val="subSup"/>
              <m:ctrlPr>
                <w:rPr>
                  <w:rFonts w:ascii="Cambria Math" w:eastAsiaTheme="minorEastAsia" w:hAnsi="Cambria Math" w:cs="Times New Roman"/>
                  <w:i/>
                  <w:szCs w:val="24"/>
                </w:rPr>
              </m:ctrlPr>
            </m:naryPr>
            <m:sub>
              <m:r>
                <w:rPr>
                  <w:rFonts w:ascii="Cambria Math" w:eastAsiaTheme="minorEastAsia" w:hAnsi="Cambria Math" w:cs="Times New Roman"/>
                  <w:szCs w:val="24"/>
                </w:rPr>
                <m:t>j</m:t>
              </m:r>
              <m:r>
                <w:rPr>
                  <w:rFonts w:ascii="Cambria Math" w:eastAsiaTheme="minorEastAsia" w:hAnsi="Cambria Math" w:cs="Times New Roman"/>
                  <w:szCs w:val="24"/>
                </w:rPr>
                <m:t>=1</m:t>
              </m:r>
            </m:sub>
            <m:sup>
              <m:r>
                <w:rPr>
                  <w:rFonts w:ascii="Cambria Math" w:eastAsiaTheme="minorEastAsia" w:hAnsi="Cambria Math" w:cs="Times New Roman"/>
                  <w:szCs w:val="24"/>
                </w:rPr>
                <m:t>N</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ij</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ϑ</m:t>
                  </m:r>
                </m:e>
                <m:sub>
                  <m:r>
                    <w:rPr>
                      <w:rFonts w:ascii="Cambria Math" w:eastAsiaTheme="minorEastAsia" w:hAnsi="Cambria Math" w:cs="Times New Roman"/>
                      <w:szCs w:val="24"/>
                    </w:rPr>
                    <m:t>jt</m:t>
                  </m:r>
                </m:sub>
              </m:sSub>
            </m:e>
          </m:nary>
          <m:r>
            <w:rPr>
              <w:rFonts w:ascii="Cambria Math" w:eastAsiaTheme="minorEastAsia"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it</m:t>
              </m:r>
            </m:sub>
          </m:sSub>
          <m:r>
            <w:rPr>
              <w:rFonts w:ascii="Cambria Math" w:hAnsi="Cambria Math" w:cs="Times New Roman"/>
              <w:szCs w:val="24"/>
            </w:rPr>
            <m:t xml:space="preserve">                                                                                        </m:t>
          </m:r>
          <m:r>
            <w:rPr>
              <w:rFonts w:ascii="Cambria Math" w:hAnsi="Cambria Math" w:cs="Times New Roman"/>
              <w:szCs w:val="24"/>
            </w:rPr>
            <m:t xml:space="preserve">                                 (4)</m:t>
          </m:r>
        </m:oMath>
      </m:oMathPara>
    </w:p>
    <w:p w14:paraId="727EBC77" w14:textId="4EA4FF22" w:rsidR="00263EA5" w:rsidRDefault="00C85715" w:rsidP="00AA5C53">
      <w:r>
        <w:t xml:space="preserve">where, </w:t>
      </w:r>
      <m:oMath>
        <m:r>
          <w:rPr>
            <w:rFonts w:ascii="Cambria Math" w:hAnsi="Cambria Math"/>
          </w:rPr>
          <m:t>α</m:t>
        </m:r>
      </m:oMath>
      <w:r>
        <w:t xml:space="preserve"> represent the spatial autoregressive coefficient; </w:t>
      </w:r>
      <m:oMath>
        <m:r>
          <w:rPr>
            <w:rFonts w:ascii="Cambria Math" w:hAnsi="Cambria Math"/>
          </w:rPr>
          <m:t>γ</m:t>
        </m:r>
      </m:oMath>
      <w:r>
        <w:t xml:space="preserve"> indicates the spatial autocorrelation coefficient, </w:t>
      </w:r>
      <m:oMath>
        <m:sSub>
          <m:sSubPr>
            <m:ctrlPr>
              <w:rPr>
                <w:rFonts w:ascii="Cambria Math" w:hAnsi="Cambria Math"/>
                <w:i/>
              </w:rPr>
            </m:ctrlPr>
          </m:sSubPr>
          <m:e>
            <m:r>
              <w:rPr>
                <w:rFonts w:ascii="Cambria Math" w:hAnsi="Cambria Math"/>
              </w:rPr>
              <m:t>ϑ</m:t>
            </m:r>
          </m:e>
          <m:sub>
            <m:r>
              <w:rPr>
                <w:rFonts w:ascii="Cambria Math" w:hAnsi="Cambria Math"/>
              </w:rPr>
              <m:t>it</m:t>
            </m:r>
          </m:sub>
        </m:sSub>
      </m:oMath>
      <w:r>
        <w:t xml:space="preserve"> is the spatial autocorrelated error term and </w:t>
      </w:r>
      <m:oMath>
        <m:r>
          <w:rPr>
            <w:rFonts w:ascii="Cambria Math" w:hAnsi="Cambria Math"/>
          </w:rPr>
          <m:t>W</m:t>
        </m:r>
      </m:oMath>
      <w:r>
        <w:t xml:space="preserve"> is the spatial weight matrix. To be specific,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t xml:space="preserve"> depicts the element of the weight matrix between detector </w:t>
      </w:r>
      <m:oMath>
        <m:r>
          <w:rPr>
            <w:rFonts w:ascii="Cambria Math" w:hAnsi="Cambria Math"/>
          </w:rPr>
          <m:t>i</m:t>
        </m:r>
      </m:oMath>
      <w:r>
        <w:t xml:space="preserve"> and </w:t>
      </w:r>
      <m:oMath>
        <m:r>
          <w:rPr>
            <w:rFonts w:ascii="Cambria Math" w:hAnsi="Cambria Math"/>
          </w:rPr>
          <m:t>j</m:t>
        </m:r>
      </m:oMath>
      <w:r>
        <w:t>. In spatial econometrics, sev</w:t>
      </w:r>
      <w:r w:rsidR="0091792B">
        <w:t>e</w:t>
      </w:r>
      <w:r>
        <w:t xml:space="preserve">ral functional forms of the weight matrix are commonly adopted including neighboring units, inverse of </w:t>
      </w:r>
      <w:r w:rsidR="00CE5987">
        <w:t xml:space="preserve">squared </w:t>
      </w:r>
      <w:r>
        <w:t>distance, inverse of distance or different threshold values (such as unit within 50</w:t>
      </w:r>
      <w:r w:rsidR="00A109D0">
        <w:t xml:space="preserve">0 </w:t>
      </w:r>
      <w:r>
        <w:t>m</w:t>
      </w:r>
      <w:r w:rsidR="0091792B">
        <w:t>eters</w:t>
      </w:r>
      <w:r>
        <w:t xml:space="preserve">, </w:t>
      </w:r>
      <w:r w:rsidR="00A109D0">
        <w:t>1.61 km (</w:t>
      </w:r>
      <w:r>
        <w:t>1</w:t>
      </w:r>
      <w:r w:rsidR="00A109D0">
        <w:t xml:space="preserve"> </w:t>
      </w:r>
      <w:r>
        <w:t>mile</w:t>
      </w:r>
      <w:r w:rsidR="00A109D0">
        <w:t>)</w:t>
      </w:r>
      <w:r>
        <w:t xml:space="preserve">, </w:t>
      </w:r>
      <w:r w:rsidR="00A109D0">
        <w:t>8.05 km (5</w:t>
      </w:r>
      <w:r>
        <w:t xml:space="preserve"> mile</w:t>
      </w:r>
      <w:r w:rsidR="00A109D0">
        <w:t>s)</w:t>
      </w:r>
      <w:r w:rsidR="00B87DDE">
        <w:t xml:space="preserve">, </w:t>
      </w:r>
      <w:r w:rsidR="00A109D0">
        <w:t>16.1</w:t>
      </w:r>
      <w:r w:rsidR="004E0954">
        <w:t>0</w:t>
      </w:r>
      <w:r w:rsidR="00A109D0">
        <w:t xml:space="preserve"> km (</w:t>
      </w:r>
      <w:r w:rsidR="00B87DDE">
        <w:t>10 miles</w:t>
      </w:r>
      <w:r w:rsidR="00A109D0">
        <w:t>)</w:t>
      </w:r>
      <w:r w:rsidR="00B87DDE">
        <w:t xml:space="preserve"> and </w:t>
      </w:r>
      <w:r w:rsidR="00A109D0">
        <w:t>32.19 km (</w:t>
      </w:r>
      <w:r w:rsidR="00B87DDE">
        <w:t>20 miles</w:t>
      </w:r>
      <w:r w:rsidR="00A109D0">
        <w:t>)</w:t>
      </w:r>
      <w:r>
        <w:t xml:space="preserve">). In our empirical study, we considered several weight matrices and </w:t>
      </w:r>
      <w:r w:rsidR="00D024C6">
        <w:t xml:space="preserve">a correlation structure representing reducing correlation </w:t>
      </w:r>
      <w:r w:rsidR="00AA5C53">
        <w:t>as a function of the</w:t>
      </w:r>
      <w:r w:rsidR="008D2319">
        <w:t xml:space="preserve"> </w:t>
      </w:r>
      <w:r w:rsidR="00AA5C53">
        <w:t xml:space="preserve">distance that dissipates to 0 beyond </w:t>
      </w:r>
      <w:r w:rsidR="00C21EAE">
        <w:t>16.1</w:t>
      </w:r>
      <w:r w:rsidR="004E0954">
        <w:t>0</w:t>
      </w:r>
      <w:r w:rsidR="00C21EAE">
        <w:t xml:space="preserve"> km (10 miles) </w:t>
      </w:r>
      <w:r w:rsidR="00AA5C53">
        <w:t xml:space="preserve">offered </w:t>
      </w:r>
      <w:r>
        <w:t xml:space="preserve">the best results in terms of statistical data fit and interpretation. The reader should note that, the </w:t>
      </w:r>
      <w:r w:rsidRPr="00F67A7F">
        <w:t>diagonal of</w:t>
      </w:r>
      <w:r>
        <w:t xml:space="preserve"> </w:t>
      </w:r>
      <w:r w:rsidRPr="00F67A7F">
        <w:t>W</w:t>
      </w:r>
      <w:r>
        <w:t xml:space="preserve">eight </w:t>
      </w:r>
      <w:r w:rsidRPr="00F67A7F">
        <w:t xml:space="preserve">matrix is set to be zero to prevent the use of </w:t>
      </w: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 xml:space="preserve"> </m:t>
        </m:r>
      </m:oMath>
      <w:r w:rsidRPr="00F67A7F">
        <w:t>to model itself</w:t>
      </w:r>
      <w:r>
        <w:t xml:space="preserve">. Further, the W matrix is normalized across rows to increase </w:t>
      </w:r>
      <w:r>
        <w:lastRenderedPageBreak/>
        <w:t xml:space="preserve">the model estimation stability </w:t>
      </w:r>
      <w:r>
        <w:fldChar w:fldCharType="begin" w:fldLock="1"/>
      </w:r>
      <w:r w:rsidR="002061D6">
        <w:instrText>ADDIN CSL_CITATION {"citationItems":[{"id":"ITEM-1","itemData":{"DOI":"10.1177/0160017603253791","abstract":"This article provides a survey of the specification and estimation of spatial panel data models. These models include spatial error autocorrelation, or the specification is extended with a spatiall...","author":[{"dropping-particle":"","family":"Elhorst","given":"J. Paul","non-dropping-particle":"","parse-names":false,"suffix":""}],"container-title":"International Regional Science Review","id":"ITEM-1","issue":"3","issued":{"date-parts":[["2003","7","26"]]},"page":"244-268","publisher":"SAGE Publications","title":"Specification and Estimation of Spatial Panel Data Models:","type":"article-journal","volume":"26"},"uris":["http://www.mendeley.com/documents/?uuid=33031540-e36b-3ed8-bff7-5bbd71de1494"]}],"mendeley":{"formattedCitation":"(Elhorst, 2003)","plainTextFormattedCitation":"(Elhorst, 2003)","previouslyFormattedCitation":"(Elhorst, 2003)"},"properties":{"noteIndex":0},"schema":"https://github.com/citation-style-language/schema/raw/master/csl-citation.json"}</w:instrText>
      </w:r>
      <w:r>
        <w:fldChar w:fldCharType="separate"/>
      </w:r>
      <w:r w:rsidR="00E61833" w:rsidRPr="00E61833">
        <w:rPr>
          <w:noProof/>
        </w:rPr>
        <w:t>(Elhorst, 2003)</w:t>
      </w:r>
      <w:r>
        <w:fldChar w:fldCharType="end"/>
      </w:r>
      <w:r>
        <w:t xml:space="preserve">. The models are estimated in </w:t>
      </w:r>
      <w:proofErr w:type="spellStart"/>
      <w:r w:rsidRPr="003A61E5">
        <w:t>Matlab</w:t>
      </w:r>
      <w:proofErr w:type="spellEnd"/>
      <w:r w:rsidRPr="003A61E5">
        <w:t xml:space="preserve"> </w:t>
      </w:r>
      <w:r>
        <w:t xml:space="preserve">using the routines provided by </w:t>
      </w:r>
      <w:r>
        <w:fldChar w:fldCharType="begin" w:fldLock="1"/>
      </w:r>
      <w:r w:rsidR="002061D6">
        <w:instrText>ADDIN CSL_CITATION {"citationItems":[{"id":"ITEM-1","itemData":{"DOI":"10.1177/0160017603253791","abstract":"This article provides a survey of the specification and estimation of spatial panel data models. These models include spatial error autocorrelation, or the specification is extended with a spatiall...","author":[{"dropping-particle":"","family":"Elhorst","given":"J. Paul","non-dropping-particle":"","parse-names":false,"suffix":""}],"container-title":"International Regional Science Review","id":"ITEM-1","issue":"3","issued":{"date-parts":[["2003","7","26"]]},"page":"244-268","publisher":"SAGE Publications","title":"Specification and Estimation of Spatial Panel Data Models:","type":"article-journal","volume":"26"},"uris":["http://www.mendeley.com/documents/?uuid=33031540-e36b-3ed8-bff7-5bbd71de1494"]},{"id":"ITEM-2","itemData":{"DOI":"10.1177/0160017612452429","abstract":"Elhorst  provides Matlab routines to estimate spatial panel data models at his website. This article extends these routines to include the bias correction procedure proposed by Lee and Yu if the spatial panel data model contains spatial and/or time-period fixed effects, the direct and indirect effects estimates of the explanatory variables proposed by LeSage and Pace, and a selection framework to determine which spatial panel data model best describes the data. To demonstrate these routines in an empirical setting, a demand model for cigarettes is estimated based on panel data from forty-six US states over the period 1963–1992.","author":[{"dropping-particle":"","family":"Elhorst","given":"J. Paul","non-dropping-particle":"","parse-names":false,"suffix":""}],"container-title":"International Regional Science Review","id":"ITEM-2","issue":"3","issued":{"date-parts":[["2014","7","1"]]},"page":"389-405","publisher":"SAGE Publications Inc.","title":"Matlab Software for Spatial Panels","type":"article-journal","volume":"37"},"uris":["http://www.mendeley.com/documents/?uuid=76d7ad3c-36b1-3b51-baba-95bd61262e93"]}],"mendeley":{"formattedCitation":"(Elhorst, 2003, 2014b)","plainTextFormattedCitation":"(Elhorst, 2003, 2014b)","previouslyFormattedCitation":"(Elhorst, 2003, 2014b)"},"properties":{"noteIndex":0},"schema":"https://github.com/citation-style-language/schema/raw/master/csl-citation.json"}</w:instrText>
      </w:r>
      <w:r>
        <w:fldChar w:fldCharType="separate"/>
      </w:r>
      <w:r w:rsidR="00E61833" w:rsidRPr="00E61833">
        <w:rPr>
          <w:noProof/>
        </w:rPr>
        <w:t>(Elhorst, 2003, 2014b)</w:t>
      </w:r>
      <w:r>
        <w:fldChar w:fldCharType="end"/>
      </w:r>
      <w:r>
        <w:t>. All the parameters are estimated using the maximum likelihood approaches (</w:t>
      </w:r>
      <w:r w:rsidRPr="003A61E5">
        <w:t>see</w:t>
      </w:r>
      <w:r>
        <w:t xml:space="preserve"> </w:t>
      </w:r>
      <w:r>
        <w:fldChar w:fldCharType="begin" w:fldLock="1"/>
      </w:r>
      <w:r w:rsidR="002061D6">
        <w:instrText>ADDIN CSL_CITATION {"citationItems":[{"id":"ITEM-1","itemData":{"DOI":"10.1007/978-3-642-40340-8_3","abstract":"This paper provides a survey of the existing literature on spatial panel data models. Both static and dynamic models will be considered. The paper also demonstrates that spatial econometric models that include lags of the dependent variable and of the independent variables in both space and time provide a useful tool to quantify the magnitude of direct and indirect effects, both in the short term and in long term. Direct effects can be used to test the hypothesis as to whether a particular variable has a significant effect on the dependent variable in its own economy, and indirect effects to test the hypothesis whether spatial spillovers exist. To illustrate these models and their effects estimates, a demand model for cigarettes is estimated based on panel data from 46 U.S. states over the period 1963 to 1992.","author":[{"dropping-particle":"","family":"Elhorst","given":"J. Paul","non-dropping-particle":"","parse-names":false,"suffix":""}],"id":"ITEM-1","issued":{"date-parts":[["2014"]]},"page":"37-93","publisher":"Springer, Berlin, Heidelberg","title":"Spatial Panel Data Models","type":"article-journal"},"uris":["http://www.mendeley.com/documents/?uuid=af25c34b-b0f7-3878-8b95-c67f5f6dfe51"]}],"mendeley":{"formattedCitation":"(Elhorst, 2014a)","plainTextFormattedCitation":"(Elhorst, 2014a)","previouslyFormattedCitation":"(Elhorst, 2014a)"},"properties":{"noteIndex":0},"schema":"https://github.com/citation-style-language/schema/raw/master/csl-citation.json"}</w:instrText>
      </w:r>
      <w:r>
        <w:fldChar w:fldCharType="separate"/>
      </w:r>
      <w:r w:rsidR="00E61833" w:rsidRPr="00E61833">
        <w:rPr>
          <w:noProof/>
        </w:rPr>
        <w:t>(Elhorst, 2014a)</w:t>
      </w:r>
      <w:r>
        <w:fldChar w:fldCharType="end"/>
      </w:r>
      <w:r>
        <w:t xml:space="preserve"> </w:t>
      </w:r>
      <w:r w:rsidRPr="003A61E5">
        <w:t>for details on likelihood functions)</w:t>
      </w:r>
      <w:r>
        <w:t>.</w:t>
      </w:r>
    </w:p>
    <w:p w14:paraId="004357DB" w14:textId="2B118EAB" w:rsidR="00C85715" w:rsidRDefault="00263EA5" w:rsidP="00263EA5">
      <w:pPr>
        <w:pStyle w:val="Heading1"/>
      </w:pPr>
      <w:r>
        <w:t>M</w:t>
      </w:r>
      <w:r w:rsidR="0003163B">
        <w:t>ODEL ESTIMATION RESULT</w:t>
      </w:r>
    </w:p>
    <w:p w14:paraId="328E158C" w14:textId="77777777" w:rsidR="00C85715" w:rsidRDefault="00C85715" w:rsidP="00263EA5">
      <w:pPr>
        <w:pStyle w:val="Heading2"/>
        <w:rPr>
          <w:rFonts w:eastAsiaTheme="minorEastAsia"/>
        </w:rPr>
      </w:pPr>
      <w:r>
        <w:rPr>
          <w:rFonts w:eastAsiaTheme="minorEastAsia"/>
        </w:rPr>
        <w:t>Model Fit Measures</w:t>
      </w:r>
    </w:p>
    <w:p w14:paraId="0FDD5D0D" w14:textId="51DF3922" w:rsidR="00C85715" w:rsidRDefault="00C85715" w:rsidP="00B54D5E">
      <w:pPr>
        <w:rPr>
          <w:rFonts w:eastAsiaTheme="minorEastAsia"/>
        </w:rPr>
      </w:pPr>
      <w:r>
        <w:t>In our empirical analysis, we estimated the following models: (a) traditional linear regression model, (b) Spatial Autoregressive Model (SAR) and (c) Spatial Error Model (SEM). These models were estimated for weekday and holiday dataset</w:t>
      </w:r>
      <w:r w:rsidR="0073683B">
        <w:t>s</w:t>
      </w:r>
      <w:r>
        <w:t xml:space="preserve"> separately. The performance of these  models are compared on the basis of the log-likelihood (LL) at convergence, Bayesian Information Criterion (BIC) </w:t>
      </w:r>
      <w:r>
        <w:fldChar w:fldCharType="begin" w:fldLock="1"/>
      </w:r>
      <w:r w:rsidR="002061D6">
        <w:instrText>ADDIN CSL_CITATION {"citationItems":[{"id":"ITEM-1","itemData":{"DOI":"10.1177/0049124104268644","abstract":"The model selection literature has been generally poor at reflecting the deep foundations of the Akaike information criterion (AIC) and at making appropriate comparisons to the Bayesian information...","author":[{"dropping-particle":"","family":"Burnham","given":"Kenneth P.","non-dropping-particle":"","parse-names":false,"suffix":""},{"dropping-particle":"","family":"Anderson","given":"David R.","non-dropping-particle":"","parse-names":false,"suffix":""}],"container-title":"http://dx.doi.org/10.1177/0049124104268644","id":"ITEM-1","issue":"2","issued":{"date-parts":[["2004","6","30"]]},"page":"261-304","publisher":"Sage PublicationsSage CA: Thousand Oaks, CA","title":"Multimodel Inference: Understanding AIC and BIC in Model Selection","type":"article-journal","volume":"33"},"uris":["http://www.mendeley.com/documents/?uuid=0bf5c5b8-3de6-36e4-8dbd-01ee6bc07f29"]}],"mendeley":{"formattedCitation":"(Burnham &amp; Anderson, 2004)","plainTextFormattedCitation":"(Burnham &amp; Anderson, 2004)","previouslyFormattedCitation":"(Burnham &amp; Anderson, 2004)"},"properties":{"noteIndex":0},"schema":"https://github.com/citation-style-language/schema/raw/master/csl-citation.json"}</w:instrText>
      </w:r>
      <w:r>
        <w:fldChar w:fldCharType="separate"/>
      </w:r>
      <w:r w:rsidR="00E61833" w:rsidRPr="00E61833">
        <w:rPr>
          <w:noProof/>
        </w:rPr>
        <w:t>(Burnham &amp; Anderson, 2004)</w:t>
      </w:r>
      <w:r>
        <w:fldChar w:fldCharType="end"/>
      </w:r>
      <w:r>
        <w:t xml:space="preserve"> and overall interpretability of the model. </w:t>
      </w:r>
      <w:r>
        <w:rPr>
          <w:rFonts w:eastAsiaTheme="minorEastAsia"/>
        </w:rPr>
        <w:t xml:space="preserve">The model goodness of fit measures is presented in Table </w:t>
      </w:r>
      <w:r w:rsidR="00222BB3">
        <w:rPr>
          <w:rFonts w:eastAsiaTheme="minorEastAsia"/>
        </w:rPr>
        <w:t>3</w:t>
      </w:r>
      <w:r>
        <w:rPr>
          <w:rFonts w:eastAsiaTheme="minorEastAsia"/>
        </w:rPr>
        <w:t xml:space="preserve">. Two observations can be made from the model fit results. </w:t>
      </w:r>
      <w:r w:rsidRPr="0085595E">
        <w:rPr>
          <w:rFonts w:eastAsiaTheme="minorEastAsia"/>
          <w:u w:val="single"/>
        </w:rPr>
        <w:t>First</w:t>
      </w:r>
      <w:r>
        <w:rPr>
          <w:rFonts w:eastAsiaTheme="minorEastAsia"/>
        </w:rPr>
        <w:t>, model</w:t>
      </w:r>
      <w:r w:rsidR="0073683B">
        <w:rPr>
          <w:rFonts w:eastAsiaTheme="minorEastAsia"/>
        </w:rPr>
        <w:t>s</w:t>
      </w:r>
      <w:r>
        <w:rPr>
          <w:rFonts w:eastAsiaTheme="minorEastAsia"/>
        </w:rPr>
        <w:t xml:space="preserve"> considering spatial correlation (SAR and SEM) significantly outperform the simple linear regression model in terms of statistical data fit. This result clearly highlights the importance of accommodating spatial unobserved heterogeneity in regression approaches. </w:t>
      </w:r>
      <w:r w:rsidRPr="0085595E">
        <w:rPr>
          <w:rFonts w:eastAsiaTheme="minorEastAsia"/>
          <w:u w:val="single"/>
        </w:rPr>
        <w:t>Second</w:t>
      </w:r>
      <w:r>
        <w:rPr>
          <w:rFonts w:eastAsiaTheme="minorEastAsia"/>
        </w:rPr>
        <w:t xml:space="preserve">, we observe that SEM model offered marginal improvement in terms of data fit compared to the SAR model for both weekday and holiday model. Further, the variable interpretations for SAR model were less intuitive and hence we preferred the SEM model that offers an improved interpretation with a good fit. </w:t>
      </w:r>
    </w:p>
    <w:p w14:paraId="0E29B2A3" w14:textId="77777777" w:rsidR="00263EA5" w:rsidRPr="00C9493D" w:rsidRDefault="00263EA5" w:rsidP="00263EA5">
      <w:pPr>
        <w:pStyle w:val="Heading2"/>
        <w:rPr>
          <w:rFonts w:eastAsiaTheme="minorEastAsia"/>
        </w:rPr>
      </w:pPr>
      <w:r w:rsidRPr="00C9493D">
        <w:rPr>
          <w:rFonts w:eastAsiaTheme="minorEastAsia"/>
        </w:rPr>
        <w:t xml:space="preserve">Variable </w:t>
      </w:r>
      <w:r w:rsidRPr="00263EA5">
        <w:t>Effects</w:t>
      </w:r>
    </w:p>
    <w:p w14:paraId="70B6D866" w14:textId="3BC73932" w:rsidR="00263EA5" w:rsidRDefault="00263EA5" w:rsidP="00263EA5">
      <w:r>
        <w:t xml:space="preserve">The SEM estimates for weekdays and holidays are shown in Table </w:t>
      </w:r>
      <w:r w:rsidR="00222BB3">
        <w:t>4</w:t>
      </w:r>
      <w:r>
        <w:t xml:space="preserve">. For both the models, only the statistically significant variables (at 90% significance level) are included in the model estimation. A positive (negative) sign in </w:t>
      </w:r>
      <w:r w:rsidR="00991708">
        <w:t>Table</w:t>
      </w:r>
      <w:r>
        <w:t xml:space="preserve"> </w:t>
      </w:r>
      <w:r w:rsidR="00222BB3">
        <w:t>4</w:t>
      </w:r>
      <w:r>
        <w:t xml:space="preserve"> indicates the increased (decreased) traffic volume </w:t>
      </w:r>
      <w:r>
        <w:lastRenderedPageBreak/>
        <w:t xml:space="preserve">corresponding to the temporal period (weekday and holiday). The model results are discussed by variable group for the two datasets. </w:t>
      </w:r>
    </w:p>
    <w:p w14:paraId="5178B8D9" w14:textId="77777777" w:rsidR="00263EA5" w:rsidRDefault="00263EA5" w:rsidP="00263EA5">
      <w:pPr>
        <w:pStyle w:val="Heading3"/>
      </w:pPr>
      <w:r>
        <w:t xml:space="preserve">COVID-19 </w:t>
      </w:r>
      <w:r w:rsidRPr="00263EA5">
        <w:t>Related</w:t>
      </w:r>
      <w:r>
        <w:t xml:space="preserve"> Factors</w:t>
      </w:r>
    </w:p>
    <w:p w14:paraId="23CBA558" w14:textId="4A3EF6B9" w:rsidR="00263EA5" w:rsidRDefault="00263EA5" w:rsidP="00263EA5">
      <w:r>
        <w:t>The inclusion of these variables depicts the relation between the transmission of COVID-19 and travel demand on interstates. As case rates change across the county, the impact on traffic volumes is likely to vary over time.  Therefore, in our models COVID-19 transmission variables with 1, 2 and 3-week lag have been tested. Among these variables, ‘</w:t>
      </w:r>
      <w:r w:rsidR="00E7667C" w:rsidRPr="00F05AC8">
        <w:t>ln (</w:t>
      </w:r>
      <w:r w:rsidR="00F05AC8" w:rsidRPr="00F05AC8">
        <w:t>2-week lagged COVID-19 cases per 1M population</w:t>
      </w:r>
      <w:r w:rsidR="00F05AC8">
        <w:t>)</w:t>
      </w:r>
      <w:r>
        <w:t xml:space="preserve">’ was found to offer the best model fit. </w:t>
      </w:r>
      <w:r w:rsidR="00BE282B" w:rsidRPr="00BE282B">
        <w:t>The sign of this variable in both the models indicates a decrease in travel demand with the increase of the COVID-19 transmission rate two weeks prior</w:t>
      </w:r>
      <w:r w:rsidR="00EB2090">
        <w:t xml:space="preserve"> </w:t>
      </w:r>
      <w:r w:rsidR="00EB2090">
        <w:fldChar w:fldCharType="begin" w:fldLock="1"/>
      </w:r>
      <w:r w:rsidR="002061D6">
        <w:instrText>ADDIN CSL_CITATION {"citationItems":[{"id":"ITEM-1","itemData":{"DOI":"10.1016/J.IJID.2020.05.031","ISSN":"1201-9712","abstract":"Objective: The World Health Organization (WHO) declared a COVID-19 pandemic on March 12, 2020. Several studies have indicated that densely populated urban environments and the heavy dependence on traffic could increase the potential spread of COVID-19. This study investigated the association between changes in traffic volume and the spread of COVID-19 in South Korea. Methods: This study analyzed the daily national traffic and traffic trend for 3 months from January 1, 2020. Traffic data were measured using 6307 vehicle detection system (VDS). This study analyzed the difference in traffic levels between 2019 and 2020. Non-linear regression was performed to analyze the change in traffic trend in 2020. The relationship between traffic and confirmed COVID-19 cases was analyzed using single linear regression. Results: The mean daily nationwide level of traffic for the first 3 months of 2020 was 143 655 563 vehicles, which was 9.7% lower than the same period in 2019 (159 044 566 vehicles). All regions showed a decreasing trend in traffic in February, which shifted to an increasing trend from March. In Incheon there was a positive, but insignificant, linear relationship between increasing numbers of newly confirmed cases and increasing traffic (β = 43 146; p = 0.056). Conclusions: Numbers of newly confirmed COVID-19 patients have been decreasing since March, while the traffic has been increasing. The fact that traffic is increasing indicates greater contact between people, which in turn increases the risk of further COVID-19 spread. Therefore, the government will need to devise suitable policies, such as total social distancing.","author":[{"dropping-particle":"","family":"Lee","given":"Hocheol","non-dropping-particle":"","parse-names":false,"suffix":""},{"dropping-particle":"","family":"Park","given":"Sung Jong","non-dropping-particle":"","parse-names":false,"suffix":""},{"dropping-particle":"","family":"Lee","given":"Ga Ram","non-dropping-particle":"","parse-names":false,"suffix":""},{"dropping-particle":"","family":"Kim","given":"Ji Eon","non-dropping-particle":"","parse-names":false,"suffix":""},{"dropping-particle":"","family":"Lee","given":"Ji Ho","non-dropping-particle":"","parse-names":false,"suffix":""},{"dropping-particle":"","family":"Jung","given":"Yeseul","non-dropping-particle":"","parse-names":false,"suffix":""},{"dropping-particle":"","family":"Nam","given":"Eun Woo","non-dropping-particle":"","parse-names":false,"suffix":""}],"container-title":"International Journal of Infectious Diseases","id":"ITEM-1","issued":{"date-parts":[["2020","7","1"]]},"page":"399-407","publisher":"Elsevier","title":"The relationship between trends in COVID-19 prevalence and traffic levels in South Korea","type":"article-journal","volume":"96"},"uris":["http://www.mendeley.com/documents/?uuid=3099d9ef-b6b4-3c29-875b-2d18dcef8d38"]},{"id":"ITEM-2","itemData":{"DOI":"10.3390/RS13122329","abstract":"Continuous, automatic measurements of road traffic volume allow the obtaining of information on daily, weekly or seasonal fluctuations in road traffic volume. They are the basis for calculating the annual average daily traffic volume, obtaining information about the relevant traffic volume, or calculating indicators for converting traffic volume from short-term measurements to average daily traffic volume. The covid-19 pandemic has contributed to extensive social and economic anomalies worldwide. In addition to the health consequences, the impact on travel behavior on the transport network was also sudden, extensive, and unpredictable. Changes in the transport behavior resulted in different values of traffic volume on the road and street network than before. The article presents road traffic volume analysis in the city before and during the restrictions related to covid-19. Selected traffic characteristics were compared for 2019 and 2020. This analysis made it possible to characterize the daily, weekly and annual variability of traffic volume in 2019 and 2020. Moreover, the article attempts to estimate daily traffic patterns at particular stages of the pandemic. These types of patterns were also constructed for the weeks in 2019 corresponding to these stages of the pandemic. Daily traffic volume distributions in 2020 were compared with the corresponding ones in 2019. The obtained results may be useful in terms of planning operational and strategic activities in the field of traffic management in the city and management in subsequent stages of a pandemic or subsequent pandemics.","author":[{"dropping-particle":"","family":"Macioszek","given":"Elżbieta","non-dropping-particle":"","parse-names":false,"suffix":""},{"dropping-particle":"","family":"Kurek","given":"Agata","non-dropping-particle":"","parse-names":false,"suffix":""}],"container-title":"Remote Sensing 2021, Vol. 13, Page 2329","id":"ITEM-2","issue":"12","issued":{"date-parts":[["2021","6","14"]]},"page":"2329","publisher":"Multidisciplinary Digital Publishing Institute","title":"Extracting Road Traffic Volume in the City before and during covid-19 through Video Remote Sensing","type":"article-journal","volume":"13"},"uris":["http://www.mendeley.com/documents/?uuid=0995ed77-fb8a-31ed-9881-3d4150e7d2d8"]},{"id":"ITEM-3","itemData":{"DOI":"10.1061/(ASCE)NH.1527-6996.0000409","abstract":"AbstractThe COVID-19 pandemic resulted in significant social and economic impacts throughout the world. In addition to the health consequences, the impacts on travel behavior have also been sudden ...","author":[{"dropping-particle":"","family":"Parr","given":"Scott","non-dropping-particle":"","parse-names":false,"suffix":""},{"dropping-particle":"","family":"Wolshon","given":"Brian","non-dropping-particle":"","parse-names":false,"suffix":""},{"dropping-particle":"","family":"Renne","given":"John","non-dropping-particle":"","parse-names":false,"suffix":""},{"dropping-particle":"","family":"Murray-Tuite","given":"Pamela","non-dropping-particle":"","parse-names":false,"suffix":""},{"dropping-particle":"","family":"Kim","given":"Karl","non-dropping-particle":"","parse-names":false,"suffix":""}],"container-title":"Natural Hazards Review","id":"ITEM-3","issue":"3","issued":{"date-parts":[["2020","6","8"]]},"page":"04020025","publisher":"American Society of Civil Engineers","title":"Traffic Impacts of the COVID-19 Pandemic: Statewide Analysis of Social Separation and Activity Restriction","type":"article-journal","volume":"21"},"uris":["http://www.mendeley.com/documents/?uuid=0020a94a-10bb-36be-992d-fe804eef1095"]}],"mendeley":{"formattedCitation":"(Lee et al., 2020; Macioszek &amp; Kurek, 2021; Parr et al., 2020)","manualFormatting":"(see similar trends reported in Lee et al. 2020; Macioszek and Kurek 2021; Parr et al. 2020)","plainTextFormattedCitation":"(Lee et al., 2020; Macioszek &amp; Kurek, 2021; Parr et al., 2020)","previouslyFormattedCitation":"(Lee et al., 2020; Macioszek &amp; Kurek, 2021; Parr et al., 2020)"},"properties":{"noteIndex":0},"schema":"https://github.com/citation-style-language/schema/raw/master/csl-citation.json"}</w:instrText>
      </w:r>
      <w:r w:rsidR="00EB2090">
        <w:fldChar w:fldCharType="separate"/>
      </w:r>
      <w:r w:rsidR="00EB2090" w:rsidRPr="00EB2090">
        <w:rPr>
          <w:noProof/>
        </w:rPr>
        <w:t>(</w:t>
      </w:r>
      <w:r w:rsidR="00EB2090">
        <w:rPr>
          <w:noProof/>
        </w:rPr>
        <w:t xml:space="preserve">see similar trends reported in </w:t>
      </w:r>
      <w:r w:rsidR="00EB2090" w:rsidRPr="00EB2090">
        <w:rPr>
          <w:noProof/>
        </w:rPr>
        <w:t>Lee et al. 2020; Macioszek and Kurek 2021; Parr et al. 2020)</w:t>
      </w:r>
      <w:r w:rsidR="00EB2090">
        <w:fldChar w:fldCharType="end"/>
      </w:r>
      <w:r w:rsidR="00BE282B" w:rsidRPr="00BE282B">
        <w:t>.</w:t>
      </w:r>
      <w:r>
        <w:t xml:space="preserve"> In addition, </w:t>
      </w:r>
      <w:r w:rsidR="00E71F8C">
        <w:t>to capture</w:t>
      </w:r>
      <w:r>
        <w:t xml:space="preserve"> the impact of the increasing and decreasing COVID-19 transmission rates on traffic volume, we included a percentage difference variable which represents the change in weekly cases relative to the 3-week moving average. This variable indicates </w:t>
      </w:r>
      <w:r w:rsidR="00E71F8C">
        <w:t>that</w:t>
      </w:r>
      <w:r>
        <w:t xml:space="preserve"> the percentage change in the </w:t>
      </w:r>
      <w:r w:rsidRPr="00E04AE6">
        <w:t>COVID-19</w:t>
      </w:r>
      <w:r>
        <w:t xml:space="preserve"> transmission rate has a significant impact on traffic volume. The model results also indicate a higher impact of percentage difference in COVID-19 cases for the South Florida region</w:t>
      </w:r>
      <w:r w:rsidR="00FB61FA">
        <w:t xml:space="preserve"> (District 6)</w:t>
      </w:r>
      <w:r>
        <w:t xml:space="preserve"> on weekdays. It indicates a reduction in traffic in this region due to a gradual increase in COVID-19 cases. </w:t>
      </w:r>
    </w:p>
    <w:p w14:paraId="16FDF38E" w14:textId="7D82F3B0" w:rsidR="00263EA5" w:rsidRDefault="00263EA5" w:rsidP="00263EA5">
      <w:pPr>
        <w:pStyle w:val="Heading3"/>
      </w:pPr>
      <w:r>
        <w:t>Socioeconomics</w:t>
      </w:r>
    </w:p>
    <w:p w14:paraId="69D5895B" w14:textId="77777777" w:rsidR="00263EA5" w:rsidRDefault="00263EA5" w:rsidP="00263EA5">
      <w:r>
        <w:t xml:space="preserve">Several socio-economic variables were tested in our model. The detector locations in neighborhoods with low median household income (≤ $35,200) are likely to have lower volumes for weekdays. Interestingly, the weekday traffic volumes in these locations are substantially lower after the pandemic started. The result highlights the disproportionate impact of the pandemic on </w:t>
      </w:r>
      <w:r>
        <w:lastRenderedPageBreak/>
        <w:t xml:space="preserve">the vulnerable population. The variable proportion of zero vehicle households in the vicinity of the detector provides an expected reduction in traffic volumes for both weekdays and holidays. </w:t>
      </w:r>
    </w:p>
    <w:p w14:paraId="0230CA86" w14:textId="66ABD9F5" w:rsidR="00263EA5" w:rsidRDefault="00263EA5" w:rsidP="00263EA5">
      <w:pPr>
        <w:pStyle w:val="Heading3"/>
      </w:pPr>
      <w:r>
        <w:t>Land-use Characteristics</w:t>
      </w:r>
    </w:p>
    <w:p w14:paraId="48D453B6" w14:textId="31237A14" w:rsidR="00DB69FD" w:rsidRDefault="00263EA5" w:rsidP="00DB69FD">
      <w:r>
        <w:t xml:space="preserve">Traffic volumes on interstates are potentially affected by surrounding land-use characteristics. In our analysis, several land use variables were tested. Of these variables, distance from the nearest Central Business Domain (CBD), proportion of commercial, industrial, and recreational area, interaction of these variables with COVID-19 after </w:t>
      </w:r>
      <w:r w:rsidR="000611F0">
        <w:t>1</w:t>
      </w:r>
      <w:r w:rsidR="000611F0" w:rsidRPr="000611F0">
        <w:rPr>
          <w:vertAlign w:val="superscript"/>
        </w:rPr>
        <w:t>st</w:t>
      </w:r>
      <w:r w:rsidR="000611F0">
        <w:t xml:space="preserve"> </w:t>
      </w:r>
      <w:r>
        <w:t xml:space="preserve">March 2020 have been found to be significant. </w:t>
      </w:r>
      <w:r w:rsidR="00DB69FD" w:rsidRPr="00DB69FD">
        <w:t xml:space="preserve">For the weekday model, distance of the detectors from the nearest CBD is found to have a negative impact on the traffic volume, which is similar to the impact reported in </w:t>
      </w:r>
      <w:r w:rsidR="00637F2B">
        <w:fldChar w:fldCharType="begin" w:fldLock="1"/>
      </w:r>
      <w:r w:rsidR="002061D6">
        <w:instrText>ADDIN CSL_CITATION {"citationItems":[{"id":"ITEM-1","itemData":{"DOI":"10.1016/j.tra.2016.10.024","ISSN":"09658564","abstract":"The traditional quantitative approach to studying Bicycle Sharing System (BSS) usage involves examining the influence of BSS infrastructure (such as number of BSS stations and capacity), transportation network infrastructure, land use and urban form, meteorological data, and temporal characteristics. These studies, as expected, conclude that BSS infrastructure (number of stations and capacity) have substantial influence on BSS usage. The earlier studies consider usage as a dependent variable and employ BSS infrastructure as an independent variable. Thus, in the models developed, the unobserved factors influencing the measured dependent variable (BSS usage) also strongly influence one of the independent variables (BSS infrastructure). This is a classic violation of the most basic assumption in econometric modeling i.e. the error component in the model is not correlated with any of the exogenous variables. The model estimates obtained with this erroneous assumption are likely to over-estimate the impact of BSS infrastructure. Our research effort proposes an econometric framework that remedies this drawback. We propose a measurement equation to account for the installation process and relate it to the usage equations thus correcting for the bias introduced in earlier research efforts by formulating a multi-level joint econometric framework. The econometric models developed have been estimated using data compiled from April 2012 to August 2012 for the BIXI system in Montreal. The model estimates support our hypothesis and clearly show over-estimation of BSS infrastructure impacts in models that neglect the installation process. An elasticity analysis to highlight the advantages of the proposed econometric model is also conducted.","author":[{"dropping-particle":"","family":"Faghih-Imani","given":"Ahmadreza","non-dropping-particle":"","parse-names":false,"suffix":""},{"dropping-particle":"","family":"Eluru","given":"Naveen","non-dropping-particle":"","parse-names":false,"suffix":""}],"container-title":"Transportation Research Part A: Policy and Practice","id":"ITEM-1","issued":{"date-parts":[["2016"]]},"page":"685-698","publisher":"Elsevier Ltd","title":"Determining the role of bicycle sharing system infrastructure installation decision on usage: Case study of montreal BIXI system","type":"article-journal","volume":"94"},"uris":["http://www.mendeley.com/documents/?uuid=ecd5301d-ac7e-41fb-9161-c6a44abece27"]}],"mendeley":{"formattedCitation":"(Faghih-Imani &amp; Eluru, 2016a)","manualFormatting":"Faghih-Imani and Eluru (2016a)","plainTextFormattedCitation":"(Faghih-Imani &amp; Eluru, 2016a)","previouslyFormattedCitation":"(Faghih-Imani &amp; Eluru, 2016a)"},"properties":{"noteIndex":0},"schema":"https://github.com/citation-style-language/schema/raw/master/csl-citation.json"}</w:instrText>
      </w:r>
      <w:r w:rsidR="00637F2B">
        <w:fldChar w:fldCharType="separate"/>
      </w:r>
      <w:r w:rsidR="00637F2B" w:rsidRPr="00637F2B">
        <w:rPr>
          <w:noProof/>
        </w:rPr>
        <w:t xml:space="preserve">Faghih-Imani and Eluru </w:t>
      </w:r>
      <w:r w:rsidR="00637F2B">
        <w:rPr>
          <w:noProof/>
        </w:rPr>
        <w:t>(</w:t>
      </w:r>
      <w:r w:rsidR="00637F2B" w:rsidRPr="00637F2B">
        <w:rPr>
          <w:noProof/>
        </w:rPr>
        <w:t>2016a)</w:t>
      </w:r>
      <w:r w:rsidR="00637F2B">
        <w:fldChar w:fldCharType="end"/>
      </w:r>
      <w:r w:rsidR="00DB69FD" w:rsidRPr="00DB69FD">
        <w:t xml:space="preserve">. </w:t>
      </w:r>
      <w:r w:rsidR="002758F1">
        <w:t xml:space="preserve"> However,</w:t>
      </w:r>
      <w:r>
        <w:t xml:space="preserve"> for the holiday model </w:t>
      </w:r>
      <w:r w:rsidR="002758F1">
        <w:t xml:space="preserve">this </w:t>
      </w:r>
      <w:r>
        <w:t xml:space="preserve">impact is positive. The result indicates that peak traffic volume is higher (lower) closer to the CBD areas in the weekdays (holidays). Further, a positive sign for the variable proportion of industrial areas within the </w:t>
      </w:r>
      <w:r w:rsidR="00C5364F">
        <w:rPr>
          <w:rFonts w:cs="Times New Roman"/>
          <w:szCs w:val="24"/>
        </w:rPr>
        <w:t>1.61 km (</w:t>
      </w:r>
      <w:r w:rsidR="00C5364F" w:rsidRPr="00732FC1">
        <w:rPr>
          <w:rFonts w:cs="Times New Roman"/>
          <w:szCs w:val="24"/>
        </w:rPr>
        <w:t>1</w:t>
      </w:r>
      <w:r w:rsidR="00C5364F">
        <w:rPr>
          <w:rFonts w:cs="Times New Roman"/>
          <w:szCs w:val="24"/>
        </w:rPr>
        <w:t xml:space="preserve"> </w:t>
      </w:r>
      <w:r w:rsidR="00C5364F" w:rsidRPr="00732FC1">
        <w:rPr>
          <w:rFonts w:cs="Times New Roman"/>
          <w:szCs w:val="24"/>
        </w:rPr>
        <w:t>mile</w:t>
      </w:r>
      <w:r w:rsidR="00C5364F">
        <w:rPr>
          <w:rFonts w:cs="Times New Roman"/>
          <w:szCs w:val="24"/>
        </w:rPr>
        <w:t>)</w:t>
      </w:r>
      <w:r w:rsidR="00C5364F" w:rsidRPr="00732FC1">
        <w:rPr>
          <w:rFonts w:cs="Times New Roman"/>
          <w:szCs w:val="24"/>
        </w:rPr>
        <w:t xml:space="preserve"> </w:t>
      </w:r>
      <w:r>
        <w:t xml:space="preserve">buffer zone of the detectors in the weekday model indicates traffic volume is positively </w:t>
      </w:r>
      <w:r w:rsidR="00FF5B2C">
        <w:t>associated in</w:t>
      </w:r>
      <w:r>
        <w:t xml:space="preserve"> industrial areas on the weekdays. On the contrary, the proportion of commercial </w:t>
      </w:r>
      <w:r w:rsidR="00C113C0">
        <w:t>areas</w:t>
      </w:r>
      <w:r>
        <w:t xml:space="preserve"> within the same buffer zone has a negative association with traffic volume in the holiday model. </w:t>
      </w:r>
      <w:r w:rsidRPr="00D95820">
        <w:t xml:space="preserve">Finally, </w:t>
      </w:r>
      <w:r w:rsidR="00D95820" w:rsidRPr="00D95820">
        <w:t>the proportion</w:t>
      </w:r>
      <w:r>
        <w:t xml:space="preserve"> of recreational areas in </w:t>
      </w:r>
      <w:r w:rsidR="00C5364F">
        <w:rPr>
          <w:rFonts w:cs="Times New Roman"/>
          <w:szCs w:val="24"/>
        </w:rPr>
        <w:t>1.61 km (</w:t>
      </w:r>
      <w:r w:rsidR="00C5364F" w:rsidRPr="00732FC1">
        <w:rPr>
          <w:rFonts w:cs="Times New Roman"/>
          <w:szCs w:val="24"/>
        </w:rPr>
        <w:t>1</w:t>
      </w:r>
      <w:r w:rsidR="00C5364F">
        <w:rPr>
          <w:rFonts w:cs="Times New Roman"/>
          <w:szCs w:val="24"/>
        </w:rPr>
        <w:t xml:space="preserve"> </w:t>
      </w:r>
      <w:r w:rsidR="00C5364F" w:rsidRPr="00732FC1">
        <w:rPr>
          <w:rFonts w:cs="Times New Roman"/>
          <w:szCs w:val="24"/>
        </w:rPr>
        <w:t>mile</w:t>
      </w:r>
      <w:r w:rsidR="00C5364F">
        <w:rPr>
          <w:rFonts w:cs="Times New Roman"/>
          <w:szCs w:val="24"/>
        </w:rPr>
        <w:t>)</w:t>
      </w:r>
      <w:r w:rsidR="00C5364F" w:rsidRPr="00732FC1">
        <w:rPr>
          <w:rFonts w:cs="Times New Roman"/>
          <w:szCs w:val="24"/>
        </w:rPr>
        <w:t xml:space="preserve"> </w:t>
      </w:r>
      <w:r>
        <w:t>vicinity of the detector has a positive impact on traffic volumes on holidays. Further, the impact of recreational areas has lowered after COVID-19 emergence. The reader would note that recreational areas still contribute to traffic volumes on holiday, but the magnitude is lower during the pandemic.</w:t>
      </w:r>
      <w:r w:rsidR="00DB69FD">
        <w:t xml:space="preserve"> </w:t>
      </w:r>
      <w:r w:rsidR="00DB69FD" w:rsidRPr="00DB69FD">
        <w:t>The impact of commercial and recreational areas on the holidays’ traffic are quite similar to earlier literature</w:t>
      </w:r>
      <w:r w:rsidR="00637F2B">
        <w:t xml:space="preserve"> </w:t>
      </w:r>
      <w:r w:rsidR="00637F2B">
        <w:fldChar w:fldCharType="begin" w:fldLock="1"/>
      </w:r>
      <w:r w:rsidR="002061D6">
        <w:instrText>ADDIN CSL_CITATION {"citationItems":[{"id":"ITEM-1","itemData":{"DOI":"10.1016/j.tra.2020.06.022","ISSN":"09658564","abstract":"The co-existence of traditional docked bike-sharing and emerging dockless systems presents new opportunities for sustainable transportation in cities all over the world, both serving door to door trips and accessing/egressing to/from public transport systems. However, most of the previous studies have separately examined the travel patterns of docked and dockless bike-sharing schemes, whereas the difference in travel patterns and the determinants of user demand for both systems have not been fully understood. To fill this gap, this study firstly compares the travel characteristics, including travel distance, travel time, usage frequency and spatio-temporal travel patterns by exploring the smart card data from a docked bike-sharing scheme and trip origin–destination (OD) data from a dockless bike-sharing scheme in the city of Nanjing, China over the same spatio-temporal dimension. Next, this study examines the influence of the bike-sharing fleets, socio-demographic factors and land use factors on user demand of both bike-sharing systems using multi-sourced data (e.g., trip OD information, smart card, survey, land use information, and housing prices data). To this end, geographically and temporally weighted regression (GTWR) models are built to examine the determinants of user demand over space and time. Comparative analysis shows that dockless bike-sharing systems have a shorter average travel distance and travel time, but a higher use frequency and hourly usage volume compared to docked bike-sharing systems. Trips of docked and dockless bike-sharing on workdays are more frequent than those on weekends, especially during the morning and evening rush hours. Significant differences in the spatial distribution between docked and dockless bike-sharing systems are observed in different city areas. The results of the GTWR models reveal that hourly docked bike-sharing trips and dockless bike-share trips influence each other throughout the week. The density of Entertainment points of interest (POIs) is positively correlated with the usage of dockless bike-sharing, but negatively correlated with docked bike-sharing usage. On the contrary, the proportion of the elderly has a positive association with the usage of docked bike-sharing, but a negative association with the usage of dockless bike-sharing. Finally, policy implications and suggestions are proposed to improve the performance of docked and dockless bike-sharing systems, such as increasing the flexibility o…","author":[{"dropping-particle":"","family":"Ma","given":"Xinwei","non-dropping-particle":"","parse-names":false,"suffix":""},{"dropping-particle":"","family":"Ji","given":"Yanjie","non-dropping-particle":"","parse-names":false,"suffix":""},{"dropping-particle":"","family":"Yuan","given":"Yufei","non-dropping-particle":"","parse-names":false,"suffix":""},{"dropping-particle":"","family":"Oort","given":"Niels","non-dropping-particle":"Van","parse-names":false,"suffix":""},{"dropping-particle":"","family":"Jin","given":"Yuchuan","non-dropping-particle":"","parse-names":false,"suffix":""},{"dropping-particle":"","family":"Hoogendoorn","given":"Serge","non-dropping-particle":"","parse-names":false,"suffix":""}],"container-title":"Transportation Research Part A: Policy and Practice","id":"ITEM-1","issue":"July","issued":{"date-parts":[["2020"]]},"page":"148-173","publisher":"Elsevier","title":"A comparison in travel patterns and determinants of user demand between docked and dockless bike-sharing systems using multi-sourced data","type":"article-journal","volume":"139"},"uris":["http://www.mendeley.com/documents/?uuid=09abea2e-db73-423f-adbb-fc2be3711604"]}],"mendeley":{"formattedCitation":"(Ma et al., 2020)","plainTextFormattedCitation":"(Ma et al., 2020)","previouslyFormattedCitation":"(Ma et al., 2020)"},"properties":{"noteIndex":0},"schema":"https://github.com/citation-style-language/schema/raw/master/csl-citation.json"}</w:instrText>
      </w:r>
      <w:r w:rsidR="00637F2B">
        <w:fldChar w:fldCharType="separate"/>
      </w:r>
      <w:r w:rsidR="00E61833" w:rsidRPr="00E61833">
        <w:rPr>
          <w:noProof/>
        </w:rPr>
        <w:t>(Ma et al., 2020)</w:t>
      </w:r>
      <w:r w:rsidR="00637F2B">
        <w:fldChar w:fldCharType="end"/>
      </w:r>
      <w:r w:rsidR="00DB69FD" w:rsidRPr="00DB69FD">
        <w:t xml:space="preserve">. </w:t>
      </w:r>
    </w:p>
    <w:p w14:paraId="65692BA2" w14:textId="04584178" w:rsidR="00263EA5" w:rsidRPr="00325EFF" w:rsidRDefault="00263EA5" w:rsidP="00DB69FD">
      <w:pPr>
        <w:pStyle w:val="Heading3"/>
      </w:pPr>
      <w:r w:rsidRPr="00325EFF">
        <w:lastRenderedPageBreak/>
        <w:t>Built Environment Attributes</w:t>
      </w:r>
    </w:p>
    <w:p w14:paraId="13B73052" w14:textId="54AA47A4" w:rsidR="00263EA5" w:rsidRDefault="00DB69FD" w:rsidP="00263EA5">
      <w:r w:rsidRPr="00DB69FD">
        <w:t xml:space="preserve">In terms of built environment attributes, number of shopping centers within the </w:t>
      </w:r>
      <w:r w:rsidR="00C5364F">
        <w:rPr>
          <w:rFonts w:cs="Times New Roman"/>
          <w:szCs w:val="24"/>
        </w:rPr>
        <w:t>1.61 km (</w:t>
      </w:r>
      <w:r w:rsidR="00C5364F" w:rsidRPr="00732FC1">
        <w:rPr>
          <w:rFonts w:cs="Times New Roman"/>
          <w:szCs w:val="24"/>
        </w:rPr>
        <w:t>1</w:t>
      </w:r>
      <w:r w:rsidR="00C5364F">
        <w:rPr>
          <w:rFonts w:cs="Times New Roman"/>
          <w:szCs w:val="24"/>
        </w:rPr>
        <w:t xml:space="preserve"> </w:t>
      </w:r>
      <w:r w:rsidR="00C5364F" w:rsidRPr="00732FC1">
        <w:rPr>
          <w:rFonts w:cs="Times New Roman"/>
          <w:szCs w:val="24"/>
        </w:rPr>
        <w:t>mile</w:t>
      </w:r>
      <w:r w:rsidR="00C5364F">
        <w:rPr>
          <w:rFonts w:cs="Times New Roman"/>
          <w:szCs w:val="24"/>
        </w:rPr>
        <w:t>)</w:t>
      </w:r>
      <w:r w:rsidR="00C5364F" w:rsidRPr="00732FC1">
        <w:rPr>
          <w:rFonts w:cs="Times New Roman"/>
          <w:szCs w:val="24"/>
        </w:rPr>
        <w:t xml:space="preserve"> </w:t>
      </w:r>
      <w:r w:rsidRPr="00DB69FD">
        <w:t xml:space="preserve">buffer zone is found to have a positive impact on traffic volume in weekday and holiday models (see similar results reported in </w:t>
      </w:r>
      <w:r w:rsidR="00637F2B">
        <w:fldChar w:fldCharType="begin" w:fldLock="1"/>
      </w:r>
      <w:r w:rsidR="002061D6">
        <w:instrText>ADDIN CSL_CITATION {"citationItems":[{"id":"ITEM-1","itemData":{"DOI":"10.1016/j.tra.2016.10.024","ISSN":"09658564","abstract":"The traditional quantitative approach to studying Bicycle Sharing System (BSS) usage involves examining the influence of BSS infrastructure (such as number of BSS stations and capacity), transportation network infrastructure, land use and urban form, meteorological data, and temporal characteristics. These studies, as expected, conclude that BSS infrastructure (number of stations and capacity) have substantial influence on BSS usage. The earlier studies consider usage as a dependent variable and employ BSS infrastructure as an independent variable. Thus, in the models developed, the unobserved factors influencing the measured dependent variable (BSS usage) also strongly influence one of the independent variables (BSS infrastructure). This is a classic violation of the most basic assumption in econometric modeling i.e. the error component in the model is not correlated with any of the exogenous variables. The model estimates obtained with this erroneous assumption are likely to over-estimate the impact of BSS infrastructure. Our research effort proposes an econometric framework that remedies this drawback. We propose a measurement equation to account for the installation process and relate it to the usage equations thus correcting for the bias introduced in earlier research efforts by formulating a multi-level joint econometric framework. The econometric models developed have been estimated using data compiled from April 2012 to August 2012 for the BIXI system in Montreal. The model estimates support our hypothesis and clearly show over-estimation of BSS infrastructure impacts in models that neglect the installation process. An elasticity analysis to highlight the advantages of the proposed econometric model is also conducted.","author":[{"dropping-particle":"","family":"Faghih-Imani","given":"Ahmadreza","non-dropping-particle":"","parse-names":false,"suffix":""},{"dropping-particle":"","family":"Eluru","given":"Naveen","non-dropping-particle":"","parse-names":false,"suffix":""}],"container-title":"Transportation Research Part A: Policy and Practice","id":"ITEM-1","issued":{"date-parts":[["2016"]]},"page":"685-698","publisher":"Elsevier Ltd","title":"Determining the role of bicycle sharing system infrastructure installation decision on usage: Case study of montreal BIXI system","type":"article-journal","volume":"94"},"uris":["http://www.mendeley.com/documents/?uuid=ecd5301d-ac7e-41fb-9161-c6a44abece27"]}],"mendeley":{"formattedCitation":"(Faghih-Imani &amp; Eluru, 2016a)","manualFormatting":"Faghih-Imani and Eluru (2016a)","plainTextFormattedCitation":"(Faghih-Imani &amp; Eluru, 2016a)","previouslyFormattedCitation":"(Faghih-Imani &amp; Eluru, 2016a)"},"properties":{"noteIndex":0},"schema":"https://github.com/citation-style-language/schema/raw/master/csl-citation.json"}</w:instrText>
      </w:r>
      <w:r w:rsidR="00637F2B">
        <w:fldChar w:fldCharType="separate"/>
      </w:r>
      <w:r w:rsidR="00637F2B" w:rsidRPr="00637F2B">
        <w:rPr>
          <w:noProof/>
        </w:rPr>
        <w:t xml:space="preserve">Faghih-Imani and Eluru </w:t>
      </w:r>
      <w:r w:rsidR="00637F2B">
        <w:rPr>
          <w:noProof/>
        </w:rPr>
        <w:t>(</w:t>
      </w:r>
      <w:r w:rsidR="00637F2B" w:rsidRPr="00637F2B">
        <w:rPr>
          <w:noProof/>
        </w:rPr>
        <w:t>2016a)</w:t>
      </w:r>
      <w:r w:rsidR="00637F2B">
        <w:fldChar w:fldCharType="end"/>
      </w:r>
      <w:r w:rsidR="00263EA5">
        <w:t>. However, the contribution to traffic volume has lowered, yet remains positive, after the emergence of the pandemic</w:t>
      </w:r>
      <w:r w:rsidR="00777DD9">
        <w:t>.</w:t>
      </w:r>
    </w:p>
    <w:p w14:paraId="016249C4" w14:textId="1DF323F5" w:rsidR="00263EA5" w:rsidRDefault="00263EA5" w:rsidP="00263EA5">
      <w:pPr>
        <w:pStyle w:val="Heading3"/>
      </w:pPr>
      <w:r>
        <w:t>Roadway Characteristics</w:t>
      </w:r>
    </w:p>
    <w:p w14:paraId="64BFE06E" w14:textId="3828F8F4" w:rsidR="00E20D17" w:rsidRDefault="00263EA5" w:rsidP="00E20D17">
      <w:r>
        <w:t xml:space="preserve">Only one variable </w:t>
      </w:r>
      <w:r w:rsidR="008F7B3E">
        <w:t>–</w:t>
      </w:r>
      <w:r>
        <w:t xml:space="preserve"> number of lanes– offered statistically significant parameters in either the weekday or the holiday model. As expected, number of lanes is positively associated with traffic volume in both models. </w:t>
      </w:r>
      <w:r w:rsidR="00E20D17" w:rsidRPr="00E20D17">
        <w:t>A similar relationship has been reported in</w:t>
      </w:r>
      <w:r w:rsidR="00637F2B">
        <w:t xml:space="preserve"> </w:t>
      </w:r>
      <w:r w:rsidR="00637F2B">
        <w:fldChar w:fldCharType="begin" w:fldLock="1"/>
      </w:r>
      <w:r w:rsidR="002061D6">
        <w:instrText>ADDIN CSL_CITATION {"citationItems":[{"id":"ITEM-1","itemData":{"DOI":"10.1061/(asce)up.1943-5444.0000281","ISSN":"0733-9488","abstract":"AbstractLink level annual average daily traffic (AADT) or travel demand is used in several urban planning, roadway design, operational, and safety analyses by transportation planners and engineers. Existing AADT estimation methods do not adequately account for spatial proximity, variations, and dependency to address modeling needs. The primary focus of this paper, therefore, is to incorporate these aspects and develop a method to estimate link level AADT by the urban road functional class. Geospatial analytical techniques were explored to capture spatial data within proximal areas of selected roadway links and develop statistical models to estimate link level AADT. Polygon-based network buffers were generated within the proximal roadway distance of each study link to account for actual connectivity and capture off-network data instead of Euclidean distance-based buffers. On-network characteristics of the study links and upstream, downstream, and cross-street network links were considered to account for the spatial dependency of on-network characteristics. The applicability of the method and predictive capability of the models to estimate link level AADT, considering all of the selected study links and by each road functional class, was researched. The working of the method and development of the models is illustrated using data for the city of Charlotte in the state of North Carolina. The generalized estimating equation (GEE) models developed indicate that a negative binomial distribution fits better than a Poisson distribution for the data considered in this research. The ideal proximal distance to capture spatial data and accurately estimate AADT was observed to vary when all study links and different road functional classes were modeled separately. Overall, the results obtained indicate that spatial proximity and dependency play a vital role in accurately estimating travel demand on various urban road functional classes.","author":[{"dropping-particle":"","family":"Kusam","given":"Prasanna R.","non-dropping-particle":"","parse-names":false,"suffix":""},{"dropping-particle":"","family":"Pulugurtha","given":"Srinivas S.","non-dropping-particle":"","parse-names":false,"suffix":""}],"container-title":"Journal of Urban Planning and Development","id":"ITEM-1","issue":"2","issued":{"date-parts":[["2016"]]},"page":"04015014","title":"Spatial Proximity and Dependency to Model Urban Travel Demand","type":"article-journal","volume":"142"},"uris":["http://www.mendeley.com/documents/?uuid=6030008a-46d4-4c4d-83c5-1142a9f7d746"]}],"mendeley":{"formattedCitation":"(Kusam &amp; Pulugurtha, 2016)","manualFormatting":"Kusam and Pulugurtha (2016)","plainTextFormattedCitation":"(Kusam &amp; Pulugurtha, 2016)","previouslyFormattedCitation":"(Kusam &amp; Pulugurtha, 2016)"},"properties":{"noteIndex":0},"schema":"https://github.com/citation-style-language/schema/raw/master/csl-citation.json"}</w:instrText>
      </w:r>
      <w:r w:rsidR="00637F2B">
        <w:fldChar w:fldCharType="separate"/>
      </w:r>
      <w:r w:rsidR="00637F2B" w:rsidRPr="00637F2B">
        <w:rPr>
          <w:noProof/>
        </w:rPr>
        <w:t xml:space="preserve">Kusam and Pulugurtha </w:t>
      </w:r>
      <w:r w:rsidR="00637F2B">
        <w:rPr>
          <w:noProof/>
        </w:rPr>
        <w:t>(</w:t>
      </w:r>
      <w:r w:rsidR="00637F2B" w:rsidRPr="00637F2B">
        <w:rPr>
          <w:noProof/>
        </w:rPr>
        <w:t>2016)</w:t>
      </w:r>
      <w:r w:rsidR="00637F2B">
        <w:fldChar w:fldCharType="end"/>
      </w:r>
      <w:r w:rsidR="00E20D17" w:rsidRPr="00E20D17">
        <w:t>.</w:t>
      </w:r>
    </w:p>
    <w:p w14:paraId="3DF13E79" w14:textId="67FCB530" w:rsidR="00263EA5" w:rsidRDefault="00263EA5" w:rsidP="00E20D17">
      <w:pPr>
        <w:pStyle w:val="Heading3"/>
      </w:pPr>
      <w:r>
        <w:t>Meteorological Variables</w:t>
      </w:r>
    </w:p>
    <w:p w14:paraId="02292C1F" w14:textId="6D861DD8" w:rsidR="00263EA5" w:rsidRDefault="00263EA5" w:rsidP="00263EA5">
      <w:r>
        <w:t xml:space="preserve">Meteorological variables such as average wind speed, rainy day (=1, if average precipitation is ≥ </w:t>
      </w:r>
      <w:r w:rsidR="00CD2888">
        <w:t xml:space="preserve">0.64 cm or </w:t>
      </w:r>
      <w:r>
        <w:t xml:space="preserve">0.25 inch) were considered in our study to capture the effect of weather on traffic volume. </w:t>
      </w:r>
      <w:r w:rsidR="00E20D17" w:rsidRPr="00E20D17">
        <w:t>The weather impacts are observed to follow the trends reported in earlier literature</w:t>
      </w:r>
      <w:r w:rsidR="001F7A7D">
        <w:t xml:space="preserve"> </w:t>
      </w:r>
      <w:r w:rsidR="001F7A7D">
        <w:fldChar w:fldCharType="begin" w:fldLock="1"/>
      </w:r>
      <w:r w:rsidR="002061D6">
        <w:instrText>ADDIN CSL_CITATION {"citationItems":[{"id":"ITEM-1","itemData":{"DOI":"10.1016/j.tra.2016.10.024","ISSN":"09658564","abstract":"The traditional quantitative approach to studying Bicycle Sharing System (BSS) usage involves examining the influence of BSS infrastructure (such as number of BSS stations and capacity), transportation network infrastructure, land use and urban form, meteorological data, and temporal characteristics. These studies, as expected, conclude that BSS infrastructure (number of stations and capacity) have substantial influence on BSS usage. The earlier studies consider usage as a dependent variable and employ BSS infrastructure as an independent variable. Thus, in the models developed, the unobserved factors influencing the measured dependent variable (BSS usage) also strongly influence one of the independent variables (BSS infrastructure). This is a classic violation of the most basic assumption in econometric modeling i.e. the error component in the model is not correlated with any of the exogenous variables. The model estimates obtained with this erroneous assumption are likely to over-estimate the impact of BSS infrastructure. Our research effort proposes an econometric framework that remedies this drawback. We propose a measurement equation to account for the installation process and relate it to the usage equations thus correcting for the bias introduced in earlier research efforts by formulating a multi-level joint econometric framework. The econometric models developed have been estimated using data compiled from April 2012 to August 2012 for the BIXI system in Montreal. The model estimates support our hypothesis and clearly show over-estimation of BSS infrastructure impacts in models that neglect the installation process. An elasticity analysis to highlight the advantages of the proposed econometric model is also conducted.","author":[{"dropping-particle":"","family":"Faghih-Imani","given":"Ahmadreza","non-dropping-particle":"","parse-names":false,"suffix":""},{"dropping-particle":"","family":"Eluru","given":"Naveen","non-dropping-particle":"","parse-names":false,"suffix":""}],"container-title":"Transportation Research Part A: Policy and Practice","id":"ITEM-1","issued":{"date-parts":[["2016"]]},"page":"685-698","publisher":"Elsevier Ltd","title":"Determining the role of bicycle sharing system infrastructure installation decision on usage: Case study of montreal BIXI system","type":"article-journal","volume":"94"},"uris":["http://www.mendeley.com/documents/?uuid=ecd5301d-ac7e-41fb-9161-c6a44abece27"]}],"mendeley":{"formattedCitation":"(Faghih-Imani &amp; Eluru, 2016a)","plainTextFormattedCitation":"(Faghih-Imani &amp; Eluru, 2016a)","previouslyFormattedCitation":"(Faghih-Imani &amp; Eluru, 2016a)"},"properties":{"noteIndex":0},"schema":"https://github.com/citation-style-language/schema/raw/master/csl-citation.json"}</w:instrText>
      </w:r>
      <w:r w:rsidR="001F7A7D">
        <w:fldChar w:fldCharType="separate"/>
      </w:r>
      <w:r w:rsidR="00E61833" w:rsidRPr="00E61833">
        <w:rPr>
          <w:noProof/>
        </w:rPr>
        <w:t>(Faghih-Imani &amp; Eluru, 2016a)</w:t>
      </w:r>
      <w:r w:rsidR="001F7A7D">
        <w:fldChar w:fldCharType="end"/>
      </w:r>
      <w:r w:rsidR="00E20D17" w:rsidRPr="00E20D17">
        <w:t>.</w:t>
      </w:r>
      <w:r w:rsidR="00E20D17">
        <w:t xml:space="preserve"> </w:t>
      </w:r>
      <w:r>
        <w:t xml:space="preserve">The negative sign of both variables in both models indicates a lowering of traffic volume in high wind and heavy rainy conditions. </w:t>
      </w:r>
    </w:p>
    <w:p w14:paraId="6BD0E027" w14:textId="0474713F" w:rsidR="00263EA5" w:rsidRDefault="00263EA5" w:rsidP="00263EA5">
      <w:pPr>
        <w:pStyle w:val="Heading3"/>
      </w:pPr>
      <w:r>
        <w:t>Spatial Factors</w:t>
      </w:r>
    </w:p>
    <w:p w14:paraId="55DD558D" w14:textId="219A6851" w:rsidR="00BA430E" w:rsidRDefault="00263EA5" w:rsidP="00263EA5">
      <w:r>
        <w:t>To capture the influence of detector locations, we incorporated the district categorization for the Florida region (see Fig</w:t>
      </w:r>
      <w:r w:rsidR="00C4768F">
        <w:t>ure</w:t>
      </w:r>
      <w:r>
        <w:t xml:space="preserve"> </w:t>
      </w:r>
      <w:r w:rsidR="004617A4">
        <w:t>1</w:t>
      </w:r>
      <w:r>
        <w:t xml:space="preserve"> for districts). These variables represent the fixed effects of the locations and are not interpretable after adding other variables.</w:t>
      </w:r>
      <w:r w:rsidR="000B1AB9">
        <w:t xml:space="preserve"> </w:t>
      </w:r>
      <w:r w:rsidR="00BA430E">
        <w:t>The reader would recognize that</w:t>
      </w:r>
      <w:r w:rsidR="00BA430E">
        <w:rPr>
          <w:rFonts w:cs="Times New Roman"/>
          <w:szCs w:val="24"/>
        </w:rPr>
        <w:t xml:space="preserve"> temporal and spatial factors (and the various interactions) serve as surrogates for </w:t>
      </w:r>
      <w:r w:rsidR="007C2F6A">
        <w:rPr>
          <w:rFonts w:cs="Times New Roman"/>
          <w:szCs w:val="24"/>
        </w:rPr>
        <w:t xml:space="preserve">different </w:t>
      </w:r>
      <w:r w:rsidR="00BA430E">
        <w:rPr>
          <w:rFonts w:cs="Times New Roman"/>
          <w:szCs w:val="24"/>
        </w:rPr>
        <w:t>pandemic polic</w:t>
      </w:r>
      <w:r w:rsidR="007C2F6A">
        <w:rPr>
          <w:rFonts w:cs="Times New Roman"/>
          <w:szCs w:val="24"/>
        </w:rPr>
        <w:t xml:space="preserve">ies (such as mask regulations, business openings and occupancy) </w:t>
      </w:r>
      <w:r w:rsidR="00EF6176">
        <w:rPr>
          <w:rFonts w:cs="Times New Roman"/>
          <w:szCs w:val="24"/>
        </w:rPr>
        <w:t xml:space="preserve">implemented </w:t>
      </w:r>
      <w:r w:rsidR="00BA430E">
        <w:rPr>
          <w:rFonts w:cs="Times New Roman"/>
          <w:szCs w:val="24"/>
        </w:rPr>
        <w:t xml:space="preserve">across the state. </w:t>
      </w:r>
    </w:p>
    <w:p w14:paraId="15CDAB7C" w14:textId="6FC0038C" w:rsidR="00263EA5" w:rsidRDefault="00263EA5" w:rsidP="00263EA5">
      <w:pPr>
        <w:pStyle w:val="Heading3"/>
      </w:pPr>
      <w:r>
        <w:lastRenderedPageBreak/>
        <w:t>Temporal Variables</w:t>
      </w:r>
    </w:p>
    <w:p w14:paraId="50284C8D" w14:textId="5F901CC4" w:rsidR="001643CC" w:rsidRDefault="0007384D" w:rsidP="001643CC">
      <w:r w:rsidRPr="0007384D">
        <w:t>We considered multiple traffic volume lag variables including 1-, 7-, 14-, 21- and 28-day lag volumes in our modeling. For weekday and holiday models 7-day lag traffic volume was found to be positive and offered the best fit</w:t>
      </w:r>
      <w:r>
        <w:t xml:space="preserve">. </w:t>
      </w:r>
      <w:r w:rsidR="001643CC" w:rsidRPr="001643CC">
        <w:t>Similar impacts are reported in</w:t>
      </w:r>
      <w:r w:rsidR="00C91917">
        <w:t xml:space="preserve"> </w:t>
      </w:r>
      <w:r w:rsidR="00C91917">
        <w:fldChar w:fldCharType="begin" w:fldLock="1"/>
      </w:r>
      <w:r w:rsidR="002061D6">
        <w:instrText>ADDIN CSL_CITATION {"citationItems":[{"id":"ITEM-1","itemData":{"DOI":"10.1016/j.jtrangeo.2016.06.008","ISSN":"09666923","abstract":"Recent success of bicycle-sharing systems (BSS) have led to their growth around the world. Not surprisingly, there is increased research towards better understanding of the contributing factors for BSS demand. However, these research efforts have neglected to adequately consider spatial and temporal interaction of BSS station's demand (arrivals and departures). It is possible that bicycle arrival and departure rates of one BSS station are potentially inter connected with bicycle flow rates for neighboring stations. It is also plausible that the arrival and departure rates at one time period are influenced by the arrival and departure rates of earlier time periods for that station and neighboring stations. Neglecting the presence of such effects, when they are actually present will result in biased model estimates. The major objective of this study is to accommodate for spatial and temporal effects (observed and unobserved) for modelling bicycle demand employing data from New York City's bicycle-sharing system (CitiBike). Towards this end, spatial error and spatial lag models that accommodate for the influence of spatial and temporal interactions are estimated. The exogenous variables for these models are drawn from BSS infrastructure, transportation network infrastructure, land use, point of interests, and meteorological and temporal attributes. The results provide strong evidence for the presence of spatial and temporal dependency for BSS station's arrival and departure rates. A hold out sample validation exercise further emphasizes the improved accuracy of the models with spatial and temporal interactions.","author":[{"dropping-particle":"","family":"Faghih-Imani","given":"Ahmadreza","non-dropping-particle":"","parse-names":false,"suffix":""},{"dropping-particle":"","family":"Eluru","given":"Naveen","non-dropping-particle":"","parse-names":false,"suffix":""}],"container-title":"Journal of Transport Geography","id":"ITEM-1","issued":{"date-parts":[["2016"]]},"page":"218-227","publisher":"Elsevier B.V.","title":"Incorporating the impact of spatio-temporal interactions on bicycle sharing system demand: A case study of New York CitiBike system","type":"article-journal","volume":"54"},"uris":["http://www.mendeley.com/documents/?uuid=23c55cd7-d695-4f54-8eb8-37f868d2e77b"]}],"mendeley":{"formattedCitation":"(Faghih-Imani &amp; Eluru, 2016b)","plainTextFormattedCitation":"(Faghih-Imani &amp; Eluru, 2016b)","previouslyFormattedCitation":"(Faghih-Imani &amp; Eluru, 2016b)"},"properties":{"noteIndex":0},"schema":"https://github.com/citation-style-language/schema/raw/master/csl-citation.json"}</w:instrText>
      </w:r>
      <w:r w:rsidR="00C91917">
        <w:fldChar w:fldCharType="separate"/>
      </w:r>
      <w:r w:rsidR="00E61833" w:rsidRPr="00E61833">
        <w:rPr>
          <w:noProof/>
        </w:rPr>
        <w:t>(Faghih-Imani &amp; Eluru, 2016b)</w:t>
      </w:r>
      <w:r w:rsidR="00C91917">
        <w:fldChar w:fldCharType="end"/>
      </w:r>
      <w:r w:rsidR="007A10A6">
        <w:t xml:space="preserve">. </w:t>
      </w:r>
    </w:p>
    <w:p w14:paraId="1D44431D" w14:textId="389F3E5D" w:rsidR="00263EA5" w:rsidRDefault="00263EA5" w:rsidP="00263EA5">
      <w:pPr>
        <w:pStyle w:val="Heading3"/>
      </w:pPr>
      <w:r>
        <w:t>Correlation Factors</w:t>
      </w:r>
    </w:p>
    <w:p w14:paraId="6AE4AB7A" w14:textId="095D0F59" w:rsidR="00B54D5E" w:rsidRDefault="00263EA5" w:rsidP="00B54D5E">
      <w:r>
        <w:t xml:space="preserve">The reader would note that the weight matrix in our study follows the inverse of distance within </w:t>
      </w:r>
      <w:r w:rsidR="00C5364F">
        <w:t>16.1</w:t>
      </w:r>
      <w:r w:rsidR="004E0954">
        <w:t>0</w:t>
      </w:r>
      <w:r w:rsidR="00C5364F">
        <w:t xml:space="preserve"> km (10 miles) </w:t>
      </w:r>
      <w:r>
        <w:t xml:space="preserve">and 0 outside </w:t>
      </w:r>
      <w:r w:rsidR="00C5364F">
        <w:t>16.1</w:t>
      </w:r>
      <w:r w:rsidR="004E0954">
        <w:t>0</w:t>
      </w:r>
      <w:r w:rsidR="00C5364F">
        <w:t xml:space="preserve"> km (10 miles) </w:t>
      </w:r>
      <w:r>
        <w:t xml:space="preserve">relationship. As hypothesized, for this relationship, spatial correlation was significant in the two models. The result highlights the role of common unobserved factors affecting volumes across detectors that are spatially close. </w:t>
      </w:r>
    </w:p>
    <w:p w14:paraId="30FABECF" w14:textId="154E9DDF" w:rsidR="00B54D5E" w:rsidRPr="00B54D5E" w:rsidRDefault="00B54D5E" w:rsidP="00B54D5E">
      <w:pPr>
        <w:pStyle w:val="Heading1"/>
        <w:rPr>
          <w:rFonts w:eastAsiaTheme="minorHAnsi"/>
        </w:rPr>
      </w:pPr>
      <w:r>
        <w:t>P</w:t>
      </w:r>
      <w:r w:rsidR="0003163B">
        <w:t>REDICTION ANALYSIS</w:t>
      </w:r>
    </w:p>
    <w:p w14:paraId="196AE028" w14:textId="592702B9" w:rsidR="00EB1A72" w:rsidRDefault="00B54D5E" w:rsidP="00612721">
      <w:r>
        <w:t xml:space="preserve">One of the principal objectives of this study is providing insight on spatiotemporal changes in future traffic demand while accommodating for the uncertainty of future COVID-19 transmission rate. </w:t>
      </w:r>
      <w:r w:rsidR="00B306C1">
        <w:t>In early 2021</w:t>
      </w:r>
      <w:r>
        <w:t xml:space="preserve">, mass vaccination efforts across the entire US have resulted in sharp reduction in cases encouraging more travel. </w:t>
      </w:r>
      <w:r w:rsidR="00B306C1">
        <w:t xml:space="preserve">However, COVID-19 transmission rate increased substantially after the month of May 2021. To evaluate the impact of this sudden rise, the spatial and temporal </w:t>
      </w:r>
      <w:r w:rsidR="00610939">
        <w:t xml:space="preserve">recovery </w:t>
      </w:r>
      <w:r w:rsidR="00B306C1">
        <w:t xml:space="preserve">in traffic volume for the months of June, August and October has been </w:t>
      </w:r>
      <w:r w:rsidR="00BA02D8">
        <w:t xml:space="preserve">presented </w:t>
      </w:r>
      <w:r w:rsidR="00B306C1">
        <w:t>in Fig</w:t>
      </w:r>
      <w:r w:rsidR="00F002E5">
        <w:t>ure</w:t>
      </w:r>
      <w:r w:rsidR="00B306C1">
        <w:t xml:space="preserve"> </w:t>
      </w:r>
      <w:r w:rsidR="007B6ED8">
        <w:t>3 and 4</w:t>
      </w:r>
      <w:r w:rsidR="00B306C1">
        <w:t xml:space="preserve"> for weekdays and holidays respectively. </w:t>
      </w:r>
    </w:p>
    <w:p w14:paraId="255F3C80" w14:textId="6D05FD10" w:rsidR="00444396" w:rsidRDefault="00B54D5E" w:rsidP="00FF47DB">
      <w:pPr>
        <w:ind w:firstLine="720"/>
      </w:pPr>
      <w:bookmarkStart w:id="0" w:name="_Hlk107568631"/>
      <w:r>
        <w:t xml:space="preserve">To compare our model performance in </w:t>
      </w:r>
      <w:r w:rsidR="00180443">
        <w:t xml:space="preserve">reflecting </w:t>
      </w:r>
      <w:r>
        <w:t>the improving pandemic condition in Florida, we employ our model system to predict future traffic volumes (for time periods not considered in the model development)</w:t>
      </w:r>
      <w:r w:rsidR="00E80E32">
        <w:t xml:space="preserve"> and </w:t>
      </w:r>
      <w:r w:rsidR="00180443">
        <w:t>examine the difference in observed</w:t>
      </w:r>
      <w:r w:rsidR="00E80E32" w:rsidRPr="00E80E32">
        <w:t xml:space="preserve"> and predicted recovery rates</w:t>
      </w:r>
      <w:r w:rsidR="00E253EC">
        <w:t xml:space="preserve"> using equations (5) and (6). A value greater than 0.95 would imply either similar (0.95 to 1) or higher (&gt;1) volume in 2021 relative to 2019, representing a near to full recovery of traffic volumes.</w:t>
      </w:r>
    </w:p>
    <w:bookmarkEnd w:id="0"/>
    <w:p w14:paraId="6C26A3B7" w14:textId="47E47FD3" w:rsidR="00E80E32" w:rsidRPr="00112F9C" w:rsidRDefault="00444396" w:rsidP="00612721">
      <w:r>
        <w:rPr>
          <w:rFonts w:eastAsiaTheme="minorEastAsia"/>
          <w:szCs w:val="24"/>
        </w:rPr>
        <w:lastRenderedPageBreak/>
        <w:t xml:space="preserve"> </w:t>
      </w:r>
      <m:oMath>
        <m:r>
          <w:rPr>
            <w:rFonts w:ascii="Cambria Math" w:hAnsi="Cambria Math" w:cs="Times New Roman"/>
            <w:szCs w:val="24"/>
          </w:rPr>
          <m:t xml:space="preserve">True recovery rate= </m:t>
        </m:r>
        <m:f>
          <m:fPr>
            <m:ctrlPr>
              <w:rPr>
                <w:rFonts w:ascii="Cambria Math" w:hAnsi="Cambria Math" w:cs="Times New Roman"/>
                <w:i/>
                <w:iCs/>
                <w:szCs w:val="24"/>
              </w:rPr>
            </m:ctrlPr>
          </m:fPr>
          <m:num>
            <m:r>
              <w:rPr>
                <w:rFonts w:ascii="Cambria Math" w:hAnsi="Cambria Math" w:cs="Times New Roman"/>
                <w:szCs w:val="24"/>
              </w:rPr>
              <m:t>Observed traffic volume of the year 2021</m:t>
            </m:r>
          </m:num>
          <m:den>
            <m:r>
              <w:rPr>
                <w:rFonts w:ascii="Cambria Math" w:hAnsi="Cambria Math" w:cs="Times New Roman"/>
                <w:szCs w:val="24"/>
              </w:rPr>
              <m:t>Observed traffic volume of the year 2019</m:t>
            </m:r>
          </m:den>
        </m:f>
        <m:r>
          <w:rPr>
            <w:rFonts w:ascii="Cambria Math" w:hAnsi="Cambria Math" w:cs="Times New Roman"/>
            <w:szCs w:val="24"/>
          </w:rPr>
          <m:t xml:space="preserve">                                                       (5)</m:t>
        </m:r>
      </m:oMath>
    </w:p>
    <w:p w14:paraId="6C83C22E" w14:textId="4E08AE09" w:rsidR="00E80E32" w:rsidRDefault="00444396" w:rsidP="00612721">
      <w:pPr>
        <w:rPr>
          <w:rFonts w:eastAsiaTheme="minorEastAsia"/>
          <w:iCs/>
          <w:szCs w:val="24"/>
        </w:rPr>
      </w:pPr>
      <w:r>
        <w:rPr>
          <w:rFonts w:eastAsiaTheme="minorEastAsia"/>
          <w:iCs/>
          <w:szCs w:val="24"/>
        </w:rPr>
        <w:t xml:space="preserve">and,  </w:t>
      </w:r>
      <m:oMath>
        <m:r>
          <w:rPr>
            <w:rFonts w:ascii="Cambria Math" w:hAnsi="Cambria Math" w:cs="Times New Roman"/>
            <w:szCs w:val="24"/>
          </w:rPr>
          <m:t xml:space="preserve">Predicted recovery rate= </m:t>
        </m:r>
        <m:f>
          <m:fPr>
            <m:ctrlPr>
              <w:rPr>
                <w:rFonts w:ascii="Cambria Math" w:hAnsi="Cambria Math" w:cs="Times New Roman"/>
                <w:i/>
                <w:iCs/>
                <w:szCs w:val="24"/>
              </w:rPr>
            </m:ctrlPr>
          </m:fPr>
          <m:num>
            <m:r>
              <w:rPr>
                <w:rFonts w:ascii="Cambria Math" w:hAnsi="Cambria Math" w:cs="Times New Roman"/>
                <w:szCs w:val="24"/>
              </w:rPr>
              <m:t>Predicted traffic volume of the year 2021</m:t>
            </m:r>
          </m:num>
          <m:den>
            <m:r>
              <w:rPr>
                <w:rFonts w:ascii="Cambria Math" w:hAnsi="Cambria Math" w:cs="Times New Roman"/>
                <w:szCs w:val="24"/>
              </w:rPr>
              <m:t>Observed traffic volume of the year 2019</m:t>
            </m:r>
          </m:den>
        </m:f>
        <m:r>
          <w:rPr>
            <w:rFonts w:ascii="Cambria Math" w:hAnsi="Cambria Math" w:cs="Times New Roman"/>
            <w:szCs w:val="24"/>
          </w:rPr>
          <m:t xml:space="preserve">                                   (6)</m:t>
        </m:r>
      </m:oMath>
    </w:p>
    <w:p w14:paraId="145DEFF2" w14:textId="70C7AC14" w:rsidR="00444396" w:rsidRPr="00112F9C" w:rsidRDefault="00EA6E8A" w:rsidP="00612721">
      <w:pPr>
        <w:rPr>
          <w:rFonts w:eastAsiaTheme="minorEastAsia"/>
          <w:iCs/>
          <w:szCs w:val="24"/>
        </w:rPr>
      </w:pPr>
      <w:r w:rsidRPr="00EA6E8A">
        <w:rPr>
          <w:rFonts w:eastAsiaTheme="minorEastAsia"/>
          <w:iCs/>
          <w:szCs w:val="24"/>
        </w:rPr>
        <w:t xml:space="preserve">The confusion matrix with recovery rate categories as: &lt;0.81, 0.81 – 0.90, 0.90 – 0.95 and &gt; 0.95 for weekday and holiday model are presented in Table </w:t>
      </w:r>
      <w:r w:rsidR="00222BB3">
        <w:rPr>
          <w:rFonts w:eastAsiaTheme="minorEastAsia"/>
          <w:iCs/>
          <w:szCs w:val="24"/>
        </w:rPr>
        <w:t>5</w:t>
      </w:r>
      <w:r w:rsidR="00444396" w:rsidRPr="00444396">
        <w:rPr>
          <w:rFonts w:eastAsiaTheme="minorEastAsia"/>
          <w:iCs/>
          <w:szCs w:val="24"/>
        </w:rPr>
        <w:t>.</w:t>
      </w:r>
      <w:r w:rsidR="00553D41">
        <w:rPr>
          <w:rFonts w:eastAsiaTheme="minorEastAsia"/>
          <w:iCs/>
          <w:szCs w:val="24"/>
        </w:rPr>
        <w:t xml:space="preserve"> </w:t>
      </w:r>
      <w:r w:rsidR="00444396" w:rsidRPr="00444396">
        <w:rPr>
          <w:rFonts w:eastAsiaTheme="minorEastAsia"/>
          <w:iCs/>
          <w:szCs w:val="24"/>
        </w:rPr>
        <w:t>From the table, we can observe that the weekday model predicts (1.34+2.59+64.03=) 67.96% of the alternatives correctly, while the corresponding number for the holiday model is (0.97+3.10+50.48=) 54.55%. It is also important for the reader to recognize that these accuracy values are excellent given that the model is built on 2020 data that does not consider vaccinations in 2021.</w:t>
      </w:r>
    </w:p>
    <w:p w14:paraId="4917D1C5" w14:textId="1775B21B" w:rsidR="00332DC3" w:rsidRDefault="000B408B" w:rsidP="00553D41">
      <w:pPr>
        <w:ind w:firstLine="720"/>
      </w:pPr>
      <w:r w:rsidRPr="000B408B">
        <w:t xml:space="preserve">Several observations can be made from these figures. </w:t>
      </w:r>
      <w:r w:rsidRPr="000B408B">
        <w:rPr>
          <w:u w:val="single"/>
        </w:rPr>
        <w:t>First</w:t>
      </w:r>
      <w:r w:rsidRPr="000B408B">
        <w:t>, weekday traffic volumes present varying spatial patterns across the state. Traffic volumes in Central Florida (District 5) and West Central Florida (District 7) regions are well into the recovery while parts of the southwest (District 1), northeast (District 2) and northwest (District 3) regions are away from a full recovery. Central Florida region (District 5) with multiple tourist attractions including several amusement parks in Orlando and beaches on the east coast experienced a faster recovery</w:t>
      </w:r>
      <w:r w:rsidR="000E21E9">
        <w:t xml:space="preserve"> (</w:t>
      </w:r>
      <w:r w:rsidR="000E21E9" w:rsidRPr="000E21E9">
        <w:t>recovery rate is more than 0.95)</w:t>
      </w:r>
      <w:r w:rsidRPr="000B408B">
        <w:t xml:space="preserve"> due to the pent-up demand because of pandemic closures. On the contrary, northeast, and northwest regions of Florida are home to commercial entities. As several businesses and institutions continued work-from-home patterns even in 2021, the recovery was relatively slower</w:t>
      </w:r>
      <w:r w:rsidR="000E21E9">
        <w:t xml:space="preserve"> (less than 0.90)</w:t>
      </w:r>
      <w:r w:rsidRPr="000B408B">
        <w:t xml:space="preserve"> in those regions. </w:t>
      </w:r>
      <w:r w:rsidRPr="000B408B">
        <w:rPr>
          <w:u w:val="single"/>
        </w:rPr>
        <w:t>Second</w:t>
      </w:r>
      <w:r w:rsidRPr="000B408B">
        <w:t xml:space="preserve">, for holidays, the trend is slightly different. The results indicate an overall slower pattern of recovery across the state potentially highlighting how COVID-19 has reduced discretionary travel. Interestingly, for holiday travel, the Southeast (District 4) and Central Florida (District 5) region appears to be recovering at a faster rate </w:t>
      </w:r>
      <w:r w:rsidR="005465AE">
        <w:t xml:space="preserve">(more than 0.95) </w:t>
      </w:r>
      <w:r w:rsidRPr="000B408B">
        <w:t xml:space="preserve">compared to the rest of the state. Southeast district is home to several beach destinations </w:t>
      </w:r>
      <w:r w:rsidRPr="000B408B">
        <w:lastRenderedPageBreak/>
        <w:t>and benefitted from tourism demand (</w:t>
      </w:r>
      <w:proofErr w:type="gramStart"/>
      <w:r w:rsidRPr="000B408B">
        <w:t>similar to</w:t>
      </w:r>
      <w:proofErr w:type="gramEnd"/>
      <w:r w:rsidRPr="000B408B">
        <w:t xml:space="preserve"> Central Florida). Overall, the results indicate a faster recovery in locations with high share of tourism activity. </w:t>
      </w:r>
      <w:r w:rsidR="005F2DB9" w:rsidRPr="000B408B">
        <w:rPr>
          <w:u w:val="single"/>
        </w:rPr>
        <w:t>Third</w:t>
      </w:r>
      <w:r w:rsidR="005F2DB9" w:rsidRPr="000B408B">
        <w:t>,</w:t>
      </w:r>
      <w:r w:rsidR="005F2DB9">
        <w:t xml:space="preserve"> the results also illustrate changing traffic volumes over time. </w:t>
      </w:r>
      <w:r w:rsidR="0007171F">
        <w:t>As we move from June through August</w:t>
      </w:r>
      <w:r w:rsidR="00FB61FA">
        <w:t xml:space="preserve"> the number of detectors that experienced recovery of traffic volume closer to 2019 levels</w:t>
      </w:r>
      <w:r w:rsidR="000252B3">
        <w:t xml:space="preserve"> </w:t>
      </w:r>
      <w:r w:rsidR="00705038">
        <w:t>have</w:t>
      </w:r>
      <w:r w:rsidR="00FB61FA">
        <w:t xml:space="preserve"> declined</w:t>
      </w:r>
      <w:r w:rsidR="00705038">
        <w:t xml:space="preserve"> (</w:t>
      </w:r>
      <w:proofErr w:type="gramStart"/>
      <w:r w:rsidR="00705038">
        <w:t>in particular for</w:t>
      </w:r>
      <w:proofErr w:type="gramEnd"/>
      <w:r w:rsidR="00705038">
        <w:t xml:space="preserve"> </w:t>
      </w:r>
      <w:r w:rsidR="000252B3">
        <w:t>weekdays</w:t>
      </w:r>
      <w:r w:rsidR="00705038">
        <w:t>)</w:t>
      </w:r>
      <w:r w:rsidR="000252B3">
        <w:t>. For instance, 1,718 detectors indicate a full recovery (&gt; 95%) with respect to weekday traffic volume in August 2021, a decrease of around 13.5% from June 2021</w:t>
      </w:r>
      <w:r w:rsidR="00972E57">
        <w:t xml:space="preserve">. </w:t>
      </w:r>
      <w:r w:rsidR="006438E3">
        <w:t>On the contrary, in holidays the recovery rate is found to remain almost constant from June through August</w:t>
      </w:r>
      <w:r w:rsidR="00B52837">
        <w:t xml:space="preserve"> with a full recovery in 40% of the total detectors</w:t>
      </w:r>
      <w:r w:rsidR="006438E3">
        <w:t>.</w:t>
      </w:r>
      <w:r w:rsidR="00B52837">
        <w:t xml:space="preserve"> </w:t>
      </w:r>
      <w:r w:rsidR="005F2DB9">
        <w:t xml:space="preserve">However, </w:t>
      </w:r>
      <w:r w:rsidR="00457F45">
        <w:t xml:space="preserve">in </w:t>
      </w:r>
      <w:r w:rsidR="005F2DB9">
        <w:t xml:space="preserve">October, traffic volume </w:t>
      </w:r>
      <w:r w:rsidR="00457F45">
        <w:t>for</w:t>
      </w:r>
      <w:r w:rsidR="005F2DB9">
        <w:t xml:space="preserve"> weekdays and holidays begins to be recover</w:t>
      </w:r>
      <w:r w:rsidR="00D40729">
        <w:t>.</w:t>
      </w:r>
      <w:r w:rsidR="005F2DB9">
        <w:t xml:space="preserve"> Overall, the figures clearly illustrate how the proposed model can be utilized to examine the spatiotemporal traffic trends at a high resolution.</w:t>
      </w:r>
      <w:r w:rsidR="009C0AEB">
        <w:t xml:space="preserve"> A representation of traffic volumes in earlier months of 2021 are included in the Appendix B for interested readers. </w:t>
      </w:r>
      <w:r w:rsidR="005F2DB9">
        <w:t xml:space="preserve"> </w:t>
      </w:r>
    </w:p>
    <w:p w14:paraId="0CB1C17F" w14:textId="77777777" w:rsidR="00F575DE" w:rsidRPr="009E189E" w:rsidRDefault="00F575DE" w:rsidP="00F575DE">
      <w:pPr>
        <w:pStyle w:val="Heading1"/>
      </w:pPr>
      <w:r>
        <w:rPr>
          <w:rFonts w:eastAsiaTheme="minorEastAsia"/>
        </w:rPr>
        <w:t>CONCLUSION</w:t>
      </w:r>
    </w:p>
    <w:p w14:paraId="7529F22F" w14:textId="77777777" w:rsidR="00F002E5" w:rsidRDefault="00F575DE" w:rsidP="00F002E5">
      <w:pPr>
        <w:ind w:firstLine="720"/>
      </w:pPr>
      <w:r>
        <w:t xml:space="preserve">Several earlier research efforts have examined the impact of COVID-19 on traffic volumes. However, these efforts were either limited to a very short time frame and/or examine data from a small number of locations. Further, earlier work employed simple descriptive comparisons or statistical models that do not control for a host of factors that affect traffic volumes. In our current study, using traffic volume data for 2019 and 2020 from 3,957 detectors on four interstate facilities in Florida, an econometric framework for traffic volume spatiotemporal analysis is developed. Recognizing the presence of multiple repeated datapoints for each detector and the presence of common unobserved factors affecting traffic volumes at neighboring detectors, a comprehensive set of panel spatial models are estimated. The dataset was also partitioned for weekdays and holidays to capture intrinsic differences in traffic volumes on weekdays and holidays. The model </w:t>
      </w:r>
      <w:r>
        <w:lastRenderedPageBreak/>
        <w:t xml:space="preserve">estimation process considered an exhaustive set of independent variables including detailed </w:t>
      </w:r>
      <w:r w:rsidRPr="00984635">
        <w:t>COVID-19 information (such as per capita COVID cases), socioeconomic characteristics (such as employment rate, median income), land-use characteristics (such as residential, commercial, and recreational area)</w:t>
      </w:r>
      <w:r>
        <w:t xml:space="preserve">, </w:t>
      </w:r>
      <w:r w:rsidRPr="00984635">
        <w:t>built environment attributes (such as number of restaurants, and shopping centers), roadway characteristics (such as number of lanes, and maximum speed limit)</w:t>
      </w:r>
      <w:r>
        <w:t>,</w:t>
      </w:r>
      <w:r w:rsidRPr="00984635">
        <w:t xml:space="preserve"> meteorological information (such as wind speed and precipitation)</w:t>
      </w:r>
      <w:r>
        <w:t xml:space="preserve"> and spatial factors (district-wise detectors location)</w:t>
      </w:r>
      <w:r w:rsidRPr="00984635">
        <w:t>.</w:t>
      </w:r>
      <w:r>
        <w:t xml:space="preserve"> Among the spatial models, Spatial Error Model offered the best fit for weekdays and holidays. </w:t>
      </w:r>
    </w:p>
    <w:p w14:paraId="03EAFF9A" w14:textId="0282F627" w:rsidR="009E189E" w:rsidRDefault="009E189E" w:rsidP="00F002E5">
      <w:pPr>
        <w:ind w:firstLine="720"/>
      </w:pPr>
      <w:r>
        <w:t xml:space="preserve">The model estimates clearly highlight the impact on COVID-19 on traffic volumes. The model also recovered several important associations with other independent variables. </w:t>
      </w:r>
      <w:r>
        <w:rPr>
          <w:rFonts w:eastAsiaTheme="minorEastAsia" w:cs="Times New Roman"/>
          <w:szCs w:val="24"/>
        </w:rPr>
        <w:t>The findings from the model highlight the inequity in the impact of pandemic on lower income households. The model for holidays indicates that traffic volumes during the pandemic are lower for recreational areas (relative to pre-pandemic conditions). The model estimation results are further augmented with a policy analysis exercise to illustrate the value of the proposed model system. The policy analysis clearly identifies spatiotemporal variations across the state in terms of traffic volume recovery. Further, the recovery patterns are quite different for weekdays and holidays. For weekdays, Central Florida region</w:t>
      </w:r>
      <w:r w:rsidR="00653F10">
        <w:rPr>
          <w:rFonts w:eastAsiaTheme="minorEastAsia" w:cs="Times New Roman"/>
          <w:szCs w:val="24"/>
        </w:rPr>
        <w:t xml:space="preserve"> (District 5)</w:t>
      </w:r>
      <w:r>
        <w:rPr>
          <w:rFonts w:eastAsiaTheme="minorEastAsia" w:cs="Times New Roman"/>
          <w:szCs w:val="24"/>
        </w:rPr>
        <w:t xml:space="preserve"> appears to have recovered close to pre-pandemic traffic volumes while the northwest</w:t>
      </w:r>
      <w:r w:rsidR="00653F10">
        <w:rPr>
          <w:rFonts w:eastAsiaTheme="minorEastAsia" w:cs="Times New Roman"/>
          <w:szCs w:val="24"/>
        </w:rPr>
        <w:t xml:space="preserve"> (District 3)</w:t>
      </w:r>
      <w:r>
        <w:rPr>
          <w:rFonts w:eastAsiaTheme="minorEastAsia" w:cs="Times New Roman"/>
          <w:szCs w:val="24"/>
        </w:rPr>
        <w:t>, northeast</w:t>
      </w:r>
      <w:r w:rsidR="00653F10">
        <w:rPr>
          <w:rFonts w:eastAsiaTheme="minorEastAsia" w:cs="Times New Roman"/>
          <w:szCs w:val="24"/>
        </w:rPr>
        <w:t xml:space="preserve"> (District 2)</w:t>
      </w:r>
      <w:r>
        <w:rPr>
          <w:rFonts w:eastAsiaTheme="minorEastAsia" w:cs="Times New Roman"/>
          <w:szCs w:val="24"/>
        </w:rPr>
        <w:t xml:space="preserve"> and south</w:t>
      </w:r>
      <w:r w:rsidR="00653F10">
        <w:rPr>
          <w:rFonts w:eastAsiaTheme="minorEastAsia" w:cs="Times New Roman"/>
          <w:szCs w:val="24"/>
        </w:rPr>
        <w:t>west</w:t>
      </w:r>
      <w:r>
        <w:rPr>
          <w:rFonts w:eastAsiaTheme="minorEastAsia" w:cs="Times New Roman"/>
          <w:szCs w:val="24"/>
        </w:rPr>
        <w:t xml:space="preserve"> region</w:t>
      </w:r>
      <w:r w:rsidR="00653F10">
        <w:rPr>
          <w:rFonts w:eastAsiaTheme="minorEastAsia" w:cs="Times New Roman"/>
          <w:szCs w:val="24"/>
        </w:rPr>
        <w:t xml:space="preserve"> (District 1)</w:t>
      </w:r>
      <w:r>
        <w:rPr>
          <w:rFonts w:eastAsiaTheme="minorEastAsia" w:cs="Times New Roman"/>
          <w:szCs w:val="24"/>
        </w:rPr>
        <w:t xml:space="preserve"> are below the pre-pandemic levels. For holidays, the trends are quite different with </w:t>
      </w:r>
      <w:r w:rsidR="00A209F5">
        <w:rPr>
          <w:rFonts w:eastAsiaTheme="minorEastAsia" w:cs="Times New Roman"/>
          <w:szCs w:val="24"/>
        </w:rPr>
        <w:t>both Central</w:t>
      </w:r>
      <w:r w:rsidR="00653F10">
        <w:rPr>
          <w:rFonts w:eastAsiaTheme="minorEastAsia" w:cs="Times New Roman"/>
          <w:szCs w:val="24"/>
        </w:rPr>
        <w:t xml:space="preserve"> (District 5)</w:t>
      </w:r>
      <w:r w:rsidR="00A209F5">
        <w:rPr>
          <w:rFonts w:eastAsiaTheme="minorEastAsia" w:cs="Times New Roman"/>
          <w:szCs w:val="24"/>
        </w:rPr>
        <w:t xml:space="preserve"> and </w:t>
      </w:r>
      <w:r w:rsidR="00653F10">
        <w:rPr>
          <w:rFonts w:eastAsiaTheme="minorEastAsia" w:cs="Times New Roman"/>
          <w:szCs w:val="24"/>
        </w:rPr>
        <w:t>s</w:t>
      </w:r>
      <w:r>
        <w:rPr>
          <w:rFonts w:eastAsiaTheme="minorEastAsia" w:cs="Times New Roman"/>
          <w:szCs w:val="24"/>
        </w:rPr>
        <w:t>outh</w:t>
      </w:r>
      <w:r w:rsidR="00653F10">
        <w:rPr>
          <w:rFonts w:eastAsiaTheme="minorEastAsia" w:cs="Times New Roman"/>
          <w:szCs w:val="24"/>
        </w:rPr>
        <w:t>east</w:t>
      </w:r>
      <w:r>
        <w:rPr>
          <w:rFonts w:eastAsiaTheme="minorEastAsia" w:cs="Times New Roman"/>
          <w:szCs w:val="24"/>
        </w:rPr>
        <w:t xml:space="preserve"> region</w:t>
      </w:r>
      <w:r w:rsidR="00653F10">
        <w:rPr>
          <w:rFonts w:eastAsiaTheme="minorEastAsia" w:cs="Times New Roman"/>
          <w:szCs w:val="24"/>
        </w:rPr>
        <w:t xml:space="preserve"> (District 4) are</w:t>
      </w:r>
      <w:r>
        <w:rPr>
          <w:rFonts w:eastAsiaTheme="minorEastAsia" w:cs="Times New Roman"/>
          <w:szCs w:val="24"/>
        </w:rPr>
        <w:t xml:space="preserve"> closer to recovery than rest of the state. Further, across the state, holidays have lower traffic volumes highlighting the impact of COVID-19 on discretionary travel. </w:t>
      </w:r>
    </w:p>
    <w:p w14:paraId="73D4C1A1" w14:textId="3E0B0CAC" w:rsidR="00B91989" w:rsidRDefault="009E189E" w:rsidP="00612721">
      <w:pPr>
        <w:ind w:firstLine="720"/>
      </w:pPr>
      <w:r>
        <w:lastRenderedPageBreak/>
        <w:t xml:space="preserve">The proposed model system has wide application for understanding traffic volume patterns as well as traffic volume prediction. With the number of cases increasing rapidly across the country, it is possible that increased measures to reduce COVID-19 spread might be instituted affecting traffic volume recovery. Employing the growing case numbers the proposed model system can offer guidelines on future recovery paths for traffic volumes on weekdays and holidays. </w:t>
      </w:r>
      <w:r w:rsidR="003134EA">
        <w:t xml:space="preserve">The model developed can be enhanced by incorporating vaccination data </w:t>
      </w:r>
      <w:r w:rsidR="000F014C">
        <w:t xml:space="preserve">at the county level in future research to incorporate spatiotemporal variations in vaccination rates across Florida. </w:t>
      </w:r>
    </w:p>
    <w:p w14:paraId="48F1F5A8" w14:textId="790F489D" w:rsidR="00B60AEC" w:rsidRDefault="00B60AEC" w:rsidP="00612721">
      <w:pPr>
        <w:ind w:firstLine="720"/>
      </w:pPr>
      <w:r>
        <w:t xml:space="preserve">This paper is not without any limitations. </w:t>
      </w:r>
      <w:r w:rsidR="006B6171" w:rsidRPr="00112F9C">
        <w:rPr>
          <w:u w:val="single"/>
        </w:rPr>
        <w:t>Firs</w:t>
      </w:r>
      <w:r w:rsidR="006B6171">
        <w:t>t, i</w:t>
      </w:r>
      <w:r w:rsidRPr="00B60AEC">
        <w:t>n our study traffic volume including different vehicle classes were considered in the same category due to data unavailability. In future research, it might be useful to explore traffic trends by vehicle class.</w:t>
      </w:r>
      <w:r w:rsidR="000F0CEE">
        <w:t xml:space="preserve"> </w:t>
      </w:r>
      <w:r w:rsidR="006B6171" w:rsidRPr="00112F9C">
        <w:rPr>
          <w:u w:val="single"/>
        </w:rPr>
        <w:t>Second</w:t>
      </w:r>
      <w:r w:rsidR="000F0CEE">
        <w:t>, t</w:t>
      </w:r>
      <w:r w:rsidR="000F0CEE" w:rsidRPr="000F0CEE">
        <w:t xml:space="preserve">he data compiled from RITIS does not identify traffic incidents on roadways. </w:t>
      </w:r>
      <w:r w:rsidR="006E353C" w:rsidRPr="006E353C">
        <w:t>Hence, an interruption of the regular traffic due to traffic incidents has not been explicitly accommodated in this study. We examined the potential prevalence of such incidents affecting traffic volume and observed them to be a small share of our sample. However, in future efforts of traffic flow prediction it might be useful to consider data with this information</w:t>
      </w:r>
      <w:r w:rsidR="000F0CEE" w:rsidRPr="000F0CEE">
        <w:t>.</w:t>
      </w:r>
      <w:r w:rsidR="0007384D">
        <w:t xml:space="preserve"> </w:t>
      </w:r>
      <w:r w:rsidR="006B6171" w:rsidRPr="00112F9C">
        <w:rPr>
          <w:u w:val="single"/>
        </w:rPr>
        <w:t>Third</w:t>
      </w:r>
      <w:r w:rsidR="006B6171">
        <w:t>,</w:t>
      </w:r>
      <w:r w:rsidR="00996D3E">
        <w:t xml:space="preserve"> d</w:t>
      </w:r>
      <w:r w:rsidR="00825D9E" w:rsidRPr="00825D9E">
        <w:t>ue to the absence of origin and destination of the trips, it has not been possible to differentiate the pass-through traffic from the local traffic in the interstate system. It would be beneficial to consider data that clearly demarcates demand by origin-destination characteristics in future research</w:t>
      </w:r>
      <w:r w:rsidR="006B6171">
        <w:t xml:space="preserve">. </w:t>
      </w:r>
      <w:r w:rsidR="00EF5797" w:rsidRPr="00FC4958">
        <w:rPr>
          <w:u w:val="single"/>
        </w:rPr>
        <w:t>Fourth</w:t>
      </w:r>
      <w:r w:rsidR="00EF5797">
        <w:t xml:space="preserve">, </w:t>
      </w:r>
      <w:r w:rsidR="00F15087">
        <w:t>in our analysis</w:t>
      </w:r>
      <w:r w:rsidR="009B6B82">
        <w:t xml:space="preserve"> we tested </w:t>
      </w:r>
      <w:r w:rsidR="00676B15">
        <w:t xml:space="preserve">800 m and </w:t>
      </w:r>
      <w:r w:rsidR="00F15087">
        <w:t>1</w:t>
      </w:r>
      <w:r w:rsidR="00C74201">
        <w:t>.61 km (1</w:t>
      </w:r>
      <w:r w:rsidR="00F15087">
        <w:t xml:space="preserve"> mile</w:t>
      </w:r>
      <w:r w:rsidR="00C74201">
        <w:t>)</w:t>
      </w:r>
      <w:r w:rsidR="00F15087">
        <w:t xml:space="preserve"> </w:t>
      </w:r>
      <w:r w:rsidR="00C74201">
        <w:t>buffer</w:t>
      </w:r>
      <w:r w:rsidR="00676B15">
        <w:t>s</w:t>
      </w:r>
      <w:r w:rsidR="000E7A7F">
        <w:t xml:space="preserve"> to generate </w:t>
      </w:r>
      <w:r w:rsidR="000C7EBB">
        <w:t>estimates of</w:t>
      </w:r>
      <w:r w:rsidR="000E7A7F">
        <w:t xml:space="preserve"> </w:t>
      </w:r>
      <w:r w:rsidR="00B6039C">
        <w:t xml:space="preserve">CT </w:t>
      </w:r>
      <w:r w:rsidR="000E7A7F">
        <w:t>variables</w:t>
      </w:r>
      <w:r w:rsidR="000C7EBB">
        <w:t xml:space="preserve"> around each traffic sensor</w:t>
      </w:r>
      <w:r w:rsidR="00B6039C">
        <w:t>. It might be beneficial to test alternative formulations of catchment areas for the sensors</w:t>
      </w:r>
      <w:r w:rsidR="000C7EBB">
        <w:t xml:space="preserve"> in future research</w:t>
      </w:r>
      <w:r w:rsidR="00EF5797">
        <w:t>.</w:t>
      </w:r>
      <w:r w:rsidR="000C7EBB">
        <w:t xml:space="preserve"> </w:t>
      </w:r>
      <w:r w:rsidR="00B9768C" w:rsidRPr="00B9768C">
        <w:rPr>
          <w:u w:val="single"/>
        </w:rPr>
        <w:t>Fifth</w:t>
      </w:r>
      <w:r w:rsidR="00B9768C">
        <w:t xml:space="preserve">, while we employed COVID-19 case numbers, it might be interesting to consider </w:t>
      </w:r>
      <w:r w:rsidR="00CC11A0">
        <w:t xml:space="preserve">data on </w:t>
      </w:r>
      <w:r w:rsidR="00B9768C">
        <w:t xml:space="preserve">COVID-19 fatalities and recoveries to </w:t>
      </w:r>
      <w:r w:rsidR="00CC11A0">
        <w:t>further enhance the proposed models.</w:t>
      </w:r>
      <w:r w:rsidR="00B9768C">
        <w:t xml:space="preserve"> </w:t>
      </w:r>
      <w:r w:rsidR="006B6171" w:rsidRPr="00825D9E">
        <w:rPr>
          <w:u w:val="single"/>
        </w:rPr>
        <w:t>Finally</w:t>
      </w:r>
      <w:r w:rsidR="006B6171">
        <w:t>, t</w:t>
      </w:r>
      <w:r w:rsidR="006B6171" w:rsidRPr="0007384D">
        <w:t xml:space="preserve">he work can </w:t>
      </w:r>
      <w:r w:rsidR="006B6171" w:rsidRPr="0007384D">
        <w:lastRenderedPageBreak/>
        <w:t>be further extended in the future by comparing the estimated models with the Geographically Weighted Regression Model</w:t>
      </w:r>
      <w:r w:rsidR="006B6171">
        <w:t>.</w:t>
      </w:r>
    </w:p>
    <w:p w14:paraId="7ACA850D" w14:textId="49989DD8" w:rsidR="00B91989" w:rsidRDefault="00B91989" w:rsidP="00B91989">
      <w:pPr>
        <w:pStyle w:val="Heading1"/>
      </w:pPr>
      <w:r>
        <w:t>DATA AVAILABILITY STATEMENT</w:t>
      </w:r>
    </w:p>
    <w:p w14:paraId="7EEC4713" w14:textId="63286026" w:rsidR="00B91989" w:rsidRDefault="00FD6871">
      <w:r>
        <w:t xml:space="preserve">Some or </w:t>
      </w:r>
      <w:r w:rsidR="00236DA6">
        <w:t xml:space="preserve">all </w:t>
      </w:r>
      <w:r>
        <w:t>data, model or code that supports the findings of this study are available from the corresponding author upon reasonable request. Available documents:</w:t>
      </w:r>
    </w:p>
    <w:p w14:paraId="30E3384C" w14:textId="20635384" w:rsidR="00FD6871" w:rsidRDefault="00FD6871" w:rsidP="00FD6871">
      <w:pPr>
        <w:pStyle w:val="ListParagraph"/>
        <w:numPr>
          <w:ilvl w:val="0"/>
          <w:numId w:val="1"/>
        </w:numPr>
      </w:pPr>
      <w:r>
        <w:t xml:space="preserve">SPSS </w:t>
      </w:r>
      <w:r w:rsidR="002B3FB4">
        <w:t>s</w:t>
      </w:r>
      <w:r>
        <w:t>yntax for data preparation and model</w:t>
      </w:r>
    </w:p>
    <w:p w14:paraId="1D87A14F" w14:textId="4962219D" w:rsidR="002B3FB4" w:rsidRPr="00B91989" w:rsidRDefault="005A558B" w:rsidP="00D0287F">
      <w:pPr>
        <w:pStyle w:val="ListParagraph"/>
        <w:numPr>
          <w:ilvl w:val="0"/>
          <w:numId w:val="1"/>
        </w:numPr>
      </w:pPr>
      <w:r>
        <w:t xml:space="preserve">Used </w:t>
      </w:r>
      <w:proofErr w:type="gramStart"/>
      <w:r>
        <w:t>datasets</w:t>
      </w:r>
      <w:proofErr w:type="gramEnd"/>
      <w:r>
        <w:t xml:space="preserve"> </w:t>
      </w:r>
    </w:p>
    <w:p w14:paraId="6B620712" w14:textId="441528C9" w:rsidR="009E189E" w:rsidRPr="00B91989" w:rsidRDefault="009E189E" w:rsidP="00B91989">
      <w:pPr>
        <w:pStyle w:val="Heading1"/>
        <w:rPr>
          <w:rFonts w:eastAsiaTheme="minorEastAsia"/>
        </w:rPr>
      </w:pPr>
      <w:r>
        <w:t>A</w:t>
      </w:r>
      <w:r w:rsidR="00B41C1B">
        <w:t>CKNOWLEDGEMENT</w:t>
      </w:r>
    </w:p>
    <w:p w14:paraId="710FFC01" w14:textId="77777777" w:rsidR="009E189E" w:rsidRDefault="009E189E" w:rsidP="009E189E">
      <w:r>
        <w:t xml:space="preserve">The authors would like to gratefully acknowledge Regional Integrated Transportation Information System (RITIS) and </w:t>
      </w:r>
      <w:r w:rsidRPr="00C37EBA">
        <w:rPr>
          <w:rFonts w:cs="Times New Roman"/>
          <w:noProof/>
          <w:szCs w:val="24"/>
        </w:rPr>
        <w:t>Florida Automated Weather Network</w:t>
      </w:r>
      <w:r>
        <w:t xml:space="preserve"> (FAWN) for providing access to traffic volume and meteorological data for the state of Florida respectively.</w:t>
      </w:r>
    </w:p>
    <w:p w14:paraId="2E321370" w14:textId="4F056901" w:rsidR="009E189E" w:rsidRDefault="009E189E" w:rsidP="009E189E">
      <w:pPr>
        <w:pStyle w:val="Heading1"/>
      </w:pPr>
      <w:r>
        <w:t>A</w:t>
      </w:r>
      <w:r w:rsidR="00B41C1B">
        <w:t>UTHOR CONTRIBUTION STATEMENT</w:t>
      </w:r>
    </w:p>
    <w:p w14:paraId="78E4DE5E" w14:textId="77777777" w:rsidR="00290864" w:rsidRDefault="009E189E" w:rsidP="00290864">
      <w:r w:rsidRPr="00F94E8C">
        <w:t>The authors confirm contribution to the paper as follows: study conception and design: Naveen Eluru</w:t>
      </w:r>
      <w:r>
        <w:t xml:space="preserve"> and Tanmoy Bhowmik</w:t>
      </w:r>
      <w:r w:rsidRPr="00F94E8C">
        <w:t>; data collection: Md Istiak Jahan, Tanmoy Bhowmik; analysis and interpretation of results: Md Istiak Jahan, Tanmoy Bhowmik, Naveen Eluru; draft manuscript preparation: Md Istiak Jahan, Tanmoy Bhowmik, Naveen Eluru; All authors reviewed the results and approved the final version of the manuscript</w:t>
      </w:r>
      <w:r>
        <w:t>.</w:t>
      </w:r>
    </w:p>
    <w:p w14:paraId="730820D7" w14:textId="77777777" w:rsidR="009663B5" w:rsidRDefault="000846C2" w:rsidP="009663B5">
      <w:pPr>
        <w:pStyle w:val="Heading1"/>
      </w:pPr>
      <w:r>
        <w:t>REFERENCES</w:t>
      </w:r>
    </w:p>
    <w:p w14:paraId="73E92F6F" w14:textId="2963C1A2" w:rsidR="009663B5" w:rsidRPr="009663B5" w:rsidRDefault="009663B5" w:rsidP="00B74225">
      <w:pPr>
        <w:widowControl w:val="0"/>
        <w:autoSpaceDE w:val="0"/>
        <w:autoSpaceDN w:val="0"/>
        <w:adjustRightInd w:val="0"/>
        <w:spacing w:after="240"/>
        <w:ind w:left="480" w:hanging="480"/>
        <w:rPr>
          <w:rFonts w:cs="Times New Roman"/>
          <w:noProof/>
          <w:szCs w:val="24"/>
        </w:rPr>
      </w:pPr>
      <w:r>
        <w:fldChar w:fldCharType="begin" w:fldLock="1"/>
      </w:r>
      <w:r>
        <w:instrText xml:space="preserve">ADDIN Mendeley Bibliography CSL_BIBLIOGRAPHY </w:instrText>
      </w:r>
      <w:r>
        <w:fldChar w:fldCharType="separate"/>
      </w:r>
      <w:r w:rsidRPr="009663B5">
        <w:rPr>
          <w:rFonts w:cs="Times New Roman"/>
          <w:noProof/>
          <w:szCs w:val="24"/>
        </w:rPr>
        <w:t xml:space="preserve">Abu-Eisheh, S. A., &amp; Mannering, F. L. (2002). Forecasting automobile demand for economies in transition: A dynamic simultaneous-equation system approach. </w:t>
      </w:r>
      <w:r w:rsidRPr="009663B5">
        <w:rPr>
          <w:rFonts w:cs="Times New Roman"/>
          <w:i/>
          <w:iCs/>
          <w:noProof/>
          <w:szCs w:val="24"/>
        </w:rPr>
        <w:t>Transportation Planning and Technology</w:t>
      </w:r>
      <w:r w:rsidRPr="009663B5">
        <w:rPr>
          <w:rFonts w:cs="Times New Roman"/>
          <w:noProof/>
          <w:szCs w:val="24"/>
        </w:rPr>
        <w:t xml:space="preserve">, </w:t>
      </w:r>
      <w:r w:rsidRPr="009663B5">
        <w:rPr>
          <w:rFonts w:cs="Times New Roman"/>
          <w:i/>
          <w:iCs/>
          <w:noProof/>
          <w:szCs w:val="24"/>
        </w:rPr>
        <w:t>25</w:t>
      </w:r>
      <w:r w:rsidRPr="009663B5">
        <w:rPr>
          <w:rFonts w:cs="Times New Roman"/>
          <w:noProof/>
          <w:szCs w:val="24"/>
        </w:rPr>
        <w:t>(4), 311–331. https://doi.org/10.1080/0308106022000019026</w:t>
      </w:r>
    </w:p>
    <w:p w14:paraId="53CDB06E" w14:textId="77777777" w:rsidR="009663B5" w:rsidRPr="009663B5" w:rsidRDefault="009663B5" w:rsidP="00B74225">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Beaudoin, J., Farzin, Y. H., &amp; Lin Lawell, C. Y. C. (2015). Public transit investment and </w:t>
      </w:r>
      <w:r w:rsidRPr="009663B5">
        <w:rPr>
          <w:rFonts w:cs="Times New Roman"/>
          <w:noProof/>
          <w:szCs w:val="24"/>
        </w:rPr>
        <w:lastRenderedPageBreak/>
        <w:t xml:space="preserve">sustainable transportation: A review of studies of transit’s impact on traffic congestion and air quality. </w:t>
      </w:r>
      <w:r w:rsidRPr="009663B5">
        <w:rPr>
          <w:rFonts w:cs="Times New Roman"/>
          <w:i/>
          <w:iCs/>
          <w:noProof/>
          <w:szCs w:val="24"/>
        </w:rPr>
        <w:t>Research in Transportation Economics</w:t>
      </w:r>
      <w:r w:rsidRPr="009663B5">
        <w:rPr>
          <w:rFonts w:cs="Times New Roman"/>
          <w:noProof/>
          <w:szCs w:val="24"/>
        </w:rPr>
        <w:t xml:space="preserve">, </w:t>
      </w:r>
      <w:r w:rsidRPr="009663B5">
        <w:rPr>
          <w:rFonts w:cs="Times New Roman"/>
          <w:i/>
          <w:iCs/>
          <w:noProof/>
          <w:szCs w:val="24"/>
        </w:rPr>
        <w:t>52</w:t>
      </w:r>
      <w:r w:rsidRPr="009663B5">
        <w:rPr>
          <w:rFonts w:cs="Times New Roman"/>
          <w:noProof/>
          <w:szCs w:val="24"/>
        </w:rPr>
        <w:t>, 15–22. https://doi.org/10.1016/J.RETREC.2015.10.004</w:t>
      </w:r>
    </w:p>
    <w:p w14:paraId="14F65696"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Bhowmik, T., &amp; Eluru, N. (2021). A Comprehensive County Level Framework to Identify Factors Affecting Hospital Capacity and Predict Future Hospital Demand. </w:t>
      </w:r>
      <w:r w:rsidRPr="009663B5">
        <w:rPr>
          <w:rFonts w:cs="Times New Roman"/>
          <w:i/>
          <w:iCs/>
          <w:noProof/>
          <w:szCs w:val="24"/>
        </w:rPr>
        <w:t>MedRxiv</w:t>
      </w:r>
      <w:r w:rsidRPr="009663B5">
        <w:rPr>
          <w:rFonts w:cs="Times New Roman"/>
          <w:noProof/>
          <w:szCs w:val="24"/>
        </w:rPr>
        <w:t>, 2021.02.19.21252117. https://doi.org/10.1101/2021.02.19.21252117</w:t>
      </w:r>
    </w:p>
    <w:p w14:paraId="49647E2D" w14:textId="37654B06"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Bloomberg. (2021). </w:t>
      </w:r>
      <w:r w:rsidRPr="009663B5">
        <w:rPr>
          <w:rFonts w:cs="Times New Roman"/>
          <w:i/>
          <w:iCs/>
          <w:noProof/>
          <w:szCs w:val="24"/>
        </w:rPr>
        <w:t>More Than 3.44 Billion Shots Given: Covid-19 Vaccine Tracker</w:t>
      </w:r>
      <w:r w:rsidRPr="009663B5">
        <w:rPr>
          <w:rFonts w:cs="Times New Roman"/>
          <w:noProof/>
          <w:szCs w:val="24"/>
        </w:rPr>
        <w:t>. Bloomberg.</w:t>
      </w:r>
      <w:r w:rsidR="00B74225">
        <w:rPr>
          <w:rFonts w:cs="Times New Roman"/>
          <w:noProof/>
          <w:szCs w:val="24"/>
        </w:rPr>
        <w:t xml:space="preserve"> Accessed on 2021-07-12.</w:t>
      </w:r>
      <w:r w:rsidRPr="009663B5">
        <w:rPr>
          <w:rFonts w:cs="Times New Roman"/>
          <w:noProof/>
          <w:szCs w:val="24"/>
        </w:rPr>
        <w:t xml:space="preserve"> https://www.bloomberg.com/graphics/covid-vaccine-tracker-global-distribution/</w:t>
      </w:r>
    </w:p>
    <w:p w14:paraId="2F495B57"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Boonekamp, T., Zuidberg, J., &amp; Burghouwt, G. (2018). Determinants of air travel demand: The role of low-cost carriers, ethnic links and aviation-dependent employment. </w:t>
      </w:r>
      <w:r w:rsidRPr="009663B5">
        <w:rPr>
          <w:rFonts w:cs="Times New Roman"/>
          <w:i/>
          <w:iCs/>
          <w:noProof/>
          <w:szCs w:val="24"/>
        </w:rPr>
        <w:t>Transportation Research Part A: Policy and Practice</w:t>
      </w:r>
      <w:r w:rsidRPr="009663B5">
        <w:rPr>
          <w:rFonts w:cs="Times New Roman"/>
          <w:noProof/>
          <w:szCs w:val="24"/>
        </w:rPr>
        <w:t xml:space="preserve">, </w:t>
      </w:r>
      <w:r w:rsidRPr="009663B5">
        <w:rPr>
          <w:rFonts w:cs="Times New Roman"/>
          <w:i/>
          <w:iCs/>
          <w:noProof/>
          <w:szCs w:val="24"/>
        </w:rPr>
        <w:t>112</w:t>
      </w:r>
      <w:r w:rsidRPr="009663B5">
        <w:rPr>
          <w:rFonts w:cs="Times New Roman"/>
          <w:noProof/>
          <w:szCs w:val="24"/>
        </w:rPr>
        <w:t>(February), 18–28. https://doi.org/10.1016/j.tra.2018.01.004</w:t>
      </w:r>
    </w:p>
    <w:p w14:paraId="2C41EE06"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Bowman, J. L., &amp; Ben-Akiva, M. E. (2001). Activity-based disaggregate travel demand model system with activity schedules. </w:t>
      </w:r>
      <w:r w:rsidRPr="009663B5">
        <w:rPr>
          <w:rFonts w:cs="Times New Roman"/>
          <w:i/>
          <w:iCs/>
          <w:noProof/>
          <w:szCs w:val="24"/>
        </w:rPr>
        <w:t>Transportation Research Part A: Policy and Practice</w:t>
      </w:r>
      <w:r w:rsidRPr="009663B5">
        <w:rPr>
          <w:rFonts w:cs="Times New Roman"/>
          <w:noProof/>
          <w:szCs w:val="24"/>
        </w:rPr>
        <w:t xml:space="preserve">, </w:t>
      </w:r>
      <w:r w:rsidRPr="009663B5">
        <w:rPr>
          <w:rFonts w:cs="Times New Roman"/>
          <w:i/>
          <w:iCs/>
          <w:noProof/>
          <w:szCs w:val="24"/>
        </w:rPr>
        <w:t>35</w:t>
      </w:r>
      <w:r w:rsidRPr="009663B5">
        <w:rPr>
          <w:rFonts w:cs="Times New Roman"/>
          <w:noProof/>
          <w:szCs w:val="24"/>
        </w:rPr>
        <w:t>(1), 1–28. https://doi.org/10.1016/S0965-8564(99)00043-9</w:t>
      </w:r>
    </w:p>
    <w:p w14:paraId="785538B7" w14:textId="12EDFD6B"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Burnham, K. P., &amp; Anderson, D. R. (2004). Multimodel Inference: Understanding AIC and BIC in Model Selection</w:t>
      </w:r>
      <w:r w:rsidR="00B74225">
        <w:rPr>
          <w:rFonts w:cs="Times New Roman"/>
          <w:noProof/>
          <w:szCs w:val="24"/>
        </w:rPr>
        <w:t xml:space="preserve">. </w:t>
      </w:r>
      <w:r w:rsidR="00B74225" w:rsidRPr="00EB2922">
        <w:rPr>
          <w:rFonts w:cs="Times New Roman"/>
          <w:i/>
          <w:iCs/>
          <w:noProof/>
          <w:szCs w:val="24"/>
        </w:rPr>
        <w:t>Sociological Methods &amp; Research</w:t>
      </w:r>
      <w:r w:rsidRPr="009663B5">
        <w:rPr>
          <w:rFonts w:cs="Times New Roman"/>
          <w:noProof/>
          <w:szCs w:val="24"/>
        </w:rPr>
        <w:t xml:space="preserve">, </w:t>
      </w:r>
      <w:r w:rsidRPr="009663B5">
        <w:rPr>
          <w:rFonts w:cs="Times New Roman"/>
          <w:i/>
          <w:iCs/>
          <w:noProof/>
          <w:szCs w:val="24"/>
        </w:rPr>
        <w:t>33</w:t>
      </w:r>
      <w:r w:rsidRPr="009663B5">
        <w:rPr>
          <w:rFonts w:cs="Times New Roman"/>
          <w:noProof/>
          <w:szCs w:val="24"/>
        </w:rPr>
        <w:t>(2), 261–304. https://doi.org/10.1177/0049124104268644</w:t>
      </w:r>
    </w:p>
    <w:p w14:paraId="786DAAD4" w14:textId="0234F026" w:rsidR="009663B5" w:rsidRPr="009663B5" w:rsidRDefault="009663B5" w:rsidP="00B615C1">
      <w:pPr>
        <w:widowControl w:val="0"/>
        <w:autoSpaceDE w:val="0"/>
        <w:autoSpaceDN w:val="0"/>
        <w:adjustRightInd w:val="0"/>
        <w:spacing w:after="240"/>
        <w:ind w:left="480" w:hanging="480"/>
        <w:jc w:val="left"/>
        <w:rPr>
          <w:rFonts w:cs="Times New Roman"/>
          <w:noProof/>
          <w:szCs w:val="24"/>
        </w:rPr>
      </w:pPr>
      <w:r w:rsidRPr="009663B5">
        <w:rPr>
          <w:rFonts w:cs="Times New Roman"/>
          <w:noProof/>
          <w:szCs w:val="24"/>
        </w:rPr>
        <w:t xml:space="preserve">Centers for Disease Control and Prevention. (2021). </w:t>
      </w:r>
      <w:r w:rsidRPr="009663B5">
        <w:rPr>
          <w:rFonts w:cs="Times New Roman"/>
          <w:i/>
          <w:iCs/>
          <w:noProof/>
          <w:szCs w:val="24"/>
        </w:rPr>
        <w:t>CDC COVID Data Tracker</w:t>
      </w:r>
      <w:r w:rsidRPr="009663B5">
        <w:rPr>
          <w:rFonts w:cs="Times New Roman"/>
          <w:noProof/>
          <w:szCs w:val="24"/>
        </w:rPr>
        <w:t>.</w:t>
      </w:r>
      <w:r>
        <w:rPr>
          <w:rFonts w:cs="Times New Roman"/>
          <w:noProof/>
          <w:szCs w:val="24"/>
        </w:rPr>
        <w:t xml:space="preserve"> Accessed on 2021-06-20.</w:t>
      </w:r>
      <w:r w:rsidRPr="009663B5">
        <w:rPr>
          <w:rFonts w:cs="Times New Roman"/>
          <w:noProof/>
          <w:szCs w:val="24"/>
        </w:rPr>
        <w:t xml:space="preserve"> https://covid.cdc.gov/covid-data-</w:t>
      </w:r>
      <w:r w:rsidRPr="009663B5">
        <w:rPr>
          <w:rFonts w:cs="Times New Roman"/>
          <w:noProof/>
          <w:szCs w:val="24"/>
        </w:rPr>
        <w:lastRenderedPageBreak/>
        <w:t>tracker/?CDC_AA_refVal=https%3A%2F%2Fwww.cdc.gov%2Fcoronavirus%2F2019-ncov%2Fcases-updates%2Fcases-in-us.html#cases_casesper100klast7days</w:t>
      </w:r>
    </w:p>
    <w:p w14:paraId="223F8C04"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Chakour, V., &amp; Eluru, N. (2016). Examining the influence of stop level infrastructure and built environment on bus ridership in Montreal. </w:t>
      </w:r>
      <w:r w:rsidRPr="009663B5">
        <w:rPr>
          <w:rFonts w:cs="Times New Roman"/>
          <w:i/>
          <w:iCs/>
          <w:noProof/>
          <w:szCs w:val="24"/>
        </w:rPr>
        <w:t>Journal of Transport Geography</w:t>
      </w:r>
      <w:r w:rsidRPr="009663B5">
        <w:rPr>
          <w:rFonts w:cs="Times New Roman"/>
          <w:noProof/>
          <w:szCs w:val="24"/>
        </w:rPr>
        <w:t xml:space="preserve">, </w:t>
      </w:r>
      <w:r w:rsidRPr="009663B5">
        <w:rPr>
          <w:rFonts w:cs="Times New Roman"/>
          <w:i/>
          <w:iCs/>
          <w:noProof/>
          <w:szCs w:val="24"/>
        </w:rPr>
        <w:t>51</w:t>
      </w:r>
      <w:r w:rsidRPr="009663B5">
        <w:rPr>
          <w:rFonts w:cs="Times New Roman"/>
          <w:noProof/>
          <w:szCs w:val="24"/>
        </w:rPr>
        <w:t>, 205–217. https://doi.org/10.1016/J.JTRANGEO.2016.01.007</w:t>
      </w:r>
    </w:p>
    <w:p w14:paraId="7AEB38CF"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Dong, E., Du, H., &amp; Gardner, L. (2020). An interactive web-based dashboard to track COVID-19 in real time. </w:t>
      </w:r>
      <w:r w:rsidRPr="009663B5">
        <w:rPr>
          <w:rFonts w:cs="Times New Roman"/>
          <w:i/>
          <w:iCs/>
          <w:noProof/>
          <w:szCs w:val="24"/>
        </w:rPr>
        <w:t>The Lancet. Infectious Diseases</w:t>
      </w:r>
      <w:r w:rsidRPr="009663B5">
        <w:rPr>
          <w:rFonts w:cs="Times New Roman"/>
          <w:noProof/>
          <w:szCs w:val="24"/>
        </w:rPr>
        <w:t xml:space="preserve">, </w:t>
      </w:r>
      <w:r w:rsidRPr="009663B5">
        <w:rPr>
          <w:rFonts w:cs="Times New Roman"/>
          <w:i/>
          <w:iCs/>
          <w:noProof/>
          <w:szCs w:val="24"/>
        </w:rPr>
        <w:t>20</w:t>
      </w:r>
      <w:r w:rsidRPr="009663B5">
        <w:rPr>
          <w:rFonts w:cs="Times New Roman"/>
          <w:noProof/>
          <w:szCs w:val="24"/>
        </w:rPr>
        <w:t>(5), 533–534. https://doi.org/10.1016/S1473-3099(20)30120-1</w:t>
      </w:r>
    </w:p>
    <w:p w14:paraId="2CEF68B8"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Elhorst, J. P. (2003). Specification and Estimation of Spatial Panel Data Models: </w:t>
      </w:r>
      <w:r w:rsidRPr="009663B5">
        <w:rPr>
          <w:rFonts w:cs="Times New Roman"/>
          <w:i/>
          <w:iCs/>
          <w:noProof/>
          <w:szCs w:val="24"/>
        </w:rPr>
        <w:t>International Regional Science Review</w:t>
      </w:r>
      <w:r w:rsidRPr="009663B5">
        <w:rPr>
          <w:rFonts w:cs="Times New Roman"/>
          <w:noProof/>
          <w:szCs w:val="24"/>
        </w:rPr>
        <w:t xml:space="preserve">, </w:t>
      </w:r>
      <w:r w:rsidRPr="009663B5">
        <w:rPr>
          <w:rFonts w:cs="Times New Roman"/>
          <w:i/>
          <w:iCs/>
          <w:noProof/>
          <w:szCs w:val="24"/>
        </w:rPr>
        <w:t>26</w:t>
      </w:r>
      <w:r w:rsidRPr="009663B5">
        <w:rPr>
          <w:rFonts w:cs="Times New Roman"/>
          <w:noProof/>
          <w:szCs w:val="24"/>
        </w:rPr>
        <w:t>(3), 244–268. https://doi.org/10.1177/0160017603253791</w:t>
      </w:r>
    </w:p>
    <w:p w14:paraId="779116B5"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Elhorst, J. P. (2014a). </w:t>
      </w:r>
      <w:r w:rsidRPr="009663B5">
        <w:rPr>
          <w:rFonts w:cs="Times New Roman"/>
          <w:i/>
          <w:iCs/>
          <w:noProof/>
          <w:szCs w:val="24"/>
        </w:rPr>
        <w:t>Spatial Panel Data Models</w:t>
      </w:r>
      <w:r w:rsidRPr="009663B5">
        <w:rPr>
          <w:rFonts w:cs="Times New Roman"/>
          <w:noProof/>
          <w:szCs w:val="24"/>
        </w:rPr>
        <w:t>. 37–93. https://doi.org/10.1007/978-3-642-40340-8_3</w:t>
      </w:r>
    </w:p>
    <w:p w14:paraId="142122FB"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Elhorst, J. P. (2014b). Matlab Software for Spatial Panels. </w:t>
      </w:r>
      <w:r w:rsidRPr="009663B5">
        <w:rPr>
          <w:rFonts w:cs="Times New Roman"/>
          <w:i/>
          <w:iCs/>
          <w:noProof/>
          <w:szCs w:val="24"/>
        </w:rPr>
        <w:t>International Regional Science Review</w:t>
      </w:r>
      <w:r w:rsidRPr="009663B5">
        <w:rPr>
          <w:rFonts w:cs="Times New Roman"/>
          <w:noProof/>
          <w:szCs w:val="24"/>
        </w:rPr>
        <w:t xml:space="preserve">, </w:t>
      </w:r>
      <w:r w:rsidRPr="009663B5">
        <w:rPr>
          <w:rFonts w:cs="Times New Roman"/>
          <w:i/>
          <w:iCs/>
          <w:noProof/>
          <w:szCs w:val="24"/>
        </w:rPr>
        <w:t>37</w:t>
      </w:r>
      <w:r w:rsidRPr="009663B5">
        <w:rPr>
          <w:rFonts w:cs="Times New Roman"/>
          <w:noProof/>
          <w:szCs w:val="24"/>
        </w:rPr>
        <w:t>(3), 389–405. https://doi.org/10.1177/0160017612452429</w:t>
      </w:r>
    </w:p>
    <w:p w14:paraId="5647A929"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Elshorbany, Y. F., Kapper, H. C., Ziemke, J. R., &amp; Parr, S. A. (2021). The Status of Air Quality in the United States During the COVID-19 Pandemic: A Remote Sensing Perspective. </w:t>
      </w:r>
      <w:r w:rsidRPr="009663B5">
        <w:rPr>
          <w:rFonts w:cs="Times New Roman"/>
          <w:i/>
          <w:iCs/>
          <w:noProof/>
          <w:szCs w:val="24"/>
        </w:rPr>
        <w:t>Remote Sensing 2021, Vol. 13, Page 369</w:t>
      </w:r>
      <w:r w:rsidRPr="009663B5">
        <w:rPr>
          <w:rFonts w:cs="Times New Roman"/>
          <w:noProof/>
          <w:szCs w:val="24"/>
        </w:rPr>
        <w:t xml:space="preserve">, </w:t>
      </w:r>
      <w:r w:rsidRPr="009663B5">
        <w:rPr>
          <w:rFonts w:cs="Times New Roman"/>
          <w:i/>
          <w:iCs/>
          <w:noProof/>
          <w:szCs w:val="24"/>
        </w:rPr>
        <w:t>13</w:t>
      </w:r>
      <w:r w:rsidRPr="009663B5">
        <w:rPr>
          <w:rFonts w:cs="Times New Roman"/>
          <w:noProof/>
          <w:szCs w:val="24"/>
        </w:rPr>
        <w:t>(3), 369. https://doi.org/10.3390/RS13030369</w:t>
      </w:r>
    </w:p>
    <w:p w14:paraId="163169A8"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Faghih-Imani, A., &amp; Eluru, N. (2016a). Determining the role of bicycle sharing system infrastructure installation decision on usage: Case study of montreal BIXI system. </w:t>
      </w:r>
      <w:r w:rsidRPr="009663B5">
        <w:rPr>
          <w:rFonts w:cs="Times New Roman"/>
          <w:i/>
          <w:iCs/>
          <w:noProof/>
          <w:szCs w:val="24"/>
        </w:rPr>
        <w:t>Transportation Research Part A: Policy and Practice</w:t>
      </w:r>
      <w:r w:rsidRPr="009663B5">
        <w:rPr>
          <w:rFonts w:cs="Times New Roman"/>
          <w:noProof/>
          <w:szCs w:val="24"/>
        </w:rPr>
        <w:t xml:space="preserve">, </w:t>
      </w:r>
      <w:r w:rsidRPr="009663B5">
        <w:rPr>
          <w:rFonts w:cs="Times New Roman"/>
          <w:i/>
          <w:iCs/>
          <w:noProof/>
          <w:szCs w:val="24"/>
        </w:rPr>
        <w:t>94</w:t>
      </w:r>
      <w:r w:rsidRPr="009663B5">
        <w:rPr>
          <w:rFonts w:cs="Times New Roman"/>
          <w:noProof/>
          <w:szCs w:val="24"/>
        </w:rPr>
        <w:t xml:space="preserve">, 685–698. </w:t>
      </w:r>
      <w:r w:rsidRPr="009663B5">
        <w:rPr>
          <w:rFonts w:cs="Times New Roman"/>
          <w:noProof/>
          <w:szCs w:val="24"/>
        </w:rPr>
        <w:lastRenderedPageBreak/>
        <w:t>https://doi.org/10.1016/j.tra.2016.10.024</w:t>
      </w:r>
    </w:p>
    <w:p w14:paraId="00AF0AC2"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Faghih-Imani, A., &amp; Eluru, N. (2016b). Incorporating the impact of spatio-temporal interactions on bicycle sharing system demand: A case study of New York CitiBike system. </w:t>
      </w:r>
      <w:r w:rsidRPr="009663B5">
        <w:rPr>
          <w:rFonts w:cs="Times New Roman"/>
          <w:i/>
          <w:iCs/>
          <w:noProof/>
          <w:szCs w:val="24"/>
        </w:rPr>
        <w:t>Journal of Transport Geography</w:t>
      </w:r>
      <w:r w:rsidRPr="009663B5">
        <w:rPr>
          <w:rFonts w:cs="Times New Roman"/>
          <w:noProof/>
          <w:szCs w:val="24"/>
        </w:rPr>
        <w:t xml:space="preserve">, </w:t>
      </w:r>
      <w:r w:rsidRPr="009663B5">
        <w:rPr>
          <w:rFonts w:cs="Times New Roman"/>
          <w:i/>
          <w:iCs/>
          <w:noProof/>
          <w:szCs w:val="24"/>
        </w:rPr>
        <w:t>54</w:t>
      </w:r>
      <w:r w:rsidRPr="009663B5">
        <w:rPr>
          <w:rFonts w:cs="Times New Roman"/>
          <w:noProof/>
          <w:szCs w:val="24"/>
        </w:rPr>
        <w:t>, 218–227. https://doi.org/10.1016/j.jtrangeo.2016.06.008</w:t>
      </w:r>
    </w:p>
    <w:p w14:paraId="563C54D8" w14:textId="428CE968"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Ferdous, N., </w:t>
      </w:r>
      <w:r w:rsidR="00457DF5">
        <w:rPr>
          <w:rFonts w:cs="Times New Roman"/>
          <w:noProof/>
          <w:szCs w:val="24"/>
        </w:rPr>
        <w:t xml:space="preserve">&amp; </w:t>
      </w:r>
      <w:r w:rsidRPr="009663B5">
        <w:rPr>
          <w:rFonts w:cs="Times New Roman"/>
          <w:noProof/>
          <w:szCs w:val="24"/>
        </w:rPr>
        <w:t>Bhat, C. R</w:t>
      </w:r>
      <w:r w:rsidR="005C68F4">
        <w:rPr>
          <w:rFonts w:cs="Times New Roman"/>
          <w:noProof/>
          <w:szCs w:val="24"/>
        </w:rPr>
        <w:t xml:space="preserve">. </w:t>
      </w:r>
      <w:r w:rsidRPr="009663B5">
        <w:rPr>
          <w:rFonts w:cs="Times New Roman"/>
          <w:noProof/>
          <w:szCs w:val="24"/>
        </w:rPr>
        <w:t xml:space="preserve">(2013). A spatial panel ordered-response model with application to the analysis of urban land-use development intensity patterns. </w:t>
      </w:r>
      <w:r w:rsidRPr="009663B5">
        <w:rPr>
          <w:rFonts w:cs="Times New Roman"/>
          <w:i/>
          <w:iCs/>
          <w:noProof/>
          <w:szCs w:val="24"/>
        </w:rPr>
        <w:t>J Geogr Syst</w:t>
      </w:r>
      <w:r w:rsidRPr="009663B5">
        <w:rPr>
          <w:rFonts w:cs="Times New Roman"/>
          <w:noProof/>
          <w:szCs w:val="24"/>
        </w:rPr>
        <w:t xml:space="preserve">, </w:t>
      </w:r>
      <w:r w:rsidRPr="009663B5">
        <w:rPr>
          <w:rFonts w:cs="Times New Roman"/>
          <w:i/>
          <w:iCs/>
          <w:noProof/>
          <w:szCs w:val="24"/>
        </w:rPr>
        <w:t>15</w:t>
      </w:r>
      <w:r w:rsidRPr="009663B5">
        <w:rPr>
          <w:rFonts w:cs="Times New Roman"/>
          <w:noProof/>
          <w:szCs w:val="24"/>
        </w:rPr>
        <w:t>, 1–29. https://doi.org/10.1007/s10109-012-0165-0</w:t>
      </w:r>
    </w:p>
    <w:p w14:paraId="638FCE4A" w14:textId="1EB95041" w:rsidR="009663B5" w:rsidRPr="009663B5" w:rsidRDefault="009663B5" w:rsidP="00B615C1">
      <w:pPr>
        <w:widowControl w:val="0"/>
        <w:autoSpaceDE w:val="0"/>
        <w:autoSpaceDN w:val="0"/>
        <w:adjustRightInd w:val="0"/>
        <w:spacing w:after="240"/>
        <w:ind w:left="480" w:hanging="480"/>
        <w:rPr>
          <w:rFonts w:cs="Times New Roman"/>
          <w:noProof/>
          <w:szCs w:val="24"/>
        </w:rPr>
      </w:pPr>
      <w:r w:rsidRPr="00B979C6">
        <w:rPr>
          <w:rFonts w:cs="Times New Roman"/>
          <w:noProof/>
          <w:szCs w:val="24"/>
        </w:rPr>
        <w:t>Florida Automated Weather Network.</w:t>
      </w:r>
      <w:r w:rsidRPr="009663B5">
        <w:rPr>
          <w:rFonts w:cs="Times New Roman"/>
          <w:noProof/>
          <w:szCs w:val="24"/>
        </w:rPr>
        <w:t xml:space="preserve"> (2021). </w:t>
      </w:r>
      <w:r w:rsidRPr="00B979C6">
        <w:rPr>
          <w:rFonts w:cs="Times New Roman"/>
          <w:i/>
          <w:iCs/>
          <w:noProof/>
          <w:szCs w:val="24"/>
        </w:rPr>
        <w:t>University of Florida</w:t>
      </w:r>
      <w:r w:rsidRPr="009663B5">
        <w:rPr>
          <w:rFonts w:cs="Times New Roman"/>
          <w:noProof/>
          <w:szCs w:val="24"/>
        </w:rPr>
        <w:t>.</w:t>
      </w:r>
      <w:r>
        <w:rPr>
          <w:rFonts w:cs="Times New Roman"/>
          <w:noProof/>
          <w:szCs w:val="24"/>
        </w:rPr>
        <w:t xml:space="preserve"> Accessed on 2021-02-15.</w:t>
      </w:r>
      <w:r w:rsidRPr="009663B5">
        <w:rPr>
          <w:rFonts w:cs="Times New Roman"/>
          <w:noProof/>
          <w:szCs w:val="24"/>
        </w:rPr>
        <w:t xml:space="preserve"> https://fawn.ifas.ufl.edu/data/</w:t>
      </w:r>
    </w:p>
    <w:p w14:paraId="1EE9E0CD"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Frazier, C., Kockelman, K. M., &amp; Luce, C. B. (2005). Spatial Econometric Models for Panel Data: Incorporating Spatial and Temporal Data. </w:t>
      </w:r>
      <w:r w:rsidRPr="009663B5">
        <w:rPr>
          <w:rFonts w:cs="Times New Roman"/>
          <w:i/>
          <w:iCs/>
          <w:noProof/>
          <w:szCs w:val="24"/>
        </w:rPr>
        <w:t>Transportation Research Record</w:t>
      </w:r>
      <w:r w:rsidRPr="009663B5">
        <w:rPr>
          <w:rFonts w:cs="Times New Roman"/>
          <w:noProof/>
          <w:szCs w:val="24"/>
        </w:rPr>
        <w:t>, 80–90.</w:t>
      </w:r>
    </w:p>
    <w:p w14:paraId="0D61CBE0" w14:textId="20335278" w:rsidR="009663B5" w:rsidRPr="009663B5" w:rsidRDefault="009663B5" w:rsidP="00B615C1">
      <w:pPr>
        <w:widowControl w:val="0"/>
        <w:autoSpaceDE w:val="0"/>
        <w:autoSpaceDN w:val="0"/>
        <w:adjustRightInd w:val="0"/>
        <w:spacing w:after="240"/>
        <w:ind w:left="480" w:hanging="480"/>
        <w:rPr>
          <w:rFonts w:cs="Times New Roman"/>
          <w:noProof/>
          <w:szCs w:val="24"/>
        </w:rPr>
      </w:pPr>
      <w:r w:rsidRPr="00B979C6">
        <w:rPr>
          <w:rFonts w:cs="Times New Roman"/>
          <w:noProof/>
          <w:szCs w:val="24"/>
        </w:rPr>
        <w:t>Geographic Information System. (2019)</w:t>
      </w:r>
      <w:r w:rsidRPr="009663B5">
        <w:rPr>
          <w:rFonts w:cs="Times New Roman"/>
          <w:noProof/>
          <w:szCs w:val="24"/>
        </w:rPr>
        <w:t xml:space="preserve">. </w:t>
      </w:r>
      <w:r w:rsidRPr="00B979C6">
        <w:rPr>
          <w:rFonts w:cs="Times New Roman"/>
          <w:i/>
          <w:iCs/>
          <w:noProof/>
          <w:szCs w:val="24"/>
        </w:rPr>
        <w:t>Florida Department of Transportation</w:t>
      </w:r>
      <w:r w:rsidRPr="009663B5">
        <w:rPr>
          <w:rFonts w:cs="Times New Roman"/>
          <w:noProof/>
          <w:szCs w:val="24"/>
        </w:rPr>
        <w:t>.</w:t>
      </w:r>
      <w:r>
        <w:rPr>
          <w:rFonts w:cs="Times New Roman"/>
          <w:noProof/>
          <w:szCs w:val="24"/>
        </w:rPr>
        <w:t xml:space="preserve"> Accessed on 2021-01-26.</w:t>
      </w:r>
      <w:r w:rsidRPr="009663B5">
        <w:rPr>
          <w:rFonts w:cs="Times New Roman"/>
          <w:noProof/>
          <w:szCs w:val="24"/>
        </w:rPr>
        <w:t xml:space="preserve"> https://www.fdot.gov/statistics/gis/default.shtm#Designated</w:t>
      </w:r>
    </w:p>
    <w:p w14:paraId="7BD71B13"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Hendrickson, C., &amp; Rilett, L. R. (2020). The COVID-19 Pandemic and Transportation Engineering. </w:t>
      </w:r>
      <w:r w:rsidRPr="009663B5">
        <w:rPr>
          <w:rFonts w:cs="Times New Roman"/>
          <w:i/>
          <w:iCs/>
          <w:noProof/>
          <w:szCs w:val="24"/>
        </w:rPr>
        <w:t>Journal of Transportation Engineering, Part A: Systems</w:t>
      </w:r>
      <w:r w:rsidRPr="009663B5">
        <w:rPr>
          <w:rFonts w:cs="Times New Roman"/>
          <w:noProof/>
          <w:szCs w:val="24"/>
        </w:rPr>
        <w:t xml:space="preserve">, </w:t>
      </w:r>
      <w:r w:rsidRPr="009663B5">
        <w:rPr>
          <w:rFonts w:cs="Times New Roman"/>
          <w:i/>
          <w:iCs/>
          <w:noProof/>
          <w:szCs w:val="24"/>
        </w:rPr>
        <w:t>146</w:t>
      </w:r>
      <w:r w:rsidRPr="009663B5">
        <w:rPr>
          <w:rFonts w:cs="Times New Roman"/>
          <w:noProof/>
          <w:szCs w:val="24"/>
        </w:rPr>
        <w:t>(7), 01820001. https://doi.org/10.1061/jtepbs.0000418</w:t>
      </w:r>
    </w:p>
    <w:p w14:paraId="0636ABC8"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Kim, K. W., Seo, H. Y., &amp; Kim, Y. (2003). Forecast of domestic air travel demand change by opening the high speed rail. </w:t>
      </w:r>
      <w:r w:rsidRPr="009663B5">
        <w:rPr>
          <w:rFonts w:cs="Times New Roman"/>
          <w:i/>
          <w:iCs/>
          <w:noProof/>
          <w:szCs w:val="24"/>
        </w:rPr>
        <w:t>KSCE Journal of Civil Engineering</w:t>
      </w:r>
      <w:r w:rsidRPr="009663B5">
        <w:rPr>
          <w:rFonts w:cs="Times New Roman"/>
          <w:noProof/>
          <w:szCs w:val="24"/>
        </w:rPr>
        <w:t xml:space="preserve">, </w:t>
      </w:r>
      <w:r w:rsidRPr="009663B5">
        <w:rPr>
          <w:rFonts w:cs="Times New Roman"/>
          <w:i/>
          <w:iCs/>
          <w:noProof/>
          <w:szCs w:val="24"/>
        </w:rPr>
        <w:t>7</w:t>
      </w:r>
      <w:r w:rsidRPr="009663B5">
        <w:rPr>
          <w:rFonts w:cs="Times New Roman"/>
          <w:noProof/>
          <w:szCs w:val="24"/>
        </w:rPr>
        <w:t>(5), 603–609. https://doi.org/10.1007/bf02838323</w:t>
      </w:r>
    </w:p>
    <w:p w14:paraId="7A68BF24"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Kusam, P. R., &amp; Pulugurtha, S. S. (2016). Spatial Proximity and Dependency to Model Urban </w:t>
      </w:r>
      <w:r w:rsidRPr="009663B5">
        <w:rPr>
          <w:rFonts w:cs="Times New Roman"/>
          <w:noProof/>
          <w:szCs w:val="24"/>
        </w:rPr>
        <w:lastRenderedPageBreak/>
        <w:t xml:space="preserve">Travel Demand. </w:t>
      </w:r>
      <w:r w:rsidRPr="009663B5">
        <w:rPr>
          <w:rFonts w:cs="Times New Roman"/>
          <w:i/>
          <w:iCs/>
          <w:noProof/>
          <w:szCs w:val="24"/>
        </w:rPr>
        <w:t>Journal of Urban Planning and Development</w:t>
      </w:r>
      <w:r w:rsidRPr="009663B5">
        <w:rPr>
          <w:rFonts w:cs="Times New Roman"/>
          <w:noProof/>
          <w:szCs w:val="24"/>
        </w:rPr>
        <w:t xml:space="preserve">, </w:t>
      </w:r>
      <w:r w:rsidRPr="009663B5">
        <w:rPr>
          <w:rFonts w:cs="Times New Roman"/>
          <w:i/>
          <w:iCs/>
          <w:noProof/>
          <w:szCs w:val="24"/>
        </w:rPr>
        <w:t>142</w:t>
      </w:r>
      <w:r w:rsidRPr="009663B5">
        <w:rPr>
          <w:rFonts w:cs="Times New Roman"/>
          <w:noProof/>
          <w:szCs w:val="24"/>
        </w:rPr>
        <w:t>(2), 04015014. https://doi.org/10.1061/(asce)up.1943-5444.0000281</w:t>
      </w:r>
    </w:p>
    <w:p w14:paraId="1F79BDB8"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Lee, H., Park, S. J., Lee, G. R., Kim, J. E., Lee, J. H., Jung, Y., &amp; Nam, E. W. (2020). The relationship between trends in COVID-19 prevalence and traffic levels in South Korea. </w:t>
      </w:r>
      <w:r w:rsidRPr="009663B5">
        <w:rPr>
          <w:rFonts w:cs="Times New Roman"/>
          <w:i/>
          <w:iCs/>
          <w:noProof/>
          <w:szCs w:val="24"/>
        </w:rPr>
        <w:t>International Journal of Infectious Diseases</w:t>
      </w:r>
      <w:r w:rsidRPr="009663B5">
        <w:rPr>
          <w:rFonts w:cs="Times New Roman"/>
          <w:noProof/>
          <w:szCs w:val="24"/>
        </w:rPr>
        <w:t xml:space="preserve">, </w:t>
      </w:r>
      <w:r w:rsidRPr="009663B5">
        <w:rPr>
          <w:rFonts w:cs="Times New Roman"/>
          <w:i/>
          <w:iCs/>
          <w:noProof/>
          <w:szCs w:val="24"/>
        </w:rPr>
        <w:t>96</w:t>
      </w:r>
      <w:r w:rsidRPr="009663B5">
        <w:rPr>
          <w:rFonts w:cs="Times New Roman"/>
          <w:noProof/>
          <w:szCs w:val="24"/>
        </w:rPr>
        <w:t>, 399–407. https://doi.org/10.1016/J.IJID.2020.05.031</w:t>
      </w:r>
    </w:p>
    <w:p w14:paraId="1C6FF637"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Lo, S. C., &amp; Hall, R. W. (2006). Effects of the Los Angeles transit strike on highway congestion. </w:t>
      </w:r>
      <w:r w:rsidRPr="009663B5">
        <w:rPr>
          <w:rFonts w:cs="Times New Roman"/>
          <w:i/>
          <w:iCs/>
          <w:noProof/>
          <w:szCs w:val="24"/>
        </w:rPr>
        <w:t>Transportation Research Part A: Policy and Practice</w:t>
      </w:r>
      <w:r w:rsidRPr="009663B5">
        <w:rPr>
          <w:rFonts w:cs="Times New Roman"/>
          <w:noProof/>
          <w:szCs w:val="24"/>
        </w:rPr>
        <w:t xml:space="preserve">, </w:t>
      </w:r>
      <w:r w:rsidRPr="009663B5">
        <w:rPr>
          <w:rFonts w:cs="Times New Roman"/>
          <w:i/>
          <w:iCs/>
          <w:noProof/>
          <w:szCs w:val="24"/>
        </w:rPr>
        <w:t>40</w:t>
      </w:r>
      <w:r w:rsidRPr="009663B5">
        <w:rPr>
          <w:rFonts w:cs="Times New Roman"/>
          <w:noProof/>
          <w:szCs w:val="24"/>
        </w:rPr>
        <w:t>(10), 903–917. https://doi.org/10.1016/J.TRA.2006.03.001</w:t>
      </w:r>
    </w:p>
    <w:p w14:paraId="0E456291"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Loske, D. (2020). The impact of COVID-19 on transport volume and freight capacity dynamics: An empirical analysis in German food retail logistics. </w:t>
      </w:r>
      <w:r w:rsidRPr="009663B5">
        <w:rPr>
          <w:rFonts w:cs="Times New Roman"/>
          <w:i/>
          <w:iCs/>
          <w:noProof/>
          <w:szCs w:val="24"/>
        </w:rPr>
        <w:t>Transportation Research Interdisciplinary Perspectives</w:t>
      </w:r>
      <w:r w:rsidRPr="009663B5">
        <w:rPr>
          <w:rFonts w:cs="Times New Roman"/>
          <w:noProof/>
          <w:szCs w:val="24"/>
        </w:rPr>
        <w:t xml:space="preserve">, </w:t>
      </w:r>
      <w:r w:rsidRPr="009663B5">
        <w:rPr>
          <w:rFonts w:cs="Times New Roman"/>
          <w:i/>
          <w:iCs/>
          <w:noProof/>
          <w:szCs w:val="24"/>
        </w:rPr>
        <w:t>6</w:t>
      </w:r>
      <w:r w:rsidRPr="009663B5">
        <w:rPr>
          <w:rFonts w:cs="Times New Roman"/>
          <w:noProof/>
          <w:szCs w:val="24"/>
        </w:rPr>
        <w:t>, 100165. https://doi.org/10.1016/j.trip.2020.100165</w:t>
      </w:r>
    </w:p>
    <w:p w14:paraId="16E30C33"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Ma, X., Ji, Y., Yuan, Y., Van Oort, N., Jin, Y., &amp; Hoogendoorn, S. (2020). A comparison in travel patterns and determinants of user demand between docked and dockless bike-sharing systems using multi-sourced data. </w:t>
      </w:r>
      <w:r w:rsidRPr="009663B5">
        <w:rPr>
          <w:rFonts w:cs="Times New Roman"/>
          <w:i/>
          <w:iCs/>
          <w:noProof/>
          <w:szCs w:val="24"/>
        </w:rPr>
        <w:t>Transportation Research Part A: Policy and Practice</w:t>
      </w:r>
      <w:r w:rsidRPr="009663B5">
        <w:rPr>
          <w:rFonts w:cs="Times New Roman"/>
          <w:noProof/>
          <w:szCs w:val="24"/>
        </w:rPr>
        <w:t xml:space="preserve">, </w:t>
      </w:r>
      <w:r w:rsidRPr="009663B5">
        <w:rPr>
          <w:rFonts w:cs="Times New Roman"/>
          <w:i/>
          <w:iCs/>
          <w:noProof/>
          <w:szCs w:val="24"/>
        </w:rPr>
        <w:t>139</w:t>
      </w:r>
      <w:r w:rsidRPr="009663B5">
        <w:rPr>
          <w:rFonts w:cs="Times New Roman"/>
          <w:noProof/>
          <w:szCs w:val="24"/>
        </w:rPr>
        <w:t>(July), 148–173. https://doi.org/10.1016/j.tra.2020.06.022</w:t>
      </w:r>
    </w:p>
    <w:p w14:paraId="1F57CADC"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Macioszek, E., &amp; Kurek, A. (2021). Extracting Road Traffic Volume in the City before and during covid-19 through Video Remote Sensing. </w:t>
      </w:r>
      <w:r w:rsidRPr="009663B5">
        <w:rPr>
          <w:rFonts w:cs="Times New Roman"/>
          <w:i/>
          <w:iCs/>
          <w:noProof/>
          <w:szCs w:val="24"/>
        </w:rPr>
        <w:t>Remote Sensing 2021, Vol. 13, Page 2329</w:t>
      </w:r>
      <w:r w:rsidRPr="009663B5">
        <w:rPr>
          <w:rFonts w:cs="Times New Roman"/>
          <w:noProof/>
          <w:szCs w:val="24"/>
        </w:rPr>
        <w:t xml:space="preserve">, </w:t>
      </w:r>
      <w:r w:rsidRPr="009663B5">
        <w:rPr>
          <w:rFonts w:cs="Times New Roman"/>
          <w:i/>
          <w:iCs/>
          <w:noProof/>
          <w:szCs w:val="24"/>
        </w:rPr>
        <w:t>13</w:t>
      </w:r>
      <w:r w:rsidRPr="009663B5">
        <w:rPr>
          <w:rFonts w:cs="Times New Roman"/>
          <w:noProof/>
          <w:szCs w:val="24"/>
        </w:rPr>
        <w:t>(12), 2329. https://doi.org/10.3390/RS13122329</w:t>
      </w:r>
    </w:p>
    <w:p w14:paraId="060E1498"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Mathew, S., Sravya Jayanthi, L., &amp; Pulugurtha, S. S. (2021). Spatial and temporal effects of a toll road on land use developments and travel demand. </w:t>
      </w:r>
      <w:r w:rsidRPr="009663B5">
        <w:rPr>
          <w:rFonts w:cs="Times New Roman"/>
          <w:i/>
          <w:iCs/>
          <w:noProof/>
          <w:szCs w:val="24"/>
        </w:rPr>
        <w:t xml:space="preserve">International Conference on </w:t>
      </w:r>
      <w:r w:rsidRPr="009663B5">
        <w:rPr>
          <w:rFonts w:cs="Times New Roman"/>
          <w:i/>
          <w:iCs/>
          <w:noProof/>
          <w:szCs w:val="24"/>
        </w:rPr>
        <w:lastRenderedPageBreak/>
        <w:t>Transportation and Development 2021: Transportation Planning and Development</w:t>
      </w:r>
      <w:r w:rsidRPr="009663B5">
        <w:rPr>
          <w:rFonts w:cs="Times New Roman"/>
          <w:noProof/>
          <w:szCs w:val="24"/>
        </w:rPr>
        <w:t xml:space="preserve">, </w:t>
      </w:r>
      <w:r w:rsidRPr="009663B5">
        <w:rPr>
          <w:rFonts w:cs="Times New Roman"/>
          <w:i/>
          <w:iCs/>
          <w:noProof/>
          <w:szCs w:val="24"/>
        </w:rPr>
        <w:t>June</w:t>
      </w:r>
      <w:r w:rsidRPr="009663B5">
        <w:rPr>
          <w:rFonts w:cs="Times New Roman"/>
          <w:noProof/>
          <w:szCs w:val="24"/>
        </w:rPr>
        <w:t>, 235–246. https://doi.org/10.1061/9780784483541.022</w:t>
      </w:r>
    </w:p>
    <w:p w14:paraId="6538C74F"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Park, E. S., &amp; Sener, I. N. (2019). Traffic-related air emissions in Houston: Effects of light-rail transit. </w:t>
      </w:r>
      <w:r w:rsidRPr="009663B5">
        <w:rPr>
          <w:rFonts w:cs="Times New Roman"/>
          <w:i/>
          <w:iCs/>
          <w:noProof/>
          <w:szCs w:val="24"/>
        </w:rPr>
        <w:t>Science of The Total Environment</w:t>
      </w:r>
      <w:r w:rsidRPr="009663B5">
        <w:rPr>
          <w:rFonts w:cs="Times New Roman"/>
          <w:noProof/>
          <w:szCs w:val="24"/>
        </w:rPr>
        <w:t xml:space="preserve">, </w:t>
      </w:r>
      <w:r w:rsidRPr="009663B5">
        <w:rPr>
          <w:rFonts w:cs="Times New Roman"/>
          <w:i/>
          <w:iCs/>
          <w:noProof/>
          <w:szCs w:val="24"/>
        </w:rPr>
        <w:t>651</w:t>
      </w:r>
      <w:r w:rsidRPr="009663B5">
        <w:rPr>
          <w:rFonts w:cs="Times New Roman"/>
          <w:noProof/>
          <w:szCs w:val="24"/>
        </w:rPr>
        <w:t>, 154–161. https://doi.org/10.1016/J.SCITOTENV.2018.09.169</w:t>
      </w:r>
    </w:p>
    <w:p w14:paraId="4E431576"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Parker, K., Horowitz, J., &amp; Minkin, R. (2020). </w:t>
      </w:r>
      <w:r w:rsidRPr="009663B5">
        <w:rPr>
          <w:rFonts w:cs="Times New Roman"/>
          <w:i/>
          <w:iCs/>
          <w:noProof/>
          <w:szCs w:val="24"/>
        </w:rPr>
        <w:t>How the Coronavirus Outbreak Has – and Hasn’t – Changed the Way Americans Work</w:t>
      </w:r>
      <w:r w:rsidRPr="009663B5">
        <w:rPr>
          <w:rFonts w:cs="Times New Roman"/>
          <w:noProof/>
          <w:szCs w:val="24"/>
        </w:rPr>
        <w:t>.</w:t>
      </w:r>
    </w:p>
    <w:p w14:paraId="7E9B420E"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Parr, S., Wolshon, B., Renne, J., Murray-Tuite, P., &amp; Kim, K. (2020). Traffic Impacts of the COVID-19 Pandemic: Statewide Analysis of Social Separation and Activity Restriction. </w:t>
      </w:r>
      <w:r w:rsidRPr="009663B5">
        <w:rPr>
          <w:rFonts w:cs="Times New Roman"/>
          <w:i/>
          <w:iCs/>
          <w:noProof/>
          <w:szCs w:val="24"/>
        </w:rPr>
        <w:t>Natural Hazards Review</w:t>
      </w:r>
      <w:r w:rsidRPr="009663B5">
        <w:rPr>
          <w:rFonts w:cs="Times New Roman"/>
          <w:noProof/>
          <w:szCs w:val="24"/>
        </w:rPr>
        <w:t xml:space="preserve">, </w:t>
      </w:r>
      <w:r w:rsidRPr="009663B5">
        <w:rPr>
          <w:rFonts w:cs="Times New Roman"/>
          <w:i/>
          <w:iCs/>
          <w:noProof/>
          <w:szCs w:val="24"/>
        </w:rPr>
        <w:t>21</w:t>
      </w:r>
      <w:r w:rsidRPr="009663B5">
        <w:rPr>
          <w:rFonts w:cs="Times New Roman"/>
          <w:noProof/>
          <w:szCs w:val="24"/>
        </w:rPr>
        <w:t>(3), 04020025. https://doi.org/10.1061/(ASCE)NH.1527-6996.0000409</w:t>
      </w:r>
    </w:p>
    <w:p w14:paraId="25420C66" w14:textId="0D9B533E" w:rsidR="009663B5" w:rsidRPr="009663B5" w:rsidRDefault="009663B5" w:rsidP="00B615C1">
      <w:pPr>
        <w:widowControl w:val="0"/>
        <w:autoSpaceDE w:val="0"/>
        <w:autoSpaceDN w:val="0"/>
        <w:adjustRightInd w:val="0"/>
        <w:spacing w:after="240"/>
        <w:ind w:left="480" w:hanging="480"/>
        <w:jc w:val="left"/>
        <w:rPr>
          <w:rFonts w:cs="Times New Roman"/>
          <w:noProof/>
          <w:szCs w:val="24"/>
        </w:rPr>
      </w:pPr>
      <w:r w:rsidRPr="009663B5">
        <w:rPr>
          <w:rFonts w:cs="Times New Roman"/>
          <w:noProof/>
          <w:szCs w:val="24"/>
        </w:rPr>
        <w:t>Patra, S. S., Chilukuri, B. R., &amp; Vanajakshi, L. (2021). Analysis of road traffic pattern changes due to activity restrictions during COVID-19 pandemic in Chennai.</w:t>
      </w:r>
      <w:r w:rsidR="000618DC" w:rsidRPr="00B979C6">
        <w:rPr>
          <w:rFonts w:cs="Times New Roman"/>
          <w:i/>
          <w:iCs/>
          <w:noProof/>
          <w:szCs w:val="24"/>
        </w:rPr>
        <w:t xml:space="preserve"> Transportation Letters</w:t>
      </w:r>
      <w:r w:rsidR="000618DC">
        <w:rPr>
          <w:rFonts w:cs="Times New Roman"/>
          <w:noProof/>
          <w:szCs w:val="24"/>
        </w:rPr>
        <w:t xml:space="preserve">, </w:t>
      </w:r>
      <w:r w:rsidRPr="009663B5">
        <w:rPr>
          <w:rFonts w:cs="Times New Roman"/>
          <w:i/>
          <w:iCs/>
          <w:noProof/>
          <w:szCs w:val="24"/>
        </w:rPr>
        <w:t>13</w:t>
      </w:r>
      <w:r w:rsidRPr="009663B5">
        <w:rPr>
          <w:rFonts w:cs="Times New Roman"/>
          <w:noProof/>
          <w:szCs w:val="24"/>
        </w:rPr>
        <w:t>(5–6), 473–481. https://doi.org/10.1080/19427867.2021.1899580</w:t>
      </w:r>
    </w:p>
    <w:p w14:paraId="71E25B86" w14:textId="08480156"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Pendyala, R. M., Bhat, C. R., Goulias, K. G., Paleti, R., Konduri, K. C., Sidharthan, R., Hu, H.-H., Huang, G., &amp; Christian, K. P. (2012). Application of Socioeconomic Model System for Activity-Based Modeling: Experience from Southern California</w:t>
      </w:r>
      <w:r w:rsidR="00B979C6">
        <w:rPr>
          <w:rFonts w:cs="Times New Roman"/>
          <w:noProof/>
          <w:szCs w:val="24"/>
        </w:rPr>
        <w:t xml:space="preserve">. </w:t>
      </w:r>
      <w:r w:rsidR="00B979C6" w:rsidRPr="00B979C6">
        <w:rPr>
          <w:rFonts w:cs="Times New Roman"/>
          <w:i/>
          <w:iCs/>
          <w:noProof/>
          <w:szCs w:val="24"/>
        </w:rPr>
        <w:t>Transportation Research Record</w:t>
      </w:r>
      <w:r w:rsidR="00B979C6">
        <w:rPr>
          <w:rFonts w:cs="Times New Roman"/>
          <w:noProof/>
          <w:szCs w:val="24"/>
        </w:rPr>
        <w:t xml:space="preserve">, </w:t>
      </w:r>
      <w:r w:rsidR="00B979C6" w:rsidRPr="00B979C6">
        <w:rPr>
          <w:rFonts w:cs="Times New Roman"/>
          <w:i/>
          <w:iCs/>
          <w:noProof/>
          <w:szCs w:val="24"/>
        </w:rPr>
        <w:t>2303</w:t>
      </w:r>
      <w:r w:rsidR="00B979C6">
        <w:rPr>
          <w:rFonts w:cs="Times New Roman"/>
          <w:noProof/>
          <w:szCs w:val="24"/>
        </w:rPr>
        <w:t>(1), 71-80.</w:t>
      </w:r>
      <w:r w:rsidRPr="009663B5">
        <w:rPr>
          <w:rFonts w:cs="Times New Roman"/>
          <w:noProof/>
          <w:szCs w:val="24"/>
        </w:rPr>
        <w:t xml:space="preserve"> </w:t>
      </w:r>
      <w:r w:rsidRPr="009663B5">
        <w:rPr>
          <w:rFonts w:cs="Times New Roman"/>
          <w:i/>
          <w:iCs/>
          <w:noProof/>
          <w:szCs w:val="24"/>
        </w:rPr>
        <w:t>Https://Doi.Org/10.3141/2303-08</w:t>
      </w:r>
      <w:r w:rsidRPr="009663B5">
        <w:rPr>
          <w:rFonts w:cs="Times New Roman"/>
          <w:noProof/>
          <w:szCs w:val="24"/>
        </w:rPr>
        <w:t xml:space="preserve">, </w:t>
      </w:r>
      <w:r w:rsidRPr="009663B5">
        <w:rPr>
          <w:rFonts w:cs="Times New Roman"/>
          <w:i/>
          <w:iCs/>
          <w:noProof/>
          <w:szCs w:val="24"/>
        </w:rPr>
        <w:t>2303</w:t>
      </w:r>
      <w:r w:rsidRPr="009663B5">
        <w:rPr>
          <w:rFonts w:cs="Times New Roman"/>
          <w:noProof/>
          <w:szCs w:val="24"/>
        </w:rPr>
        <w:t>, 71–80. https://doi.org/10.3141/2303-08</w:t>
      </w:r>
    </w:p>
    <w:p w14:paraId="13DE25E8"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Pinjari, A. R., Eluru, N., Srinivasan, S., Guo, J. Y., Copperman, R. B., Sener, I. N., &amp; Bhat, C. R. (2008). CEMDAP: Modeling and Microsimulation Frameworks, Software Development, and </w:t>
      </w:r>
      <w:r w:rsidRPr="009663B5">
        <w:rPr>
          <w:rFonts w:cs="Times New Roman"/>
          <w:noProof/>
          <w:szCs w:val="24"/>
        </w:rPr>
        <w:lastRenderedPageBreak/>
        <w:t xml:space="preserve">Verification. </w:t>
      </w:r>
      <w:r w:rsidRPr="009663B5">
        <w:rPr>
          <w:rFonts w:cs="Times New Roman"/>
          <w:i/>
          <w:iCs/>
          <w:noProof/>
          <w:szCs w:val="24"/>
        </w:rPr>
        <w:t>Transportation Reserach Board 87th Annual Meeting</w:t>
      </w:r>
      <w:r w:rsidRPr="009663B5">
        <w:rPr>
          <w:rFonts w:cs="Times New Roman"/>
          <w:noProof/>
          <w:szCs w:val="24"/>
        </w:rPr>
        <w:t>.</w:t>
      </w:r>
    </w:p>
    <w:p w14:paraId="4C61036E" w14:textId="11B64AB1" w:rsidR="009663B5" w:rsidRPr="009663B5" w:rsidRDefault="009663B5" w:rsidP="00B615C1">
      <w:pPr>
        <w:widowControl w:val="0"/>
        <w:autoSpaceDE w:val="0"/>
        <w:autoSpaceDN w:val="0"/>
        <w:adjustRightInd w:val="0"/>
        <w:spacing w:after="240"/>
        <w:ind w:left="480" w:hanging="480"/>
        <w:rPr>
          <w:rFonts w:cs="Times New Roman"/>
          <w:noProof/>
          <w:szCs w:val="24"/>
        </w:rPr>
      </w:pPr>
      <w:r w:rsidRPr="00B979C6">
        <w:rPr>
          <w:rFonts w:cs="Times New Roman"/>
          <w:noProof/>
          <w:szCs w:val="24"/>
        </w:rPr>
        <w:t>Property Tax Data Portal.</w:t>
      </w:r>
      <w:r w:rsidRPr="009663B5">
        <w:rPr>
          <w:rFonts w:cs="Times New Roman"/>
          <w:noProof/>
          <w:szCs w:val="24"/>
        </w:rPr>
        <w:t xml:space="preserve"> (2015). </w:t>
      </w:r>
      <w:r w:rsidRPr="00B979C6">
        <w:rPr>
          <w:rFonts w:cs="Times New Roman"/>
          <w:i/>
          <w:iCs/>
          <w:noProof/>
          <w:szCs w:val="24"/>
        </w:rPr>
        <w:t>Florida Department of Revenue</w:t>
      </w:r>
      <w:r w:rsidRPr="009663B5">
        <w:rPr>
          <w:rFonts w:cs="Times New Roman"/>
          <w:noProof/>
          <w:szCs w:val="24"/>
        </w:rPr>
        <w:t>.</w:t>
      </w:r>
      <w:r w:rsidR="000618DC">
        <w:rPr>
          <w:rFonts w:cs="Times New Roman"/>
          <w:noProof/>
          <w:szCs w:val="24"/>
        </w:rPr>
        <w:t xml:space="preserve"> Accessed on 2021-01-20.</w:t>
      </w:r>
      <w:r w:rsidR="00927AA0">
        <w:rPr>
          <w:rFonts w:cs="Times New Roman"/>
          <w:noProof/>
          <w:szCs w:val="24"/>
        </w:rPr>
        <w:t xml:space="preserve"> </w:t>
      </w:r>
      <w:r w:rsidRPr="009663B5">
        <w:rPr>
          <w:rFonts w:cs="Times New Roman"/>
          <w:noProof/>
          <w:szCs w:val="24"/>
        </w:rPr>
        <w:t>https://floridarevenue.com/property/Pages/DataPortal_RequestAssessmentRollGISData.aspx</w:t>
      </w:r>
    </w:p>
    <w:p w14:paraId="40CD7E1C"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Pulugurtha, S. S., &amp; Sambhara, V. R. (2011). Pedestrian crash estimation models for signalized intersections. </w:t>
      </w:r>
      <w:r w:rsidRPr="009663B5">
        <w:rPr>
          <w:rFonts w:cs="Times New Roman"/>
          <w:i/>
          <w:iCs/>
          <w:noProof/>
          <w:szCs w:val="24"/>
        </w:rPr>
        <w:t>Accident Analysis and Prevention</w:t>
      </w:r>
      <w:r w:rsidRPr="009663B5">
        <w:rPr>
          <w:rFonts w:cs="Times New Roman"/>
          <w:noProof/>
          <w:szCs w:val="24"/>
        </w:rPr>
        <w:t xml:space="preserve">, </w:t>
      </w:r>
      <w:r w:rsidRPr="009663B5">
        <w:rPr>
          <w:rFonts w:cs="Times New Roman"/>
          <w:i/>
          <w:iCs/>
          <w:noProof/>
          <w:szCs w:val="24"/>
        </w:rPr>
        <w:t>43</w:t>
      </w:r>
      <w:r w:rsidRPr="009663B5">
        <w:rPr>
          <w:rFonts w:cs="Times New Roman"/>
          <w:noProof/>
          <w:szCs w:val="24"/>
        </w:rPr>
        <w:t>(1), 439–446. https://doi.org/10.1016/J.AAP.2010.09.014</w:t>
      </w:r>
    </w:p>
    <w:p w14:paraId="266BC846"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Rahman, M., Yasmin, S., &amp; Eluru, N. (2020). A joint panel binary logit and fractional split model for converting route-level transit ridership data to stop-level boarding and alighting data. </w:t>
      </w:r>
      <w:r w:rsidRPr="009663B5">
        <w:rPr>
          <w:rFonts w:cs="Times New Roman"/>
          <w:i/>
          <w:iCs/>
          <w:noProof/>
          <w:szCs w:val="24"/>
        </w:rPr>
        <w:t>Transportation Research Part A: Policy and Practice</w:t>
      </w:r>
      <w:r w:rsidRPr="009663B5">
        <w:rPr>
          <w:rFonts w:cs="Times New Roman"/>
          <w:noProof/>
          <w:szCs w:val="24"/>
        </w:rPr>
        <w:t xml:space="preserve">, </w:t>
      </w:r>
      <w:r w:rsidRPr="009663B5">
        <w:rPr>
          <w:rFonts w:cs="Times New Roman"/>
          <w:i/>
          <w:iCs/>
          <w:noProof/>
          <w:szCs w:val="24"/>
        </w:rPr>
        <w:t>139</w:t>
      </w:r>
      <w:r w:rsidRPr="009663B5">
        <w:rPr>
          <w:rFonts w:cs="Times New Roman"/>
          <w:noProof/>
          <w:szCs w:val="24"/>
        </w:rPr>
        <w:t>, 1–16. https://doi.org/10.1016/J.TRA.2020.06.015</w:t>
      </w:r>
    </w:p>
    <w:p w14:paraId="0FEEDF94" w14:textId="659F7C51"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RITIS. (2021). </w:t>
      </w:r>
      <w:r w:rsidRPr="009663B5">
        <w:rPr>
          <w:rFonts w:cs="Times New Roman"/>
          <w:i/>
          <w:iCs/>
          <w:noProof/>
          <w:szCs w:val="24"/>
        </w:rPr>
        <w:t>Detector Tools :: RITIS | Regional Integrated Transportation Information System</w:t>
      </w:r>
      <w:r w:rsidRPr="009663B5">
        <w:rPr>
          <w:rFonts w:cs="Times New Roman"/>
          <w:noProof/>
          <w:szCs w:val="24"/>
        </w:rPr>
        <w:t>.</w:t>
      </w:r>
      <w:r w:rsidR="00927AA0">
        <w:rPr>
          <w:rFonts w:cs="Times New Roman"/>
          <w:noProof/>
          <w:szCs w:val="24"/>
        </w:rPr>
        <w:t xml:space="preserve"> Accessed on 2021--1-15.</w:t>
      </w:r>
      <w:r w:rsidRPr="009663B5">
        <w:rPr>
          <w:rFonts w:cs="Times New Roman"/>
          <w:noProof/>
          <w:szCs w:val="24"/>
        </w:rPr>
        <w:t xml:space="preserve"> https://ritis.org/archive/traffic</w:t>
      </w:r>
    </w:p>
    <w:p w14:paraId="5A03E271" w14:textId="0C705545"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Shams, A., &amp; Zlatkovic, M. (2020). Effects of capacity and transit improvements on traffic and transit operations. </w:t>
      </w:r>
      <w:r w:rsidR="003057FC">
        <w:rPr>
          <w:rFonts w:cs="Times New Roman"/>
          <w:i/>
          <w:iCs/>
          <w:noProof/>
          <w:szCs w:val="24"/>
        </w:rPr>
        <w:t>Transportation Planning and Technology</w:t>
      </w:r>
      <w:r w:rsidRPr="009663B5">
        <w:rPr>
          <w:rFonts w:cs="Times New Roman"/>
          <w:noProof/>
          <w:szCs w:val="24"/>
        </w:rPr>
        <w:t xml:space="preserve">, </w:t>
      </w:r>
      <w:r w:rsidRPr="009663B5">
        <w:rPr>
          <w:rFonts w:cs="Times New Roman"/>
          <w:i/>
          <w:iCs/>
          <w:noProof/>
          <w:szCs w:val="24"/>
        </w:rPr>
        <w:t>43</w:t>
      </w:r>
      <w:r w:rsidRPr="009663B5">
        <w:rPr>
          <w:rFonts w:cs="Times New Roman"/>
          <w:noProof/>
          <w:szCs w:val="24"/>
        </w:rPr>
        <w:t>(6), 602–619. https://doi.org/10.1080/03081060.2020.1780710</w:t>
      </w:r>
    </w:p>
    <w:p w14:paraId="6212F34C"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Shao, Y., Zhao, Y., Yu, F., Zhu, H., &amp; Fang, J. (2021). The Traffic Flow Prediction Method Using the Incremental Learning-Based CNN-LTSM Model: The Solution of Mobile Application. </w:t>
      </w:r>
      <w:r w:rsidRPr="009663B5">
        <w:rPr>
          <w:rFonts w:cs="Times New Roman"/>
          <w:i/>
          <w:iCs/>
          <w:noProof/>
          <w:szCs w:val="24"/>
        </w:rPr>
        <w:t>Mobile Information Systems</w:t>
      </w:r>
      <w:r w:rsidRPr="009663B5">
        <w:rPr>
          <w:rFonts w:cs="Times New Roman"/>
          <w:noProof/>
          <w:szCs w:val="24"/>
        </w:rPr>
        <w:t xml:space="preserve">, </w:t>
      </w:r>
      <w:r w:rsidRPr="009663B5">
        <w:rPr>
          <w:rFonts w:cs="Times New Roman"/>
          <w:i/>
          <w:iCs/>
          <w:noProof/>
          <w:szCs w:val="24"/>
        </w:rPr>
        <w:t>2021</w:t>
      </w:r>
      <w:r w:rsidRPr="009663B5">
        <w:rPr>
          <w:rFonts w:cs="Times New Roman"/>
          <w:noProof/>
          <w:szCs w:val="24"/>
        </w:rPr>
        <w:t>. https://doi.org/10.1155/2021/5579451</w:t>
      </w:r>
    </w:p>
    <w:p w14:paraId="0C0C9A2E"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Sider, T., Alam, A., Zukari, M., Dugum, H., Goldstein, N., Eluru, N., &amp; Hatzopoulou, M. (2013). </w:t>
      </w:r>
      <w:r w:rsidRPr="009663B5">
        <w:rPr>
          <w:rFonts w:cs="Times New Roman"/>
          <w:noProof/>
          <w:szCs w:val="24"/>
        </w:rPr>
        <w:lastRenderedPageBreak/>
        <w:t xml:space="preserve">Land-use and socio-economics as determinants of traffic emissions and individual exposure to air pollution. </w:t>
      </w:r>
      <w:r w:rsidRPr="009663B5">
        <w:rPr>
          <w:rFonts w:cs="Times New Roman"/>
          <w:i/>
          <w:iCs/>
          <w:noProof/>
          <w:szCs w:val="24"/>
        </w:rPr>
        <w:t>Journal of Transport Geography</w:t>
      </w:r>
      <w:r w:rsidRPr="009663B5">
        <w:rPr>
          <w:rFonts w:cs="Times New Roman"/>
          <w:noProof/>
          <w:szCs w:val="24"/>
        </w:rPr>
        <w:t xml:space="preserve">, </w:t>
      </w:r>
      <w:r w:rsidRPr="009663B5">
        <w:rPr>
          <w:rFonts w:cs="Times New Roman"/>
          <w:i/>
          <w:iCs/>
          <w:noProof/>
          <w:szCs w:val="24"/>
        </w:rPr>
        <w:t>33</w:t>
      </w:r>
      <w:r w:rsidRPr="009663B5">
        <w:rPr>
          <w:rFonts w:cs="Times New Roman"/>
          <w:noProof/>
          <w:szCs w:val="24"/>
        </w:rPr>
        <w:t>, 230–239. https://doi.org/10.1016/j.jtrangeo.2013.08.006</w:t>
      </w:r>
    </w:p>
    <w:p w14:paraId="5A839BF2"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Slavin, C., Feng, W., Figliozzi, M., &amp; Koonce, P. (2013). Statistical Study of the Impact of Adaptive Traffic Signal Control on Traffic and Transit Performance: </w:t>
      </w:r>
      <w:r w:rsidRPr="009663B5">
        <w:rPr>
          <w:rFonts w:cs="Times New Roman"/>
          <w:i/>
          <w:iCs/>
          <w:noProof/>
          <w:szCs w:val="24"/>
        </w:rPr>
        <w:t>Transportation Research Record</w:t>
      </w:r>
      <w:r w:rsidRPr="009663B5">
        <w:rPr>
          <w:rFonts w:cs="Times New Roman"/>
          <w:noProof/>
          <w:szCs w:val="24"/>
        </w:rPr>
        <w:t xml:space="preserve">, </w:t>
      </w:r>
      <w:r w:rsidRPr="009663B5">
        <w:rPr>
          <w:rFonts w:cs="Times New Roman"/>
          <w:i/>
          <w:iCs/>
          <w:noProof/>
          <w:szCs w:val="24"/>
        </w:rPr>
        <w:t>2356</w:t>
      </w:r>
      <w:r w:rsidRPr="009663B5">
        <w:rPr>
          <w:rFonts w:cs="Times New Roman"/>
          <w:noProof/>
          <w:szCs w:val="24"/>
        </w:rPr>
        <w:t>(1), 117–126. https://doi.org/10.1177/0361198113235600114</w:t>
      </w:r>
    </w:p>
    <w:p w14:paraId="06026677"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Tamin, O. Z., &amp; Willumsen, L. G. (1989). Transport demand model estimation from traffic counts. </w:t>
      </w:r>
      <w:r w:rsidRPr="009663B5">
        <w:rPr>
          <w:rFonts w:cs="Times New Roman"/>
          <w:i/>
          <w:iCs/>
          <w:noProof/>
          <w:szCs w:val="24"/>
        </w:rPr>
        <w:t>Transportation</w:t>
      </w:r>
      <w:r w:rsidRPr="009663B5">
        <w:rPr>
          <w:rFonts w:cs="Times New Roman"/>
          <w:noProof/>
          <w:szCs w:val="24"/>
        </w:rPr>
        <w:t xml:space="preserve">, </w:t>
      </w:r>
      <w:r w:rsidRPr="009663B5">
        <w:rPr>
          <w:rFonts w:cs="Times New Roman"/>
          <w:i/>
          <w:iCs/>
          <w:noProof/>
          <w:szCs w:val="24"/>
        </w:rPr>
        <w:t>16</w:t>
      </w:r>
      <w:r w:rsidRPr="009663B5">
        <w:rPr>
          <w:rFonts w:cs="Times New Roman"/>
          <w:noProof/>
          <w:szCs w:val="24"/>
        </w:rPr>
        <w:t>(1), 3–26. https://doi.org/10.1007/BF00223044</w:t>
      </w:r>
    </w:p>
    <w:p w14:paraId="252184A7" w14:textId="668A2E3A" w:rsidR="009663B5" w:rsidRPr="009663B5" w:rsidRDefault="009663B5" w:rsidP="00B615C1">
      <w:pPr>
        <w:widowControl w:val="0"/>
        <w:autoSpaceDE w:val="0"/>
        <w:autoSpaceDN w:val="0"/>
        <w:adjustRightInd w:val="0"/>
        <w:spacing w:after="240"/>
        <w:ind w:left="480" w:hanging="480"/>
        <w:rPr>
          <w:rFonts w:cs="Times New Roman"/>
          <w:noProof/>
          <w:szCs w:val="24"/>
        </w:rPr>
      </w:pPr>
      <w:r w:rsidRPr="0016247A">
        <w:rPr>
          <w:rFonts w:cs="Times New Roman"/>
          <w:noProof/>
          <w:szCs w:val="24"/>
        </w:rPr>
        <w:t>The economics daily.</w:t>
      </w:r>
      <w:r w:rsidRPr="009663B5">
        <w:rPr>
          <w:rFonts w:cs="Times New Roman"/>
          <w:noProof/>
          <w:szCs w:val="24"/>
        </w:rPr>
        <w:t xml:space="preserve"> (2020). </w:t>
      </w:r>
      <w:r w:rsidRPr="0016247A">
        <w:rPr>
          <w:rFonts w:cs="Times New Roman"/>
          <w:i/>
          <w:iCs/>
          <w:noProof/>
          <w:szCs w:val="24"/>
        </w:rPr>
        <w:t>U.S. Bureau of Labor Statistics</w:t>
      </w:r>
      <w:r w:rsidRPr="009663B5">
        <w:rPr>
          <w:rFonts w:cs="Times New Roman"/>
          <w:noProof/>
          <w:szCs w:val="24"/>
        </w:rPr>
        <w:t>.</w:t>
      </w:r>
      <w:r w:rsidR="003057FC">
        <w:rPr>
          <w:rFonts w:cs="Times New Roman"/>
          <w:noProof/>
          <w:szCs w:val="24"/>
        </w:rPr>
        <w:t xml:space="preserve"> Accessed on 2021-07-12.</w:t>
      </w:r>
      <w:r w:rsidRPr="009663B5">
        <w:rPr>
          <w:rFonts w:cs="Times New Roman"/>
          <w:noProof/>
          <w:szCs w:val="24"/>
        </w:rPr>
        <w:t xml:space="preserve"> https://www.bls.gov/opub/ted/2020/unemployment-rate-rises-to-record-high-14-point-7-percent-in-april-2020.htm</w:t>
      </w:r>
    </w:p>
    <w:p w14:paraId="11EAAE99" w14:textId="4B7E1A29" w:rsidR="009663B5" w:rsidRPr="009663B5" w:rsidRDefault="009663B5" w:rsidP="00B615C1">
      <w:pPr>
        <w:widowControl w:val="0"/>
        <w:autoSpaceDE w:val="0"/>
        <w:autoSpaceDN w:val="0"/>
        <w:adjustRightInd w:val="0"/>
        <w:spacing w:after="240"/>
        <w:ind w:left="480" w:hanging="480"/>
        <w:jc w:val="left"/>
        <w:rPr>
          <w:rFonts w:cs="Times New Roman"/>
          <w:noProof/>
          <w:szCs w:val="24"/>
        </w:rPr>
      </w:pPr>
      <w:r w:rsidRPr="009663B5">
        <w:rPr>
          <w:rFonts w:cs="Times New Roman"/>
          <w:noProof/>
          <w:szCs w:val="24"/>
        </w:rPr>
        <w:t xml:space="preserve">The World Bank. (2020). </w:t>
      </w:r>
      <w:r w:rsidRPr="009663B5">
        <w:rPr>
          <w:rFonts w:cs="Times New Roman"/>
          <w:i/>
          <w:iCs/>
          <w:noProof/>
          <w:szCs w:val="24"/>
        </w:rPr>
        <w:t>The Global Economic Outlook During the COVID-19 Pandemic: A Changed World</w:t>
      </w:r>
      <w:r w:rsidRPr="009663B5">
        <w:rPr>
          <w:rFonts w:cs="Times New Roman"/>
          <w:noProof/>
          <w:szCs w:val="24"/>
        </w:rPr>
        <w:t xml:space="preserve">. </w:t>
      </w:r>
      <w:r w:rsidR="00DF0DFE">
        <w:rPr>
          <w:rFonts w:cs="Times New Roman"/>
          <w:noProof/>
          <w:szCs w:val="24"/>
        </w:rPr>
        <w:t>Accessed on 2021-07</w:t>
      </w:r>
      <w:r w:rsidR="004C4BAE">
        <w:rPr>
          <w:rFonts w:cs="Times New Roman"/>
          <w:noProof/>
          <w:szCs w:val="24"/>
        </w:rPr>
        <w:t>-</w:t>
      </w:r>
      <w:r w:rsidR="00DF0DFE">
        <w:rPr>
          <w:rFonts w:cs="Times New Roman"/>
          <w:noProof/>
          <w:szCs w:val="24"/>
        </w:rPr>
        <w:t xml:space="preserve">12. </w:t>
      </w:r>
      <w:r w:rsidRPr="009663B5">
        <w:rPr>
          <w:rFonts w:cs="Times New Roman"/>
          <w:noProof/>
          <w:szCs w:val="24"/>
        </w:rPr>
        <w:t>https://www.worldbank.org/en/news/feature/2020/06/08/the-global-economic-outlook-during-the-covid-19-pandemic-a-changed-world</w:t>
      </w:r>
    </w:p>
    <w:p w14:paraId="7338D256"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Tian, X., An, C., Chen, Z., &amp; Tian, Z. (2021). Assessing the impact of COVID-19 pandemic on urban transportation and air quality in Canada. </w:t>
      </w:r>
      <w:r w:rsidRPr="009663B5">
        <w:rPr>
          <w:rFonts w:cs="Times New Roman"/>
          <w:i/>
          <w:iCs/>
          <w:noProof/>
          <w:szCs w:val="24"/>
        </w:rPr>
        <w:t>Science of The Total Environment</w:t>
      </w:r>
      <w:r w:rsidRPr="009663B5">
        <w:rPr>
          <w:rFonts w:cs="Times New Roman"/>
          <w:noProof/>
          <w:szCs w:val="24"/>
        </w:rPr>
        <w:t xml:space="preserve">, </w:t>
      </w:r>
      <w:r w:rsidRPr="009663B5">
        <w:rPr>
          <w:rFonts w:cs="Times New Roman"/>
          <w:i/>
          <w:iCs/>
          <w:noProof/>
          <w:szCs w:val="24"/>
        </w:rPr>
        <w:t>765</w:t>
      </w:r>
      <w:r w:rsidRPr="009663B5">
        <w:rPr>
          <w:rFonts w:cs="Times New Roman"/>
          <w:noProof/>
          <w:szCs w:val="24"/>
        </w:rPr>
        <w:t>, 144270. https://doi.org/10.1016/J.SCITOTENV.2020.144270</w:t>
      </w:r>
    </w:p>
    <w:p w14:paraId="65EA1444" w14:textId="0E33038D" w:rsidR="009663B5" w:rsidRPr="009663B5" w:rsidRDefault="009663B5" w:rsidP="00B615C1">
      <w:pPr>
        <w:widowControl w:val="0"/>
        <w:autoSpaceDE w:val="0"/>
        <w:autoSpaceDN w:val="0"/>
        <w:adjustRightInd w:val="0"/>
        <w:spacing w:after="240"/>
        <w:ind w:left="480" w:hanging="480"/>
        <w:jc w:val="left"/>
        <w:rPr>
          <w:rFonts w:cs="Times New Roman"/>
          <w:noProof/>
          <w:szCs w:val="24"/>
        </w:rPr>
      </w:pPr>
      <w:r w:rsidRPr="0016247A">
        <w:rPr>
          <w:rFonts w:cs="Times New Roman"/>
          <w:noProof/>
          <w:szCs w:val="24"/>
        </w:rPr>
        <w:t>US Census Bureau.</w:t>
      </w:r>
      <w:r w:rsidRPr="009663B5">
        <w:rPr>
          <w:rFonts w:cs="Times New Roman"/>
          <w:noProof/>
          <w:szCs w:val="24"/>
        </w:rPr>
        <w:t xml:space="preserve"> (2019). </w:t>
      </w:r>
      <w:r w:rsidR="00696E7E">
        <w:rPr>
          <w:rFonts w:cs="Times New Roman"/>
          <w:noProof/>
          <w:szCs w:val="24"/>
        </w:rPr>
        <w:t xml:space="preserve">Accessed on 2021-01-29. </w:t>
      </w:r>
      <w:r w:rsidRPr="009663B5">
        <w:rPr>
          <w:rFonts w:cs="Times New Roman"/>
          <w:noProof/>
          <w:szCs w:val="24"/>
        </w:rPr>
        <w:t>https://data.census.gov/all?g=0400000US12$1400000&amp;y=2019</w:t>
      </w:r>
    </w:p>
    <w:p w14:paraId="60186B9D"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lastRenderedPageBreak/>
        <w:t xml:space="preserve">Wang, X. C., Kockelman, K. M., &amp; Lemp, J. D. (2012). The dynamic spatial multinomial probit model: analysis of land use change using parcel-level data. </w:t>
      </w:r>
      <w:r w:rsidRPr="009663B5">
        <w:rPr>
          <w:rFonts w:cs="Times New Roman"/>
          <w:i/>
          <w:iCs/>
          <w:noProof/>
          <w:szCs w:val="24"/>
        </w:rPr>
        <w:t>Journal of Transport Geography</w:t>
      </w:r>
      <w:r w:rsidRPr="009663B5">
        <w:rPr>
          <w:rFonts w:cs="Times New Roman"/>
          <w:noProof/>
          <w:szCs w:val="24"/>
        </w:rPr>
        <w:t xml:space="preserve">, </w:t>
      </w:r>
      <w:r w:rsidRPr="009663B5">
        <w:rPr>
          <w:rFonts w:cs="Times New Roman"/>
          <w:i/>
          <w:iCs/>
          <w:noProof/>
          <w:szCs w:val="24"/>
        </w:rPr>
        <w:t>24</w:t>
      </w:r>
      <w:r w:rsidRPr="009663B5">
        <w:rPr>
          <w:rFonts w:cs="Times New Roman"/>
          <w:noProof/>
          <w:szCs w:val="24"/>
        </w:rPr>
        <w:t>, 77–88. https://doi.org/10.1016/J.JTRANGEO.2012.06.011</w:t>
      </w:r>
    </w:p>
    <w:p w14:paraId="23E549FE"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Wang, X., &amp; Kockelman, K. M. (2006). Tracking Land Cover Change in Mixed Logit Model Recognizing Temporal and Spatial Effects. </w:t>
      </w:r>
      <w:r w:rsidRPr="009663B5">
        <w:rPr>
          <w:rFonts w:cs="Times New Roman"/>
          <w:i/>
          <w:iCs/>
          <w:noProof/>
          <w:szCs w:val="24"/>
        </w:rPr>
        <w:t>Transportation Research Record: Journal of the Transportation Research Board</w:t>
      </w:r>
      <w:r w:rsidRPr="009663B5">
        <w:rPr>
          <w:rFonts w:cs="Times New Roman"/>
          <w:noProof/>
          <w:szCs w:val="24"/>
        </w:rPr>
        <w:t>, 112–120.</w:t>
      </w:r>
    </w:p>
    <w:p w14:paraId="2E545497"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Wang, Z., Ji, S., &amp; Yu, B. (2019). Short-Term Traffic Volume Forecasting with Asymmetric Loss Based on Enhanced KNN Method. </w:t>
      </w:r>
      <w:r w:rsidRPr="009663B5">
        <w:rPr>
          <w:rFonts w:cs="Times New Roman"/>
          <w:i/>
          <w:iCs/>
          <w:noProof/>
          <w:szCs w:val="24"/>
        </w:rPr>
        <w:t>Mathematical Problems in Engineering</w:t>
      </w:r>
      <w:r w:rsidRPr="009663B5">
        <w:rPr>
          <w:rFonts w:cs="Times New Roman"/>
          <w:noProof/>
          <w:szCs w:val="24"/>
        </w:rPr>
        <w:t xml:space="preserve">, </w:t>
      </w:r>
      <w:r w:rsidRPr="009663B5">
        <w:rPr>
          <w:rFonts w:cs="Times New Roman"/>
          <w:i/>
          <w:iCs/>
          <w:noProof/>
          <w:szCs w:val="24"/>
        </w:rPr>
        <w:t>2019</w:t>
      </w:r>
      <w:r w:rsidRPr="009663B5">
        <w:rPr>
          <w:rFonts w:cs="Times New Roman"/>
          <w:noProof/>
          <w:szCs w:val="24"/>
        </w:rPr>
        <w:t>. https://doi.org/10.1155/2019/4589437</w:t>
      </w:r>
    </w:p>
    <w:p w14:paraId="743DEAFC"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Williams, B. M., &amp; Hoel, L. A. (2003). Modeling and Forecasting Vehicular Traffic Flow as a Seasonal ARIMA Process: Theoretical Basis and Empirical Results. </w:t>
      </w:r>
      <w:r w:rsidRPr="009663B5">
        <w:rPr>
          <w:rFonts w:cs="Times New Roman"/>
          <w:i/>
          <w:iCs/>
          <w:noProof/>
          <w:szCs w:val="24"/>
        </w:rPr>
        <w:t>American Society of Civil Engineers</w:t>
      </w:r>
      <w:r w:rsidRPr="009663B5">
        <w:rPr>
          <w:rFonts w:cs="Times New Roman"/>
          <w:noProof/>
          <w:szCs w:val="24"/>
        </w:rPr>
        <w:t xml:space="preserve">, </w:t>
      </w:r>
      <w:r w:rsidRPr="009663B5">
        <w:rPr>
          <w:rFonts w:cs="Times New Roman"/>
          <w:i/>
          <w:iCs/>
          <w:noProof/>
          <w:szCs w:val="24"/>
        </w:rPr>
        <w:t>129</w:t>
      </w:r>
      <w:r w:rsidRPr="009663B5">
        <w:rPr>
          <w:rFonts w:cs="Times New Roman"/>
          <w:noProof/>
          <w:szCs w:val="24"/>
        </w:rPr>
        <w:t>(6), 664–672. https://doi.org/10.1061/ASCE0733-947X2003129:6664</w:t>
      </w:r>
    </w:p>
    <w:p w14:paraId="066CC65A" w14:textId="0C5C79F6"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Worldometer. (2021). </w:t>
      </w:r>
      <w:r w:rsidRPr="0016247A">
        <w:rPr>
          <w:rFonts w:cs="Times New Roman"/>
          <w:noProof/>
          <w:szCs w:val="24"/>
        </w:rPr>
        <w:t>Coronavirus cases and Mortality</w:t>
      </w:r>
      <w:r w:rsidRPr="009663B5">
        <w:rPr>
          <w:rFonts w:cs="Times New Roman"/>
          <w:noProof/>
          <w:szCs w:val="24"/>
        </w:rPr>
        <w:t xml:space="preserve">. </w:t>
      </w:r>
      <w:r w:rsidRPr="0016247A">
        <w:rPr>
          <w:rFonts w:cs="Times New Roman"/>
          <w:i/>
          <w:iCs/>
          <w:noProof/>
          <w:szCs w:val="24"/>
        </w:rPr>
        <w:t>Worldometer</w:t>
      </w:r>
      <w:r w:rsidRPr="009663B5">
        <w:rPr>
          <w:rFonts w:cs="Times New Roman"/>
          <w:noProof/>
          <w:szCs w:val="24"/>
        </w:rPr>
        <w:t>.</w:t>
      </w:r>
      <w:r w:rsidR="005B75A5">
        <w:rPr>
          <w:rFonts w:cs="Times New Roman"/>
          <w:noProof/>
          <w:szCs w:val="24"/>
        </w:rPr>
        <w:t>Accessed on 2021-07-12.</w:t>
      </w:r>
      <w:r w:rsidRPr="009663B5">
        <w:rPr>
          <w:rFonts w:cs="Times New Roman"/>
          <w:noProof/>
          <w:szCs w:val="24"/>
        </w:rPr>
        <w:t xml:space="preserve"> https://www.worldometers.info/coronavirus/?</w:t>
      </w:r>
    </w:p>
    <w:p w14:paraId="16022777"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Xiang, J., Austin, E., Gould, T., Larson, T., Shirai, J., Liu, Y., Marshall, J., &amp; Seto, E. (2020). Impacts of the COVID-19 responses on traffic-related air pollution in a Northwestern US city. </w:t>
      </w:r>
      <w:r w:rsidRPr="009663B5">
        <w:rPr>
          <w:rFonts w:cs="Times New Roman"/>
          <w:i/>
          <w:iCs/>
          <w:noProof/>
          <w:szCs w:val="24"/>
        </w:rPr>
        <w:t>Science of The Total Environment</w:t>
      </w:r>
      <w:r w:rsidRPr="009663B5">
        <w:rPr>
          <w:rFonts w:cs="Times New Roman"/>
          <w:noProof/>
          <w:szCs w:val="24"/>
        </w:rPr>
        <w:t xml:space="preserve">, </w:t>
      </w:r>
      <w:r w:rsidRPr="009663B5">
        <w:rPr>
          <w:rFonts w:cs="Times New Roman"/>
          <w:i/>
          <w:iCs/>
          <w:noProof/>
          <w:szCs w:val="24"/>
        </w:rPr>
        <w:t>747</w:t>
      </w:r>
      <w:r w:rsidRPr="009663B5">
        <w:rPr>
          <w:rFonts w:cs="Times New Roman"/>
          <w:noProof/>
          <w:szCs w:val="24"/>
        </w:rPr>
        <w:t>, 141325. https://doi.org/10.1016/J.SCITOTENV.2020.141325</w:t>
      </w:r>
    </w:p>
    <w:p w14:paraId="6BB0BF9E"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Xie, Y., Zhao, K., Sun, Y., &amp; Chen, D. (2010). Gaussian processes for short-term traffic volume forecasting. </w:t>
      </w:r>
      <w:r w:rsidRPr="009663B5">
        <w:rPr>
          <w:rFonts w:cs="Times New Roman"/>
          <w:i/>
          <w:iCs/>
          <w:noProof/>
          <w:szCs w:val="24"/>
        </w:rPr>
        <w:t>Transportation Research Record</w:t>
      </w:r>
      <w:r w:rsidRPr="009663B5">
        <w:rPr>
          <w:rFonts w:cs="Times New Roman"/>
          <w:noProof/>
          <w:szCs w:val="24"/>
        </w:rPr>
        <w:t xml:space="preserve">, </w:t>
      </w:r>
      <w:r w:rsidRPr="009663B5">
        <w:rPr>
          <w:rFonts w:cs="Times New Roman"/>
          <w:i/>
          <w:iCs/>
          <w:noProof/>
          <w:szCs w:val="24"/>
        </w:rPr>
        <w:t>d</w:t>
      </w:r>
      <w:r w:rsidRPr="009663B5">
        <w:rPr>
          <w:rFonts w:cs="Times New Roman"/>
          <w:noProof/>
          <w:szCs w:val="24"/>
        </w:rPr>
        <w:t>(2165), 69–78. https://doi.org/10.3141/2165-08</w:t>
      </w:r>
    </w:p>
    <w:p w14:paraId="76B403DC"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lastRenderedPageBreak/>
        <w:t xml:space="preserve">Yun, S. Y., Namkoong, S., Rho, J. H., Shin, S. W., &amp; Choi, J. U. (1998). A Performance evaluation of neural network models in traffic volume forecasting. </w:t>
      </w:r>
      <w:r w:rsidRPr="009663B5">
        <w:rPr>
          <w:rFonts w:cs="Times New Roman"/>
          <w:i/>
          <w:iCs/>
          <w:noProof/>
          <w:szCs w:val="24"/>
        </w:rPr>
        <w:t>Mathematical and Computer Modelling</w:t>
      </w:r>
      <w:r w:rsidRPr="009663B5">
        <w:rPr>
          <w:rFonts w:cs="Times New Roman"/>
          <w:noProof/>
          <w:szCs w:val="24"/>
        </w:rPr>
        <w:t xml:space="preserve">, </w:t>
      </w:r>
      <w:r w:rsidRPr="009663B5">
        <w:rPr>
          <w:rFonts w:cs="Times New Roman"/>
          <w:i/>
          <w:iCs/>
          <w:noProof/>
          <w:szCs w:val="24"/>
        </w:rPr>
        <w:t>27</w:t>
      </w:r>
      <w:r w:rsidRPr="009663B5">
        <w:rPr>
          <w:rFonts w:cs="Times New Roman"/>
          <w:noProof/>
          <w:szCs w:val="24"/>
        </w:rPr>
        <w:t>(9–11), 293–310. https://doi.org/10.1016/S0895-7177(98)00065-X</w:t>
      </w:r>
    </w:p>
    <w:p w14:paraId="73050BAD"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Zheng, Z., &amp; Su, D. (2014). Short-term traffic volume forecasting: A k-nearest neighbor approach enhanced by constrained linearly sewing principle component algorithm. </w:t>
      </w:r>
      <w:r w:rsidRPr="009663B5">
        <w:rPr>
          <w:rFonts w:cs="Times New Roman"/>
          <w:i/>
          <w:iCs/>
          <w:noProof/>
          <w:szCs w:val="24"/>
        </w:rPr>
        <w:t>Transportation Research Part C: Emerging Technologies</w:t>
      </w:r>
      <w:r w:rsidRPr="009663B5">
        <w:rPr>
          <w:rFonts w:cs="Times New Roman"/>
          <w:noProof/>
          <w:szCs w:val="24"/>
        </w:rPr>
        <w:t xml:space="preserve">, </w:t>
      </w:r>
      <w:r w:rsidRPr="009663B5">
        <w:rPr>
          <w:rFonts w:cs="Times New Roman"/>
          <w:i/>
          <w:iCs/>
          <w:noProof/>
          <w:szCs w:val="24"/>
        </w:rPr>
        <w:t>43</w:t>
      </w:r>
      <w:r w:rsidRPr="009663B5">
        <w:rPr>
          <w:rFonts w:cs="Times New Roman"/>
          <w:noProof/>
          <w:szCs w:val="24"/>
        </w:rPr>
        <w:t>, 143–157. https://doi.org/10.1016/J.TRC.2014.02.009</w:t>
      </w:r>
    </w:p>
    <w:p w14:paraId="239DD653" w14:textId="77777777" w:rsidR="009663B5" w:rsidRPr="009663B5" w:rsidRDefault="009663B5" w:rsidP="00B615C1">
      <w:pPr>
        <w:widowControl w:val="0"/>
        <w:autoSpaceDE w:val="0"/>
        <w:autoSpaceDN w:val="0"/>
        <w:adjustRightInd w:val="0"/>
        <w:spacing w:after="240"/>
        <w:ind w:left="480" w:hanging="480"/>
        <w:rPr>
          <w:rFonts w:cs="Times New Roman"/>
          <w:noProof/>
          <w:szCs w:val="24"/>
        </w:rPr>
      </w:pPr>
      <w:r w:rsidRPr="009663B5">
        <w:rPr>
          <w:rFonts w:cs="Times New Roman"/>
          <w:noProof/>
          <w:szCs w:val="24"/>
        </w:rPr>
        <w:t xml:space="preserve">Zhu, J. Z., Cao, J. X., &amp; Zhu, Y. (2014). Traffic volume forecasting based on radial basis function neural network with the consideration of traffic flows at the adjacent intersections. </w:t>
      </w:r>
      <w:r w:rsidRPr="009663B5">
        <w:rPr>
          <w:rFonts w:cs="Times New Roman"/>
          <w:i/>
          <w:iCs/>
          <w:noProof/>
          <w:szCs w:val="24"/>
        </w:rPr>
        <w:t>Transportation Research Part C: Emerging Technologies</w:t>
      </w:r>
      <w:r w:rsidRPr="009663B5">
        <w:rPr>
          <w:rFonts w:cs="Times New Roman"/>
          <w:noProof/>
          <w:szCs w:val="24"/>
        </w:rPr>
        <w:t xml:space="preserve">, </w:t>
      </w:r>
      <w:r w:rsidRPr="009663B5">
        <w:rPr>
          <w:rFonts w:cs="Times New Roman"/>
          <w:i/>
          <w:iCs/>
          <w:noProof/>
          <w:szCs w:val="24"/>
        </w:rPr>
        <w:t>47</w:t>
      </w:r>
      <w:r w:rsidRPr="009663B5">
        <w:rPr>
          <w:rFonts w:cs="Times New Roman"/>
          <w:noProof/>
          <w:szCs w:val="24"/>
        </w:rPr>
        <w:t>(P2), 139–154. https://doi.org/10.1016/J.TRC.2014.06.011</w:t>
      </w:r>
    </w:p>
    <w:p w14:paraId="7933E5F9" w14:textId="73E856F0" w:rsidR="009663B5" w:rsidRPr="009663B5" w:rsidRDefault="009663B5" w:rsidP="00B615C1">
      <w:pPr>
        <w:widowControl w:val="0"/>
        <w:autoSpaceDE w:val="0"/>
        <w:autoSpaceDN w:val="0"/>
        <w:adjustRightInd w:val="0"/>
        <w:spacing w:after="240"/>
        <w:ind w:left="480" w:hanging="480"/>
        <w:rPr>
          <w:rFonts w:cs="Times New Roman"/>
          <w:noProof/>
        </w:rPr>
      </w:pPr>
      <w:r w:rsidRPr="009663B5">
        <w:rPr>
          <w:rFonts w:cs="Times New Roman"/>
          <w:noProof/>
          <w:szCs w:val="24"/>
        </w:rPr>
        <w:t>Ziemke, D., Nagel, K., &amp; Bhat, C. (2019). Integrating CEMDAP and MATSIM to Increase the Transferability of Transport Demand Models</w:t>
      </w:r>
      <w:r w:rsidR="00025109">
        <w:rPr>
          <w:rFonts w:cs="Times New Roman"/>
          <w:noProof/>
          <w:szCs w:val="24"/>
        </w:rPr>
        <w:t xml:space="preserve">. </w:t>
      </w:r>
      <w:r w:rsidR="00025109" w:rsidRPr="00025109">
        <w:rPr>
          <w:rFonts w:cs="Times New Roman"/>
          <w:i/>
          <w:iCs/>
          <w:noProof/>
          <w:szCs w:val="24"/>
        </w:rPr>
        <w:t>Transportation Research Record</w:t>
      </w:r>
      <w:r w:rsidR="00025109">
        <w:rPr>
          <w:rFonts w:cs="Times New Roman"/>
          <w:noProof/>
          <w:szCs w:val="24"/>
        </w:rPr>
        <w:t xml:space="preserve">, </w:t>
      </w:r>
      <w:r w:rsidR="00025109" w:rsidRPr="00025109">
        <w:rPr>
          <w:rFonts w:cs="Times New Roman"/>
          <w:i/>
          <w:iCs/>
          <w:noProof/>
          <w:szCs w:val="24"/>
        </w:rPr>
        <w:t>2493</w:t>
      </w:r>
      <w:r w:rsidR="00025109">
        <w:rPr>
          <w:rFonts w:cs="Times New Roman"/>
          <w:noProof/>
          <w:szCs w:val="24"/>
        </w:rPr>
        <w:t xml:space="preserve">(1), 117- 125. </w:t>
      </w:r>
      <w:r w:rsidRPr="009663B5">
        <w:rPr>
          <w:rFonts w:cs="Times New Roman"/>
          <w:i/>
          <w:iCs/>
          <w:noProof/>
          <w:szCs w:val="24"/>
        </w:rPr>
        <w:t>Https://Doi.Org/10.3141/2493-13</w:t>
      </w:r>
      <w:r w:rsidRPr="009663B5">
        <w:rPr>
          <w:rFonts w:cs="Times New Roman"/>
          <w:noProof/>
          <w:szCs w:val="24"/>
        </w:rPr>
        <w:t xml:space="preserve">, </w:t>
      </w:r>
      <w:r w:rsidRPr="009663B5">
        <w:rPr>
          <w:rFonts w:cs="Times New Roman"/>
          <w:i/>
          <w:iCs/>
          <w:noProof/>
          <w:szCs w:val="24"/>
        </w:rPr>
        <w:t>2493</w:t>
      </w:r>
      <w:r w:rsidRPr="009663B5">
        <w:rPr>
          <w:rFonts w:cs="Times New Roman"/>
          <w:noProof/>
          <w:szCs w:val="24"/>
        </w:rPr>
        <w:t>, 117–125. https://doi.org/10.3141/2493-13</w:t>
      </w:r>
    </w:p>
    <w:p w14:paraId="5094582F" w14:textId="77777777" w:rsidR="00916C77" w:rsidRDefault="009663B5" w:rsidP="0076794B">
      <w:r>
        <w:fldChar w:fldCharType="end"/>
      </w:r>
    </w:p>
    <w:p w14:paraId="7E35BFDB" w14:textId="77777777" w:rsidR="00916C77" w:rsidRDefault="00916C77" w:rsidP="0076794B"/>
    <w:p w14:paraId="76F36F35" w14:textId="77777777" w:rsidR="00771B4E" w:rsidRDefault="00771B4E" w:rsidP="0076794B"/>
    <w:p w14:paraId="1B505596" w14:textId="77777777" w:rsidR="00771B4E" w:rsidRDefault="00771B4E" w:rsidP="0076794B"/>
    <w:p w14:paraId="263C51B9" w14:textId="77777777" w:rsidR="00771B4E" w:rsidRPr="00771B4E" w:rsidRDefault="00771B4E" w:rsidP="0076794B"/>
    <w:p w14:paraId="30AA9C26" w14:textId="7AB41CE5" w:rsidR="001173E7" w:rsidRDefault="0076794B" w:rsidP="0076794B">
      <w:pPr>
        <w:jc w:val="center"/>
      </w:pPr>
      <w:r>
        <w:rPr>
          <w:noProof/>
        </w:rPr>
        <w:lastRenderedPageBreak/>
        <w:drawing>
          <wp:inline distT="0" distB="0" distL="0" distR="0" wp14:anchorId="6AC58449" wp14:editId="57CC5993">
            <wp:extent cx="5848651" cy="5156465"/>
            <wp:effectExtent l="0" t="0" r="0" b="6350"/>
            <wp:docPr id="31892615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26152" name="Picture 1"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48651" cy="5156465"/>
                    </a:xfrm>
                    <a:prstGeom prst="rect">
                      <a:avLst/>
                    </a:prstGeom>
                  </pic:spPr>
                </pic:pic>
              </a:graphicData>
            </a:graphic>
          </wp:inline>
        </w:drawing>
      </w:r>
    </w:p>
    <w:p w14:paraId="0A31257B" w14:textId="6CCEB25A" w:rsidR="00017027" w:rsidRDefault="00017027" w:rsidP="0076794B">
      <w:pPr>
        <w:pStyle w:val="Figure"/>
      </w:pPr>
      <w:r w:rsidRPr="0076794B">
        <w:rPr>
          <w:rStyle w:val="FigureChar"/>
          <w:b/>
        </w:rPr>
        <w:t>Figure 1:</w:t>
      </w:r>
      <w:r w:rsidRPr="00017027">
        <w:rPr>
          <w:bCs/>
        </w:rPr>
        <w:t xml:space="preserve"> </w:t>
      </w:r>
      <w:r w:rsidRPr="00017027">
        <w:t>Locations of the traffic count detectors</w:t>
      </w:r>
    </w:p>
    <w:p w14:paraId="509D063A" w14:textId="050840C7" w:rsidR="0076794B" w:rsidRDefault="00055DDD" w:rsidP="0076794B">
      <w:pPr>
        <w:pStyle w:val="Figure"/>
      </w:pPr>
      <w:r>
        <w:rPr>
          <w:noProof/>
        </w:rPr>
        <w:lastRenderedPageBreak/>
        <w:drawing>
          <wp:inline distT="0" distB="0" distL="0" distR="0" wp14:anchorId="28A9B776" wp14:editId="37CD3091">
            <wp:extent cx="5943600" cy="2980690"/>
            <wp:effectExtent l="0" t="0" r="0" b="0"/>
            <wp:docPr id="1177847406"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7406" name="Picture 2" descr="Chart, histo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980690"/>
                    </a:xfrm>
                    <a:prstGeom prst="rect">
                      <a:avLst/>
                    </a:prstGeom>
                  </pic:spPr>
                </pic:pic>
              </a:graphicData>
            </a:graphic>
          </wp:inline>
        </w:drawing>
      </w:r>
    </w:p>
    <w:p w14:paraId="0332FD69" w14:textId="4063ECAD" w:rsidR="0043607C" w:rsidRDefault="0043607C" w:rsidP="00055DDD">
      <w:pPr>
        <w:pStyle w:val="Figure"/>
        <w:jc w:val="both"/>
      </w:pPr>
      <w:r w:rsidRPr="0043607C">
        <w:t>Fig</w:t>
      </w:r>
      <w:r>
        <w:t>ure</w:t>
      </w:r>
      <w:r w:rsidRPr="0043607C">
        <w:t xml:space="preserve"> 2</w:t>
      </w:r>
      <w:r>
        <w:t>:</w:t>
      </w:r>
      <w:r w:rsidRPr="0043607C">
        <w:t xml:space="preserve"> Weekly COVID-19 transmission rate and traffic volume in Florida 2019 and 2020</w:t>
      </w:r>
    </w:p>
    <w:p w14:paraId="547B86CF" w14:textId="19B089AB" w:rsidR="00055DDD" w:rsidRDefault="00055DDD" w:rsidP="00055DDD">
      <w:pPr>
        <w:pStyle w:val="Figure"/>
        <w:jc w:val="both"/>
      </w:pPr>
    </w:p>
    <w:p w14:paraId="0344D86E" w14:textId="77777777" w:rsidR="00055DDD" w:rsidRDefault="00055DDD" w:rsidP="00055DDD">
      <w:pPr>
        <w:pStyle w:val="Figure"/>
        <w:jc w:val="both"/>
      </w:pPr>
    </w:p>
    <w:p w14:paraId="2CC40FD2" w14:textId="6A02AA1C" w:rsidR="00055DDD" w:rsidRDefault="00055DDD" w:rsidP="00055DDD">
      <w:pPr>
        <w:pStyle w:val="Figure"/>
        <w:jc w:val="both"/>
        <w:sectPr w:rsidR="00055DDD" w:rsidSect="003F3854">
          <w:headerReference w:type="default" r:id="rId13"/>
          <w:type w:val="continuous"/>
          <w:pgSz w:w="12240" w:h="15840" w:code="1"/>
          <w:pgMar w:top="1440" w:right="1440" w:bottom="1440" w:left="1440" w:header="0" w:footer="720" w:gutter="0"/>
          <w:cols w:space="720"/>
          <w:docGrid w:linePitch="360"/>
        </w:sectPr>
      </w:pPr>
    </w:p>
    <w:p w14:paraId="2BEEE949" w14:textId="37069E10" w:rsidR="00055DDD" w:rsidRDefault="00055DDD" w:rsidP="00055DDD">
      <w:pPr>
        <w:jc w:val="center"/>
      </w:pPr>
      <w:r>
        <w:rPr>
          <w:noProof/>
        </w:rPr>
        <w:lastRenderedPageBreak/>
        <w:drawing>
          <wp:inline distT="0" distB="0" distL="0" distR="0" wp14:anchorId="13EAA548" wp14:editId="670D9F59">
            <wp:extent cx="8212651" cy="4686300"/>
            <wp:effectExtent l="0" t="0" r="0" b="0"/>
            <wp:docPr id="2143625864"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25864" name="Picture 3"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232680" cy="4697729"/>
                    </a:xfrm>
                    <a:prstGeom prst="rect">
                      <a:avLst/>
                    </a:prstGeom>
                  </pic:spPr>
                </pic:pic>
              </a:graphicData>
            </a:graphic>
          </wp:inline>
        </w:drawing>
      </w:r>
    </w:p>
    <w:p w14:paraId="595DE887" w14:textId="0A0B5F1A" w:rsidR="00F002E5" w:rsidRDefault="00F002E5" w:rsidP="00055DDD">
      <w:pPr>
        <w:pStyle w:val="Figure"/>
      </w:pPr>
      <w:r>
        <w:t xml:space="preserve">Figure 3: Spatial and temporal changes in weekday’s traffic volume </w:t>
      </w:r>
    </w:p>
    <w:p w14:paraId="714C1F97" w14:textId="22B75739" w:rsidR="00055DDD" w:rsidRDefault="00055DDD" w:rsidP="00F002E5">
      <w:r>
        <w:rPr>
          <w:noProof/>
        </w:rPr>
        <w:lastRenderedPageBreak/>
        <w:drawing>
          <wp:inline distT="0" distB="0" distL="0" distR="0" wp14:anchorId="6E99F188" wp14:editId="1BAD937D">
            <wp:extent cx="8229600" cy="4764552"/>
            <wp:effectExtent l="0" t="0" r="0" b="0"/>
            <wp:docPr id="112320733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07334" name="Picture 4"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238732" cy="4769839"/>
                    </a:xfrm>
                    <a:prstGeom prst="rect">
                      <a:avLst/>
                    </a:prstGeom>
                  </pic:spPr>
                </pic:pic>
              </a:graphicData>
            </a:graphic>
          </wp:inline>
        </w:drawing>
      </w:r>
    </w:p>
    <w:p w14:paraId="62787B53" w14:textId="189D51EB" w:rsidR="00055DDD" w:rsidRDefault="00F002E5" w:rsidP="00055DDD">
      <w:pPr>
        <w:pStyle w:val="Figure"/>
        <w:sectPr w:rsidR="00055DDD" w:rsidSect="003F3854">
          <w:type w:val="continuous"/>
          <w:pgSz w:w="15840" w:h="12240" w:orient="landscape" w:code="1"/>
          <w:pgMar w:top="1440" w:right="1440" w:bottom="1440" w:left="1440" w:header="0" w:footer="720" w:gutter="0"/>
          <w:cols w:space="720"/>
          <w:docGrid w:linePitch="360"/>
        </w:sectPr>
      </w:pPr>
      <w:r>
        <w:t>Figure 4: Spatial and temporal changes in holiday’s traffic volum</w:t>
      </w:r>
      <w:r w:rsidR="000946E6">
        <w:t>e</w:t>
      </w:r>
    </w:p>
    <w:p w14:paraId="1FD8571A" w14:textId="294312CE" w:rsidR="0043112D" w:rsidRDefault="000D73F4" w:rsidP="00DB7B3E">
      <w:pPr>
        <w:spacing w:line="240" w:lineRule="auto"/>
        <w:contextualSpacing/>
        <w:jc w:val="center"/>
        <w:rPr>
          <w:b/>
          <w:bCs/>
        </w:rPr>
      </w:pPr>
      <w:r w:rsidRPr="006E6623">
        <w:rPr>
          <w:b/>
          <w:bCs/>
        </w:rPr>
        <w:t xml:space="preserve">Table 1: </w:t>
      </w:r>
      <w:r w:rsidR="0043112D" w:rsidRPr="006E6623">
        <w:rPr>
          <w:b/>
          <w:bCs/>
        </w:rPr>
        <w:t xml:space="preserve">Descriptive Summary of </w:t>
      </w:r>
      <w:r w:rsidR="007A7F2B" w:rsidRPr="007D6B0C">
        <w:rPr>
          <w:rFonts w:cs="Times New Roman"/>
          <w:b/>
          <w:bCs/>
        </w:rPr>
        <w:t xml:space="preserve">Variables with </w:t>
      </w:r>
      <w:r w:rsidR="007A7F2B">
        <w:rPr>
          <w:rFonts w:cs="Times New Roman"/>
          <w:b/>
          <w:bCs/>
        </w:rPr>
        <w:t>S</w:t>
      </w:r>
      <w:r w:rsidR="007A7F2B" w:rsidRPr="007D6B0C">
        <w:rPr>
          <w:rFonts w:cs="Times New Roman"/>
          <w:b/>
          <w:bCs/>
        </w:rPr>
        <w:t xml:space="preserve">ame </w:t>
      </w:r>
      <w:r w:rsidR="007A7F2B">
        <w:rPr>
          <w:rFonts w:cs="Times New Roman"/>
          <w:b/>
          <w:bCs/>
        </w:rPr>
        <w:t>V</w:t>
      </w:r>
      <w:r w:rsidR="007A7F2B" w:rsidRPr="007D6B0C">
        <w:rPr>
          <w:rFonts w:cs="Times New Roman"/>
          <w:b/>
          <w:bCs/>
        </w:rPr>
        <w:t xml:space="preserve">alues in </w:t>
      </w:r>
      <w:r w:rsidR="007A7F2B">
        <w:rPr>
          <w:rFonts w:cs="Times New Roman"/>
          <w:b/>
          <w:bCs/>
        </w:rPr>
        <w:t>B</w:t>
      </w:r>
      <w:r w:rsidR="007A7F2B" w:rsidRPr="007D6B0C">
        <w:rPr>
          <w:rFonts w:cs="Times New Roman"/>
          <w:b/>
          <w:bCs/>
        </w:rPr>
        <w:t xml:space="preserve">oth </w:t>
      </w:r>
      <w:r w:rsidR="007A7F2B">
        <w:rPr>
          <w:rFonts w:cs="Times New Roman"/>
          <w:b/>
          <w:bCs/>
        </w:rPr>
        <w:t>M</w:t>
      </w:r>
      <w:r w:rsidR="007A7F2B" w:rsidRPr="007D6B0C">
        <w:rPr>
          <w:rFonts w:cs="Times New Roman"/>
          <w:b/>
          <w:bCs/>
        </w:rPr>
        <w:t>odels (N = 3,957)</w:t>
      </w:r>
    </w:p>
    <w:p w14:paraId="17783444" w14:textId="77777777" w:rsidR="00F71E64" w:rsidRPr="009805AF" w:rsidRDefault="00F71E64" w:rsidP="00F71E64">
      <w:pPr>
        <w:spacing w:line="240" w:lineRule="auto"/>
        <w:contextualSpacing/>
        <w:jc w:val="center"/>
      </w:pPr>
    </w:p>
    <w:tbl>
      <w:tblPr>
        <w:tblStyle w:val="TableGrid"/>
        <w:tblW w:w="13594" w:type="dxa"/>
        <w:jc w:val="center"/>
        <w:tblLayout w:type="fixed"/>
        <w:tblLook w:val="04A0" w:firstRow="1" w:lastRow="0" w:firstColumn="1" w:lastColumn="0" w:noHBand="0" w:noVBand="1"/>
      </w:tblPr>
      <w:tblGrid>
        <w:gridCol w:w="2115"/>
        <w:gridCol w:w="3932"/>
        <w:gridCol w:w="2638"/>
        <w:gridCol w:w="3231"/>
        <w:gridCol w:w="1678"/>
      </w:tblGrid>
      <w:tr w:rsidR="00C67945" w:rsidRPr="007D6B0C" w14:paraId="7BAAF5D9" w14:textId="77777777" w:rsidTr="006B23D2">
        <w:trPr>
          <w:trHeight w:val="576"/>
          <w:jc w:val="center"/>
        </w:trPr>
        <w:tc>
          <w:tcPr>
            <w:tcW w:w="2115" w:type="dxa"/>
            <w:tcBorders>
              <w:top w:val="double" w:sz="12" w:space="0" w:color="000000"/>
              <w:left w:val="double" w:sz="12" w:space="0" w:color="auto"/>
              <w:bottom w:val="single" w:sz="12" w:space="0" w:color="auto"/>
            </w:tcBorders>
            <w:shd w:val="clear" w:color="auto" w:fill="auto"/>
            <w:noWrap/>
            <w:vAlign w:val="center"/>
          </w:tcPr>
          <w:p w14:paraId="1D228A9F" w14:textId="77777777" w:rsidR="00C67945" w:rsidRPr="007D6B0C" w:rsidRDefault="00C67945" w:rsidP="00474045">
            <w:pPr>
              <w:spacing w:line="276" w:lineRule="auto"/>
              <w:jc w:val="center"/>
              <w:rPr>
                <w:rFonts w:cs="Times New Roman"/>
                <w:b/>
                <w:bCs/>
              </w:rPr>
            </w:pPr>
            <w:r w:rsidRPr="007D6B0C">
              <w:rPr>
                <w:rFonts w:cs="Times New Roman"/>
                <w:b/>
                <w:bCs/>
              </w:rPr>
              <w:lastRenderedPageBreak/>
              <w:t>Variable</w:t>
            </w:r>
          </w:p>
        </w:tc>
        <w:tc>
          <w:tcPr>
            <w:tcW w:w="3932" w:type="dxa"/>
            <w:tcBorders>
              <w:top w:val="double" w:sz="12" w:space="0" w:color="000000"/>
              <w:bottom w:val="single" w:sz="12" w:space="0" w:color="auto"/>
            </w:tcBorders>
            <w:vAlign w:val="center"/>
          </w:tcPr>
          <w:p w14:paraId="512CC689" w14:textId="77777777" w:rsidR="00C67945" w:rsidRPr="007D6B0C" w:rsidRDefault="00C67945" w:rsidP="00474045">
            <w:pPr>
              <w:spacing w:line="276" w:lineRule="auto"/>
              <w:jc w:val="center"/>
              <w:rPr>
                <w:rFonts w:cs="Times New Roman"/>
                <w:b/>
                <w:bCs/>
              </w:rPr>
            </w:pPr>
            <w:r>
              <w:rPr>
                <w:rFonts w:cs="Times New Roman"/>
                <w:b/>
                <w:bCs/>
              </w:rPr>
              <w:t>Variable Description</w:t>
            </w:r>
          </w:p>
        </w:tc>
        <w:tc>
          <w:tcPr>
            <w:tcW w:w="2638" w:type="dxa"/>
            <w:tcBorders>
              <w:top w:val="double" w:sz="12" w:space="0" w:color="000000"/>
              <w:bottom w:val="single" w:sz="12" w:space="0" w:color="auto"/>
            </w:tcBorders>
            <w:shd w:val="clear" w:color="auto" w:fill="auto"/>
            <w:noWrap/>
            <w:vAlign w:val="center"/>
          </w:tcPr>
          <w:p w14:paraId="3DC94844" w14:textId="77777777" w:rsidR="00C67945" w:rsidRPr="007D6B0C" w:rsidRDefault="00C67945" w:rsidP="00474045">
            <w:pPr>
              <w:spacing w:line="276" w:lineRule="auto"/>
              <w:jc w:val="center"/>
              <w:rPr>
                <w:rFonts w:cs="Times New Roman"/>
                <w:b/>
                <w:bCs/>
              </w:rPr>
            </w:pPr>
            <w:r w:rsidRPr="007D6B0C">
              <w:rPr>
                <w:rFonts w:cs="Times New Roman"/>
                <w:b/>
                <w:bCs/>
              </w:rPr>
              <w:t>Min.</w:t>
            </w:r>
          </w:p>
        </w:tc>
        <w:tc>
          <w:tcPr>
            <w:tcW w:w="3231" w:type="dxa"/>
            <w:tcBorders>
              <w:top w:val="double" w:sz="12" w:space="0" w:color="000000"/>
              <w:bottom w:val="single" w:sz="12" w:space="0" w:color="auto"/>
            </w:tcBorders>
            <w:shd w:val="clear" w:color="auto" w:fill="auto"/>
            <w:noWrap/>
            <w:vAlign w:val="center"/>
          </w:tcPr>
          <w:p w14:paraId="6DE63204" w14:textId="77777777" w:rsidR="00C67945" w:rsidRPr="007D6B0C" w:rsidRDefault="00C67945" w:rsidP="00474045">
            <w:pPr>
              <w:spacing w:line="276" w:lineRule="auto"/>
              <w:jc w:val="center"/>
              <w:rPr>
                <w:rFonts w:cs="Times New Roman"/>
                <w:b/>
                <w:bCs/>
              </w:rPr>
            </w:pPr>
            <w:r w:rsidRPr="007D6B0C">
              <w:rPr>
                <w:rFonts w:cs="Times New Roman"/>
                <w:b/>
                <w:bCs/>
              </w:rPr>
              <w:t>Max.</w:t>
            </w:r>
          </w:p>
        </w:tc>
        <w:tc>
          <w:tcPr>
            <w:tcW w:w="1678" w:type="dxa"/>
            <w:tcBorders>
              <w:top w:val="double" w:sz="12" w:space="0" w:color="000000"/>
              <w:bottom w:val="single" w:sz="12" w:space="0" w:color="auto"/>
              <w:right w:val="double" w:sz="12" w:space="0" w:color="auto"/>
            </w:tcBorders>
            <w:shd w:val="clear" w:color="auto" w:fill="auto"/>
            <w:noWrap/>
            <w:vAlign w:val="center"/>
          </w:tcPr>
          <w:p w14:paraId="3319B113" w14:textId="77777777" w:rsidR="00C67945" w:rsidRPr="007D6B0C" w:rsidRDefault="00C67945" w:rsidP="00474045">
            <w:pPr>
              <w:spacing w:line="276" w:lineRule="auto"/>
              <w:jc w:val="center"/>
              <w:rPr>
                <w:rFonts w:cs="Times New Roman"/>
                <w:b/>
                <w:bCs/>
              </w:rPr>
            </w:pPr>
            <w:r w:rsidRPr="007D6B0C">
              <w:rPr>
                <w:rFonts w:cs="Times New Roman"/>
                <w:b/>
                <w:bCs/>
              </w:rPr>
              <w:t>Mean</w:t>
            </w:r>
          </w:p>
        </w:tc>
      </w:tr>
      <w:tr w:rsidR="00C67945" w:rsidRPr="007D6B0C" w14:paraId="565A05A3" w14:textId="77777777" w:rsidTr="006B23D2">
        <w:trPr>
          <w:trHeight w:val="576"/>
          <w:jc w:val="center"/>
        </w:trPr>
        <w:tc>
          <w:tcPr>
            <w:tcW w:w="13594" w:type="dxa"/>
            <w:gridSpan w:val="5"/>
            <w:tcBorders>
              <w:top w:val="single" w:sz="12" w:space="0" w:color="auto"/>
              <w:left w:val="double" w:sz="12" w:space="0" w:color="auto"/>
              <w:bottom w:val="single" w:sz="4" w:space="0" w:color="auto"/>
              <w:right w:val="double" w:sz="12" w:space="0" w:color="auto"/>
            </w:tcBorders>
            <w:shd w:val="clear" w:color="auto" w:fill="auto"/>
            <w:noWrap/>
            <w:vAlign w:val="center"/>
          </w:tcPr>
          <w:p w14:paraId="68A67EC4" w14:textId="77777777" w:rsidR="00C67945" w:rsidRPr="007D6B0C" w:rsidRDefault="00C67945" w:rsidP="00474045">
            <w:pPr>
              <w:spacing w:line="276" w:lineRule="auto"/>
              <w:rPr>
                <w:rFonts w:cs="Times New Roman"/>
                <w:color w:val="000000"/>
              </w:rPr>
            </w:pPr>
            <w:r w:rsidRPr="007D6B0C">
              <w:rPr>
                <w:rFonts w:cs="Times New Roman"/>
                <w:b/>
                <w:bCs/>
                <w:i/>
                <w:iCs/>
              </w:rPr>
              <w:t>Socioeconomics</w:t>
            </w:r>
          </w:p>
        </w:tc>
      </w:tr>
      <w:tr w:rsidR="00C67945" w:rsidRPr="007D6B0C" w14:paraId="4DAEEDE9" w14:textId="77777777" w:rsidTr="006B23D2">
        <w:trPr>
          <w:trHeight w:val="576"/>
          <w:jc w:val="center"/>
        </w:trPr>
        <w:tc>
          <w:tcPr>
            <w:tcW w:w="2115" w:type="dxa"/>
            <w:tcBorders>
              <w:top w:val="single" w:sz="4" w:space="0" w:color="auto"/>
              <w:left w:val="double" w:sz="12" w:space="0" w:color="auto"/>
              <w:bottom w:val="single" w:sz="4" w:space="0" w:color="auto"/>
            </w:tcBorders>
            <w:shd w:val="clear" w:color="auto" w:fill="auto"/>
            <w:noWrap/>
            <w:vAlign w:val="center"/>
            <w:hideMark/>
          </w:tcPr>
          <w:p w14:paraId="56970F49" w14:textId="77777777" w:rsidR="00C67945" w:rsidRPr="007D6B0C" w:rsidRDefault="00C67945" w:rsidP="00A036CE">
            <w:pPr>
              <w:spacing w:line="276" w:lineRule="auto"/>
              <w:ind w:left="216"/>
              <w:jc w:val="left"/>
              <w:rPr>
                <w:rFonts w:cs="Times New Roman"/>
              </w:rPr>
            </w:pPr>
            <w:r w:rsidRPr="007D6B0C">
              <w:rPr>
                <w:rFonts w:cs="Times New Roman"/>
              </w:rPr>
              <w:t>Low median income</w:t>
            </w:r>
          </w:p>
        </w:tc>
        <w:tc>
          <w:tcPr>
            <w:tcW w:w="3932" w:type="dxa"/>
            <w:tcBorders>
              <w:top w:val="single" w:sz="4" w:space="0" w:color="auto"/>
            </w:tcBorders>
            <w:vAlign w:val="center"/>
          </w:tcPr>
          <w:p w14:paraId="7C3251E3" w14:textId="77777777" w:rsidR="00C67945" w:rsidRPr="007D6B0C" w:rsidRDefault="00C67945" w:rsidP="00A036CE">
            <w:pPr>
              <w:spacing w:line="276" w:lineRule="auto"/>
              <w:jc w:val="left"/>
              <w:rPr>
                <w:rFonts w:cs="Times New Roman"/>
                <w:color w:val="000000"/>
              </w:rPr>
            </w:pPr>
            <w:r>
              <w:rPr>
                <w:rFonts w:cs="Times New Roman"/>
                <w:color w:val="000000"/>
              </w:rPr>
              <w:t xml:space="preserve">Annual median income </w:t>
            </w:r>
            <w:r w:rsidRPr="00D50BFF">
              <w:rPr>
                <w:rFonts w:cs="Times New Roman"/>
                <w:color w:val="000000"/>
              </w:rPr>
              <w:t>≤ $35,200</w:t>
            </w:r>
          </w:p>
        </w:tc>
        <w:tc>
          <w:tcPr>
            <w:tcW w:w="2638" w:type="dxa"/>
            <w:tcBorders>
              <w:top w:val="single" w:sz="4" w:space="0" w:color="auto"/>
            </w:tcBorders>
            <w:shd w:val="clear" w:color="auto" w:fill="auto"/>
            <w:noWrap/>
            <w:vAlign w:val="center"/>
          </w:tcPr>
          <w:p w14:paraId="317C60A9" w14:textId="77777777" w:rsidR="00C67945" w:rsidRPr="007D6B0C" w:rsidRDefault="00C67945" w:rsidP="00474045">
            <w:pPr>
              <w:spacing w:line="276" w:lineRule="auto"/>
              <w:jc w:val="center"/>
              <w:rPr>
                <w:rFonts w:cs="Times New Roman"/>
              </w:rPr>
            </w:pPr>
            <w:r w:rsidRPr="007D6B0C">
              <w:rPr>
                <w:rFonts w:cs="Times New Roman"/>
                <w:color w:val="000000"/>
              </w:rPr>
              <w:t>0.00</w:t>
            </w:r>
          </w:p>
        </w:tc>
        <w:tc>
          <w:tcPr>
            <w:tcW w:w="3231" w:type="dxa"/>
            <w:tcBorders>
              <w:top w:val="single" w:sz="4" w:space="0" w:color="auto"/>
            </w:tcBorders>
            <w:shd w:val="clear" w:color="auto" w:fill="auto"/>
            <w:noWrap/>
            <w:vAlign w:val="center"/>
          </w:tcPr>
          <w:p w14:paraId="0B94FC27" w14:textId="77777777" w:rsidR="00C67945" w:rsidRPr="007D6B0C" w:rsidRDefault="00C67945" w:rsidP="00474045">
            <w:pPr>
              <w:spacing w:line="276" w:lineRule="auto"/>
              <w:jc w:val="center"/>
              <w:rPr>
                <w:rFonts w:cs="Times New Roman"/>
              </w:rPr>
            </w:pPr>
            <w:r w:rsidRPr="007D6B0C">
              <w:rPr>
                <w:rFonts w:cs="Times New Roman"/>
                <w:color w:val="000000"/>
              </w:rPr>
              <w:t>1.00</w:t>
            </w:r>
          </w:p>
        </w:tc>
        <w:tc>
          <w:tcPr>
            <w:tcW w:w="1678" w:type="dxa"/>
            <w:tcBorders>
              <w:top w:val="single" w:sz="4" w:space="0" w:color="auto"/>
              <w:right w:val="double" w:sz="12" w:space="0" w:color="auto"/>
            </w:tcBorders>
            <w:shd w:val="clear" w:color="auto" w:fill="auto"/>
            <w:noWrap/>
            <w:vAlign w:val="center"/>
          </w:tcPr>
          <w:p w14:paraId="6D9A25F4" w14:textId="77777777" w:rsidR="00C67945" w:rsidRPr="007D6B0C" w:rsidRDefault="00C67945" w:rsidP="00474045">
            <w:pPr>
              <w:spacing w:line="276" w:lineRule="auto"/>
              <w:jc w:val="center"/>
              <w:rPr>
                <w:rFonts w:cs="Times New Roman"/>
              </w:rPr>
            </w:pPr>
            <w:r w:rsidRPr="007D6B0C">
              <w:rPr>
                <w:rFonts w:cs="Times New Roman"/>
                <w:color w:val="000000"/>
              </w:rPr>
              <w:t>0.04</w:t>
            </w:r>
          </w:p>
        </w:tc>
      </w:tr>
      <w:tr w:rsidR="00C67945" w:rsidRPr="007D6B0C" w14:paraId="6D78503C" w14:textId="77777777" w:rsidTr="006B23D2">
        <w:trPr>
          <w:trHeight w:val="576"/>
          <w:jc w:val="center"/>
        </w:trPr>
        <w:tc>
          <w:tcPr>
            <w:tcW w:w="2115" w:type="dxa"/>
            <w:tcBorders>
              <w:left w:val="double" w:sz="12" w:space="0" w:color="auto"/>
              <w:bottom w:val="single" w:sz="4" w:space="0" w:color="auto"/>
            </w:tcBorders>
            <w:shd w:val="clear" w:color="auto" w:fill="auto"/>
            <w:noWrap/>
            <w:vAlign w:val="center"/>
            <w:hideMark/>
          </w:tcPr>
          <w:p w14:paraId="4AE9EF9E" w14:textId="77777777" w:rsidR="00C67945" w:rsidRPr="007D6B0C" w:rsidRDefault="00C67945" w:rsidP="00A036CE">
            <w:pPr>
              <w:spacing w:line="276" w:lineRule="auto"/>
              <w:ind w:left="216"/>
              <w:jc w:val="left"/>
              <w:rPr>
                <w:rFonts w:cs="Times New Roman"/>
              </w:rPr>
            </w:pPr>
            <w:r w:rsidRPr="007D6B0C">
              <w:rPr>
                <w:rFonts w:cs="Times New Roman"/>
              </w:rPr>
              <w:t>Proportion of no vehicle household</w:t>
            </w:r>
          </w:p>
        </w:tc>
        <w:tc>
          <w:tcPr>
            <w:tcW w:w="3932" w:type="dxa"/>
            <w:vAlign w:val="center"/>
          </w:tcPr>
          <w:p w14:paraId="0B9A506D" w14:textId="2DFEDFD8" w:rsidR="00C67945" w:rsidRPr="007D6B0C" w:rsidRDefault="00C67945" w:rsidP="00A036CE">
            <w:pPr>
              <w:spacing w:line="276" w:lineRule="auto"/>
              <w:jc w:val="left"/>
              <w:rPr>
                <w:rFonts w:cs="Times New Roman"/>
                <w:color w:val="000000"/>
              </w:rPr>
            </w:pPr>
            <w:r>
              <w:rPr>
                <w:rFonts w:cs="Times New Roman"/>
                <w:color w:val="000000"/>
              </w:rPr>
              <w:t xml:space="preserve">Number of no vehicle household/ Total number of households in </w:t>
            </w:r>
            <w:r w:rsidR="00D1686A">
              <w:rPr>
                <w:rFonts w:cs="Times New Roman"/>
                <w:color w:val="000000"/>
              </w:rPr>
              <w:t>1.61 km (</w:t>
            </w:r>
            <w:r>
              <w:rPr>
                <w:rFonts w:cs="Times New Roman"/>
                <w:color w:val="000000"/>
              </w:rPr>
              <w:t>1</w:t>
            </w:r>
            <w:r w:rsidR="00D1686A">
              <w:rPr>
                <w:rFonts w:cs="Times New Roman"/>
                <w:color w:val="000000"/>
              </w:rPr>
              <w:t xml:space="preserve"> </w:t>
            </w:r>
            <w:r>
              <w:rPr>
                <w:rFonts w:cs="Times New Roman"/>
                <w:color w:val="000000"/>
              </w:rPr>
              <w:t>mile</w:t>
            </w:r>
            <w:r w:rsidR="00D1686A">
              <w:rPr>
                <w:rFonts w:cs="Times New Roman"/>
                <w:color w:val="000000"/>
              </w:rPr>
              <w:t>)</w:t>
            </w:r>
            <w:r>
              <w:rPr>
                <w:rFonts w:cs="Times New Roman"/>
                <w:color w:val="000000"/>
              </w:rPr>
              <w:t xml:space="preserve"> buffer</w:t>
            </w:r>
          </w:p>
        </w:tc>
        <w:tc>
          <w:tcPr>
            <w:tcW w:w="2638" w:type="dxa"/>
            <w:shd w:val="clear" w:color="auto" w:fill="auto"/>
            <w:noWrap/>
            <w:vAlign w:val="center"/>
          </w:tcPr>
          <w:p w14:paraId="3A0C18C6" w14:textId="77777777" w:rsidR="00C67945" w:rsidRPr="007D6B0C" w:rsidRDefault="00C67945" w:rsidP="00474045">
            <w:pPr>
              <w:spacing w:line="276" w:lineRule="auto"/>
              <w:jc w:val="center"/>
              <w:rPr>
                <w:rFonts w:cs="Times New Roman"/>
              </w:rPr>
            </w:pPr>
            <w:r w:rsidRPr="007D6B0C">
              <w:rPr>
                <w:rFonts w:cs="Times New Roman"/>
                <w:color w:val="000000"/>
              </w:rPr>
              <w:t>0.00</w:t>
            </w:r>
          </w:p>
        </w:tc>
        <w:tc>
          <w:tcPr>
            <w:tcW w:w="3231" w:type="dxa"/>
            <w:shd w:val="clear" w:color="auto" w:fill="auto"/>
            <w:noWrap/>
            <w:vAlign w:val="center"/>
          </w:tcPr>
          <w:p w14:paraId="7D1F4017" w14:textId="77777777" w:rsidR="00C67945" w:rsidRPr="007D6B0C" w:rsidRDefault="00C67945" w:rsidP="00474045">
            <w:pPr>
              <w:spacing w:line="276" w:lineRule="auto"/>
              <w:jc w:val="center"/>
              <w:rPr>
                <w:rFonts w:cs="Times New Roman"/>
              </w:rPr>
            </w:pPr>
            <w:r w:rsidRPr="007D6B0C">
              <w:rPr>
                <w:rFonts w:cs="Times New Roman"/>
                <w:color w:val="000000"/>
              </w:rPr>
              <w:t>0.33</w:t>
            </w:r>
          </w:p>
        </w:tc>
        <w:tc>
          <w:tcPr>
            <w:tcW w:w="1678" w:type="dxa"/>
            <w:tcBorders>
              <w:right w:val="double" w:sz="12" w:space="0" w:color="auto"/>
            </w:tcBorders>
            <w:shd w:val="clear" w:color="auto" w:fill="auto"/>
            <w:noWrap/>
            <w:vAlign w:val="center"/>
          </w:tcPr>
          <w:p w14:paraId="32EA9C3B" w14:textId="77777777" w:rsidR="00C67945" w:rsidRPr="007D6B0C" w:rsidRDefault="00C67945" w:rsidP="00474045">
            <w:pPr>
              <w:spacing w:line="276" w:lineRule="auto"/>
              <w:jc w:val="center"/>
              <w:rPr>
                <w:rFonts w:cs="Times New Roman"/>
              </w:rPr>
            </w:pPr>
            <w:r w:rsidRPr="007D6B0C">
              <w:rPr>
                <w:rFonts w:cs="Times New Roman"/>
                <w:color w:val="000000"/>
              </w:rPr>
              <w:t>0.07</w:t>
            </w:r>
          </w:p>
        </w:tc>
      </w:tr>
      <w:tr w:rsidR="00C67945" w:rsidRPr="007D6B0C" w14:paraId="3DA34914" w14:textId="77777777" w:rsidTr="006B23D2">
        <w:trPr>
          <w:trHeight w:val="576"/>
          <w:jc w:val="center"/>
        </w:trPr>
        <w:tc>
          <w:tcPr>
            <w:tcW w:w="2115" w:type="dxa"/>
            <w:tcBorders>
              <w:left w:val="double" w:sz="12" w:space="0" w:color="auto"/>
              <w:bottom w:val="single" w:sz="4" w:space="0" w:color="auto"/>
            </w:tcBorders>
            <w:shd w:val="clear" w:color="auto" w:fill="auto"/>
            <w:noWrap/>
            <w:vAlign w:val="center"/>
          </w:tcPr>
          <w:p w14:paraId="3BAAEE9B" w14:textId="77777777" w:rsidR="00C67945" w:rsidRPr="007D6B0C" w:rsidRDefault="00C67945" w:rsidP="00A036CE">
            <w:pPr>
              <w:spacing w:line="276" w:lineRule="auto"/>
              <w:ind w:left="216"/>
              <w:jc w:val="left"/>
              <w:rPr>
                <w:rFonts w:cs="Times New Roman"/>
              </w:rPr>
            </w:pPr>
            <w:r w:rsidRPr="007D6B0C">
              <w:rPr>
                <w:rFonts w:cs="Times New Roman"/>
              </w:rPr>
              <w:t>Employment population ratio</w:t>
            </w:r>
          </w:p>
        </w:tc>
        <w:tc>
          <w:tcPr>
            <w:tcW w:w="3932" w:type="dxa"/>
            <w:vAlign w:val="center"/>
          </w:tcPr>
          <w:p w14:paraId="27907DDC" w14:textId="07D4C904" w:rsidR="00C67945" w:rsidRPr="007D6B0C" w:rsidRDefault="00C67945" w:rsidP="00A036CE">
            <w:pPr>
              <w:spacing w:line="276" w:lineRule="auto"/>
              <w:jc w:val="left"/>
              <w:rPr>
                <w:rFonts w:cs="Times New Roman"/>
                <w:color w:val="000000"/>
              </w:rPr>
            </w:pPr>
            <w:r>
              <w:rPr>
                <w:rFonts w:cs="Times New Roman"/>
                <w:color w:val="000000"/>
              </w:rPr>
              <w:t xml:space="preserve">Total number of employed population/ Total population in </w:t>
            </w:r>
            <w:r w:rsidR="00D1686A">
              <w:rPr>
                <w:rFonts w:cs="Times New Roman"/>
                <w:color w:val="000000"/>
              </w:rPr>
              <w:t xml:space="preserve">1.61 km (1 mile) </w:t>
            </w:r>
            <w:r>
              <w:rPr>
                <w:rFonts w:cs="Times New Roman"/>
                <w:color w:val="000000"/>
              </w:rPr>
              <w:t>buffer</w:t>
            </w:r>
          </w:p>
        </w:tc>
        <w:tc>
          <w:tcPr>
            <w:tcW w:w="2638" w:type="dxa"/>
            <w:shd w:val="clear" w:color="auto" w:fill="auto"/>
            <w:noWrap/>
            <w:vAlign w:val="center"/>
          </w:tcPr>
          <w:p w14:paraId="6D393AAF" w14:textId="77777777" w:rsidR="00C67945" w:rsidRPr="007D6B0C" w:rsidRDefault="00C67945" w:rsidP="00474045">
            <w:pPr>
              <w:spacing w:line="276" w:lineRule="auto"/>
              <w:jc w:val="center"/>
              <w:rPr>
                <w:rFonts w:cs="Times New Roman"/>
                <w:color w:val="000000"/>
              </w:rPr>
            </w:pPr>
            <w:r w:rsidRPr="007D6B0C">
              <w:rPr>
                <w:rFonts w:cs="Times New Roman"/>
                <w:color w:val="000000"/>
              </w:rPr>
              <w:t>0.00</w:t>
            </w:r>
          </w:p>
        </w:tc>
        <w:tc>
          <w:tcPr>
            <w:tcW w:w="3231" w:type="dxa"/>
            <w:shd w:val="clear" w:color="auto" w:fill="auto"/>
            <w:noWrap/>
            <w:vAlign w:val="center"/>
          </w:tcPr>
          <w:p w14:paraId="478D3CA4" w14:textId="77777777" w:rsidR="00C67945" w:rsidRPr="007D6B0C" w:rsidRDefault="00C67945" w:rsidP="00474045">
            <w:pPr>
              <w:spacing w:line="276" w:lineRule="auto"/>
              <w:jc w:val="center"/>
              <w:rPr>
                <w:rFonts w:cs="Times New Roman"/>
                <w:color w:val="000000"/>
              </w:rPr>
            </w:pPr>
            <w:r w:rsidRPr="007D6B0C">
              <w:rPr>
                <w:rFonts w:cs="Times New Roman"/>
                <w:color w:val="000000"/>
              </w:rPr>
              <w:t>85.60</w:t>
            </w:r>
          </w:p>
        </w:tc>
        <w:tc>
          <w:tcPr>
            <w:tcW w:w="1678" w:type="dxa"/>
            <w:tcBorders>
              <w:right w:val="double" w:sz="12" w:space="0" w:color="auto"/>
            </w:tcBorders>
            <w:shd w:val="clear" w:color="auto" w:fill="auto"/>
            <w:noWrap/>
            <w:vAlign w:val="center"/>
          </w:tcPr>
          <w:p w14:paraId="105C3D2B" w14:textId="77777777" w:rsidR="00C67945" w:rsidRPr="007D6B0C" w:rsidRDefault="00C67945" w:rsidP="00474045">
            <w:pPr>
              <w:spacing w:line="276" w:lineRule="auto"/>
              <w:jc w:val="center"/>
              <w:rPr>
                <w:rFonts w:cs="Times New Roman"/>
                <w:color w:val="000000"/>
              </w:rPr>
            </w:pPr>
            <w:r w:rsidRPr="007D6B0C">
              <w:rPr>
                <w:rFonts w:cs="Times New Roman"/>
                <w:color w:val="000000"/>
              </w:rPr>
              <w:t>58.</w:t>
            </w:r>
            <w:r>
              <w:rPr>
                <w:rFonts w:cs="Times New Roman"/>
                <w:color w:val="000000"/>
              </w:rPr>
              <w:t>92</w:t>
            </w:r>
          </w:p>
        </w:tc>
      </w:tr>
      <w:tr w:rsidR="00C67945" w:rsidRPr="007D6B0C" w14:paraId="30EE9CD4" w14:textId="77777777" w:rsidTr="006B23D2">
        <w:trPr>
          <w:trHeight w:val="576"/>
          <w:jc w:val="center"/>
        </w:trPr>
        <w:tc>
          <w:tcPr>
            <w:tcW w:w="13594" w:type="dxa"/>
            <w:gridSpan w:val="5"/>
            <w:tcBorders>
              <w:left w:val="double" w:sz="12" w:space="0" w:color="auto"/>
              <w:bottom w:val="single" w:sz="4" w:space="0" w:color="auto"/>
              <w:right w:val="double" w:sz="12" w:space="0" w:color="auto"/>
            </w:tcBorders>
            <w:shd w:val="clear" w:color="auto" w:fill="auto"/>
            <w:noWrap/>
            <w:vAlign w:val="center"/>
          </w:tcPr>
          <w:p w14:paraId="3C374F6B" w14:textId="77777777" w:rsidR="00C67945" w:rsidRPr="007D6B0C" w:rsidRDefault="00C67945" w:rsidP="00A036CE">
            <w:pPr>
              <w:spacing w:line="276" w:lineRule="auto"/>
              <w:jc w:val="left"/>
              <w:rPr>
                <w:rFonts w:cs="Times New Roman"/>
                <w:b/>
                <w:bCs/>
                <w:i/>
                <w:iCs/>
                <w:color w:val="000000"/>
              </w:rPr>
            </w:pPr>
            <w:r w:rsidRPr="007D6B0C">
              <w:rPr>
                <w:rFonts w:cs="Times New Roman"/>
                <w:b/>
                <w:bCs/>
                <w:i/>
                <w:iCs/>
                <w:color w:val="000000"/>
              </w:rPr>
              <w:t>Land use characteristics</w:t>
            </w:r>
          </w:p>
        </w:tc>
      </w:tr>
      <w:tr w:rsidR="00C67945" w:rsidRPr="007D6B0C" w14:paraId="4904D5B1" w14:textId="77777777" w:rsidTr="006B23D2">
        <w:trPr>
          <w:trHeight w:val="576"/>
          <w:jc w:val="center"/>
        </w:trPr>
        <w:tc>
          <w:tcPr>
            <w:tcW w:w="2115" w:type="dxa"/>
            <w:tcBorders>
              <w:left w:val="double" w:sz="12" w:space="0" w:color="auto"/>
              <w:bottom w:val="single" w:sz="4" w:space="0" w:color="auto"/>
            </w:tcBorders>
            <w:shd w:val="clear" w:color="auto" w:fill="auto"/>
            <w:noWrap/>
            <w:vAlign w:val="center"/>
          </w:tcPr>
          <w:p w14:paraId="4D034C81" w14:textId="77777777" w:rsidR="00C67945" w:rsidRPr="007D6B0C" w:rsidRDefault="00C67945" w:rsidP="00A036CE">
            <w:pPr>
              <w:spacing w:line="276" w:lineRule="auto"/>
              <w:ind w:left="216"/>
              <w:jc w:val="left"/>
              <w:rPr>
                <w:rFonts w:cs="Times New Roman"/>
              </w:rPr>
            </w:pPr>
            <w:r w:rsidRPr="007D6B0C">
              <w:rPr>
                <w:rFonts w:cs="Times New Roman"/>
              </w:rPr>
              <w:t>Distance from the nearest CBD</w:t>
            </w:r>
          </w:p>
        </w:tc>
        <w:tc>
          <w:tcPr>
            <w:tcW w:w="3932" w:type="dxa"/>
            <w:vAlign w:val="center"/>
          </w:tcPr>
          <w:p w14:paraId="129AC263" w14:textId="1E65ECF3" w:rsidR="00C67945" w:rsidRPr="007D6B0C" w:rsidRDefault="00C67945" w:rsidP="00A036CE">
            <w:pPr>
              <w:spacing w:line="276" w:lineRule="auto"/>
              <w:jc w:val="left"/>
              <w:rPr>
                <w:rFonts w:cs="Times New Roman"/>
                <w:color w:val="000000"/>
              </w:rPr>
            </w:pPr>
            <w:r>
              <w:rPr>
                <w:rFonts w:cs="Times New Roman"/>
                <w:color w:val="000000"/>
              </w:rPr>
              <w:t xml:space="preserve">Distance of the detectors from the nearest CBD in </w:t>
            </w:r>
            <w:r w:rsidR="00EF3B0C">
              <w:rPr>
                <w:rFonts w:cs="Times New Roman"/>
                <w:color w:val="000000"/>
              </w:rPr>
              <w:t>kilometers</w:t>
            </w:r>
            <w:r w:rsidR="00E07815">
              <w:rPr>
                <w:rFonts w:cs="Times New Roman"/>
                <w:color w:val="000000"/>
              </w:rPr>
              <w:t xml:space="preserve"> </w:t>
            </w:r>
          </w:p>
        </w:tc>
        <w:tc>
          <w:tcPr>
            <w:tcW w:w="2638" w:type="dxa"/>
            <w:shd w:val="clear" w:color="auto" w:fill="auto"/>
            <w:noWrap/>
            <w:vAlign w:val="center"/>
          </w:tcPr>
          <w:p w14:paraId="56201B6B" w14:textId="5CD90206" w:rsidR="00C67945" w:rsidRPr="00F56521" w:rsidRDefault="002A2652" w:rsidP="00474045">
            <w:pPr>
              <w:spacing w:line="276" w:lineRule="auto"/>
              <w:jc w:val="center"/>
              <w:rPr>
                <w:rFonts w:cs="Times New Roman"/>
              </w:rPr>
            </w:pPr>
            <w:r w:rsidRPr="002A2652">
              <w:rPr>
                <w:rFonts w:cs="Times New Roman"/>
                <w:color w:val="000000"/>
              </w:rPr>
              <w:t>0.43</w:t>
            </w:r>
          </w:p>
        </w:tc>
        <w:tc>
          <w:tcPr>
            <w:tcW w:w="3231" w:type="dxa"/>
            <w:shd w:val="clear" w:color="auto" w:fill="auto"/>
            <w:noWrap/>
            <w:vAlign w:val="center"/>
          </w:tcPr>
          <w:p w14:paraId="28C8AE57" w14:textId="7B8DF516" w:rsidR="00C67945" w:rsidRPr="00F56521" w:rsidRDefault="008A6493" w:rsidP="00474045">
            <w:pPr>
              <w:spacing w:line="276" w:lineRule="auto"/>
              <w:jc w:val="center"/>
              <w:rPr>
                <w:rFonts w:cs="Times New Roman"/>
              </w:rPr>
            </w:pPr>
            <w:r w:rsidRPr="008A6493">
              <w:rPr>
                <w:rFonts w:cs="Times New Roman"/>
                <w:color w:val="000000"/>
              </w:rPr>
              <w:t>300.7</w:t>
            </w:r>
            <w:r>
              <w:rPr>
                <w:rFonts w:cs="Times New Roman"/>
                <w:color w:val="000000"/>
              </w:rPr>
              <w:t>1</w:t>
            </w:r>
          </w:p>
        </w:tc>
        <w:tc>
          <w:tcPr>
            <w:tcW w:w="1678" w:type="dxa"/>
            <w:tcBorders>
              <w:right w:val="double" w:sz="12" w:space="0" w:color="auto"/>
            </w:tcBorders>
            <w:shd w:val="clear" w:color="auto" w:fill="auto"/>
            <w:noWrap/>
            <w:vAlign w:val="center"/>
          </w:tcPr>
          <w:p w14:paraId="35D50A9C" w14:textId="7E8AB531" w:rsidR="00C67945" w:rsidRPr="00F56521" w:rsidRDefault="00A76CA0" w:rsidP="00474045">
            <w:pPr>
              <w:spacing w:line="276" w:lineRule="auto"/>
              <w:jc w:val="center"/>
              <w:rPr>
                <w:rFonts w:cs="Times New Roman"/>
              </w:rPr>
            </w:pPr>
            <w:r>
              <w:rPr>
                <w:rFonts w:cs="Times New Roman"/>
                <w:color w:val="000000"/>
              </w:rPr>
              <w:t>72.73</w:t>
            </w:r>
          </w:p>
        </w:tc>
      </w:tr>
      <w:tr w:rsidR="00C67945" w:rsidRPr="007D6B0C" w14:paraId="7425B30E" w14:textId="77777777" w:rsidTr="006B23D2">
        <w:trPr>
          <w:trHeight w:val="576"/>
          <w:jc w:val="center"/>
        </w:trPr>
        <w:tc>
          <w:tcPr>
            <w:tcW w:w="2115" w:type="dxa"/>
            <w:tcBorders>
              <w:left w:val="double" w:sz="12" w:space="0" w:color="auto"/>
              <w:bottom w:val="single" w:sz="4" w:space="0" w:color="auto"/>
            </w:tcBorders>
            <w:shd w:val="clear" w:color="auto" w:fill="auto"/>
            <w:noWrap/>
            <w:vAlign w:val="center"/>
            <w:hideMark/>
          </w:tcPr>
          <w:p w14:paraId="5986CB07" w14:textId="77777777" w:rsidR="00C67945" w:rsidRPr="007D6B0C" w:rsidRDefault="00C67945" w:rsidP="00A036CE">
            <w:pPr>
              <w:spacing w:line="276" w:lineRule="auto"/>
              <w:ind w:left="216"/>
              <w:jc w:val="left"/>
              <w:rPr>
                <w:rFonts w:cs="Times New Roman"/>
              </w:rPr>
            </w:pPr>
            <w:r w:rsidRPr="007D6B0C">
              <w:rPr>
                <w:rFonts w:cs="Times New Roman"/>
              </w:rPr>
              <w:t>Proportion of commercial area</w:t>
            </w:r>
          </w:p>
        </w:tc>
        <w:tc>
          <w:tcPr>
            <w:tcW w:w="3932" w:type="dxa"/>
            <w:vAlign w:val="center"/>
          </w:tcPr>
          <w:p w14:paraId="2327C2AE" w14:textId="68D5B234" w:rsidR="00C67945" w:rsidRPr="007D6B0C" w:rsidRDefault="00C67945" w:rsidP="00A036CE">
            <w:pPr>
              <w:spacing w:line="276" w:lineRule="auto"/>
              <w:jc w:val="left"/>
              <w:rPr>
                <w:rFonts w:cs="Times New Roman"/>
                <w:color w:val="000000"/>
              </w:rPr>
            </w:pPr>
            <w:r>
              <w:rPr>
                <w:rFonts w:cs="Times New Roman"/>
                <w:color w:val="000000"/>
              </w:rPr>
              <w:t xml:space="preserve">Commercial area/ Total land-use area in </w:t>
            </w:r>
            <w:r w:rsidR="00D1686A">
              <w:rPr>
                <w:rFonts w:cs="Times New Roman"/>
                <w:color w:val="000000"/>
              </w:rPr>
              <w:t xml:space="preserve">1.61 km (1 mile) </w:t>
            </w:r>
            <w:r>
              <w:rPr>
                <w:rFonts w:cs="Times New Roman"/>
                <w:color w:val="000000"/>
              </w:rPr>
              <w:t>buffer zone</w:t>
            </w:r>
          </w:p>
        </w:tc>
        <w:tc>
          <w:tcPr>
            <w:tcW w:w="2638" w:type="dxa"/>
            <w:shd w:val="clear" w:color="auto" w:fill="auto"/>
            <w:noWrap/>
            <w:vAlign w:val="center"/>
          </w:tcPr>
          <w:p w14:paraId="47645FB5" w14:textId="77777777" w:rsidR="00C67945" w:rsidRPr="007D6B0C" w:rsidRDefault="00C67945" w:rsidP="00474045">
            <w:pPr>
              <w:spacing w:line="276" w:lineRule="auto"/>
              <w:jc w:val="center"/>
              <w:rPr>
                <w:rFonts w:cs="Times New Roman"/>
              </w:rPr>
            </w:pPr>
            <w:r w:rsidRPr="007D6B0C">
              <w:rPr>
                <w:rFonts w:cs="Times New Roman"/>
                <w:color w:val="000000"/>
              </w:rPr>
              <w:t>0.00</w:t>
            </w:r>
          </w:p>
        </w:tc>
        <w:tc>
          <w:tcPr>
            <w:tcW w:w="3231" w:type="dxa"/>
            <w:shd w:val="clear" w:color="auto" w:fill="auto"/>
            <w:noWrap/>
            <w:vAlign w:val="center"/>
          </w:tcPr>
          <w:p w14:paraId="70B87C11" w14:textId="77777777" w:rsidR="00C67945" w:rsidRPr="007D6B0C" w:rsidRDefault="00C67945" w:rsidP="00474045">
            <w:pPr>
              <w:spacing w:line="276" w:lineRule="auto"/>
              <w:jc w:val="center"/>
              <w:rPr>
                <w:rFonts w:cs="Times New Roman"/>
              </w:rPr>
            </w:pPr>
            <w:r w:rsidRPr="007D6B0C">
              <w:rPr>
                <w:rFonts w:cs="Times New Roman"/>
                <w:color w:val="000000"/>
              </w:rPr>
              <w:t>1.00</w:t>
            </w:r>
          </w:p>
        </w:tc>
        <w:tc>
          <w:tcPr>
            <w:tcW w:w="1678" w:type="dxa"/>
            <w:tcBorders>
              <w:right w:val="double" w:sz="12" w:space="0" w:color="auto"/>
            </w:tcBorders>
            <w:shd w:val="clear" w:color="auto" w:fill="auto"/>
            <w:noWrap/>
            <w:vAlign w:val="center"/>
          </w:tcPr>
          <w:p w14:paraId="707C85CB" w14:textId="77777777" w:rsidR="00C67945" w:rsidRPr="007D6B0C" w:rsidRDefault="00C67945" w:rsidP="00474045">
            <w:pPr>
              <w:spacing w:line="276" w:lineRule="auto"/>
              <w:jc w:val="center"/>
              <w:rPr>
                <w:rFonts w:cs="Times New Roman"/>
              </w:rPr>
            </w:pPr>
            <w:r w:rsidRPr="007D6B0C">
              <w:rPr>
                <w:rFonts w:cs="Times New Roman"/>
                <w:color w:val="000000"/>
              </w:rPr>
              <w:t>0.14</w:t>
            </w:r>
          </w:p>
        </w:tc>
      </w:tr>
      <w:tr w:rsidR="00C67945" w:rsidRPr="007D6B0C" w14:paraId="539DD1BC" w14:textId="77777777" w:rsidTr="006B23D2">
        <w:trPr>
          <w:trHeight w:val="576"/>
          <w:jc w:val="center"/>
        </w:trPr>
        <w:tc>
          <w:tcPr>
            <w:tcW w:w="2115" w:type="dxa"/>
            <w:tcBorders>
              <w:left w:val="double" w:sz="12" w:space="0" w:color="auto"/>
              <w:bottom w:val="single" w:sz="4" w:space="0" w:color="auto"/>
            </w:tcBorders>
            <w:shd w:val="clear" w:color="auto" w:fill="auto"/>
            <w:noWrap/>
            <w:vAlign w:val="center"/>
            <w:hideMark/>
          </w:tcPr>
          <w:p w14:paraId="65531918" w14:textId="77777777" w:rsidR="00C67945" w:rsidRPr="007D6B0C" w:rsidRDefault="00C67945" w:rsidP="00A036CE">
            <w:pPr>
              <w:spacing w:line="276" w:lineRule="auto"/>
              <w:ind w:left="216"/>
              <w:jc w:val="left"/>
              <w:rPr>
                <w:rFonts w:cs="Times New Roman"/>
              </w:rPr>
            </w:pPr>
            <w:r w:rsidRPr="007D6B0C">
              <w:rPr>
                <w:rFonts w:cs="Times New Roman"/>
              </w:rPr>
              <w:t>Proportion of industrial areas</w:t>
            </w:r>
          </w:p>
        </w:tc>
        <w:tc>
          <w:tcPr>
            <w:tcW w:w="3932" w:type="dxa"/>
            <w:vAlign w:val="center"/>
          </w:tcPr>
          <w:p w14:paraId="3FF6950C" w14:textId="74F03F4E" w:rsidR="00C67945" w:rsidRPr="007D6B0C" w:rsidRDefault="00C67945" w:rsidP="00A036CE">
            <w:pPr>
              <w:spacing w:line="276" w:lineRule="auto"/>
              <w:jc w:val="left"/>
              <w:rPr>
                <w:rFonts w:cs="Times New Roman"/>
                <w:color w:val="000000"/>
              </w:rPr>
            </w:pPr>
            <w:r>
              <w:rPr>
                <w:rFonts w:cs="Times New Roman"/>
                <w:color w:val="000000"/>
              </w:rPr>
              <w:t xml:space="preserve">Industrial area/ Total land-use area in </w:t>
            </w:r>
            <w:r w:rsidR="00D1686A">
              <w:rPr>
                <w:rFonts w:cs="Times New Roman"/>
                <w:color w:val="000000"/>
              </w:rPr>
              <w:t xml:space="preserve">1.61 km (1 mile) </w:t>
            </w:r>
            <w:r>
              <w:rPr>
                <w:rFonts w:cs="Times New Roman"/>
                <w:color w:val="000000"/>
              </w:rPr>
              <w:t>buffer zone</w:t>
            </w:r>
          </w:p>
        </w:tc>
        <w:tc>
          <w:tcPr>
            <w:tcW w:w="2638" w:type="dxa"/>
            <w:shd w:val="clear" w:color="auto" w:fill="auto"/>
            <w:noWrap/>
            <w:vAlign w:val="center"/>
          </w:tcPr>
          <w:p w14:paraId="71C0B357" w14:textId="77777777" w:rsidR="00C67945" w:rsidRPr="007D6B0C" w:rsidRDefault="00C67945" w:rsidP="00474045">
            <w:pPr>
              <w:spacing w:line="276" w:lineRule="auto"/>
              <w:jc w:val="center"/>
              <w:rPr>
                <w:rFonts w:cs="Times New Roman"/>
              </w:rPr>
            </w:pPr>
            <w:r w:rsidRPr="007D6B0C">
              <w:rPr>
                <w:rFonts w:cs="Times New Roman"/>
                <w:color w:val="000000"/>
              </w:rPr>
              <w:t>0.00</w:t>
            </w:r>
          </w:p>
        </w:tc>
        <w:tc>
          <w:tcPr>
            <w:tcW w:w="3231" w:type="dxa"/>
            <w:shd w:val="clear" w:color="auto" w:fill="auto"/>
            <w:noWrap/>
            <w:vAlign w:val="center"/>
          </w:tcPr>
          <w:p w14:paraId="08AD0379" w14:textId="77777777" w:rsidR="00C67945" w:rsidRPr="007D6B0C" w:rsidRDefault="00C67945" w:rsidP="00474045">
            <w:pPr>
              <w:spacing w:line="276" w:lineRule="auto"/>
              <w:jc w:val="center"/>
              <w:rPr>
                <w:rFonts w:cs="Times New Roman"/>
              </w:rPr>
            </w:pPr>
            <w:r w:rsidRPr="007D6B0C">
              <w:rPr>
                <w:rFonts w:cs="Times New Roman"/>
                <w:color w:val="000000"/>
              </w:rPr>
              <w:t>0.88</w:t>
            </w:r>
          </w:p>
        </w:tc>
        <w:tc>
          <w:tcPr>
            <w:tcW w:w="1678" w:type="dxa"/>
            <w:tcBorders>
              <w:right w:val="double" w:sz="12" w:space="0" w:color="auto"/>
            </w:tcBorders>
            <w:shd w:val="clear" w:color="auto" w:fill="auto"/>
            <w:noWrap/>
            <w:vAlign w:val="center"/>
          </w:tcPr>
          <w:p w14:paraId="706AFDF7" w14:textId="77777777" w:rsidR="00C67945" w:rsidRPr="007D6B0C" w:rsidRDefault="00C67945" w:rsidP="00474045">
            <w:pPr>
              <w:spacing w:line="276" w:lineRule="auto"/>
              <w:jc w:val="center"/>
              <w:rPr>
                <w:rFonts w:cs="Times New Roman"/>
              </w:rPr>
            </w:pPr>
            <w:r w:rsidRPr="007D6B0C">
              <w:rPr>
                <w:rFonts w:cs="Times New Roman"/>
                <w:color w:val="000000"/>
              </w:rPr>
              <w:t>0.05</w:t>
            </w:r>
          </w:p>
        </w:tc>
      </w:tr>
      <w:tr w:rsidR="00C67945" w:rsidRPr="007D6B0C" w14:paraId="2C7FE385" w14:textId="77777777" w:rsidTr="006B23D2">
        <w:trPr>
          <w:trHeight w:val="576"/>
          <w:jc w:val="center"/>
        </w:trPr>
        <w:tc>
          <w:tcPr>
            <w:tcW w:w="2115" w:type="dxa"/>
            <w:tcBorders>
              <w:left w:val="double" w:sz="12" w:space="0" w:color="auto"/>
              <w:bottom w:val="single" w:sz="4" w:space="0" w:color="auto"/>
            </w:tcBorders>
            <w:shd w:val="clear" w:color="auto" w:fill="auto"/>
            <w:noWrap/>
            <w:vAlign w:val="center"/>
            <w:hideMark/>
          </w:tcPr>
          <w:p w14:paraId="6883ED70" w14:textId="77777777" w:rsidR="00C67945" w:rsidRPr="007D6B0C" w:rsidRDefault="00C67945" w:rsidP="00A036CE">
            <w:pPr>
              <w:spacing w:line="276" w:lineRule="auto"/>
              <w:ind w:left="216"/>
              <w:jc w:val="left"/>
              <w:rPr>
                <w:rFonts w:cs="Times New Roman"/>
              </w:rPr>
            </w:pPr>
            <w:r w:rsidRPr="007D6B0C">
              <w:rPr>
                <w:rFonts w:cs="Times New Roman"/>
              </w:rPr>
              <w:t>Proportion of recreational area</w:t>
            </w:r>
          </w:p>
        </w:tc>
        <w:tc>
          <w:tcPr>
            <w:tcW w:w="3932" w:type="dxa"/>
            <w:vAlign w:val="center"/>
          </w:tcPr>
          <w:p w14:paraId="2838E138" w14:textId="266F2619" w:rsidR="00C67945" w:rsidRPr="007D6B0C" w:rsidRDefault="00C67945" w:rsidP="00A036CE">
            <w:pPr>
              <w:spacing w:line="276" w:lineRule="auto"/>
              <w:jc w:val="left"/>
              <w:rPr>
                <w:rFonts w:cs="Times New Roman"/>
                <w:color w:val="000000"/>
              </w:rPr>
            </w:pPr>
            <w:r>
              <w:rPr>
                <w:rFonts w:cs="Times New Roman"/>
                <w:color w:val="000000"/>
              </w:rPr>
              <w:t xml:space="preserve">Recreational area/ Total land-use area in </w:t>
            </w:r>
            <w:r w:rsidR="00D1686A">
              <w:rPr>
                <w:rFonts w:cs="Times New Roman"/>
                <w:color w:val="000000"/>
              </w:rPr>
              <w:t xml:space="preserve">1.61 km (1 mile) </w:t>
            </w:r>
            <w:r>
              <w:rPr>
                <w:rFonts w:cs="Times New Roman"/>
                <w:color w:val="000000"/>
              </w:rPr>
              <w:t>buffer zone</w:t>
            </w:r>
          </w:p>
        </w:tc>
        <w:tc>
          <w:tcPr>
            <w:tcW w:w="2638" w:type="dxa"/>
            <w:shd w:val="clear" w:color="auto" w:fill="auto"/>
            <w:noWrap/>
            <w:vAlign w:val="center"/>
          </w:tcPr>
          <w:p w14:paraId="2924DAAA" w14:textId="77777777" w:rsidR="00C67945" w:rsidRPr="007D6B0C" w:rsidRDefault="00C67945" w:rsidP="00474045">
            <w:pPr>
              <w:spacing w:line="276" w:lineRule="auto"/>
              <w:jc w:val="center"/>
              <w:rPr>
                <w:rFonts w:cs="Times New Roman"/>
              </w:rPr>
            </w:pPr>
            <w:r w:rsidRPr="007D6B0C">
              <w:rPr>
                <w:rFonts w:cs="Times New Roman"/>
                <w:color w:val="000000"/>
              </w:rPr>
              <w:t>0.00</w:t>
            </w:r>
          </w:p>
        </w:tc>
        <w:tc>
          <w:tcPr>
            <w:tcW w:w="3231" w:type="dxa"/>
            <w:shd w:val="clear" w:color="auto" w:fill="auto"/>
            <w:noWrap/>
            <w:vAlign w:val="center"/>
          </w:tcPr>
          <w:p w14:paraId="05E583E1" w14:textId="77777777" w:rsidR="00C67945" w:rsidRPr="007D6B0C" w:rsidRDefault="00C67945" w:rsidP="00474045">
            <w:pPr>
              <w:spacing w:line="276" w:lineRule="auto"/>
              <w:jc w:val="center"/>
              <w:rPr>
                <w:rFonts w:cs="Times New Roman"/>
              </w:rPr>
            </w:pPr>
            <w:r w:rsidRPr="007D6B0C">
              <w:rPr>
                <w:rFonts w:cs="Times New Roman"/>
                <w:color w:val="000000"/>
              </w:rPr>
              <w:t>1.00</w:t>
            </w:r>
          </w:p>
        </w:tc>
        <w:tc>
          <w:tcPr>
            <w:tcW w:w="1678" w:type="dxa"/>
            <w:tcBorders>
              <w:right w:val="double" w:sz="12" w:space="0" w:color="auto"/>
            </w:tcBorders>
            <w:shd w:val="clear" w:color="auto" w:fill="auto"/>
            <w:noWrap/>
            <w:vAlign w:val="center"/>
          </w:tcPr>
          <w:p w14:paraId="5100F33A" w14:textId="77777777" w:rsidR="00C67945" w:rsidRPr="007D6B0C" w:rsidRDefault="00C67945" w:rsidP="00474045">
            <w:pPr>
              <w:spacing w:line="276" w:lineRule="auto"/>
              <w:jc w:val="center"/>
              <w:rPr>
                <w:rFonts w:cs="Times New Roman"/>
              </w:rPr>
            </w:pPr>
            <w:r w:rsidRPr="007D6B0C">
              <w:rPr>
                <w:rFonts w:cs="Times New Roman"/>
                <w:color w:val="000000"/>
              </w:rPr>
              <w:t>0.13</w:t>
            </w:r>
          </w:p>
        </w:tc>
      </w:tr>
      <w:tr w:rsidR="00C67945" w:rsidRPr="007D6B0C" w14:paraId="14F53C4D" w14:textId="77777777" w:rsidTr="006B23D2">
        <w:trPr>
          <w:trHeight w:val="576"/>
          <w:jc w:val="center"/>
        </w:trPr>
        <w:tc>
          <w:tcPr>
            <w:tcW w:w="2115" w:type="dxa"/>
            <w:tcBorders>
              <w:left w:val="double" w:sz="12" w:space="0" w:color="auto"/>
              <w:bottom w:val="single" w:sz="4" w:space="0" w:color="auto"/>
            </w:tcBorders>
            <w:shd w:val="clear" w:color="auto" w:fill="auto"/>
            <w:noWrap/>
            <w:vAlign w:val="center"/>
          </w:tcPr>
          <w:p w14:paraId="41482AED" w14:textId="77777777" w:rsidR="00C67945" w:rsidRPr="007D6B0C" w:rsidRDefault="00C67945" w:rsidP="00A036CE">
            <w:pPr>
              <w:spacing w:line="276" w:lineRule="auto"/>
              <w:ind w:left="216"/>
              <w:jc w:val="left"/>
              <w:rPr>
                <w:rFonts w:cs="Times New Roman"/>
              </w:rPr>
            </w:pPr>
            <w:r w:rsidRPr="007D6B0C">
              <w:rPr>
                <w:rFonts w:cs="Times New Roman"/>
              </w:rPr>
              <w:t>Proportion of institutional area</w:t>
            </w:r>
          </w:p>
        </w:tc>
        <w:tc>
          <w:tcPr>
            <w:tcW w:w="3932" w:type="dxa"/>
            <w:vAlign w:val="center"/>
          </w:tcPr>
          <w:p w14:paraId="08A39620" w14:textId="7CEFBB21" w:rsidR="00C67945" w:rsidRPr="007D6B0C" w:rsidRDefault="00C67945" w:rsidP="00A036CE">
            <w:pPr>
              <w:spacing w:line="276" w:lineRule="auto"/>
              <w:jc w:val="left"/>
              <w:rPr>
                <w:rFonts w:cs="Times New Roman"/>
                <w:color w:val="000000"/>
              </w:rPr>
            </w:pPr>
            <w:r>
              <w:rPr>
                <w:rFonts w:cs="Times New Roman"/>
                <w:color w:val="000000"/>
              </w:rPr>
              <w:t xml:space="preserve">Institutional area/ Total land-use area in </w:t>
            </w:r>
            <w:r w:rsidR="00D1686A">
              <w:rPr>
                <w:rFonts w:cs="Times New Roman"/>
                <w:color w:val="000000"/>
              </w:rPr>
              <w:t xml:space="preserve">1.61 km (1 mile) </w:t>
            </w:r>
            <w:r>
              <w:rPr>
                <w:rFonts w:cs="Times New Roman"/>
                <w:color w:val="000000"/>
              </w:rPr>
              <w:t>buffer zone</w:t>
            </w:r>
          </w:p>
        </w:tc>
        <w:tc>
          <w:tcPr>
            <w:tcW w:w="2638" w:type="dxa"/>
            <w:shd w:val="clear" w:color="auto" w:fill="auto"/>
            <w:noWrap/>
            <w:vAlign w:val="center"/>
          </w:tcPr>
          <w:p w14:paraId="06C2FCCE" w14:textId="77777777" w:rsidR="00C67945" w:rsidRPr="007D6B0C" w:rsidRDefault="00C67945" w:rsidP="00474045">
            <w:pPr>
              <w:spacing w:line="276" w:lineRule="auto"/>
              <w:jc w:val="center"/>
              <w:rPr>
                <w:rFonts w:cs="Times New Roman"/>
              </w:rPr>
            </w:pPr>
            <w:r w:rsidRPr="007D6B0C">
              <w:rPr>
                <w:rFonts w:cs="Times New Roman"/>
                <w:color w:val="000000"/>
              </w:rPr>
              <w:t>0.00</w:t>
            </w:r>
          </w:p>
        </w:tc>
        <w:tc>
          <w:tcPr>
            <w:tcW w:w="3231" w:type="dxa"/>
            <w:shd w:val="clear" w:color="auto" w:fill="auto"/>
            <w:noWrap/>
            <w:vAlign w:val="center"/>
          </w:tcPr>
          <w:p w14:paraId="016920A3" w14:textId="77777777" w:rsidR="00C67945" w:rsidRPr="007D6B0C" w:rsidRDefault="00C67945" w:rsidP="00474045">
            <w:pPr>
              <w:spacing w:line="276" w:lineRule="auto"/>
              <w:jc w:val="center"/>
              <w:rPr>
                <w:rFonts w:cs="Times New Roman"/>
              </w:rPr>
            </w:pPr>
            <w:r w:rsidRPr="007D6B0C">
              <w:rPr>
                <w:rFonts w:cs="Times New Roman"/>
                <w:color w:val="000000"/>
              </w:rPr>
              <w:t>0.79</w:t>
            </w:r>
          </w:p>
        </w:tc>
        <w:tc>
          <w:tcPr>
            <w:tcW w:w="1678" w:type="dxa"/>
            <w:tcBorders>
              <w:right w:val="double" w:sz="12" w:space="0" w:color="auto"/>
            </w:tcBorders>
            <w:shd w:val="clear" w:color="auto" w:fill="auto"/>
            <w:noWrap/>
            <w:vAlign w:val="center"/>
          </w:tcPr>
          <w:p w14:paraId="3915D0BA" w14:textId="77777777" w:rsidR="00C67945" w:rsidRPr="007D6B0C" w:rsidRDefault="00C67945" w:rsidP="00474045">
            <w:pPr>
              <w:spacing w:line="276" w:lineRule="auto"/>
              <w:jc w:val="center"/>
              <w:rPr>
                <w:rFonts w:cs="Times New Roman"/>
              </w:rPr>
            </w:pPr>
            <w:r w:rsidRPr="007D6B0C">
              <w:rPr>
                <w:rFonts w:cs="Times New Roman"/>
                <w:color w:val="000000"/>
              </w:rPr>
              <w:t>0.07</w:t>
            </w:r>
          </w:p>
        </w:tc>
      </w:tr>
      <w:tr w:rsidR="00C67945" w:rsidRPr="007D6B0C" w14:paraId="74EB0506" w14:textId="77777777" w:rsidTr="006B23D2">
        <w:trPr>
          <w:trHeight w:val="576"/>
          <w:jc w:val="center"/>
        </w:trPr>
        <w:tc>
          <w:tcPr>
            <w:tcW w:w="2115" w:type="dxa"/>
            <w:tcBorders>
              <w:left w:val="double" w:sz="12" w:space="0" w:color="auto"/>
              <w:bottom w:val="single" w:sz="4" w:space="0" w:color="auto"/>
            </w:tcBorders>
            <w:shd w:val="clear" w:color="auto" w:fill="auto"/>
            <w:noWrap/>
            <w:vAlign w:val="center"/>
          </w:tcPr>
          <w:p w14:paraId="1F1714EA" w14:textId="77777777" w:rsidR="00C67945" w:rsidRPr="007D6B0C" w:rsidRDefault="00C67945" w:rsidP="00474045">
            <w:pPr>
              <w:spacing w:line="276" w:lineRule="auto"/>
              <w:ind w:left="216"/>
              <w:rPr>
                <w:rFonts w:cs="Times New Roman"/>
              </w:rPr>
            </w:pPr>
            <w:r w:rsidRPr="007D6B0C">
              <w:rPr>
                <w:rFonts w:cs="Times New Roman"/>
              </w:rPr>
              <w:t>Proportion of residential area</w:t>
            </w:r>
          </w:p>
        </w:tc>
        <w:tc>
          <w:tcPr>
            <w:tcW w:w="3932" w:type="dxa"/>
            <w:vAlign w:val="center"/>
          </w:tcPr>
          <w:p w14:paraId="538A1EA9" w14:textId="30F15114" w:rsidR="00C67945" w:rsidRPr="007D6B0C" w:rsidRDefault="00C67945" w:rsidP="00474045">
            <w:pPr>
              <w:spacing w:line="276" w:lineRule="auto"/>
              <w:rPr>
                <w:rFonts w:cs="Times New Roman"/>
                <w:color w:val="000000"/>
              </w:rPr>
            </w:pPr>
            <w:r>
              <w:rPr>
                <w:rFonts w:cs="Times New Roman"/>
                <w:color w:val="000000"/>
              </w:rPr>
              <w:t xml:space="preserve">Residential area/ Total land-use area in </w:t>
            </w:r>
            <w:r w:rsidR="00D1686A">
              <w:rPr>
                <w:rFonts w:cs="Times New Roman"/>
                <w:color w:val="000000"/>
              </w:rPr>
              <w:t xml:space="preserve">1.61 km (1 mile) </w:t>
            </w:r>
            <w:r>
              <w:rPr>
                <w:rFonts w:cs="Times New Roman"/>
                <w:color w:val="000000"/>
              </w:rPr>
              <w:t>buffer zone</w:t>
            </w:r>
          </w:p>
        </w:tc>
        <w:tc>
          <w:tcPr>
            <w:tcW w:w="2638" w:type="dxa"/>
            <w:shd w:val="clear" w:color="auto" w:fill="auto"/>
            <w:noWrap/>
            <w:vAlign w:val="center"/>
          </w:tcPr>
          <w:p w14:paraId="74C7286F" w14:textId="77777777" w:rsidR="00C67945" w:rsidRPr="007D6B0C" w:rsidRDefault="00C67945" w:rsidP="00474045">
            <w:pPr>
              <w:spacing w:line="276" w:lineRule="auto"/>
              <w:jc w:val="center"/>
              <w:rPr>
                <w:rFonts w:cs="Times New Roman"/>
                <w:color w:val="000000"/>
              </w:rPr>
            </w:pPr>
            <w:r w:rsidRPr="007D6B0C">
              <w:rPr>
                <w:rFonts w:cs="Times New Roman"/>
                <w:color w:val="000000"/>
              </w:rPr>
              <w:t>0.00</w:t>
            </w:r>
          </w:p>
        </w:tc>
        <w:tc>
          <w:tcPr>
            <w:tcW w:w="3231" w:type="dxa"/>
            <w:shd w:val="clear" w:color="auto" w:fill="auto"/>
            <w:noWrap/>
            <w:vAlign w:val="center"/>
          </w:tcPr>
          <w:p w14:paraId="176731DF" w14:textId="77777777" w:rsidR="00C67945" w:rsidRPr="007D6B0C" w:rsidRDefault="00C67945" w:rsidP="00474045">
            <w:pPr>
              <w:spacing w:line="276" w:lineRule="auto"/>
              <w:jc w:val="center"/>
              <w:rPr>
                <w:rFonts w:cs="Times New Roman"/>
                <w:color w:val="000000"/>
              </w:rPr>
            </w:pPr>
            <w:r w:rsidRPr="007D6B0C">
              <w:rPr>
                <w:rFonts w:cs="Times New Roman"/>
                <w:color w:val="000000"/>
              </w:rPr>
              <w:t>1.00</w:t>
            </w:r>
          </w:p>
        </w:tc>
        <w:tc>
          <w:tcPr>
            <w:tcW w:w="1678" w:type="dxa"/>
            <w:tcBorders>
              <w:right w:val="double" w:sz="12" w:space="0" w:color="auto"/>
            </w:tcBorders>
            <w:shd w:val="clear" w:color="auto" w:fill="auto"/>
            <w:noWrap/>
            <w:vAlign w:val="center"/>
          </w:tcPr>
          <w:p w14:paraId="6CF1021D" w14:textId="77777777" w:rsidR="00C67945" w:rsidRPr="007D6B0C" w:rsidRDefault="00C67945" w:rsidP="00474045">
            <w:pPr>
              <w:spacing w:line="276" w:lineRule="auto"/>
              <w:jc w:val="center"/>
              <w:rPr>
                <w:rFonts w:cs="Times New Roman"/>
                <w:color w:val="000000"/>
              </w:rPr>
            </w:pPr>
            <w:r w:rsidRPr="007D6B0C">
              <w:rPr>
                <w:rFonts w:cs="Times New Roman"/>
                <w:color w:val="000000"/>
              </w:rPr>
              <w:t>0.58</w:t>
            </w:r>
          </w:p>
        </w:tc>
      </w:tr>
      <w:tr w:rsidR="00C67945" w:rsidRPr="007D6B0C" w14:paraId="06E91A5B" w14:textId="77777777" w:rsidTr="008663BA">
        <w:trPr>
          <w:trHeight w:val="533"/>
          <w:jc w:val="center"/>
        </w:trPr>
        <w:tc>
          <w:tcPr>
            <w:tcW w:w="13594" w:type="dxa"/>
            <w:gridSpan w:val="5"/>
            <w:tcBorders>
              <w:left w:val="double" w:sz="12" w:space="0" w:color="auto"/>
              <w:bottom w:val="single" w:sz="4" w:space="0" w:color="auto"/>
              <w:right w:val="double" w:sz="12" w:space="0" w:color="auto"/>
            </w:tcBorders>
            <w:shd w:val="clear" w:color="auto" w:fill="auto"/>
            <w:noWrap/>
            <w:vAlign w:val="center"/>
          </w:tcPr>
          <w:p w14:paraId="772CA5FF" w14:textId="77777777" w:rsidR="00C67945" w:rsidRPr="007D6B0C" w:rsidRDefault="00C67945" w:rsidP="00474045">
            <w:pPr>
              <w:spacing w:line="276" w:lineRule="auto"/>
              <w:rPr>
                <w:rFonts w:cs="Times New Roman"/>
                <w:color w:val="000000"/>
              </w:rPr>
            </w:pPr>
            <w:r w:rsidRPr="007D6B0C">
              <w:rPr>
                <w:rFonts w:cs="Times New Roman"/>
                <w:b/>
                <w:bCs/>
                <w:i/>
                <w:iCs/>
              </w:rPr>
              <w:t>Built environment attributes</w:t>
            </w:r>
          </w:p>
        </w:tc>
      </w:tr>
      <w:tr w:rsidR="00C67945" w:rsidRPr="007D6B0C" w14:paraId="0D78C36D" w14:textId="77777777" w:rsidTr="008663BA">
        <w:trPr>
          <w:trHeight w:val="533"/>
          <w:jc w:val="center"/>
        </w:trPr>
        <w:tc>
          <w:tcPr>
            <w:tcW w:w="2115" w:type="dxa"/>
            <w:tcBorders>
              <w:left w:val="double" w:sz="12" w:space="0" w:color="auto"/>
              <w:bottom w:val="single" w:sz="4" w:space="0" w:color="auto"/>
            </w:tcBorders>
            <w:shd w:val="clear" w:color="auto" w:fill="auto"/>
            <w:noWrap/>
            <w:vAlign w:val="center"/>
            <w:hideMark/>
          </w:tcPr>
          <w:p w14:paraId="37A4CC22" w14:textId="77777777" w:rsidR="00C67945" w:rsidRPr="007D6B0C" w:rsidRDefault="00C67945" w:rsidP="008663BA">
            <w:pPr>
              <w:spacing w:line="276" w:lineRule="auto"/>
              <w:ind w:left="216"/>
              <w:jc w:val="left"/>
              <w:rPr>
                <w:rFonts w:cs="Times New Roman"/>
              </w:rPr>
            </w:pPr>
            <w:r w:rsidRPr="007D6B0C">
              <w:rPr>
                <w:rFonts w:cs="Times New Roman"/>
              </w:rPr>
              <w:lastRenderedPageBreak/>
              <w:t>Number of shopping center</w:t>
            </w:r>
          </w:p>
        </w:tc>
        <w:tc>
          <w:tcPr>
            <w:tcW w:w="3932" w:type="dxa"/>
            <w:vAlign w:val="center"/>
          </w:tcPr>
          <w:p w14:paraId="4837FB3C" w14:textId="6790D4ED" w:rsidR="00C67945" w:rsidRPr="007D6B0C" w:rsidRDefault="00C67945" w:rsidP="008663BA">
            <w:pPr>
              <w:spacing w:line="276" w:lineRule="auto"/>
              <w:jc w:val="left"/>
              <w:rPr>
                <w:rFonts w:cs="Times New Roman"/>
                <w:color w:val="000000"/>
              </w:rPr>
            </w:pPr>
            <w:r>
              <w:rPr>
                <w:rFonts w:cs="Times New Roman"/>
                <w:color w:val="000000"/>
              </w:rPr>
              <w:t xml:space="preserve">Total number of shopping centers in </w:t>
            </w:r>
            <w:r w:rsidR="00D1686A">
              <w:rPr>
                <w:rFonts w:cs="Times New Roman"/>
                <w:color w:val="000000"/>
              </w:rPr>
              <w:t xml:space="preserve">1.61 km (1 mile) </w:t>
            </w:r>
            <w:r>
              <w:rPr>
                <w:rFonts w:cs="Times New Roman"/>
                <w:color w:val="000000"/>
              </w:rPr>
              <w:t>buffer zone</w:t>
            </w:r>
          </w:p>
        </w:tc>
        <w:tc>
          <w:tcPr>
            <w:tcW w:w="2638" w:type="dxa"/>
            <w:shd w:val="clear" w:color="auto" w:fill="auto"/>
            <w:noWrap/>
            <w:vAlign w:val="center"/>
          </w:tcPr>
          <w:p w14:paraId="26AE0032" w14:textId="77777777" w:rsidR="00C67945" w:rsidRPr="007D6B0C" w:rsidRDefault="00C67945" w:rsidP="00474045">
            <w:pPr>
              <w:spacing w:line="276" w:lineRule="auto"/>
              <w:jc w:val="center"/>
              <w:rPr>
                <w:rFonts w:cs="Times New Roman"/>
              </w:rPr>
            </w:pPr>
            <w:r w:rsidRPr="007D6B0C">
              <w:rPr>
                <w:rFonts w:cs="Times New Roman"/>
                <w:color w:val="000000"/>
              </w:rPr>
              <w:t>0.00</w:t>
            </w:r>
          </w:p>
        </w:tc>
        <w:tc>
          <w:tcPr>
            <w:tcW w:w="3231" w:type="dxa"/>
            <w:shd w:val="clear" w:color="auto" w:fill="auto"/>
            <w:noWrap/>
            <w:vAlign w:val="center"/>
          </w:tcPr>
          <w:p w14:paraId="7C4A3801" w14:textId="77777777" w:rsidR="00C67945" w:rsidRPr="007D6B0C" w:rsidRDefault="00C67945" w:rsidP="00474045">
            <w:pPr>
              <w:spacing w:line="276" w:lineRule="auto"/>
              <w:jc w:val="center"/>
              <w:rPr>
                <w:rFonts w:cs="Times New Roman"/>
              </w:rPr>
            </w:pPr>
            <w:r w:rsidRPr="007D6B0C">
              <w:rPr>
                <w:rFonts w:cs="Times New Roman"/>
                <w:color w:val="000000"/>
              </w:rPr>
              <w:t>279.00</w:t>
            </w:r>
          </w:p>
        </w:tc>
        <w:tc>
          <w:tcPr>
            <w:tcW w:w="1678" w:type="dxa"/>
            <w:tcBorders>
              <w:right w:val="double" w:sz="12" w:space="0" w:color="auto"/>
            </w:tcBorders>
            <w:shd w:val="clear" w:color="auto" w:fill="auto"/>
            <w:noWrap/>
            <w:vAlign w:val="center"/>
          </w:tcPr>
          <w:p w14:paraId="46538742" w14:textId="77777777" w:rsidR="00C67945" w:rsidRPr="007D6B0C" w:rsidRDefault="00C67945" w:rsidP="00474045">
            <w:pPr>
              <w:spacing w:line="276" w:lineRule="auto"/>
              <w:jc w:val="center"/>
              <w:rPr>
                <w:rFonts w:cs="Times New Roman"/>
              </w:rPr>
            </w:pPr>
            <w:r w:rsidRPr="007D6B0C">
              <w:rPr>
                <w:rFonts w:cs="Times New Roman"/>
                <w:color w:val="000000"/>
              </w:rPr>
              <w:t>18.</w:t>
            </w:r>
            <w:r>
              <w:rPr>
                <w:rFonts w:cs="Times New Roman"/>
                <w:color w:val="000000"/>
              </w:rPr>
              <w:t>30</w:t>
            </w:r>
          </w:p>
        </w:tc>
      </w:tr>
      <w:tr w:rsidR="00C67945" w:rsidRPr="007D6B0C" w14:paraId="541A23A1" w14:textId="77777777" w:rsidTr="008663BA">
        <w:trPr>
          <w:trHeight w:val="533"/>
          <w:jc w:val="center"/>
        </w:trPr>
        <w:tc>
          <w:tcPr>
            <w:tcW w:w="2115" w:type="dxa"/>
            <w:tcBorders>
              <w:left w:val="double" w:sz="12" w:space="0" w:color="auto"/>
              <w:bottom w:val="single" w:sz="4" w:space="0" w:color="auto"/>
            </w:tcBorders>
            <w:shd w:val="clear" w:color="auto" w:fill="auto"/>
            <w:noWrap/>
            <w:vAlign w:val="center"/>
            <w:hideMark/>
          </w:tcPr>
          <w:p w14:paraId="6CEDD4E8" w14:textId="77777777" w:rsidR="00C67945" w:rsidRPr="007D6B0C" w:rsidRDefault="00C67945" w:rsidP="008663BA">
            <w:pPr>
              <w:spacing w:line="276" w:lineRule="auto"/>
              <w:ind w:left="216"/>
              <w:jc w:val="left"/>
              <w:rPr>
                <w:rFonts w:cs="Times New Roman"/>
              </w:rPr>
            </w:pPr>
            <w:r w:rsidRPr="007D6B0C">
              <w:rPr>
                <w:rFonts w:cs="Times New Roman"/>
              </w:rPr>
              <w:t>Number of restaurants</w:t>
            </w:r>
          </w:p>
        </w:tc>
        <w:tc>
          <w:tcPr>
            <w:tcW w:w="3932" w:type="dxa"/>
            <w:vAlign w:val="center"/>
          </w:tcPr>
          <w:p w14:paraId="7B0DBDD7" w14:textId="4E941200" w:rsidR="00C67945" w:rsidRPr="007D6B0C" w:rsidRDefault="00C67945" w:rsidP="008663BA">
            <w:pPr>
              <w:spacing w:line="276" w:lineRule="auto"/>
              <w:jc w:val="left"/>
              <w:rPr>
                <w:rFonts w:cs="Times New Roman"/>
                <w:color w:val="000000"/>
              </w:rPr>
            </w:pPr>
            <w:r>
              <w:rPr>
                <w:rFonts w:cs="Times New Roman"/>
                <w:color w:val="000000"/>
              </w:rPr>
              <w:t xml:space="preserve">Total number of restaurants in </w:t>
            </w:r>
            <w:r w:rsidR="00D1686A">
              <w:rPr>
                <w:rFonts w:cs="Times New Roman"/>
                <w:color w:val="000000"/>
              </w:rPr>
              <w:t xml:space="preserve">1.61 km (1 mile) </w:t>
            </w:r>
            <w:r>
              <w:rPr>
                <w:rFonts w:cs="Times New Roman"/>
                <w:color w:val="000000"/>
              </w:rPr>
              <w:t>buffer zone</w:t>
            </w:r>
          </w:p>
        </w:tc>
        <w:tc>
          <w:tcPr>
            <w:tcW w:w="2638" w:type="dxa"/>
            <w:shd w:val="clear" w:color="auto" w:fill="auto"/>
            <w:noWrap/>
            <w:vAlign w:val="center"/>
          </w:tcPr>
          <w:p w14:paraId="5938E128" w14:textId="77777777" w:rsidR="00C67945" w:rsidRPr="007D6B0C" w:rsidRDefault="00C67945" w:rsidP="00474045">
            <w:pPr>
              <w:spacing w:line="276" w:lineRule="auto"/>
              <w:jc w:val="center"/>
              <w:rPr>
                <w:rFonts w:cs="Times New Roman"/>
              </w:rPr>
            </w:pPr>
            <w:r w:rsidRPr="007D6B0C">
              <w:rPr>
                <w:rFonts w:cs="Times New Roman"/>
                <w:color w:val="000000"/>
              </w:rPr>
              <w:t>0.00</w:t>
            </w:r>
          </w:p>
        </w:tc>
        <w:tc>
          <w:tcPr>
            <w:tcW w:w="3231" w:type="dxa"/>
            <w:shd w:val="clear" w:color="auto" w:fill="auto"/>
            <w:noWrap/>
            <w:vAlign w:val="center"/>
          </w:tcPr>
          <w:p w14:paraId="7622A5B4" w14:textId="77777777" w:rsidR="00C67945" w:rsidRPr="007D6B0C" w:rsidRDefault="00C67945" w:rsidP="00474045">
            <w:pPr>
              <w:spacing w:line="276" w:lineRule="auto"/>
              <w:jc w:val="center"/>
              <w:rPr>
                <w:rFonts w:cs="Times New Roman"/>
              </w:rPr>
            </w:pPr>
            <w:r w:rsidRPr="007D6B0C">
              <w:rPr>
                <w:rFonts w:cs="Times New Roman"/>
                <w:color w:val="000000"/>
              </w:rPr>
              <w:t>321.00</w:t>
            </w:r>
          </w:p>
        </w:tc>
        <w:tc>
          <w:tcPr>
            <w:tcW w:w="1678" w:type="dxa"/>
            <w:tcBorders>
              <w:right w:val="double" w:sz="12" w:space="0" w:color="auto"/>
            </w:tcBorders>
            <w:shd w:val="clear" w:color="auto" w:fill="auto"/>
            <w:noWrap/>
            <w:vAlign w:val="center"/>
          </w:tcPr>
          <w:p w14:paraId="2A3BD2FE" w14:textId="77777777" w:rsidR="00C67945" w:rsidRPr="007D6B0C" w:rsidRDefault="00C67945" w:rsidP="00474045">
            <w:pPr>
              <w:spacing w:line="276" w:lineRule="auto"/>
              <w:jc w:val="center"/>
              <w:rPr>
                <w:rFonts w:cs="Times New Roman"/>
              </w:rPr>
            </w:pPr>
            <w:r w:rsidRPr="007D6B0C">
              <w:rPr>
                <w:rFonts w:cs="Times New Roman"/>
                <w:color w:val="000000"/>
              </w:rPr>
              <w:t>1</w:t>
            </w:r>
            <w:r>
              <w:rPr>
                <w:rFonts w:cs="Times New Roman"/>
                <w:color w:val="000000"/>
              </w:rPr>
              <w:t>3.13</w:t>
            </w:r>
          </w:p>
        </w:tc>
      </w:tr>
      <w:tr w:rsidR="00C67945" w:rsidRPr="007D6B0C" w14:paraId="6500E0B2" w14:textId="77777777" w:rsidTr="008663BA">
        <w:trPr>
          <w:trHeight w:val="533"/>
          <w:jc w:val="center"/>
        </w:trPr>
        <w:tc>
          <w:tcPr>
            <w:tcW w:w="13594" w:type="dxa"/>
            <w:gridSpan w:val="5"/>
            <w:tcBorders>
              <w:left w:val="double" w:sz="12" w:space="0" w:color="auto"/>
              <w:bottom w:val="single" w:sz="4" w:space="0" w:color="auto"/>
              <w:right w:val="double" w:sz="12" w:space="0" w:color="auto"/>
            </w:tcBorders>
            <w:shd w:val="clear" w:color="auto" w:fill="auto"/>
            <w:noWrap/>
            <w:vAlign w:val="center"/>
          </w:tcPr>
          <w:p w14:paraId="09D5AAAA" w14:textId="77777777" w:rsidR="00C67945" w:rsidRPr="007D6B0C" w:rsidRDefault="00C67945" w:rsidP="008663BA">
            <w:pPr>
              <w:spacing w:line="276" w:lineRule="auto"/>
              <w:jc w:val="left"/>
              <w:rPr>
                <w:rFonts w:cs="Times New Roman"/>
                <w:color w:val="000000"/>
              </w:rPr>
            </w:pPr>
            <w:r w:rsidRPr="007D6B0C">
              <w:rPr>
                <w:rFonts w:cs="Times New Roman"/>
                <w:b/>
                <w:bCs/>
                <w:i/>
                <w:iCs/>
              </w:rPr>
              <w:t>Roadway characteristics</w:t>
            </w:r>
          </w:p>
        </w:tc>
      </w:tr>
      <w:tr w:rsidR="00C67945" w:rsidRPr="007D6B0C" w14:paraId="1150413D" w14:textId="77777777" w:rsidTr="008663BA">
        <w:trPr>
          <w:trHeight w:val="533"/>
          <w:jc w:val="center"/>
        </w:trPr>
        <w:tc>
          <w:tcPr>
            <w:tcW w:w="2115" w:type="dxa"/>
            <w:tcBorders>
              <w:left w:val="double" w:sz="12" w:space="0" w:color="auto"/>
              <w:bottom w:val="single" w:sz="4" w:space="0" w:color="auto"/>
            </w:tcBorders>
            <w:shd w:val="clear" w:color="auto" w:fill="auto"/>
            <w:noWrap/>
            <w:vAlign w:val="center"/>
            <w:hideMark/>
          </w:tcPr>
          <w:p w14:paraId="6DB8FB8E" w14:textId="77777777" w:rsidR="00C67945" w:rsidRPr="007D6B0C" w:rsidRDefault="00C67945" w:rsidP="008663BA">
            <w:pPr>
              <w:spacing w:line="276" w:lineRule="auto"/>
              <w:ind w:left="216"/>
              <w:jc w:val="left"/>
              <w:rPr>
                <w:rFonts w:cs="Times New Roman"/>
              </w:rPr>
            </w:pPr>
            <w:r w:rsidRPr="007D6B0C">
              <w:rPr>
                <w:rFonts w:cs="Times New Roman"/>
              </w:rPr>
              <w:t>Number of Lanes</w:t>
            </w:r>
          </w:p>
        </w:tc>
        <w:tc>
          <w:tcPr>
            <w:tcW w:w="3932" w:type="dxa"/>
            <w:vAlign w:val="center"/>
          </w:tcPr>
          <w:p w14:paraId="6C977031" w14:textId="12B65AFF" w:rsidR="00C67945" w:rsidRPr="007D6B0C" w:rsidRDefault="00C67945" w:rsidP="008663BA">
            <w:pPr>
              <w:spacing w:line="276" w:lineRule="auto"/>
              <w:jc w:val="left"/>
              <w:rPr>
                <w:rFonts w:cs="Times New Roman"/>
                <w:color w:val="000000"/>
              </w:rPr>
            </w:pPr>
            <w:r>
              <w:rPr>
                <w:rFonts w:cs="Times New Roman"/>
                <w:color w:val="000000"/>
              </w:rPr>
              <w:t xml:space="preserve">Average number of lanes in </w:t>
            </w:r>
            <w:r w:rsidR="00D1686A">
              <w:rPr>
                <w:rFonts w:cs="Times New Roman"/>
                <w:color w:val="000000"/>
              </w:rPr>
              <w:t xml:space="preserve">1.61 km (1 mile) </w:t>
            </w:r>
            <w:r>
              <w:rPr>
                <w:rFonts w:cs="Times New Roman"/>
                <w:color w:val="000000"/>
              </w:rPr>
              <w:t>buffer zone</w:t>
            </w:r>
          </w:p>
        </w:tc>
        <w:tc>
          <w:tcPr>
            <w:tcW w:w="2638" w:type="dxa"/>
            <w:shd w:val="clear" w:color="auto" w:fill="auto"/>
            <w:noWrap/>
            <w:vAlign w:val="center"/>
          </w:tcPr>
          <w:p w14:paraId="08B80084" w14:textId="77777777" w:rsidR="00C67945" w:rsidRPr="007D6B0C" w:rsidRDefault="00C67945" w:rsidP="00474045">
            <w:pPr>
              <w:spacing w:line="276" w:lineRule="auto"/>
              <w:jc w:val="center"/>
              <w:rPr>
                <w:rFonts w:cs="Times New Roman"/>
              </w:rPr>
            </w:pPr>
            <w:r w:rsidRPr="007D6B0C">
              <w:rPr>
                <w:rFonts w:cs="Times New Roman"/>
                <w:color w:val="000000"/>
              </w:rPr>
              <w:t>2.00</w:t>
            </w:r>
          </w:p>
        </w:tc>
        <w:tc>
          <w:tcPr>
            <w:tcW w:w="3231" w:type="dxa"/>
            <w:shd w:val="clear" w:color="auto" w:fill="auto"/>
            <w:noWrap/>
            <w:vAlign w:val="center"/>
          </w:tcPr>
          <w:p w14:paraId="15F86D0C" w14:textId="77777777" w:rsidR="00C67945" w:rsidRPr="007D6B0C" w:rsidRDefault="00C67945" w:rsidP="00474045">
            <w:pPr>
              <w:spacing w:line="276" w:lineRule="auto"/>
              <w:jc w:val="center"/>
              <w:rPr>
                <w:rFonts w:cs="Times New Roman"/>
              </w:rPr>
            </w:pPr>
            <w:r w:rsidRPr="007D6B0C">
              <w:rPr>
                <w:rFonts w:cs="Times New Roman"/>
                <w:color w:val="000000"/>
              </w:rPr>
              <w:t>7.00</w:t>
            </w:r>
          </w:p>
        </w:tc>
        <w:tc>
          <w:tcPr>
            <w:tcW w:w="1678" w:type="dxa"/>
            <w:tcBorders>
              <w:right w:val="double" w:sz="12" w:space="0" w:color="auto"/>
            </w:tcBorders>
            <w:shd w:val="clear" w:color="auto" w:fill="auto"/>
            <w:noWrap/>
            <w:vAlign w:val="center"/>
          </w:tcPr>
          <w:p w14:paraId="767C1576" w14:textId="77777777" w:rsidR="00C67945" w:rsidRPr="007D6B0C" w:rsidRDefault="00C67945" w:rsidP="00474045">
            <w:pPr>
              <w:spacing w:line="276" w:lineRule="auto"/>
              <w:jc w:val="center"/>
              <w:rPr>
                <w:rFonts w:cs="Times New Roman"/>
              </w:rPr>
            </w:pPr>
            <w:r w:rsidRPr="007D6B0C">
              <w:rPr>
                <w:rFonts w:cs="Times New Roman"/>
                <w:color w:val="000000"/>
              </w:rPr>
              <w:t>3.53</w:t>
            </w:r>
          </w:p>
        </w:tc>
      </w:tr>
      <w:tr w:rsidR="00C67945" w:rsidRPr="007D6B0C" w14:paraId="256D1E54" w14:textId="77777777" w:rsidTr="008663BA">
        <w:trPr>
          <w:trHeight w:val="533"/>
          <w:jc w:val="center"/>
        </w:trPr>
        <w:tc>
          <w:tcPr>
            <w:tcW w:w="2115" w:type="dxa"/>
            <w:tcBorders>
              <w:left w:val="double" w:sz="12" w:space="0" w:color="auto"/>
              <w:bottom w:val="single" w:sz="4" w:space="0" w:color="auto"/>
            </w:tcBorders>
            <w:shd w:val="clear" w:color="auto" w:fill="auto"/>
            <w:noWrap/>
            <w:vAlign w:val="center"/>
          </w:tcPr>
          <w:p w14:paraId="4EE36DE4" w14:textId="77777777" w:rsidR="00C67945" w:rsidRPr="007D6B0C" w:rsidRDefault="00C67945" w:rsidP="008663BA">
            <w:pPr>
              <w:spacing w:line="276" w:lineRule="auto"/>
              <w:ind w:left="216"/>
              <w:jc w:val="left"/>
              <w:rPr>
                <w:rFonts w:cs="Times New Roman"/>
              </w:rPr>
            </w:pPr>
            <w:r w:rsidRPr="007D6B0C">
              <w:rPr>
                <w:rFonts w:cs="Times New Roman"/>
              </w:rPr>
              <w:t>Maximum speed limit</w:t>
            </w:r>
          </w:p>
        </w:tc>
        <w:tc>
          <w:tcPr>
            <w:tcW w:w="3932" w:type="dxa"/>
            <w:vAlign w:val="center"/>
          </w:tcPr>
          <w:p w14:paraId="05FBAE88" w14:textId="0788BB8A" w:rsidR="00C67945" w:rsidRPr="007D6B0C" w:rsidRDefault="00C67945" w:rsidP="008663BA">
            <w:pPr>
              <w:spacing w:line="276" w:lineRule="auto"/>
              <w:jc w:val="left"/>
              <w:rPr>
                <w:rFonts w:cs="Times New Roman"/>
                <w:color w:val="000000"/>
              </w:rPr>
            </w:pPr>
            <w:r>
              <w:rPr>
                <w:rFonts w:cs="Times New Roman"/>
                <w:color w:val="000000"/>
              </w:rPr>
              <w:t xml:space="preserve">Maximum speed limit within </w:t>
            </w:r>
            <w:r w:rsidR="00D1686A">
              <w:rPr>
                <w:rFonts w:cs="Times New Roman"/>
                <w:color w:val="000000"/>
              </w:rPr>
              <w:t xml:space="preserve">1.61 km (1 mile) </w:t>
            </w:r>
            <w:r>
              <w:rPr>
                <w:rFonts w:cs="Times New Roman"/>
                <w:color w:val="000000"/>
              </w:rPr>
              <w:t>buffer zone</w:t>
            </w:r>
            <w:r w:rsidR="00FB228A">
              <w:rPr>
                <w:rFonts w:cs="Times New Roman"/>
                <w:color w:val="000000"/>
              </w:rPr>
              <w:t xml:space="preserve"> in km</w:t>
            </w:r>
            <w:r w:rsidR="00011F40">
              <w:rPr>
                <w:rFonts w:cs="Times New Roman"/>
                <w:color w:val="000000"/>
              </w:rPr>
              <w:t>p</w:t>
            </w:r>
            <w:r w:rsidR="00FB228A">
              <w:rPr>
                <w:rFonts w:cs="Times New Roman"/>
                <w:color w:val="000000"/>
              </w:rPr>
              <w:t xml:space="preserve">h (mph) </w:t>
            </w:r>
          </w:p>
        </w:tc>
        <w:tc>
          <w:tcPr>
            <w:tcW w:w="2638" w:type="dxa"/>
            <w:shd w:val="clear" w:color="auto" w:fill="auto"/>
            <w:noWrap/>
            <w:vAlign w:val="center"/>
          </w:tcPr>
          <w:p w14:paraId="23633DB2" w14:textId="4798953E" w:rsidR="00C67945" w:rsidRPr="007D6B0C" w:rsidRDefault="003B2B61" w:rsidP="00474045">
            <w:pPr>
              <w:spacing w:line="276" w:lineRule="auto"/>
              <w:jc w:val="center"/>
              <w:rPr>
                <w:rFonts w:cs="Times New Roman"/>
                <w:color w:val="000000"/>
              </w:rPr>
            </w:pPr>
            <w:r w:rsidRPr="003B2B61">
              <w:rPr>
                <w:rFonts w:cs="Times New Roman"/>
              </w:rPr>
              <w:t>80.4</w:t>
            </w:r>
            <w:r>
              <w:rPr>
                <w:rFonts w:cs="Times New Roman"/>
              </w:rPr>
              <w:t>7 (50.00)</w:t>
            </w:r>
          </w:p>
        </w:tc>
        <w:tc>
          <w:tcPr>
            <w:tcW w:w="3231" w:type="dxa"/>
            <w:shd w:val="clear" w:color="auto" w:fill="auto"/>
            <w:noWrap/>
            <w:vAlign w:val="center"/>
          </w:tcPr>
          <w:p w14:paraId="3142A889" w14:textId="6D9CAC2B" w:rsidR="00C67945" w:rsidRPr="007D6B0C" w:rsidRDefault="003B2B61" w:rsidP="00474045">
            <w:pPr>
              <w:spacing w:line="276" w:lineRule="auto"/>
              <w:jc w:val="center"/>
              <w:rPr>
                <w:rFonts w:cs="Times New Roman"/>
                <w:color w:val="000000"/>
              </w:rPr>
            </w:pPr>
            <w:r w:rsidRPr="003B2B61">
              <w:rPr>
                <w:rFonts w:cs="Times New Roman"/>
                <w:color w:val="000000"/>
              </w:rPr>
              <w:t>112.65</w:t>
            </w:r>
            <w:r>
              <w:rPr>
                <w:rFonts w:cs="Times New Roman"/>
                <w:color w:val="000000"/>
              </w:rPr>
              <w:t xml:space="preserve"> (</w:t>
            </w:r>
            <w:r w:rsidR="00C67945" w:rsidRPr="007D6B0C">
              <w:rPr>
                <w:rFonts w:cs="Times New Roman"/>
                <w:color w:val="000000"/>
              </w:rPr>
              <w:t>70.00</w:t>
            </w:r>
            <w:r>
              <w:rPr>
                <w:rFonts w:cs="Times New Roman"/>
                <w:color w:val="000000"/>
              </w:rPr>
              <w:t>)</w:t>
            </w:r>
          </w:p>
        </w:tc>
        <w:tc>
          <w:tcPr>
            <w:tcW w:w="1678" w:type="dxa"/>
            <w:tcBorders>
              <w:right w:val="double" w:sz="12" w:space="0" w:color="auto"/>
            </w:tcBorders>
            <w:shd w:val="clear" w:color="auto" w:fill="auto"/>
            <w:noWrap/>
            <w:vAlign w:val="center"/>
          </w:tcPr>
          <w:p w14:paraId="6548658F" w14:textId="156A5F43" w:rsidR="00C67945" w:rsidRPr="007D6B0C" w:rsidRDefault="00CA507F" w:rsidP="00474045">
            <w:pPr>
              <w:spacing w:line="276" w:lineRule="auto"/>
              <w:jc w:val="center"/>
              <w:rPr>
                <w:rFonts w:cs="Times New Roman"/>
                <w:color w:val="000000"/>
              </w:rPr>
            </w:pPr>
            <w:r w:rsidRPr="00CA507F">
              <w:rPr>
                <w:rFonts w:cs="Times New Roman"/>
                <w:color w:val="000000"/>
              </w:rPr>
              <w:t>109.3</w:t>
            </w:r>
            <w:r>
              <w:rPr>
                <w:rFonts w:cs="Times New Roman"/>
                <w:color w:val="000000"/>
              </w:rPr>
              <w:t>4 (</w:t>
            </w:r>
            <w:r w:rsidR="00C67945" w:rsidRPr="007D6B0C">
              <w:rPr>
                <w:rFonts w:cs="Times New Roman"/>
                <w:color w:val="000000"/>
              </w:rPr>
              <w:t>6</w:t>
            </w:r>
            <w:r w:rsidR="00C67945">
              <w:rPr>
                <w:rFonts w:cs="Times New Roman"/>
                <w:color w:val="000000"/>
              </w:rPr>
              <w:t>7</w:t>
            </w:r>
            <w:r w:rsidR="00C67945" w:rsidRPr="007D6B0C">
              <w:rPr>
                <w:rFonts w:cs="Times New Roman"/>
                <w:color w:val="000000"/>
              </w:rPr>
              <w:t>.9</w:t>
            </w:r>
            <w:r w:rsidR="00C67945">
              <w:rPr>
                <w:rFonts w:cs="Times New Roman"/>
                <w:color w:val="000000"/>
              </w:rPr>
              <w:t>4</w:t>
            </w:r>
            <w:r>
              <w:rPr>
                <w:rFonts w:cs="Times New Roman"/>
                <w:color w:val="000000"/>
              </w:rPr>
              <w:t>)</w:t>
            </w:r>
          </w:p>
        </w:tc>
      </w:tr>
      <w:tr w:rsidR="00C67945" w:rsidRPr="007D6B0C" w14:paraId="0C9440B3" w14:textId="77777777" w:rsidTr="008663BA">
        <w:trPr>
          <w:trHeight w:val="533"/>
          <w:jc w:val="center"/>
        </w:trPr>
        <w:tc>
          <w:tcPr>
            <w:tcW w:w="13594" w:type="dxa"/>
            <w:gridSpan w:val="5"/>
            <w:tcBorders>
              <w:left w:val="double" w:sz="12" w:space="0" w:color="auto"/>
              <w:bottom w:val="single" w:sz="4" w:space="0" w:color="auto"/>
              <w:right w:val="double" w:sz="12" w:space="0" w:color="auto"/>
            </w:tcBorders>
            <w:shd w:val="clear" w:color="auto" w:fill="auto"/>
            <w:noWrap/>
            <w:vAlign w:val="center"/>
          </w:tcPr>
          <w:p w14:paraId="66314E43" w14:textId="77777777" w:rsidR="00C67945" w:rsidRPr="007D6B0C" w:rsidRDefault="00C67945" w:rsidP="008663BA">
            <w:pPr>
              <w:spacing w:line="276" w:lineRule="auto"/>
              <w:jc w:val="left"/>
              <w:rPr>
                <w:rFonts w:cs="Times New Roman"/>
                <w:color w:val="000000"/>
              </w:rPr>
            </w:pPr>
            <w:r w:rsidRPr="007D6B0C">
              <w:rPr>
                <w:rFonts w:cs="Times New Roman"/>
                <w:b/>
                <w:bCs/>
                <w:i/>
                <w:iCs/>
              </w:rPr>
              <w:t>Spatial factors</w:t>
            </w:r>
          </w:p>
        </w:tc>
      </w:tr>
      <w:tr w:rsidR="00C67945" w:rsidRPr="007D6B0C" w14:paraId="79CBCE36" w14:textId="77777777" w:rsidTr="008663BA">
        <w:trPr>
          <w:trHeight w:val="533"/>
          <w:jc w:val="center"/>
        </w:trPr>
        <w:tc>
          <w:tcPr>
            <w:tcW w:w="2115" w:type="dxa"/>
            <w:tcBorders>
              <w:left w:val="double" w:sz="12" w:space="0" w:color="auto"/>
              <w:bottom w:val="single" w:sz="4" w:space="0" w:color="auto"/>
            </w:tcBorders>
            <w:shd w:val="clear" w:color="auto" w:fill="auto"/>
            <w:noWrap/>
            <w:vAlign w:val="center"/>
          </w:tcPr>
          <w:p w14:paraId="2E82DD22" w14:textId="77777777" w:rsidR="00C67945" w:rsidRPr="007D6B0C" w:rsidRDefault="00C67945" w:rsidP="008663BA">
            <w:pPr>
              <w:spacing w:line="276" w:lineRule="auto"/>
              <w:ind w:left="216"/>
              <w:jc w:val="left"/>
              <w:rPr>
                <w:rFonts w:cs="Times New Roman"/>
              </w:rPr>
            </w:pPr>
            <w:r w:rsidRPr="007D6B0C">
              <w:rPr>
                <w:rFonts w:cs="Times New Roman"/>
              </w:rPr>
              <w:t>Central region</w:t>
            </w:r>
          </w:p>
        </w:tc>
        <w:tc>
          <w:tcPr>
            <w:tcW w:w="3932" w:type="dxa"/>
            <w:vAlign w:val="center"/>
          </w:tcPr>
          <w:p w14:paraId="6D6A2D7A" w14:textId="77777777" w:rsidR="00C67945" w:rsidRPr="007D6B0C" w:rsidRDefault="00C67945" w:rsidP="008663BA">
            <w:pPr>
              <w:spacing w:line="276" w:lineRule="auto"/>
              <w:jc w:val="left"/>
              <w:rPr>
                <w:rFonts w:cs="Times New Roman"/>
                <w:color w:val="000000"/>
              </w:rPr>
            </w:pPr>
            <w:r>
              <w:rPr>
                <w:rFonts w:cs="Times New Roman"/>
                <w:color w:val="000000"/>
              </w:rPr>
              <w:t>Detectors in Central region</w:t>
            </w:r>
          </w:p>
        </w:tc>
        <w:tc>
          <w:tcPr>
            <w:tcW w:w="2638" w:type="dxa"/>
            <w:shd w:val="clear" w:color="auto" w:fill="auto"/>
            <w:noWrap/>
            <w:vAlign w:val="center"/>
          </w:tcPr>
          <w:p w14:paraId="1D5F9024" w14:textId="77777777" w:rsidR="00C67945" w:rsidRPr="007D6B0C" w:rsidRDefault="00C67945" w:rsidP="00474045">
            <w:pPr>
              <w:spacing w:line="276" w:lineRule="auto"/>
              <w:jc w:val="center"/>
              <w:rPr>
                <w:rFonts w:cs="Times New Roman"/>
                <w:color w:val="000000"/>
              </w:rPr>
            </w:pPr>
            <w:r w:rsidRPr="007D6B0C">
              <w:rPr>
                <w:rFonts w:cs="Times New Roman"/>
                <w:color w:val="000000"/>
              </w:rPr>
              <w:t>0.00</w:t>
            </w:r>
          </w:p>
        </w:tc>
        <w:tc>
          <w:tcPr>
            <w:tcW w:w="3231" w:type="dxa"/>
            <w:shd w:val="clear" w:color="auto" w:fill="auto"/>
            <w:noWrap/>
            <w:vAlign w:val="center"/>
          </w:tcPr>
          <w:p w14:paraId="7629816D" w14:textId="77777777" w:rsidR="00C67945" w:rsidRPr="007D6B0C" w:rsidRDefault="00C67945" w:rsidP="00474045">
            <w:pPr>
              <w:spacing w:line="276" w:lineRule="auto"/>
              <w:jc w:val="center"/>
              <w:rPr>
                <w:rFonts w:cs="Times New Roman"/>
                <w:color w:val="000000"/>
              </w:rPr>
            </w:pPr>
            <w:r w:rsidRPr="007D6B0C">
              <w:rPr>
                <w:rFonts w:cs="Times New Roman"/>
                <w:color w:val="000000"/>
              </w:rPr>
              <w:t>1.00</w:t>
            </w:r>
          </w:p>
        </w:tc>
        <w:tc>
          <w:tcPr>
            <w:tcW w:w="1678" w:type="dxa"/>
            <w:tcBorders>
              <w:right w:val="double" w:sz="12" w:space="0" w:color="auto"/>
            </w:tcBorders>
            <w:shd w:val="clear" w:color="auto" w:fill="auto"/>
            <w:noWrap/>
            <w:vAlign w:val="center"/>
          </w:tcPr>
          <w:p w14:paraId="31573653" w14:textId="77777777" w:rsidR="00C67945" w:rsidRPr="007D6B0C" w:rsidRDefault="00C67945" w:rsidP="00474045">
            <w:pPr>
              <w:spacing w:line="276" w:lineRule="auto"/>
              <w:jc w:val="center"/>
              <w:rPr>
                <w:rFonts w:cs="Times New Roman"/>
                <w:color w:val="000000"/>
              </w:rPr>
            </w:pPr>
            <w:r w:rsidRPr="007D6B0C">
              <w:rPr>
                <w:rFonts w:cs="Times New Roman"/>
                <w:color w:val="000000"/>
              </w:rPr>
              <w:t>0.22</w:t>
            </w:r>
          </w:p>
        </w:tc>
      </w:tr>
      <w:tr w:rsidR="00C67945" w:rsidRPr="007D6B0C" w14:paraId="559089A7" w14:textId="77777777" w:rsidTr="008663BA">
        <w:trPr>
          <w:trHeight w:val="533"/>
          <w:jc w:val="center"/>
        </w:trPr>
        <w:tc>
          <w:tcPr>
            <w:tcW w:w="2115" w:type="dxa"/>
            <w:tcBorders>
              <w:left w:val="double" w:sz="12" w:space="0" w:color="auto"/>
              <w:bottom w:val="single" w:sz="4" w:space="0" w:color="auto"/>
            </w:tcBorders>
            <w:shd w:val="clear" w:color="auto" w:fill="auto"/>
            <w:noWrap/>
            <w:vAlign w:val="center"/>
          </w:tcPr>
          <w:p w14:paraId="1AB2F970" w14:textId="77777777" w:rsidR="00C67945" w:rsidRPr="007D6B0C" w:rsidRDefault="00C67945" w:rsidP="008663BA">
            <w:pPr>
              <w:spacing w:line="276" w:lineRule="auto"/>
              <w:ind w:left="216"/>
              <w:jc w:val="left"/>
              <w:rPr>
                <w:rFonts w:cs="Times New Roman"/>
              </w:rPr>
            </w:pPr>
            <w:r w:rsidRPr="007D6B0C">
              <w:rPr>
                <w:rFonts w:cs="Times New Roman"/>
              </w:rPr>
              <w:t>South region</w:t>
            </w:r>
          </w:p>
        </w:tc>
        <w:tc>
          <w:tcPr>
            <w:tcW w:w="3932" w:type="dxa"/>
            <w:vAlign w:val="center"/>
          </w:tcPr>
          <w:p w14:paraId="5F17EF10" w14:textId="77777777" w:rsidR="00C67945" w:rsidRPr="007D6B0C" w:rsidRDefault="00C67945" w:rsidP="008663BA">
            <w:pPr>
              <w:spacing w:line="276" w:lineRule="auto"/>
              <w:jc w:val="left"/>
              <w:rPr>
                <w:rFonts w:cs="Times New Roman"/>
                <w:color w:val="000000"/>
              </w:rPr>
            </w:pPr>
            <w:r>
              <w:rPr>
                <w:rFonts w:cs="Times New Roman"/>
                <w:color w:val="000000"/>
              </w:rPr>
              <w:t xml:space="preserve">Detectors in </w:t>
            </w:r>
            <w:r w:rsidRPr="007D6B0C">
              <w:rPr>
                <w:rFonts w:cs="Times New Roman"/>
              </w:rPr>
              <w:t xml:space="preserve">South </w:t>
            </w:r>
            <w:r>
              <w:rPr>
                <w:rFonts w:cs="Times New Roman"/>
                <w:color w:val="000000"/>
              </w:rPr>
              <w:t>region</w:t>
            </w:r>
          </w:p>
        </w:tc>
        <w:tc>
          <w:tcPr>
            <w:tcW w:w="2638" w:type="dxa"/>
            <w:shd w:val="clear" w:color="auto" w:fill="auto"/>
            <w:noWrap/>
            <w:vAlign w:val="center"/>
          </w:tcPr>
          <w:p w14:paraId="343B2D8D" w14:textId="77777777" w:rsidR="00C67945" w:rsidRPr="007D6B0C" w:rsidRDefault="00C67945" w:rsidP="00474045">
            <w:pPr>
              <w:spacing w:line="276" w:lineRule="auto"/>
              <w:jc w:val="center"/>
              <w:rPr>
                <w:rFonts w:cs="Times New Roman"/>
                <w:color w:val="000000"/>
              </w:rPr>
            </w:pPr>
            <w:r w:rsidRPr="007D6B0C">
              <w:rPr>
                <w:rFonts w:cs="Times New Roman"/>
                <w:color w:val="000000"/>
              </w:rPr>
              <w:t>0.00</w:t>
            </w:r>
          </w:p>
        </w:tc>
        <w:tc>
          <w:tcPr>
            <w:tcW w:w="3231" w:type="dxa"/>
            <w:shd w:val="clear" w:color="auto" w:fill="auto"/>
            <w:noWrap/>
            <w:vAlign w:val="center"/>
          </w:tcPr>
          <w:p w14:paraId="5D4F53E9" w14:textId="77777777" w:rsidR="00C67945" w:rsidRPr="007D6B0C" w:rsidRDefault="00C67945" w:rsidP="00474045">
            <w:pPr>
              <w:spacing w:line="276" w:lineRule="auto"/>
              <w:jc w:val="center"/>
              <w:rPr>
                <w:rFonts w:cs="Times New Roman"/>
                <w:color w:val="000000"/>
              </w:rPr>
            </w:pPr>
            <w:r w:rsidRPr="007D6B0C">
              <w:rPr>
                <w:rFonts w:cs="Times New Roman"/>
                <w:color w:val="000000"/>
              </w:rPr>
              <w:t>1.00</w:t>
            </w:r>
          </w:p>
        </w:tc>
        <w:tc>
          <w:tcPr>
            <w:tcW w:w="1678" w:type="dxa"/>
            <w:tcBorders>
              <w:right w:val="double" w:sz="12" w:space="0" w:color="auto"/>
            </w:tcBorders>
            <w:shd w:val="clear" w:color="auto" w:fill="auto"/>
            <w:noWrap/>
            <w:vAlign w:val="center"/>
          </w:tcPr>
          <w:p w14:paraId="4752FBBE" w14:textId="77777777" w:rsidR="00C67945" w:rsidRPr="007D6B0C" w:rsidRDefault="00C67945" w:rsidP="00474045">
            <w:pPr>
              <w:spacing w:line="276" w:lineRule="auto"/>
              <w:jc w:val="center"/>
              <w:rPr>
                <w:rFonts w:cs="Times New Roman"/>
                <w:color w:val="000000"/>
              </w:rPr>
            </w:pPr>
            <w:r w:rsidRPr="007D6B0C">
              <w:rPr>
                <w:rFonts w:cs="Times New Roman"/>
                <w:color w:val="000000"/>
              </w:rPr>
              <w:t>0.08</w:t>
            </w:r>
          </w:p>
        </w:tc>
      </w:tr>
      <w:tr w:rsidR="00C67945" w:rsidRPr="007D6B0C" w14:paraId="04B256E5" w14:textId="77777777" w:rsidTr="008663BA">
        <w:trPr>
          <w:trHeight w:val="533"/>
          <w:jc w:val="center"/>
        </w:trPr>
        <w:tc>
          <w:tcPr>
            <w:tcW w:w="2115" w:type="dxa"/>
            <w:tcBorders>
              <w:left w:val="double" w:sz="12" w:space="0" w:color="auto"/>
              <w:bottom w:val="single" w:sz="4" w:space="0" w:color="auto"/>
            </w:tcBorders>
            <w:shd w:val="clear" w:color="auto" w:fill="auto"/>
            <w:noWrap/>
            <w:vAlign w:val="center"/>
          </w:tcPr>
          <w:p w14:paraId="24FDBF82" w14:textId="77777777" w:rsidR="00C67945" w:rsidRPr="007D6B0C" w:rsidRDefault="00C67945" w:rsidP="008663BA">
            <w:pPr>
              <w:spacing w:line="276" w:lineRule="auto"/>
              <w:ind w:left="216"/>
              <w:jc w:val="left"/>
              <w:rPr>
                <w:rFonts w:cs="Times New Roman"/>
              </w:rPr>
            </w:pPr>
            <w:r w:rsidRPr="007D6B0C">
              <w:rPr>
                <w:rFonts w:cs="Times New Roman"/>
              </w:rPr>
              <w:t>Southeast region</w:t>
            </w:r>
          </w:p>
        </w:tc>
        <w:tc>
          <w:tcPr>
            <w:tcW w:w="3932" w:type="dxa"/>
            <w:vAlign w:val="center"/>
          </w:tcPr>
          <w:p w14:paraId="35A8B106" w14:textId="77777777" w:rsidR="00C67945" w:rsidRPr="007D6B0C" w:rsidRDefault="00C67945" w:rsidP="008663BA">
            <w:pPr>
              <w:spacing w:line="276" w:lineRule="auto"/>
              <w:jc w:val="left"/>
              <w:rPr>
                <w:rFonts w:cs="Times New Roman"/>
                <w:color w:val="000000"/>
              </w:rPr>
            </w:pPr>
            <w:r>
              <w:rPr>
                <w:rFonts w:cs="Times New Roman"/>
                <w:color w:val="000000"/>
              </w:rPr>
              <w:t xml:space="preserve">Detectors in </w:t>
            </w:r>
            <w:r w:rsidRPr="007D6B0C">
              <w:rPr>
                <w:rFonts w:cs="Times New Roman"/>
              </w:rPr>
              <w:t xml:space="preserve">Southeast </w:t>
            </w:r>
            <w:r>
              <w:rPr>
                <w:rFonts w:cs="Times New Roman"/>
                <w:color w:val="000000"/>
              </w:rPr>
              <w:t>region</w:t>
            </w:r>
          </w:p>
        </w:tc>
        <w:tc>
          <w:tcPr>
            <w:tcW w:w="2638" w:type="dxa"/>
            <w:shd w:val="clear" w:color="auto" w:fill="auto"/>
            <w:noWrap/>
            <w:vAlign w:val="center"/>
          </w:tcPr>
          <w:p w14:paraId="239C0202" w14:textId="77777777" w:rsidR="00C67945" w:rsidRPr="007D6B0C" w:rsidRDefault="00C67945" w:rsidP="00474045">
            <w:pPr>
              <w:spacing w:line="276" w:lineRule="auto"/>
              <w:jc w:val="center"/>
              <w:rPr>
                <w:rFonts w:cs="Times New Roman"/>
                <w:color w:val="000000"/>
              </w:rPr>
            </w:pPr>
            <w:r w:rsidRPr="007D6B0C">
              <w:rPr>
                <w:rFonts w:cs="Times New Roman"/>
                <w:color w:val="000000"/>
              </w:rPr>
              <w:t>0.00</w:t>
            </w:r>
          </w:p>
        </w:tc>
        <w:tc>
          <w:tcPr>
            <w:tcW w:w="3231" w:type="dxa"/>
            <w:shd w:val="clear" w:color="auto" w:fill="auto"/>
            <w:noWrap/>
            <w:vAlign w:val="center"/>
          </w:tcPr>
          <w:p w14:paraId="3305BD80" w14:textId="77777777" w:rsidR="00C67945" w:rsidRPr="007D6B0C" w:rsidRDefault="00C67945" w:rsidP="00474045">
            <w:pPr>
              <w:spacing w:line="276" w:lineRule="auto"/>
              <w:jc w:val="center"/>
              <w:rPr>
                <w:rFonts w:cs="Times New Roman"/>
                <w:color w:val="000000"/>
              </w:rPr>
            </w:pPr>
            <w:r w:rsidRPr="007D6B0C">
              <w:rPr>
                <w:rFonts w:cs="Times New Roman"/>
                <w:color w:val="000000"/>
              </w:rPr>
              <w:t>1.00</w:t>
            </w:r>
          </w:p>
        </w:tc>
        <w:tc>
          <w:tcPr>
            <w:tcW w:w="1678" w:type="dxa"/>
            <w:tcBorders>
              <w:right w:val="double" w:sz="12" w:space="0" w:color="auto"/>
            </w:tcBorders>
            <w:shd w:val="clear" w:color="auto" w:fill="auto"/>
            <w:noWrap/>
            <w:vAlign w:val="center"/>
          </w:tcPr>
          <w:p w14:paraId="7E43A8DE" w14:textId="77777777" w:rsidR="00C67945" w:rsidRPr="007D6B0C" w:rsidRDefault="00C67945" w:rsidP="00474045">
            <w:pPr>
              <w:spacing w:line="276" w:lineRule="auto"/>
              <w:jc w:val="center"/>
              <w:rPr>
                <w:rFonts w:cs="Times New Roman"/>
                <w:color w:val="000000"/>
              </w:rPr>
            </w:pPr>
            <w:r w:rsidRPr="007D6B0C">
              <w:rPr>
                <w:rFonts w:cs="Times New Roman"/>
                <w:color w:val="000000"/>
              </w:rPr>
              <w:t>0.19</w:t>
            </w:r>
          </w:p>
        </w:tc>
      </w:tr>
      <w:tr w:rsidR="00C67945" w:rsidRPr="007D6B0C" w14:paraId="487BCAE6" w14:textId="77777777" w:rsidTr="008663BA">
        <w:trPr>
          <w:trHeight w:val="533"/>
          <w:jc w:val="center"/>
        </w:trPr>
        <w:tc>
          <w:tcPr>
            <w:tcW w:w="2115" w:type="dxa"/>
            <w:tcBorders>
              <w:left w:val="double" w:sz="12" w:space="0" w:color="auto"/>
              <w:bottom w:val="single" w:sz="4" w:space="0" w:color="auto"/>
            </w:tcBorders>
            <w:shd w:val="clear" w:color="auto" w:fill="auto"/>
            <w:noWrap/>
            <w:vAlign w:val="center"/>
          </w:tcPr>
          <w:p w14:paraId="48BC479D" w14:textId="77777777" w:rsidR="00C67945" w:rsidRPr="007D6B0C" w:rsidRDefault="00C67945" w:rsidP="008663BA">
            <w:pPr>
              <w:spacing w:line="276" w:lineRule="auto"/>
              <w:ind w:left="216"/>
              <w:jc w:val="left"/>
              <w:rPr>
                <w:rFonts w:cs="Times New Roman"/>
              </w:rPr>
            </w:pPr>
            <w:r w:rsidRPr="007D6B0C">
              <w:rPr>
                <w:rFonts w:cs="Times New Roman"/>
              </w:rPr>
              <w:t>Southwest region</w:t>
            </w:r>
          </w:p>
        </w:tc>
        <w:tc>
          <w:tcPr>
            <w:tcW w:w="3932" w:type="dxa"/>
            <w:vAlign w:val="center"/>
          </w:tcPr>
          <w:p w14:paraId="7A142341" w14:textId="77777777" w:rsidR="00C67945" w:rsidRPr="007D6B0C" w:rsidRDefault="00C67945" w:rsidP="008663BA">
            <w:pPr>
              <w:spacing w:line="276" w:lineRule="auto"/>
              <w:jc w:val="left"/>
              <w:rPr>
                <w:rFonts w:cs="Times New Roman"/>
                <w:color w:val="000000"/>
              </w:rPr>
            </w:pPr>
            <w:r>
              <w:rPr>
                <w:rFonts w:cs="Times New Roman"/>
                <w:color w:val="000000"/>
              </w:rPr>
              <w:t xml:space="preserve">Detectors in </w:t>
            </w:r>
            <w:r w:rsidRPr="007D6B0C">
              <w:rPr>
                <w:rFonts w:cs="Times New Roman"/>
              </w:rPr>
              <w:t xml:space="preserve">Southwest </w:t>
            </w:r>
            <w:r>
              <w:rPr>
                <w:rFonts w:cs="Times New Roman"/>
                <w:color w:val="000000"/>
              </w:rPr>
              <w:t>region</w:t>
            </w:r>
          </w:p>
        </w:tc>
        <w:tc>
          <w:tcPr>
            <w:tcW w:w="2638" w:type="dxa"/>
            <w:shd w:val="clear" w:color="auto" w:fill="auto"/>
            <w:noWrap/>
            <w:vAlign w:val="center"/>
          </w:tcPr>
          <w:p w14:paraId="719970EB" w14:textId="77777777" w:rsidR="00C67945" w:rsidRPr="007D6B0C" w:rsidRDefault="00C67945" w:rsidP="00474045">
            <w:pPr>
              <w:spacing w:line="276" w:lineRule="auto"/>
              <w:jc w:val="center"/>
              <w:rPr>
                <w:rFonts w:cs="Times New Roman"/>
                <w:color w:val="000000"/>
              </w:rPr>
            </w:pPr>
            <w:r w:rsidRPr="007D6B0C">
              <w:rPr>
                <w:rFonts w:cs="Times New Roman"/>
                <w:color w:val="000000"/>
              </w:rPr>
              <w:t>0.00</w:t>
            </w:r>
          </w:p>
        </w:tc>
        <w:tc>
          <w:tcPr>
            <w:tcW w:w="3231" w:type="dxa"/>
            <w:shd w:val="clear" w:color="auto" w:fill="auto"/>
            <w:noWrap/>
            <w:vAlign w:val="center"/>
          </w:tcPr>
          <w:p w14:paraId="268DCE66" w14:textId="77777777" w:rsidR="00C67945" w:rsidRPr="007D6B0C" w:rsidRDefault="00C67945" w:rsidP="00474045">
            <w:pPr>
              <w:spacing w:line="276" w:lineRule="auto"/>
              <w:jc w:val="center"/>
              <w:rPr>
                <w:rFonts w:cs="Times New Roman"/>
                <w:color w:val="000000"/>
              </w:rPr>
            </w:pPr>
            <w:r w:rsidRPr="007D6B0C">
              <w:rPr>
                <w:rFonts w:cs="Times New Roman"/>
                <w:color w:val="000000"/>
              </w:rPr>
              <w:t>1.00</w:t>
            </w:r>
          </w:p>
        </w:tc>
        <w:tc>
          <w:tcPr>
            <w:tcW w:w="1678" w:type="dxa"/>
            <w:tcBorders>
              <w:right w:val="double" w:sz="12" w:space="0" w:color="auto"/>
            </w:tcBorders>
            <w:shd w:val="clear" w:color="auto" w:fill="auto"/>
            <w:noWrap/>
            <w:vAlign w:val="center"/>
          </w:tcPr>
          <w:p w14:paraId="2933EF9B" w14:textId="77777777" w:rsidR="00C67945" w:rsidRPr="007D6B0C" w:rsidRDefault="00C67945" w:rsidP="00474045">
            <w:pPr>
              <w:spacing w:line="276" w:lineRule="auto"/>
              <w:jc w:val="center"/>
              <w:rPr>
                <w:rFonts w:cs="Times New Roman"/>
                <w:color w:val="000000"/>
              </w:rPr>
            </w:pPr>
            <w:r w:rsidRPr="007D6B0C">
              <w:rPr>
                <w:rFonts w:cs="Times New Roman"/>
                <w:color w:val="000000"/>
              </w:rPr>
              <w:t>0.16</w:t>
            </w:r>
          </w:p>
        </w:tc>
      </w:tr>
      <w:tr w:rsidR="00C67945" w:rsidRPr="007D6B0C" w14:paraId="08F0408C" w14:textId="77777777" w:rsidTr="008663BA">
        <w:trPr>
          <w:trHeight w:val="533"/>
          <w:jc w:val="center"/>
        </w:trPr>
        <w:tc>
          <w:tcPr>
            <w:tcW w:w="2115" w:type="dxa"/>
            <w:tcBorders>
              <w:left w:val="double" w:sz="12" w:space="0" w:color="auto"/>
              <w:bottom w:val="single" w:sz="4" w:space="0" w:color="auto"/>
            </w:tcBorders>
            <w:shd w:val="clear" w:color="auto" w:fill="auto"/>
            <w:noWrap/>
            <w:vAlign w:val="center"/>
          </w:tcPr>
          <w:p w14:paraId="5023BF3B" w14:textId="77777777" w:rsidR="00C67945" w:rsidRPr="007D6B0C" w:rsidRDefault="00C67945" w:rsidP="008663BA">
            <w:pPr>
              <w:spacing w:line="276" w:lineRule="auto"/>
              <w:ind w:left="216"/>
              <w:jc w:val="left"/>
              <w:rPr>
                <w:rFonts w:cs="Times New Roman"/>
              </w:rPr>
            </w:pPr>
            <w:r w:rsidRPr="007D6B0C">
              <w:rPr>
                <w:rFonts w:cs="Times New Roman"/>
              </w:rPr>
              <w:t>Northeast region</w:t>
            </w:r>
          </w:p>
        </w:tc>
        <w:tc>
          <w:tcPr>
            <w:tcW w:w="3932" w:type="dxa"/>
            <w:vAlign w:val="center"/>
          </w:tcPr>
          <w:p w14:paraId="066C26EF" w14:textId="77777777" w:rsidR="00C67945" w:rsidRPr="007D6B0C" w:rsidRDefault="00C67945" w:rsidP="008663BA">
            <w:pPr>
              <w:spacing w:line="276" w:lineRule="auto"/>
              <w:jc w:val="left"/>
              <w:rPr>
                <w:rFonts w:cs="Times New Roman"/>
                <w:color w:val="000000"/>
              </w:rPr>
            </w:pPr>
            <w:r>
              <w:rPr>
                <w:rFonts w:cs="Times New Roman"/>
                <w:color w:val="000000"/>
              </w:rPr>
              <w:t xml:space="preserve">Detectors in </w:t>
            </w:r>
            <w:r w:rsidRPr="007D6B0C">
              <w:rPr>
                <w:rFonts w:cs="Times New Roman"/>
              </w:rPr>
              <w:t xml:space="preserve">Northeast </w:t>
            </w:r>
            <w:r>
              <w:rPr>
                <w:rFonts w:cs="Times New Roman"/>
                <w:color w:val="000000"/>
              </w:rPr>
              <w:t>region</w:t>
            </w:r>
          </w:p>
        </w:tc>
        <w:tc>
          <w:tcPr>
            <w:tcW w:w="2638" w:type="dxa"/>
            <w:shd w:val="clear" w:color="auto" w:fill="auto"/>
            <w:noWrap/>
            <w:vAlign w:val="center"/>
          </w:tcPr>
          <w:p w14:paraId="7E1E52E5" w14:textId="77777777" w:rsidR="00C67945" w:rsidRPr="007D6B0C" w:rsidRDefault="00C67945" w:rsidP="00474045">
            <w:pPr>
              <w:spacing w:line="276" w:lineRule="auto"/>
              <w:jc w:val="center"/>
              <w:rPr>
                <w:rFonts w:cs="Times New Roman"/>
                <w:color w:val="000000"/>
              </w:rPr>
            </w:pPr>
            <w:r w:rsidRPr="007D6B0C">
              <w:rPr>
                <w:rFonts w:cs="Times New Roman"/>
                <w:color w:val="000000"/>
              </w:rPr>
              <w:t>0.00</w:t>
            </w:r>
          </w:p>
        </w:tc>
        <w:tc>
          <w:tcPr>
            <w:tcW w:w="3231" w:type="dxa"/>
            <w:shd w:val="clear" w:color="auto" w:fill="auto"/>
            <w:noWrap/>
            <w:vAlign w:val="center"/>
          </w:tcPr>
          <w:p w14:paraId="6C5F249C" w14:textId="77777777" w:rsidR="00C67945" w:rsidRPr="007D6B0C" w:rsidRDefault="00C67945" w:rsidP="00474045">
            <w:pPr>
              <w:spacing w:line="276" w:lineRule="auto"/>
              <w:jc w:val="center"/>
              <w:rPr>
                <w:rFonts w:cs="Times New Roman"/>
                <w:color w:val="000000"/>
              </w:rPr>
            </w:pPr>
            <w:r w:rsidRPr="007D6B0C">
              <w:rPr>
                <w:rFonts w:cs="Times New Roman"/>
                <w:color w:val="000000"/>
              </w:rPr>
              <w:t>1.00</w:t>
            </w:r>
          </w:p>
        </w:tc>
        <w:tc>
          <w:tcPr>
            <w:tcW w:w="1678" w:type="dxa"/>
            <w:tcBorders>
              <w:right w:val="double" w:sz="12" w:space="0" w:color="auto"/>
            </w:tcBorders>
            <w:shd w:val="clear" w:color="auto" w:fill="auto"/>
            <w:noWrap/>
            <w:vAlign w:val="center"/>
          </w:tcPr>
          <w:p w14:paraId="190C539C" w14:textId="77777777" w:rsidR="00C67945" w:rsidRPr="007D6B0C" w:rsidRDefault="00C67945" w:rsidP="00474045">
            <w:pPr>
              <w:spacing w:line="276" w:lineRule="auto"/>
              <w:jc w:val="center"/>
              <w:rPr>
                <w:rFonts w:cs="Times New Roman"/>
                <w:color w:val="000000"/>
              </w:rPr>
            </w:pPr>
            <w:r w:rsidRPr="007D6B0C">
              <w:rPr>
                <w:rFonts w:cs="Times New Roman"/>
                <w:color w:val="000000"/>
              </w:rPr>
              <w:t>0.16</w:t>
            </w:r>
          </w:p>
        </w:tc>
      </w:tr>
      <w:tr w:rsidR="00C67945" w:rsidRPr="007D6B0C" w14:paraId="5BEBBA3A" w14:textId="77777777" w:rsidTr="008663BA">
        <w:trPr>
          <w:trHeight w:val="533"/>
          <w:jc w:val="center"/>
        </w:trPr>
        <w:tc>
          <w:tcPr>
            <w:tcW w:w="2115" w:type="dxa"/>
            <w:tcBorders>
              <w:left w:val="double" w:sz="12" w:space="0" w:color="auto"/>
              <w:bottom w:val="single" w:sz="4" w:space="0" w:color="auto"/>
            </w:tcBorders>
            <w:shd w:val="clear" w:color="auto" w:fill="auto"/>
            <w:noWrap/>
            <w:vAlign w:val="center"/>
          </w:tcPr>
          <w:p w14:paraId="03E8E92B" w14:textId="77777777" w:rsidR="00C67945" w:rsidRPr="007D6B0C" w:rsidRDefault="00C67945" w:rsidP="008663BA">
            <w:pPr>
              <w:spacing w:line="276" w:lineRule="auto"/>
              <w:ind w:left="216"/>
              <w:jc w:val="left"/>
              <w:rPr>
                <w:rFonts w:cs="Times New Roman"/>
              </w:rPr>
            </w:pPr>
            <w:r w:rsidRPr="007D6B0C">
              <w:rPr>
                <w:rFonts w:cs="Times New Roman"/>
              </w:rPr>
              <w:t>Northwest region</w:t>
            </w:r>
          </w:p>
        </w:tc>
        <w:tc>
          <w:tcPr>
            <w:tcW w:w="3932" w:type="dxa"/>
            <w:tcBorders>
              <w:bottom w:val="single" w:sz="4" w:space="0" w:color="auto"/>
            </w:tcBorders>
            <w:vAlign w:val="center"/>
          </w:tcPr>
          <w:p w14:paraId="1945D3D7" w14:textId="77777777" w:rsidR="00C67945" w:rsidRPr="007D6B0C" w:rsidRDefault="00C67945" w:rsidP="008663BA">
            <w:pPr>
              <w:spacing w:line="276" w:lineRule="auto"/>
              <w:jc w:val="left"/>
              <w:rPr>
                <w:rFonts w:cs="Times New Roman"/>
                <w:color w:val="000000"/>
              </w:rPr>
            </w:pPr>
            <w:r>
              <w:rPr>
                <w:rFonts w:cs="Times New Roman"/>
                <w:color w:val="000000"/>
              </w:rPr>
              <w:t xml:space="preserve">Detectors in </w:t>
            </w:r>
            <w:r w:rsidRPr="007D6B0C">
              <w:rPr>
                <w:rFonts w:cs="Times New Roman"/>
              </w:rPr>
              <w:t xml:space="preserve">Northwest </w:t>
            </w:r>
            <w:r>
              <w:rPr>
                <w:rFonts w:cs="Times New Roman"/>
                <w:color w:val="000000"/>
              </w:rPr>
              <w:t>region</w:t>
            </w:r>
          </w:p>
        </w:tc>
        <w:tc>
          <w:tcPr>
            <w:tcW w:w="2638" w:type="dxa"/>
            <w:tcBorders>
              <w:bottom w:val="single" w:sz="4" w:space="0" w:color="auto"/>
            </w:tcBorders>
            <w:shd w:val="clear" w:color="auto" w:fill="auto"/>
            <w:noWrap/>
            <w:vAlign w:val="center"/>
          </w:tcPr>
          <w:p w14:paraId="26DCA1F2" w14:textId="77777777" w:rsidR="00C67945" w:rsidRPr="007D6B0C" w:rsidRDefault="00C67945" w:rsidP="00474045">
            <w:pPr>
              <w:spacing w:line="276" w:lineRule="auto"/>
              <w:jc w:val="center"/>
              <w:rPr>
                <w:rFonts w:cs="Times New Roman"/>
                <w:color w:val="000000"/>
              </w:rPr>
            </w:pPr>
            <w:r w:rsidRPr="007D6B0C">
              <w:rPr>
                <w:rFonts w:cs="Times New Roman"/>
                <w:color w:val="000000"/>
              </w:rPr>
              <w:t>0.00</w:t>
            </w:r>
          </w:p>
        </w:tc>
        <w:tc>
          <w:tcPr>
            <w:tcW w:w="3231" w:type="dxa"/>
            <w:tcBorders>
              <w:bottom w:val="single" w:sz="4" w:space="0" w:color="auto"/>
            </w:tcBorders>
            <w:shd w:val="clear" w:color="auto" w:fill="auto"/>
            <w:noWrap/>
            <w:vAlign w:val="center"/>
          </w:tcPr>
          <w:p w14:paraId="793D7549" w14:textId="77777777" w:rsidR="00C67945" w:rsidRPr="007D6B0C" w:rsidRDefault="00C67945" w:rsidP="00474045">
            <w:pPr>
              <w:spacing w:line="276" w:lineRule="auto"/>
              <w:jc w:val="center"/>
              <w:rPr>
                <w:rFonts w:cs="Times New Roman"/>
                <w:color w:val="000000"/>
              </w:rPr>
            </w:pPr>
            <w:r w:rsidRPr="007D6B0C">
              <w:rPr>
                <w:rFonts w:cs="Times New Roman"/>
                <w:color w:val="000000"/>
              </w:rPr>
              <w:t>1.00</w:t>
            </w:r>
          </w:p>
        </w:tc>
        <w:tc>
          <w:tcPr>
            <w:tcW w:w="1678" w:type="dxa"/>
            <w:tcBorders>
              <w:bottom w:val="single" w:sz="4" w:space="0" w:color="auto"/>
              <w:right w:val="double" w:sz="12" w:space="0" w:color="auto"/>
            </w:tcBorders>
            <w:shd w:val="clear" w:color="auto" w:fill="auto"/>
            <w:noWrap/>
            <w:vAlign w:val="center"/>
          </w:tcPr>
          <w:p w14:paraId="45C97073" w14:textId="77777777" w:rsidR="00C67945" w:rsidRPr="007D6B0C" w:rsidRDefault="00C67945" w:rsidP="00474045">
            <w:pPr>
              <w:spacing w:line="276" w:lineRule="auto"/>
              <w:jc w:val="center"/>
              <w:rPr>
                <w:rFonts w:cs="Times New Roman"/>
                <w:color w:val="000000"/>
              </w:rPr>
            </w:pPr>
            <w:r w:rsidRPr="007D6B0C">
              <w:rPr>
                <w:rFonts w:cs="Times New Roman"/>
                <w:color w:val="000000"/>
              </w:rPr>
              <w:t>0.08</w:t>
            </w:r>
          </w:p>
        </w:tc>
      </w:tr>
      <w:tr w:rsidR="00C67945" w:rsidRPr="007D6B0C" w14:paraId="3879ED7A" w14:textId="77777777" w:rsidTr="008663BA">
        <w:trPr>
          <w:trHeight w:val="533"/>
          <w:jc w:val="center"/>
        </w:trPr>
        <w:tc>
          <w:tcPr>
            <w:tcW w:w="2115" w:type="dxa"/>
            <w:tcBorders>
              <w:top w:val="single" w:sz="4" w:space="0" w:color="auto"/>
              <w:left w:val="double" w:sz="12" w:space="0" w:color="auto"/>
              <w:bottom w:val="single" w:sz="4" w:space="0" w:color="auto"/>
            </w:tcBorders>
            <w:shd w:val="clear" w:color="auto" w:fill="auto"/>
            <w:noWrap/>
            <w:vAlign w:val="center"/>
          </w:tcPr>
          <w:p w14:paraId="7D5423B9" w14:textId="77777777" w:rsidR="00C67945" w:rsidRPr="007D6B0C" w:rsidRDefault="00C67945" w:rsidP="008663BA">
            <w:pPr>
              <w:spacing w:line="276" w:lineRule="auto"/>
              <w:ind w:left="216"/>
              <w:jc w:val="left"/>
              <w:rPr>
                <w:rFonts w:cs="Times New Roman"/>
              </w:rPr>
            </w:pPr>
            <w:r w:rsidRPr="007D6B0C">
              <w:rPr>
                <w:rFonts w:cs="Times New Roman"/>
              </w:rPr>
              <w:t>West central region</w:t>
            </w:r>
          </w:p>
        </w:tc>
        <w:tc>
          <w:tcPr>
            <w:tcW w:w="3932" w:type="dxa"/>
            <w:tcBorders>
              <w:bottom w:val="single" w:sz="4" w:space="0" w:color="auto"/>
            </w:tcBorders>
            <w:vAlign w:val="center"/>
          </w:tcPr>
          <w:p w14:paraId="1FEB7C8D" w14:textId="77777777" w:rsidR="00C67945" w:rsidRPr="007D6B0C" w:rsidRDefault="00C67945" w:rsidP="008663BA">
            <w:pPr>
              <w:spacing w:line="276" w:lineRule="auto"/>
              <w:jc w:val="left"/>
              <w:rPr>
                <w:rFonts w:cs="Times New Roman"/>
                <w:color w:val="000000"/>
              </w:rPr>
            </w:pPr>
            <w:r>
              <w:rPr>
                <w:rFonts w:cs="Times New Roman"/>
                <w:color w:val="000000"/>
              </w:rPr>
              <w:t xml:space="preserve">Detectors in </w:t>
            </w:r>
            <w:r w:rsidRPr="007D6B0C">
              <w:rPr>
                <w:rFonts w:cs="Times New Roman"/>
              </w:rPr>
              <w:t xml:space="preserve">West central </w:t>
            </w:r>
            <w:r>
              <w:rPr>
                <w:rFonts w:cs="Times New Roman"/>
                <w:color w:val="000000"/>
              </w:rPr>
              <w:t>region</w:t>
            </w:r>
          </w:p>
        </w:tc>
        <w:tc>
          <w:tcPr>
            <w:tcW w:w="2638" w:type="dxa"/>
            <w:tcBorders>
              <w:bottom w:val="single" w:sz="4" w:space="0" w:color="auto"/>
            </w:tcBorders>
            <w:shd w:val="clear" w:color="auto" w:fill="auto"/>
            <w:noWrap/>
            <w:vAlign w:val="center"/>
          </w:tcPr>
          <w:p w14:paraId="2815E8F1" w14:textId="77777777" w:rsidR="00C67945" w:rsidRPr="007D6B0C" w:rsidRDefault="00C67945" w:rsidP="00474045">
            <w:pPr>
              <w:spacing w:line="276" w:lineRule="auto"/>
              <w:jc w:val="center"/>
              <w:rPr>
                <w:rFonts w:cs="Times New Roman"/>
                <w:color w:val="000000"/>
              </w:rPr>
            </w:pPr>
            <w:r w:rsidRPr="007D6B0C">
              <w:rPr>
                <w:rFonts w:cs="Times New Roman"/>
                <w:color w:val="000000"/>
              </w:rPr>
              <w:t>0.00</w:t>
            </w:r>
          </w:p>
        </w:tc>
        <w:tc>
          <w:tcPr>
            <w:tcW w:w="3231" w:type="dxa"/>
            <w:tcBorders>
              <w:bottom w:val="single" w:sz="4" w:space="0" w:color="auto"/>
            </w:tcBorders>
            <w:shd w:val="clear" w:color="auto" w:fill="auto"/>
            <w:noWrap/>
            <w:vAlign w:val="center"/>
          </w:tcPr>
          <w:p w14:paraId="6B963679" w14:textId="77777777" w:rsidR="00C67945" w:rsidRPr="007D6B0C" w:rsidRDefault="00C67945" w:rsidP="00474045">
            <w:pPr>
              <w:spacing w:line="276" w:lineRule="auto"/>
              <w:jc w:val="center"/>
              <w:rPr>
                <w:rFonts w:cs="Times New Roman"/>
                <w:color w:val="000000"/>
              </w:rPr>
            </w:pPr>
            <w:r w:rsidRPr="007D6B0C">
              <w:rPr>
                <w:rFonts w:cs="Times New Roman"/>
                <w:color w:val="000000"/>
              </w:rPr>
              <w:t>1.00</w:t>
            </w:r>
          </w:p>
        </w:tc>
        <w:tc>
          <w:tcPr>
            <w:tcW w:w="1678" w:type="dxa"/>
            <w:tcBorders>
              <w:bottom w:val="single" w:sz="4" w:space="0" w:color="auto"/>
              <w:right w:val="double" w:sz="12" w:space="0" w:color="auto"/>
            </w:tcBorders>
            <w:shd w:val="clear" w:color="auto" w:fill="auto"/>
            <w:noWrap/>
            <w:vAlign w:val="center"/>
          </w:tcPr>
          <w:p w14:paraId="7CB4A063" w14:textId="77777777" w:rsidR="00C67945" w:rsidRPr="007D6B0C" w:rsidRDefault="00C67945" w:rsidP="00474045">
            <w:pPr>
              <w:spacing w:line="276" w:lineRule="auto"/>
              <w:jc w:val="center"/>
              <w:rPr>
                <w:rFonts w:cs="Times New Roman"/>
                <w:color w:val="000000"/>
              </w:rPr>
            </w:pPr>
            <w:r w:rsidRPr="007D6B0C">
              <w:rPr>
                <w:rFonts w:cs="Times New Roman"/>
                <w:color w:val="000000"/>
              </w:rPr>
              <w:t>0.09</w:t>
            </w:r>
          </w:p>
        </w:tc>
      </w:tr>
      <w:tr w:rsidR="0069413B" w:rsidRPr="007D6B0C" w14:paraId="7315336E" w14:textId="77777777" w:rsidTr="008434DD">
        <w:trPr>
          <w:trHeight w:val="533"/>
          <w:jc w:val="center"/>
        </w:trPr>
        <w:tc>
          <w:tcPr>
            <w:tcW w:w="2115" w:type="dxa"/>
            <w:tcBorders>
              <w:top w:val="single" w:sz="4" w:space="0" w:color="auto"/>
              <w:left w:val="double" w:sz="12" w:space="0" w:color="auto"/>
              <w:bottom w:val="double" w:sz="12" w:space="0" w:color="000000"/>
            </w:tcBorders>
            <w:shd w:val="clear" w:color="auto" w:fill="auto"/>
            <w:noWrap/>
            <w:vAlign w:val="center"/>
          </w:tcPr>
          <w:p w14:paraId="3898305F" w14:textId="77777777" w:rsidR="0069413B" w:rsidRPr="007D6B0C" w:rsidRDefault="0069413B" w:rsidP="0069413B">
            <w:pPr>
              <w:spacing w:line="276" w:lineRule="auto"/>
              <w:ind w:left="216"/>
              <w:jc w:val="left"/>
              <w:rPr>
                <w:rFonts w:cs="Times New Roman"/>
              </w:rPr>
            </w:pPr>
            <w:r>
              <w:rPr>
                <w:rFonts w:cs="Times New Roman"/>
              </w:rPr>
              <w:t>Distance to nearest weather station</w:t>
            </w:r>
          </w:p>
        </w:tc>
        <w:tc>
          <w:tcPr>
            <w:tcW w:w="3932" w:type="dxa"/>
            <w:tcBorders>
              <w:top w:val="single" w:sz="4" w:space="0" w:color="auto"/>
              <w:bottom w:val="double" w:sz="12" w:space="0" w:color="000000"/>
            </w:tcBorders>
            <w:vAlign w:val="center"/>
          </w:tcPr>
          <w:p w14:paraId="41847831" w14:textId="39AC9D1E" w:rsidR="0069413B" w:rsidRDefault="0069413B" w:rsidP="0069413B">
            <w:pPr>
              <w:spacing w:line="276" w:lineRule="auto"/>
              <w:jc w:val="left"/>
              <w:rPr>
                <w:rFonts w:cs="Times New Roman"/>
                <w:color w:val="000000"/>
              </w:rPr>
            </w:pPr>
            <w:r>
              <w:rPr>
                <w:rFonts w:cs="Times New Roman"/>
                <w:color w:val="000000"/>
              </w:rPr>
              <w:t>Distance of the detectors from the nearest weather station (km)</w:t>
            </w:r>
          </w:p>
        </w:tc>
        <w:tc>
          <w:tcPr>
            <w:tcW w:w="2638" w:type="dxa"/>
            <w:tcBorders>
              <w:top w:val="single" w:sz="4" w:space="0" w:color="auto"/>
              <w:bottom w:val="double" w:sz="12" w:space="0" w:color="000000"/>
            </w:tcBorders>
            <w:shd w:val="clear" w:color="auto" w:fill="auto"/>
            <w:noWrap/>
            <w:vAlign w:val="center"/>
          </w:tcPr>
          <w:p w14:paraId="1203B4D0" w14:textId="5991D443" w:rsidR="0069413B" w:rsidRPr="007D6B0C" w:rsidRDefault="0069413B" w:rsidP="0069413B">
            <w:pPr>
              <w:spacing w:line="276" w:lineRule="auto"/>
              <w:jc w:val="center"/>
              <w:rPr>
                <w:rFonts w:cs="Times New Roman"/>
                <w:color w:val="000000"/>
              </w:rPr>
            </w:pPr>
            <w:r w:rsidRPr="0027646A">
              <w:rPr>
                <w:rFonts w:cs="Times New Roman"/>
                <w:szCs w:val="24"/>
              </w:rPr>
              <w:t>0.</w:t>
            </w:r>
            <w:r>
              <w:rPr>
                <w:rFonts w:cs="Times New Roman"/>
                <w:szCs w:val="24"/>
              </w:rPr>
              <w:t>69</w:t>
            </w:r>
          </w:p>
        </w:tc>
        <w:tc>
          <w:tcPr>
            <w:tcW w:w="3231" w:type="dxa"/>
            <w:tcBorders>
              <w:top w:val="single" w:sz="4" w:space="0" w:color="auto"/>
              <w:bottom w:val="double" w:sz="12" w:space="0" w:color="000000"/>
            </w:tcBorders>
            <w:shd w:val="clear" w:color="auto" w:fill="auto"/>
            <w:noWrap/>
            <w:vAlign w:val="center"/>
          </w:tcPr>
          <w:p w14:paraId="333C4E34" w14:textId="00BEA435" w:rsidR="0069413B" w:rsidRPr="007D6B0C" w:rsidRDefault="0069413B" w:rsidP="0069413B">
            <w:pPr>
              <w:spacing w:line="276" w:lineRule="auto"/>
              <w:jc w:val="center"/>
              <w:rPr>
                <w:rFonts w:cs="Times New Roman"/>
                <w:color w:val="000000"/>
              </w:rPr>
            </w:pPr>
            <w:r>
              <w:rPr>
                <w:rFonts w:cs="Times New Roman"/>
                <w:szCs w:val="24"/>
              </w:rPr>
              <w:t>68.35</w:t>
            </w:r>
          </w:p>
        </w:tc>
        <w:tc>
          <w:tcPr>
            <w:tcW w:w="1678" w:type="dxa"/>
            <w:tcBorders>
              <w:top w:val="single" w:sz="4" w:space="0" w:color="auto"/>
              <w:bottom w:val="double" w:sz="12" w:space="0" w:color="000000"/>
              <w:right w:val="double" w:sz="12" w:space="0" w:color="auto"/>
            </w:tcBorders>
            <w:shd w:val="clear" w:color="auto" w:fill="auto"/>
            <w:noWrap/>
            <w:vAlign w:val="center"/>
          </w:tcPr>
          <w:p w14:paraId="2B90F509" w14:textId="31BD9B60" w:rsidR="0069413B" w:rsidRPr="007D6B0C" w:rsidRDefault="0069413B" w:rsidP="0069413B">
            <w:pPr>
              <w:spacing w:line="276" w:lineRule="auto"/>
              <w:jc w:val="center"/>
              <w:rPr>
                <w:rFonts w:cs="Times New Roman"/>
                <w:color w:val="000000"/>
              </w:rPr>
            </w:pPr>
            <w:r>
              <w:rPr>
                <w:rFonts w:cs="Times New Roman"/>
                <w:szCs w:val="24"/>
              </w:rPr>
              <w:t>27.60</w:t>
            </w:r>
          </w:p>
        </w:tc>
      </w:tr>
    </w:tbl>
    <w:p w14:paraId="528977B9" w14:textId="0C9AC09C" w:rsidR="00EC24D4" w:rsidRPr="00D64840" w:rsidRDefault="00D64840" w:rsidP="00D64840">
      <w:pPr>
        <w:spacing w:line="276" w:lineRule="auto"/>
        <w:jc w:val="center"/>
        <w:rPr>
          <w:b/>
          <w:bCs/>
        </w:rPr>
      </w:pPr>
      <w:r w:rsidRPr="006E6623">
        <w:rPr>
          <w:b/>
          <w:bCs/>
        </w:rPr>
        <w:t xml:space="preserve">Table </w:t>
      </w:r>
      <w:r>
        <w:rPr>
          <w:b/>
          <w:bCs/>
        </w:rPr>
        <w:t>2</w:t>
      </w:r>
      <w:r w:rsidRPr="006E6623">
        <w:rPr>
          <w:b/>
          <w:bCs/>
        </w:rPr>
        <w:t xml:space="preserve">: Descriptive Summary of </w:t>
      </w:r>
      <w:r w:rsidRPr="007D6B0C">
        <w:rPr>
          <w:rFonts w:cs="Times New Roman"/>
          <w:b/>
          <w:bCs/>
          <w:color w:val="000000"/>
        </w:rPr>
        <w:t xml:space="preserve">Variables </w:t>
      </w:r>
      <w:r w:rsidR="00194D86">
        <w:rPr>
          <w:rFonts w:cs="Times New Roman"/>
          <w:b/>
          <w:bCs/>
          <w:color w:val="000000"/>
        </w:rPr>
        <w:t>V</w:t>
      </w:r>
      <w:r w:rsidRPr="007D6B0C">
        <w:rPr>
          <w:rFonts w:cs="Times New Roman"/>
          <w:b/>
          <w:bCs/>
          <w:color w:val="000000"/>
        </w:rPr>
        <w:t xml:space="preserve">aries in </w:t>
      </w:r>
      <w:r w:rsidR="00194D86">
        <w:rPr>
          <w:rFonts w:cs="Times New Roman"/>
          <w:b/>
          <w:bCs/>
          <w:color w:val="000000"/>
        </w:rPr>
        <w:t>W</w:t>
      </w:r>
      <w:r w:rsidRPr="007D6B0C">
        <w:rPr>
          <w:rFonts w:cs="Times New Roman"/>
          <w:b/>
          <w:bCs/>
          <w:color w:val="000000"/>
        </w:rPr>
        <w:t xml:space="preserve">eekday and </w:t>
      </w:r>
      <w:r w:rsidR="00194D86">
        <w:rPr>
          <w:rFonts w:cs="Times New Roman"/>
          <w:b/>
          <w:bCs/>
          <w:color w:val="000000"/>
        </w:rPr>
        <w:t>H</w:t>
      </w:r>
      <w:r w:rsidRPr="007D6B0C">
        <w:rPr>
          <w:rFonts w:cs="Times New Roman"/>
          <w:b/>
          <w:bCs/>
          <w:color w:val="000000"/>
        </w:rPr>
        <w:t xml:space="preserve">oliday </w:t>
      </w:r>
      <w:r w:rsidR="00194D86">
        <w:rPr>
          <w:rFonts w:cs="Times New Roman"/>
          <w:b/>
          <w:bCs/>
          <w:color w:val="000000"/>
        </w:rPr>
        <w:t>M</w:t>
      </w:r>
      <w:r w:rsidRPr="007D6B0C">
        <w:rPr>
          <w:rFonts w:cs="Times New Roman"/>
          <w:b/>
          <w:bCs/>
          <w:color w:val="000000"/>
        </w:rPr>
        <w:t>odels</w:t>
      </w:r>
    </w:p>
    <w:tbl>
      <w:tblPr>
        <w:tblStyle w:val="TableGrid"/>
        <w:tblW w:w="12960" w:type="dxa"/>
        <w:jc w:val="center"/>
        <w:tblLayout w:type="fixed"/>
        <w:tblLook w:val="04A0" w:firstRow="1" w:lastRow="0" w:firstColumn="1" w:lastColumn="0" w:noHBand="0" w:noVBand="1"/>
      </w:tblPr>
      <w:tblGrid>
        <w:gridCol w:w="1935"/>
        <w:gridCol w:w="4140"/>
        <w:gridCol w:w="1080"/>
        <w:gridCol w:w="1440"/>
        <w:gridCol w:w="1170"/>
        <w:gridCol w:w="984"/>
        <w:gridCol w:w="1184"/>
        <w:gridCol w:w="14"/>
        <w:gridCol w:w="1013"/>
      </w:tblGrid>
      <w:tr w:rsidR="004221D5" w:rsidRPr="007D6B0C" w14:paraId="6229AFBD" w14:textId="77777777" w:rsidTr="004221D5">
        <w:trPr>
          <w:trHeight w:val="418"/>
          <w:jc w:val="center"/>
        </w:trPr>
        <w:tc>
          <w:tcPr>
            <w:tcW w:w="1935" w:type="dxa"/>
            <w:vMerge w:val="restart"/>
            <w:tcBorders>
              <w:top w:val="double" w:sz="12" w:space="0" w:color="auto"/>
              <w:left w:val="double" w:sz="12" w:space="0" w:color="auto"/>
              <w:bottom w:val="single" w:sz="12" w:space="0" w:color="auto"/>
            </w:tcBorders>
            <w:shd w:val="clear" w:color="auto" w:fill="auto"/>
            <w:noWrap/>
            <w:vAlign w:val="center"/>
          </w:tcPr>
          <w:p w14:paraId="55450291" w14:textId="77777777" w:rsidR="00D64840" w:rsidRPr="007D6B0C" w:rsidRDefault="00D64840" w:rsidP="00CC7304">
            <w:pPr>
              <w:spacing w:line="276" w:lineRule="auto"/>
              <w:jc w:val="center"/>
              <w:rPr>
                <w:rFonts w:cs="Times New Roman"/>
                <w:b/>
                <w:bCs/>
              </w:rPr>
            </w:pPr>
            <w:r w:rsidRPr="007D6B0C">
              <w:rPr>
                <w:rFonts w:cs="Times New Roman"/>
                <w:b/>
                <w:bCs/>
              </w:rPr>
              <w:lastRenderedPageBreak/>
              <w:t>Variables</w:t>
            </w:r>
          </w:p>
        </w:tc>
        <w:tc>
          <w:tcPr>
            <w:tcW w:w="4140" w:type="dxa"/>
            <w:vMerge w:val="restart"/>
            <w:tcBorders>
              <w:top w:val="double" w:sz="12" w:space="0" w:color="auto"/>
            </w:tcBorders>
            <w:vAlign w:val="center"/>
          </w:tcPr>
          <w:p w14:paraId="53806478" w14:textId="77777777" w:rsidR="00D64840" w:rsidRPr="007D6B0C" w:rsidRDefault="00D64840" w:rsidP="00CC7304">
            <w:pPr>
              <w:spacing w:line="276" w:lineRule="auto"/>
              <w:jc w:val="center"/>
              <w:rPr>
                <w:rFonts w:cs="Times New Roman"/>
                <w:b/>
                <w:bCs/>
              </w:rPr>
            </w:pPr>
            <w:r>
              <w:rPr>
                <w:rFonts w:cs="Times New Roman"/>
                <w:b/>
                <w:bCs/>
              </w:rPr>
              <w:t>Variable Description</w:t>
            </w:r>
          </w:p>
        </w:tc>
        <w:tc>
          <w:tcPr>
            <w:tcW w:w="3690" w:type="dxa"/>
            <w:gridSpan w:val="3"/>
            <w:tcBorders>
              <w:top w:val="double" w:sz="12" w:space="0" w:color="auto"/>
              <w:bottom w:val="single" w:sz="4" w:space="0" w:color="auto"/>
              <w:right w:val="single" w:sz="4" w:space="0" w:color="auto"/>
            </w:tcBorders>
            <w:shd w:val="clear" w:color="auto" w:fill="auto"/>
            <w:noWrap/>
            <w:vAlign w:val="center"/>
          </w:tcPr>
          <w:p w14:paraId="7F9B29BB" w14:textId="77777777" w:rsidR="00D64840" w:rsidRPr="007D6B0C" w:rsidRDefault="00D64840" w:rsidP="00CC7304">
            <w:pPr>
              <w:spacing w:line="276" w:lineRule="auto"/>
              <w:jc w:val="center"/>
              <w:rPr>
                <w:rFonts w:cs="Times New Roman"/>
                <w:color w:val="000000"/>
              </w:rPr>
            </w:pPr>
            <w:r w:rsidRPr="007D6B0C">
              <w:rPr>
                <w:rFonts w:cs="Times New Roman"/>
                <w:b/>
                <w:bCs/>
              </w:rPr>
              <w:t>Weekday (N = 94,373)</w:t>
            </w:r>
          </w:p>
        </w:tc>
        <w:tc>
          <w:tcPr>
            <w:tcW w:w="3195" w:type="dxa"/>
            <w:gridSpan w:val="4"/>
            <w:tcBorders>
              <w:top w:val="double" w:sz="12" w:space="0" w:color="auto"/>
              <w:left w:val="single" w:sz="4" w:space="0" w:color="auto"/>
              <w:bottom w:val="single" w:sz="4" w:space="0" w:color="auto"/>
              <w:right w:val="double" w:sz="12" w:space="0" w:color="auto"/>
            </w:tcBorders>
            <w:shd w:val="clear" w:color="auto" w:fill="auto"/>
            <w:vAlign w:val="center"/>
          </w:tcPr>
          <w:p w14:paraId="7E9CD87A" w14:textId="77777777" w:rsidR="00D64840" w:rsidRPr="007D6B0C" w:rsidRDefault="00D64840" w:rsidP="00CC7304">
            <w:pPr>
              <w:spacing w:line="276" w:lineRule="auto"/>
              <w:jc w:val="center"/>
              <w:rPr>
                <w:rFonts w:cs="Times New Roman"/>
                <w:color w:val="000000"/>
              </w:rPr>
            </w:pPr>
            <w:r w:rsidRPr="007D6B0C">
              <w:rPr>
                <w:rFonts w:cs="Times New Roman"/>
                <w:b/>
                <w:bCs/>
              </w:rPr>
              <w:t>Holiday (N = 94,197)</w:t>
            </w:r>
          </w:p>
        </w:tc>
      </w:tr>
      <w:tr w:rsidR="00CA490D" w:rsidRPr="007D6B0C" w14:paraId="0DE7E892" w14:textId="77777777" w:rsidTr="004221D5">
        <w:trPr>
          <w:trHeight w:val="418"/>
          <w:jc w:val="center"/>
        </w:trPr>
        <w:tc>
          <w:tcPr>
            <w:tcW w:w="1935" w:type="dxa"/>
            <w:vMerge/>
            <w:tcBorders>
              <w:left w:val="double" w:sz="12" w:space="0" w:color="auto"/>
              <w:bottom w:val="single" w:sz="4" w:space="0" w:color="auto"/>
            </w:tcBorders>
            <w:shd w:val="clear" w:color="auto" w:fill="auto"/>
            <w:noWrap/>
            <w:vAlign w:val="center"/>
          </w:tcPr>
          <w:p w14:paraId="7447C365" w14:textId="77777777" w:rsidR="00D64840" w:rsidRPr="007D6B0C" w:rsidRDefault="00D64840" w:rsidP="00CC7304">
            <w:pPr>
              <w:spacing w:line="276" w:lineRule="auto"/>
              <w:ind w:left="216"/>
              <w:jc w:val="center"/>
              <w:rPr>
                <w:rFonts w:cs="Times New Roman"/>
              </w:rPr>
            </w:pPr>
          </w:p>
        </w:tc>
        <w:tc>
          <w:tcPr>
            <w:tcW w:w="4140" w:type="dxa"/>
            <w:vMerge/>
            <w:tcBorders>
              <w:bottom w:val="single" w:sz="4" w:space="0" w:color="auto"/>
            </w:tcBorders>
            <w:vAlign w:val="center"/>
          </w:tcPr>
          <w:p w14:paraId="001FDC73" w14:textId="77777777" w:rsidR="00D64840" w:rsidRPr="007D6B0C" w:rsidRDefault="00D64840" w:rsidP="00CC7304">
            <w:pPr>
              <w:spacing w:line="276" w:lineRule="auto"/>
              <w:jc w:val="center"/>
              <w:rPr>
                <w:rFonts w:cs="Times New Roman"/>
                <w:b/>
                <w:bCs/>
              </w:rPr>
            </w:pPr>
          </w:p>
        </w:tc>
        <w:tc>
          <w:tcPr>
            <w:tcW w:w="1080" w:type="dxa"/>
            <w:tcBorders>
              <w:bottom w:val="single" w:sz="4" w:space="0" w:color="auto"/>
              <w:right w:val="single" w:sz="4" w:space="0" w:color="auto"/>
            </w:tcBorders>
            <w:shd w:val="clear" w:color="auto" w:fill="auto"/>
            <w:noWrap/>
            <w:vAlign w:val="center"/>
          </w:tcPr>
          <w:p w14:paraId="6158EAD6" w14:textId="77777777" w:rsidR="00D64840" w:rsidRPr="007D6B0C" w:rsidRDefault="00D64840" w:rsidP="00CC7304">
            <w:pPr>
              <w:spacing w:line="276" w:lineRule="auto"/>
              <w:jc w:val="center"/>
              <w:rPr>
                <w:rFonts w:cs="Times New Roman"/>
                <w:color w:val="000000"/>
              </w:rPr>
            </w:pPr>
            <w:r w:rsidRPr="007D6B0C">
              <w:rPr>
                <w:rFonts w:cs="Times New Roman"/>
                <w:b/>
                <w:bCs/>
              </w:rPr>
              <w:t>Min.</w:t>
            </w:r>
          </w:p>
        </w:tc>
        <w:tc>
          <w:tcPr>
            <w:tcW w:w="1440" w:type="dxa"/>
            <w:tcBorders>
              <w:left w:val="single" w:sz="4" w:space="0" w:color="auto"/>
              <w:bottom w:val="single" w:sz="4" w:space="0" w:color="auto"/>
            </w:tcBorders>
            <w:shd w:val="clear" w:color="auto" w:fill="auto"/>
            <w:vAlign w:val="center"/>
          </w:tcPr>
          <w:p w14:paraId="2B360363" w14:textId="77777777" w:rsidR="00D64840" w:rsidRPr="007D6B0C" w:rsidRDefault="00D64840" w:rsidP="00CC7304">
            <w:pPr>
              <w:spacing w:line="276" w:lineRule="auto"/>
              <w:jc w:val="center"/>
              <w:rPr>
                <w:rFonts w:cs="Times New Roman"/>
                <w:color w:val="000000"/>
              </w:rPr>
            </w:pPr>
            <w:r w:rsidRPr="007D6B0C">
              <w:rPr>
                <w:rFonts w:cs="Times New Roman"/>
                <w:b/>
                <w:bCs/>
              </w:rPr>
              <w:t>Max.</w:t>
            </w:r>
          </w:p>
        </w:tc>
        <w:tc>
          <w:tcPr>
            <w:tcW w:w="1170" w:type="dxa"/>
            <w:tcBorders>
              <w:bottom w:val="single" w:sz="4" w:space="0" w:color="auto"/>
              <w:right w:val="single" w:sz="4" w:space="0" w:color="auto"/>
            </w:tcBorders>
            <w:shd w:val="clear" w:color="auto" w:fill="auto"/>
            <w:noWrap/>
            <w:vAlign w:val="center"/>
          </w:tcPr>
          <w:p w14:paraId="522CC78D" w14:textId="77777777" w:rsidR="00D64840" w:rsidRPr="007D6B0C" w:rsidRDefault="00D64840" w:rsidP="00CC7304">
            <w:pPr>
              <w:spacing w:line="276" w:lineRule="auto"/>
              <w:jc w:val="center"/>
              <w:rPr>
                <w:rFonts w:cs="Times New Roman"/>
                <w:color w:val="000000"/>
              </w:rPr>
            </w:pPr>
            <w:r w:rsidRPr="007D6B0C">
              <w:rPr>
                <w:rFonts w:cs="Times New Roman"/>
                <w:b/>
                <w:bCs/>
              </w:rPr>
              <w:t>Mean</w:t>
            </w:r>
          </w:p>
        </w:tc>
        <w:tc>
          <w:tcPr>
            <w:tcW w:w="984" w:type="dxa"/>
            <w:tcBorders>
              <w:left w:val="single" w:sz="4" w:space="0" w:color="auto"/>
              <w:bottom w:val="single" w:sz="4" w:space="0" w:color="auto"/>
            </w:tcBorders>
            <w:shd w:val="clear" w:color="auto" w:fill="auto"/>
            <w:vAlign w:val="center"/>
          </w:tcPr>
          <w:p w14:paraId="1AF05D38" w14:textId="77777777" w:rsidR="00D64840" w:rsidRPr="007D6B0C" w:rsidRDefault="00D64840" w:rsidP="00CC7304">
            <w:pPr>
              <w:spacing w:line="276" w:lineRule="auto"/>
              <w:jc w:val="center"/>
              <w:rPr>
                <w:rFonts w:cs="Times New Roman"/>
                <w:color w:val="000000"/>
              </w:rPr>
            </w:pPr>
            <w:r w:rsidRPr="007D6B0C">
              <w:rPr>
                <w:rFonts w:cs="Times New Roman"/>
                <w:b/>
                <w:bCs/>
              </w:rPr>
              <w:t>Min.</w:t>
            </w:r>
          </w:p>
        </w:tc>
        <w:tc>
          <w:tcPr>
            <w:tcW w:w="1184" w:type="dxa"/>
            <w:tcBorders>
              <w:bottom w:val="single" w:sz="4" w:space="0" w:color="auto"/>
              <w:right w:val="single" w:sz="4" w:space="0" w:color="auto"/>
            </w:tcBorders>
            <w:shd w:val="clear" w:color="auto" w:fill="auto"/>
            <w:noWrap/>
            <w:vAlign w:val="center"/>
          </w:tcPr>
          <w:p w14:paraId="1234DD87" w14:textId="77777777" w:rsidR="00D64840" w:rsidRPr="007D6B0C" w:rsidRDefault="00D64840" w:rsidP="00CC7304">
            <w:pPr>
              <w:spacing w:line="276" w:lineRule="auto"/>
              <w:jc w:val="center"/>
              <w:rPr>
                <w:rFonts w:cs="Times New Roman"/>
                <w:color w:val="000000"/>
              </w:rPr>
            </w:pPr>
            <w:r w:rsidRPr="007D6B0C">
              <w:rPr>
                <w:rFonts w:cs="Times New Roman"/>
                <w:b/>
                <w:bCs/>
              </w:rPr>
              <w:t>Max.</w:t>
            </w:r>
          </w:p>
        </w:tc>
        <w:tc>
          <w:tcPr>
            <w:tcW w:w="1027" w:type="dxa"/>
            <w:gridSpan w:val="2"/>
            <w:tcBorders>
              <w:left w:val="single" w:sz="4" w:space="0" w:color="auto"/>
              <w:bottom w:val="single" w:sz="4" w:space="0" w:color="auto"/>
              <w:right w:val="double" w:sz="12" w:space="0" w:color="auto"/>
            </w:tcBorders>
            <w:shd w:val="clear" w:color="auto" w:fill="auto"/>
            <w:vAlign w:val="center"/>
          </w:tcPr>
          <w:p w14:paraId="11232FA8" w14:textId="77777777" w:rsidR="00D64840" w:rsidRPr="007D6B0C" w:rsidRDefault="00D64840" w:rsidP="00CC7304">
            <w:pPr>
              <w:spacing w:line="276" w:lineRule="auto"/>
              <w:jc w:val="center"/>
              <w:rPr>
                <w:rFonts w:cs="Times New Roman"/>
                <w:color w:val="000000"/>
              </w:rPr>
            </w:pPr>
            <w:r w:rsidRPr="007D6B0C">
              <w:rPr>
                <w:rFonts w:cs="Times New Roman"/>
                <w:b/>
                <w:bCs/>
              </w:rPr>
              <w:t>Mean</w:t>
            </w:r>
          </w:p>
        </w:tc>
      </w:tr>
      <w:tr w:rsidR="00D64840" w:rsidRPr="007D6B0C" w14:paraId="538F53E8" w14:textId="77777777" w:rsidTr="00D64840">
        <w:trPr>
          <w:trHeight w:val="418"/>
          <w:jc w:val="center"/>
        </w:trPr>
        <w:tc>
          <w:tcPr>
            <w:tcW w:w="12960" w:type="dxa"/>
            <w:gridSpan w:val="9"/>
            <w:tcBorders>
              <w:left w:val="double" w:sz="12" w:space="0" w:color="auto"/>
              <w:right w:val="double" w:sz="12" w:space="0" w:color="auto"/>
            </w:tcBorders>
            <w:shd w:val="clear" w:color="auto" w:fill="auto"/>
            <w:noWrap/>
            <w:vAlign w:val="center"/>
          </w:tcPr>
          <w:p w14:paraId="14D1E6C8" w14:textId="77777777" w:rsidR="00D64840" w:rsidRPr="007D6B0C" w:rsidRDefault="00D64840" w:rsidP="00CC7304">
            <w:pPr>
              <w:spacing w:line="276" w:lineRule="auto"/>
              <w:rPr>
                <w:rFonts w:cs="Times New Roman"/>
                <w:color w:val="000000"/>
              </w:rPr>
            </w:pPr>
            <w:r w:rsidRPr="007D6B0C">
              <w:rPr>
                <w:rFonts w:cs="Times New Roman"/>
                <w:b/>
                <w:bCs/>
                <w:i/>
                <w:iCs/>
              </w:rPr>
              <w:t>Covid-19 transmission Factors</w:t>
            </w:r>
          </w:p>
        </w:tc>
      </w:tr>
      <w:tr w:rsidR="00CA490D" w:rsidRPr="007D6B0C" w14:paraId="5FE2AAD1" w14:textId="77777777" w:rsidTr="004221D5">
        <w:trPr>
          <w:trHeight w:val="418"/>
          <w:jc w:val="center"/>
        </w:trPr>
        <w:tc>
          <w:tcPr>
            <w:tcW w:w="1935" w:type="dxa"/>
            <w:tcBorders>
              <w:left w:val="double" w:sz="12" w:space="0" w:color="auto"/>
            </w:tcBorders>
            <w:shd w:val="clear" w:color="auto" w:fill="auto"/>
            <w:noWrap/>
            <w:vAlign w:val="center"/>
          </w:tcPr>
          <w:p w14:paraId="3C92CF89" w14:textId="77777777" w:rsidR="00D64840" w:rsidRPr="007D6B0C" w:rsidRDefault="00D64840" w:rsidP="00D64840">
            <w:pPr>
              <w:spacing w:line="276" w:lineRule="auto"/>
              <w:ind w:left="216"/>
              <w:jc w:val="left"/>
              <w:rPr>
                <w:rFonts w:cs="Times New Roman"/>
              </w:rPr>
            </w:pPr>
            <w:r>
              <w:rPr>
                <w:rFonts w:cs="Times New Roman"/>
              </w:rPr>
              <w:t>2-weeks lag average</w:t>
            </w:r>
            <w:r w:rsidRPr="007D6B0C">
              <w:rPr>
                <w:rFonts w:cs="Times New Roman"/>
              </w:rPr>
              <w:t xml:space="preserve"> COVID </w:t>
            </w:r>
            <w:r>
              <w:rPr>
                <w:rFonts w:cs="Times New Roman"/>
              </w:rPr>
              <w:t>case per 1M population</w:t>
            </w:r>
          </w:p>
        </w:tc>
        <w:tc>
          <w:tcPr>
            <w:tcW w:w="4140" w:type="dxa"/>
            <w:vAlign w:val="center"/>
          </w:tcPr>
          <w:p w14:paraId="673095F5" w14:textId="77777777" w:rsidR="00D64840" w:rsidRPr="007D6B0C" w:rsidRDefault="00D64840" w:rsidP="00D64840">
            <w:pPr>
              <w:spacing w:line="276" w:lineRule="auto"/>
              <w:jc w:val="left"/>
              <w:rPr>
                <w:rFonts w:cs="Times New Roman"/>
                <w:color w:val="000000"/>
              </w:rPr>
            </w:pPr>
            <w:r>
              <w:rPr>
                <w:rFonts w:cs="Times New Roman"/>
                <w:color w:val="000000"/>
              </w:rPr>
              <w:t>Number of average COVID cases of 2-weeks lag per 1 million population</w:t>
            </w:r>
          </w:p>
        </w:tc>
        <w:tc>
          <w:tcPr>
            <w:tcW w:w="1080" w:type="dxa"/>
            <w:tcBorders>
              <w:right w:val="single" w:sz="4" w:space="0" w:color="auto"/>
            </w:tcBorders>
            <w:shd w:val="clear" w:color="auto" w:fill="auto"/>
            <w:noWrap/>
            <w:vAlign w:val="center"/>
          </w:tcPr>
          <w:p w14:paraId="4DF5B404" w14:textId="77777777" w:rsidR="00D64840" w:rsidRPr="007D6B0C" w:rsidRDefault="00D64840" w:rsidP="00CC7304">
            <w:pPr>
              <w:spacing w:line="276" w:lineRule="auto"/>
              <w:jc w:val="center"/>
              <w:rPr>
                <w:rFonts w:cs="Times New Roman"/>
                <w:color w:val="000000"/>
              </w:rPr>
            </w:pPr>
            <w:r w:rsidRPr="007D6B0C">
              <w:rPr>
                <w:rFonts w:cs="Times New Roman"/>
                <w:color w:val="000000"/>
              </w:rPr>
              <w:t>0.00</w:t>
            </w:r>
          </w:p>
        </w:tc>
        <w:tc>
          <w:tcPr>
            <w:tcW w:w="1440" w:type="dxa"/>
            <w:tcBorders>
              <w:left w:val="single" w:sz="4" w:space="0" w:color="auto"/>
            </w:tcBorders>
            <w:shd w:val="clear" w:color="auto" w:fill="auto"/>
            <w:vAlign w:val="center"/>
          </w:tcPr>
          <w:p w14:paraId="6607D963" w14:textId="77777777" w:rsidR="00D64840" w:rsidRPr="007D6B0C" w:rsidRDefault="00D64840" w:rsidP="00CC7304">
            <w:pPr>
              <w:spacing w:line="276" w:lineRule="auto"/>
              <w:jc w:val="center"/>
              <w:rPr>
                <w:rFonts w:cs="Times New Roman"/>
                <w:color w:val="000000"/>
              </w:rPr>
            </w:pPr>
            <w:r>
              <w:rPr>
                <w:rFonts w:cs="Times New Roman"/>
                <w:color w:val="000000"/>
              </w:rPr>
              <w:t>19,235.00</w:t>
            </w:r>
          </w:p>
        </w:tc>
        <w:tc>
          <w:tcPr>
            <w:tcW w:w="1170" w:type="dxa"/>
            <w:tcBorders>
              <w:right w:val="single" w:sz="4" w:space="0" w:color="auto"/>
            </w:tcBorders>
            <w:shd w:val="clear" w:color="auto" w:fill="auto"/>
            <w:noWrap/>
            <w:vAlign w:val="center"/>
          </w:tcPr>
          <w:p w14:paraId="562BA64C" w14:textId="77777777" w:rsidR="00D64840" w:rsidRPr="007D6B0C" w:rsidRDefault="00D64840" w:rsidP="00CC7304">
            <w:pPr>
              <w:spacing w:line="276" w:lineRule="auto"/>
              <w:jc w:val="center"/>
              <w:rPr>
                <w:rFonts w:cs="Times New Roman"/>
                <w:color w:val="000000"/>
              </w:rPr>
            </w:pPr>
            <w:r>
              <w:rPr>
                <w:rFonts w:cs="Times New Roman"/>
                <w:color w:val="000000"/>
              </w:rPr>
              <w:t>511.98</w:t>
            </w:r>
          </w:p>
        </w:tc>
        <w:tc>
          <w:tcPr>
            <w:tcW w:w="984" w:type="dxa"/>
            <w:tcBorders>
              <w:left w:val="single" w:sz="4" w:space="0" w:color="auto"/>
            </w:tcBorders>
            <w:shd w:val="clear" w:color="auto" w:fill="auto"/>
            <w:vAlign w:val="center"/>
          </w:tcPr>
          <w:p w14:paraId="63978AB3" w14:textId="77777777" w:rsidR="00D64840" w:rsidRPr="007D6B0C" w:rsidRDefault="00D64840" w:rsidP="00CC7304">
            <w:pPr>
              <w:spacing w:line="276" w:lineRule="auto"/>
              <w:jc w:val="center"/>
              <w:rPr>
                <w:rFonts w:cs="Times New Roman"/>
                <w:color w:val="000000"/>
              </w:rPr>
            </w:pPr>
            <w:r w:rsidRPr="007D6B0C">
              <w:rPr>
                <w:rFonts w:cs="Times New Roman"/>
                <w:color w:val="000000"/>
              </w:rPr>
              <w:t>0.00</w:t>
            </w:r>
          </w:p>
        </w:tc>
        <w:tc>
          <w:tcPr>
            <w:tcW w:w="1198" w:type="dxa"/>
            <w:gridSpan w:val="2"/>
            <w:tcBorders>
              <w:right w:val="single" w:sz="4" w:space="0" w:color="auto"/>
            </w:tcBorders>
            <w:shd w:val="clear" w:color="auto" w:fill="auto"/>
            <w:noWrap/>
            <w:vAlign w:val="center"/>
          </w:tcPr>
          <w:p w14:paraId="47B0CDBE" w14:textId="77777777" w:rsidR="00D64840" w:rsidRPr="007D6B0C" w:rsidRDefault="00D64840" w:rsidP="00CC7304">
            <w:pPr>
              <w:spacing w:line="276" w:lineRule="auto"/>
              <w:jc w:val="center"/>
              <w:rPr>
                <w:rFonts w:cs="Times New Roman"/>
                <w:color w:val="000000"/>
              </w:rPr>
            </w:pPr>
            <w:r>
              <w:rPr>
                <w:rFonts w:cs="Times New Roman"/>
                <w:color w:val="000000"/>
              </w:rPr>
              <w:t>19,235.00</w:t>
            </w:r>
          </w:p>
        </w:tc>
        <w:tc>
          <w:tcPr>
            <w:tcW w:w="1013" w:type="dxa"/>
            <w:tcBorders>
              <w:left w:val="single" w:sz="4" w:space="0" w:color="auto"/>
              <w:right w:val="double" w:sz="12" w:space="0" w:color="auto"/>
            </w:tcBorders>
            <w:shd w:val="clear" w:color="auto" w:fill="auto"/>
            <w:vAlign w:val="center"/>
          </w:tcPr>
          <w:p w14:paraId="64D1CE42" w14:textId="77777777" w:rsidR="00D64840" w:rsidRPr="007D6B0C" w:rsidRDefault="00D64840" w:rsidP="00CC7304">
            <w:pPr>
              <w:spacing w:line="276" w:lineRule="auto"/>
              <w:jc w:val="center"/>
              <w:rPr>
                <w:rFonts w:cs="Times New Roman"/>
                <w:color w:val="000000"/>
              </w:rPr>
            </w:pPr>
            <w:r>
              <w:rPr>
                <w:rFonts w:cs="Times New Roman"/>
                <w:color w:val="000000"/>
              </w:rPr>
              <w:t>518.68</w:t>
            </w:r>
          </w:p>
        </w:tc>
      </w:tr>
      <w:tr w:rsidR="00CA490D" w:rsidRPr="007D6B0C" w14:paraId="432F47B9" w14:textId="77777777" w:rsidTr="004221D5">
        <w:trPr>
          <w:trHeight w:val="418"/>
          <w:jc w:val="center"/>
        </w:trPr>
        <w:tc>
          <w:tcPr>
            <w:tcW w:w="1935" w:type="dxa"/>
            <w:tcBorders>
              <w:left w:val="double" w:sz="12" w:space="0" w:color="auto"/>
            </w:tcBorders>
            <w:shd w:val="clear" w:color="auto" w:fill="auto"/>
            <w:noWrap/>
            <w:vAlign w:val="center"/>
          </w:tcPr>
          <w:p w14:paraId="15C002E6" w14:textId="77777777" w:rsidR="00D64840" w:rsidRPr="007D6B0C" w:rsidRDefault="00D64840" w:rsidP="00D64840">
            <w:pPr>
              <w:spacing w:line="276" w:lineRule="auto"/>
              <w:ind w:left="216"/>
              <w:jc w:val="left"/>
              <w:rPr>
                <w:rFonts w:cs="Times New Roman"/>
              </w:rPr>
            </w:pPr>
            <w:r w:rsidRPr="007D6B0C">
              <w:rPr>
                <w:rFonts w:cs="Times New Roman"/>
              </w:rPr>
              <w:t>Difference with the 3-week</w:t>
            </w:r>
            <w:r>
              <w:rPr>
                <w:rFonts w:cs="Times New Roman"/>
              </w:rPr>
              <w:t>s</w:t>
            </w:r>
            <w:r w:rsidRPr="007D6B0C">
              <w:rPr>
                <w:rFonts w:cs="Times New Roman"/>
              </w:rPr>
              <w:t xml:space="preserve"> moving average</w:t>
            </w:r>
          </w:p>
        </w:tc>
        <w:tc>
          <w:tcPr>
            <w:tcW w:w="4140" w:type="dxa"/>
            <w:vAlign w:val="center"/>
          </w:tcPr>
          <w:p w14:paraId="023BE569" w14:textId="77777777" w:rsidR="00D64840" w:rsidRDefault="00D64840" w:rsidP="00D64840">
            <w:pPr>
              <w:spacing w:line="276" w:lineRule="auto"/>
              <w:jc w:val="left"/>
              <w:rPr>
                <w:rFonts w:cs="Times New Roman"/>
                <w:color w:val="000000"/>
              </w:rPr>
            </w:pPr>
            <w:r>
              <w:rPr>
                <w:rFonts w:cs="Times New Roman"/>
                <w:color w:val="000000"/>
              </w:rPr>
              <w:t>Moving average = (Sum of 1-, 2-, 3- weeks lag average COVID case)/3</w:t>
            </w:r>
          </w:p>
          <w:p w14:paraId="4EDC94EE" w14:textId="77777777" w:rsidR="00D64840" w:rsidRPr="007D6B0C" w:rsidRDefault="00D64840" w:rsidP="00D64840">
            <w:pPr>
              <w:spacing w:line="276" w:lineRule="auto"/>
              <w:jc w:val="left"/>
              <w:rPr>
                <w:rFonts w:cs="Times New Roman"/>
                <w:color w:val="000000"/>
              </w:rPr>
            </w:pPr>
            <w:r>
              <w:rPr>
                <w:rFonts w:cs="Times New Roman"/>
                <w:color w:val="000000"/>
              </w:rPr>
              <w:t>Diff. with 3-week moving average = ((1 week lag case - moving average)/moving average) *100</w:t>
            </w:r>
          </w:p>
        </w:tc>
        <w:tc>
          <w:tcPr>
            <w:tcW w:w="1080" w:type="dxa"/>
            <w:tcBorders>
              <w:right w:val="single" w:sz="4" w:space="0" w:color="auto"/>
            </w:tcBorders>
            <w:shd w:val="clear" w:color="auto" w:fill="auto"/>
            <w:noWrap/>
            <w:vAlign w:val="center"/>
          </w:tcPr>
          <w:p w14:paraId="7F4A599B" w14:textId="77777777" w:rsidR="00D64840" w:rsidRPr="007D6B0C" w:rsidRDefault="00D64840" w:rsidP="00CC7304">
            <w:pPr>
              <w:spacing w:line="276" w:lineRule="auto"/>
              <w:jc w:val="center"/>
              <w:rPr>
                <w:rFonts w:cs="Times New Roman"/>
                <w:color w:val="000000"/>
              </w:rPr>
            </w:pPr>
            <w:r w:rsidRPr="007D6B0C">
              <w:rPr>
                <w:rFonts w:cs="Times New Roman"/>
                <w:color w:val="000000"/>
              </w:rPr>
              <w:t>-1.00</w:t>
            </w:r>
          </w:p>
        </w:tc>
        <w:tc>
          <w:tcPr>
            <w:tcW w:w="1440" w:type="dxa"/>
            <w:tcBorders>
              <w:left w:val="single" w:sz="4" w:space="0" w:color="auto"/>
            </w:tcBorders>
            <w:shd w:val="clear" w:color="auto" w:fill="auto"/>
            <w:vAlign w:val="center"/>
          </w:tcPr>
          <w:p w14:paraId="625C9CC5" w14:textId="77777777" w:rsidR="00D64840" w:rsidRPr="007D6B0C" w:rsidRDefault="00D64840" w:rsidP="00CC7304">
            <w:pPr>
              <w:spacing w:line="276" w:lineRule="auto"/>
              <w:jc w:val="center"/>
              <w:rPr>
                <w:rFonts w:cs="Times New Roman"/>
                <w:color w:val="000000"/>
              </w:rPr>
            </w:pPr>
            <w:r w:rsidRPr="007D6B0C">
              <w:rPr>
                <w:rFonts w:cs="Times New Roman"/>
                <w:color w:val="000000"/>
              </w:rPr>
              <w:t>2.00</w:t>
            </w:r>
          </w:p>
        </w:tc>
        <w:tc>
          <w:tcPr>
            <w:tcW w:w="1170" w:type="dxa"/>
            <w:tcBorders>
              <w:right w:val="single" w:sz="4" w:space="0" w:color="auto"/>
            </w:tcBorders>
            <w:shd w:val="clear" w:color="auto" w:fill="auto"/>
            <w:noWrap/>
            <w:vAlign w:val="center"/>
          </w:tcPr>
          <w:p w14:paraId="15F72F60" w14:textId="77777777" w:rsidR="00D64840" w:rsidRPr="007D6B0C" w:rsidRDefault="00D64840" w:rsidP="00CC7304">
            <w:pPr>
              <w:spacing w:line="276" w:lineRule="auto"/>
              <w:jc w:val="center"/>
              <w:rPr>
                <w:rFonts w:cs="Times New Roman"/>
                <w:color w:val="000000"/>
              </w:rPr>
            </w:pPr>
            <w:r w:rsidRPr="007D6B0C">
              <w:rPr>
                <w:rFonts w:cs="Times New Roman"/>
                <w:color w:val="000000"/>
              </w:rPr>
              <w:t>0.07</w:t>
            </w:r>
          </w:p>
        </w:tc>
        <w:tc>
          <w:tcPr>
            <w:tcW w:w="984" w:type="dxa"/>
            <w:tcBorders>
              <w:left w:val="single" w:sz="4" w:space="0" w:color="auto"/>
            </w:tcBorders>
            <w:shd w:val="clear" w:color="auto" w:fill="auto"/>
            <w:vAlign w:val="center"/>
          </w:tcPr>
          <w:p w14:paraId="46E12860" w14:textId="77777777" w:rsidR="00D64840" w:rsidRPr="007D6B0C" w:rsidRDefault="00D64840" w:rsidP="00CC7304">
            <w:pPr>
              <w:spacing w:line="276" w:lineRule="auto"/>
              <w:jc w:val="center"/>
              <w:rPr>
                <w:rFonts w:cs="Times New Roman"/>
                <w:color w:val="000000"/>
              </w:rPr>
            </w:pPr>
            <w:r w:rsidRPr="007D6B0C">
              <w:rPr>
                <w:rFonts w:cs="Times New Roman"/>
              </w:rPr>
              <w:t>-1.00</w:t>
            </w:r>
          </w:p>
        </w:tc>
        <w:tc>
          <w:tcPr>
            <w:tcW w:w="1198" w:type="dxa"/>
            <w:gridSpan w:val="2"/>
            <w:tcBorders>
              <w:right w:val="single" w:sz="4" w:space="0" w:color="auto"/>
            </w:tcBorders>
            <w:shd w:val="clear" w:color="auto" w:fill="auto"/>
            <w:noWrap/>
            <w:vAlign w:val="center"/>
          </w:tcPr>
          <w:p w14:paraId="46D6D50C" w14:textId="77777777" w:rsidR="00D64840" w:rsidRPr="007D6B0C" w:rsidRDefault="00D64840" w:rsidP="00CC7304">
            <w:pPr>
              <w:spacing w:line="276" w:lineRule="auto"/>
              <w:jc w:val="center"/>
              <w:rPr>
                <w:rFonts w:cs="Times New Roman"/>
                <w:color w:val="000000"/>
              </w:rPr>
            </w:pPr>
            <w:r w:rsidRPr="007D6B0C">
              <w:rPr>
                <w:rFonts w:cs="Times New Roman"/>
              </w:rPr>
              <w:t>2.00</w:t>
            </w:r>
          </w:p>
        </w:tc>
        <w:tc>
          <w:tcPr>
            <w:tcW w:w="1013" w:type="dxa"/>
            <w:tcBorders>
              <w:left w:val="single" w:sz="4" w:space="0" w:color="auto"/>
              <w:right w:val="double" w:sz="12" w:space="0" w:color="auto"/>
            </w:tcBorders>
            <w:shd w:val="clear" w:color="auto" w:fill="auto"/>
            <w:vAlign w:val="center"/>
          </w:tcPr>
          <w:p w14:paraId="3AB815F6" w14:textId="77777777" w:rsidR="00D64840" w:rsidRPr="007D6B0C" w:rsidRDefault="00D64840" w:rsidP="00CC7304">
            <w:pPr>
              <w:spacing w:line="276" w:lineRule="auto"/>
              <w:jc w:val="center"/>
              <w:rPr>
                <w:rFonts w:cs="Times New Roman"/>
                <w:color w:val="000000"/>
              </w:rPr>
            </w:pPr>
            <w:r w:rsidRPr="007D6B0C">
              <w:rPr>
                <w:rFonts w:cs="Times New Roman"/>
              </w:rPr>
              <w:t>0.08</w:t>
            </w:r>
          </w:p>
        </w:tc>
      </w:tr>
      <w:tr w:rsidR="00D64840" w:rsidRPr="007D6B0C" w14:paraId="1E27EF8B" w14:textId="77777777" w:rsidTr="00D64840">
        <w:trPr>
          <w:trHeight w:val="418"/>
          <w:jc w:val="center"/>
        </w:trPr>
        <w:tc>
          <w:tcPr>
            <w:tcW w:w="12960" w:type="dxa"/>
            <w:gridSpan w:val="9"/>
            <w:tcBorders>
              <w:left w:val="double" w:sz="12" w:space="0" w:color="auto"/>
              <w:right w:val="double" w:sz="12" w:space="0" w:color="auto"/>
            </w:tcBorders>
            <w:shd w:val="clear" w:color="auto" w:fill="auto"/>
            <w:noWrap/>
            <w:vAlign w:val="center"/>
          </w:tcPr>
          <w:p w14:paraId="07DF5762" w14:textId="77777777" w:rsidR="00D64840" w:rsidRPr="007D6B0C" w:rsidRDefault="00D64840" w:rsidP="00D64840">
            <w:pPr>
              <w:spacing w:line="276" w:lineRule="auto"/>
              <w:jc w:val="left"/>
              <w:rPr>
                <w:rFonts w:cs="Times New Roman"/>
                <w:color w:val="000000"/>
              </w:rPr>
            </w:pPr>
            <w:r w:rsidRPr="007D6B0C">
              <w:rPr>
                <w:rFonts w:cs="Times New Roman"/>
                <w:b/>
                <w:bCs/>
                <w:i/>
                <w:iCs/>
              </w:rPr>
              <w:t>Meteorological variables</w:t>
            </w:r>
          </w:p>
        </w:tc>
      </w:tr>
      <w:tr w:rsidR="00CA490D" w:rsidRPr="007D6B0C" w14:paraId="20265D92" w14:textId="77777777" w:rsidTr="004221D5">
        <w:trPr>
          <w:trHeight w:val="418"/>
          <w:jc w:val="center"/>
        </w:trPr>
        <w:tc>
          <w:tcPr>
            <w:tcW w:w="1935" w:type="dxa"/>
            <w:tcBorders>
              <w:left w:val="double" w:sz="12" w:space="0" w:color="auto"/>
            </w:tcBorders>
            <w:shd w:val="clear" w:color="auto" w:fill="auto"/>
            <w:noWrap/>
            <w:vAlign w:val="center"/>
          </w:tcPr>
          <w:p w14:paraId="7D1D7006" w14:textId="77777777" w:rsidR="00D64840" w:rsidRPr="007D6B0C" w:rsidRDefault="00D64840" w:rsidP="00D64840">
            <w:pPr>
              <w:spacing w:line="276" w:lineRule="auto"/>
              <w:ind w:left="216"/>
              <w:jc w:val="left"/>
              <w:rPr>
                <w:rFonts w:cs="Times New Roman"/>
              </w:rPr>
            </w:pPr>
            <w:r w:rsidRPr="007D6B0C">
              <w:rPr>
                <w:rFonts w:cs="Times New Roman"/>
              </w:rPr>
              <w:t>Precipitation</w:t>
            </w:r>
          </w:p>
        </w:tc>
        <w:tc>
          <w:tcPr>
            <w:tcW w:w="4140" w:type="dxa"/>
            <w:vAlign w:val="center"/>
          </w:tcPr>
          <w:p w14:paraId="6D5F8FC9" w14:textId="77777777" w:rsidR="00D64840" w:rsidRPr="007D6B0C" w:rsidRDefault="00D64840" w:rsidP="00D64840">
            <w:pPr>
              <w:spacing w:line="276" w:lineRule="auto"/>
              <w:jc w:val="left"/>
              <w:rPr>
                <w:rFonts w:cs="Times New Roman"/>
                <w:color w:val="000000"/>
              </w:rPr>
            </w:pPr>
            <w:r>
              <w:rPr>
                <w:rFonts w:cs="Times New Roman"/>
                <w:color w:val="000000"/>
              </w:rPr>
              <w:t>Average precipitation ≥ 0.64cm (0.25 inch) during the PM peak period</w:t>
            </w:r>
          </w:p>
        </w:tc>
        <w:tc>
          <w:tcPr>
            <w:tcW w:w="1080" w:type="dxa"/>
            <w:tcBorders>
              <w:right w:val="single" w:sz="4" w:space="0" w:color="auto"/>
            </w:tcBorders>
            <w:shd w:val="clear" w:color="auto" w:fill="auto"/>
            <w:noWrap/>
            <w:vAlign w:val="center"/>
          </w:tcPr>
          <w:p w14:paraId="061C0ABC" w14:textId="77777777" w:rsidR="00D64840" w:rsidRPr="007D6B0C" w:rsidRDefault="00D64840" w:rsidP="00CC7304">
            <w:pPr>
              <w:spacing w:line="276" w:lineRule="auto"/>
              <w:jc w:val="center"/>
              <w:rPr>
                <w:rFonts w:cs="Times New Roman"/>
                <w:color w:val="000000"/>
              </w:rPr>
            </w:pPr>
            <w:r w:rsidRPr="007D6B0C">
              <w:rPr>
                <w:rFonts w:cs="Times New Roman"/>
                <w:color w:val="000000"/>
              </w:rPr>
              <w:t>0.00</w:t>
            </w:r>
          </w:p>
        </w:tc>
        <w:tc>
          <w:tcPr>
            <w:tcW w:w="1440" w:type="dxa"/>
            <w:tcBorders>
              <w:left w:val="single" w:sz="4" w:space="0" w:color="auto"/>
            </w:tcBorders>
            <w:shd w:val="clear" w:color="auto" w:fill="auto"/>
            <w:vAlign w:val="center"/>
          </w:tcPr>
          <w:p w14:paraId="7CD47362" w14:textId="77777777" w:rsidR="00D64840" w:rsidRPr="007D6B0C" w:rsidRDefault="00D64840" w:rsidP="00CC7304">
            <w:pPr>
              <w:spacing w:line="276" w:lineRule="auto"/>
              <w:jc w:val="center"/>
              <w:rPr>
                <w:rFonts w:cs="Times New Roman"/>
                <w:color w:val="000000"/>
              </w:rPr>
            </w:pPr>
            <w:r w:rsidRPr="007D6B0C">
              <w:rPr>
                <w:rFonts w:cs="Times New Roman"/>
                <w:color w:val="000000"/>
              </w:rPr>
              <w:t>1.00</w:t>
            </w:r>
          </w:p>
        </w:tc>
        <w:tc>
          <w:tcPr>
            <w:tcW w:w="1170" w:type="dxa"/>
            <w:tcBorders>
              <w:right w:val="single" w:sz="4" w:space="0" w:color="auto"/>
            </w:tcBorders>
            <w:shd w:val="clear" w:color="auto" w:fill="auto"/>
            <w:noWrap/>
            <w:vAlign w:val="center"/>
          </w:tcPr>
          <w:p w14:paraId="7D5B736E" w14:textId="77777777" w:rsidR="00D64840" w:rsidRPr="007D6B0C" w:rsidRDefault="00D64840" w:rsidP="00CC7304">
            <w:pPr>
              <w:spacing w:line="276" w:lineRule="auto"/>
              <w:jc w:val="center"/>
              <w:rPr>
                <w:rFonts w:cs="Times New Roman"/>
                <w:color w:val="000000"/>
              </w:rPr>
            </w:pPr>
            <w:r w:rsidRPr="007D6B0C">
              <w:rPr>
                <w:rFonts w:cs="Times New Roman"/>
                <w:color w:val="000000"/>
              </w:rPr>
              <w:t>0.02</w:t>
            </w:r>
          </w:p>
        </w:tc>
        <w:tc>
          <w:tcPr>
            <w:tcW w:w="984" w:type="dxa"/>
            <w:tcBorders>
              <w:left w:val="single" w:sz="4" w:space="0" w:color="auto"/>
            </w:tcBorders>
            <w:shd w:val="clear" w:color="auto" w:fill="auto"/>
            <w:vAlign w:val="center"/>
          </w:tcPr>
          <w:p w14:paraId="3868347A" w14:textId="77777777" w:rsidR="00D64840" w:rsidRPr="007D6B0C" w:rsidRDefault="00D64840" w:rsidP="00CC7304">
            <w:pPr>
              <w:spacing w:line="276" w:lineRule="auto"/>
              <w:jc w:val="center"/>
              <w:rPr>
                <w:rFonts w:cs="Times New Roman"/>
                <w:color w:val="000000"/>
              </w:rPr>
            </w:pPr>
            <w:r w:rsidRPr="007D6B0C">
              <w:rPr>
                <w:rFonts w:cs="Times New Roman"/>
                <w:color w:val="000000"/>
              </w:rPr>
              <w:t>0.00</w:t>
            </w:r>
          </w:p>
        </w:tc>
        <w:tc>
          <w:tcPr>
            <w:tcW w:w="1198" w:type="dxa"/>
            <w:gridSpan w:val="2"/>
            <w:tcBorders>
              <w:right w:val="single" w:sz="4" w:space="0" w:color="auto"/>
            </w:tcBorders>
            <w:shd w:val="clear" w:color="auto" w:fill="auto"/>
            <w:noWrap/>
            <w:vAlign w:val="center"/>
          </w:tcPr>
          <w:p w14:paraId="10B20D5B" w14:textId="77777777" w:rsidR="00D64840" w:rsidRPr="007D6B0C" w:rsidRDefault="00D64840" w:rsidP="00CC7304">
            <w:pPr>
              <w:spacing w:line="276" w:lineRule="auto"/>
              <w:jc w:val="center"/>
              <w:rPr>
                <w:rFonts w:cs="Times New Roman"/>
                <w:color w:val="000000"/>
              </w:rPr>
            </w:pPr>
            <w:r w:rsidRPr="007D6B0C">
              <w:rPr>
                <w:rFonts w:cs="Times New Roman"/>
                <w:color w:val="000000"/>
              </w:rPr>
              <w:t>1.00</w:t>
            </w:r>
          </w:p>
        </w:tc>
        <w:tc>
          <w:tcPr>
            <w:tcW w:w="1013" w:type="dxa"/>
            <w:tcBorders>
              <w:left w:val="single" w:sz="4" w:space="0" w:color="auto"/>
              <w:right w:val="double" w:sz="12" w:space="0" w:color="auto"/>
            </w:tcBorders>
            <w:shd w:val="clear" w:color="auto" w:fill="auto"/>
            <w:vAlign w:val="center"/>
          </w:tcPr>
          <w:p w14:paraId="19B71827" w14:textId="77777777" w:rsidR="00D64840" w:rsidRPr="007D6B0C" w:rsidRDefault="00D64840" w:rsidP="00CC7304">
            <w:pPr>
              <w:spacing w:line="276" w:lineRule="auto"/>
              <w:jc w:val="center"/>
              <w:rPr>
                <w:rFonts w:cs="Times New Roman"/>
                <w:color w:val="000000"/>
              </w:rPr>
            </w:pPr>
            <w:r w:rsidRPr="007D6B0C">
              <w:rPr>
                <w:rFonts w:cs="Times New Roman"/>
                <w:color w:val="000000"/>
              </w:rPr>
              <w:t>0.01</w:t>
            </w:r>
          </w:p>
        </w:tc>
      </w:tr>
      <w:tr w:rsidR="00CA490D" w:rsidRPr="007D6B0C" w14:paraId="6F41C117" w14:textId="77777777" w:rsidTr="004221D5">
        <w:trPr>
          <w:trHeight w:val="418"/>
          <w:jc w:val="center"/>
        </w:trPr>
        <w:tc>
          <w:tcPr>
            <w:tcW w:w="1935" w:type="dxa"/>
            <w:tcBorders>
              <w:left w:val="double" w:sz="12" w:space="0" w:color="auto"/>
            </w:tcBorders>
            <w:shd w:val="clear" w:color="auto" w:fill="auto"/>
            <w:noWrap/>
            <w:vAlign w:val="center"/>
          </w:tcPr>
          <w:p w14:paraId="7AE075DD" w14:textId="77777777" w:rsidR="00D64840" w:rsidRPr="007D6B0C" w:rsidRDefault="00D64840" w:rsidP="00D64840">
            <w:pPr>
              <w:spacing w:line="276" w:lineRule="auto"/>
              <w:ind w:left="216"/>
              <w:jc w:val="left"/>
              <w:rPr>
                <w:rFonts w:cs="Times New Roman"/>
              </w:rPr>
            </w:pPr>
            <w:r w:rsidRPr="007D6B0C">
              <w:rPr>
                <w:rFonts w:cs="Times New Roman"/>
              </w:rPr>
              <w:t>Average wind speed</w:t>
            </w:r>
          </w:p>
        </w:tc>
        <w:tc>
          <w:tcPr>
            <w:tcW w:w="4140" w:type="dxa"/>
            <w:vAlign w:val="center"/>
          </w:tcPr>
          <w:p w14:paraId="10169899" w14:textId="77777777" w:rsidR="00D64840" w:rsidRPr="007D6B0C" w:rsidRDefault="00D64840" w:rsidP="00D64840">
            <w:pPr>
              <w:spacing w:line="276" w:lineRule="auto"/>
              <w:jc w:val="left"/>
              <w:rPr>
                <w:rFonts w:cs="Times New Roman"/>
                <w:color w:val="000000"/>
              </w:rPr>
            </w:pPr>
            <w:r>
              <w:rPr>
                <w:rFonts w:cs="Times New Roman"/>
                <w:color w:val="000000"/>
              </w:rPr>
              <w:t>Average wind speed of the corresponding date in PM peak period</w:t>
            </w:r>
          </w:p>
        </w:tc>
        <w:tc>
          <w:tcPr>
            <w:tcW w:w="1080" w:type="dxa"/>
            <w:tcBorders>
              <w:right w:val="single" w:sz="4" w:space="0" w:color="auto"/>
            </w:tcBorders>
            <w:shd w:val="clear" w:color="auto" w:fill="auto"/>
            <w:noWrap/>
            <w:vAlign w:val="center"/>
          </w:tcPr>
          <w:p w14:paraId="4DE8DC0E" w14:textId="77777777" w:rsidR="00D64840" w:rsidRPr="007D6B0C" w:rsidRDefault="00D64840" w:rsidP="00CC7304">
            <w:pPr>
              <w:spacing w:line="276" w:lineRule="auto"/>
              <w:jc w:val="center"/>
              <w:rPr>
                <w:rFonts w:cs="Times New Roman"/>
                <w:color w:val="000000"/>
              </w:rPr>
            </w:pPr>
            <w:r w:rsidRPr="007D6B0C">
              <w:rPr>
                <w:rFonts w:cs="Times New Roman"/>
                <w:color w:val="000000"/>
              </w:rPr>
              <w:t>0.00</w:t>
            </w:r>
          </w:p>
        </w:tc>
        <w:tc>
          <w:tcPr>
            <w:tcW w:w="1440" w:type="dxa"/>
            <w:tcBorders>
              <w:left w:val="single" w:sz="4" w:space="0" w:color="auto"/>
            </w:tcBorders>
            <w:shd w:val="clear" w:color="auto" w:fill="auto"/>
            <w:vAlign w:val="center"/>
          </w:tcPr>
          <w:p w14:paraId="794EE0F2" w14:textId="77777777" w:rsidR="00D64840" w:rsidRPr="007D6B0C" w:rsidRDefault="00D64840" w:rsidP="00CC7304">
            <w:pPr>
              <w:spacing w:line="276" w:lineRule="auto"/>
              <w:jc w:val="center"/>
              <w:rPr>
                <w:rFonts w:cs="Times New Roman"/>
                <w:color w:val="000000"/>
              </w:rPr>
            </w:pPr>
            <w:r w:rsidRPr="007D6B0C">
              <w:rPr>
                <w:rFonts w:cs="Times New Roman"/>
                <w:color w:val="000000"/>
              </w:rPr>
              <w:t>67.52</w:t>
            </w:r>
          </w:p>
        </w:tc>
        <w:tc>
          <w:tcPr>
            <w:tcW w:w="1170" w:type="dxa"/>
            <w:tcBorders>
              <w:right w:val="single" w:sz="4" w:space="0" w:color="auto"/>
            </w:tcBorders>
            <w:shd w:val="clear" w:color="auto" w:fill="auto"/>
            <w:noWrap/>
            <w:vAlign w:val="center"/>
          </w:tcPr>
          <w:p w14:paraId="62189847" w14:textId="77777777" w:rsidR="00D64840" w:rsidRPr="007D6B0C" w:rsidRDefault="00D64840" w:rsidP="00CC7304">
            <w:pPr>
              <w:spacing w:line="276" w:lineRule="auto"/>
              <w:jc w:val="center"/>
              <w:rPr>
                <w:rFonts w:cs="Times New Roman"/>
                <w:color w:val="000000"/>
              </w:rPr>
            </w:pPr>
            <w:r w:rsidRPr="007D6B0C">
              <w:rPr>
                <w:rFonts w:cs="Times New Roman"/>
                <w:color w:val="000000"/>
              </w:rPr>
              <w:t>5.93</w:t>
            </w:r>
          </w:p>
        </w:tc>
        <w:tc>
          <w:tcPr>
            <w:tcW w:w="984" w:type="dxa"/>
            <w:tcBorders>
              <w:left w:val="single" w:sz="4" w:space="0" w:color="auto"/>
            </w:tcBorders>
            <w:shd w:val="clear" w:color="auto" w:fill="auto"/>
            <w:vAlign w:val="center"/>
          </w:tcPr>
          <w:p w14:paraId="6496B914" w14:textId="77777777" w:rsidR="00D64840" w:rsidRPr="007D6B0C" w:rsidRDefault="00D64840" w:rsidP="00CC7304">
            <w:pPr>
              <w:spacing w:line="276" w:lineRule="auto"/>
              <w:jc w:val="center"/>
              <w:rPr>
                <w:rFonts w:cs="Times New Roman"/>
                <w:color w:val="000000"/>
              </w:rPr>
            </w:pPr>
            <w:r w:rsidRPr="007D6B0C">
              <w:rPr>
                <w:rFonts w:cs="Times New Roman"/>
                <w:color w:val="000000"/>
              </w:rPr>
              <w:t>0.00</w:t>
            </w:r>
          </w:p>
        </w:tc>
        <w:tc>
          <w:tcPr>
            <w:tcW w:w="1198" w:type="dxa"/>
            <w:gridSpan w:val="2"/>
            <w:tcBorders>
              <w:right w:val="single" w:sz="4" w:space="0" w:color="auto"/>
            </w:tcBorders>
            <w:shd w:val="clear" w:color="auto" w:fill="auto"/>
            <w:noWrap/>
            <w:vAlign w:val="center"/>
          </w:tcPr>
          <w:p w14:paraId="05471394" w14:textId="77777777" w:rsidR="00D64840" w:rsidRPr="007D6B0C" w:rsidRDefault="00D64840" w:rsidP="00CC7304">
            <w:pPr>
              <w:spacing w:line="276" w:lineRule="auto"/>
              <w:jc w:val="center"/>
              <w:rPr>
                <w:rFonts w:cs="Times New Roman"/>
                <w:color w:val="000000"/>
              </w:rPr>
            </w:pPr>
            <w:r w:rsidRPr="007D6B0C">
              <w:rPr>
                <w:rFonts w:cs="Times New Roman"/>
                <w:color w:val="000000"/>
              </w:rPr>
              <w:t>21.15</w:t>
            </w:r>
          </w:p>
        </w:tc>
        <w:tc>
          <w:tcPr>
            <w:tcW w:w="1013" w:type="dxa"/>
            <w:tcBorders>
              <w:left w:val="single" w:sz="4" w:space="0" w:color="auto"/>
              <w:right w:val="double" w:sz="12" w:space="0" w:color="auto"/>
            </w:tcBorders>
            <w:shd w:val="clear" w:color="auto" w:fill="auto"/>
            <w:vAlign w:val="center"/>
          </w:tcPr>
          <w:p w14:paraId="12C6CA0B" w14:textId="77777777" w:rsidR="00D64840" w:rsidRPr="007D6B0C" w:rsidRDefault="00D64840" w:rsidP="00CC7304">
            <w:pPr>
              <w:spacing w:line="276" w:lineRule="auto"/>
              <w:jc w:val="center"/>
              <w:rPr>
                <w:rFonts w:cs="Times New Roman"/>
                <w:color w:val="000000"/>
              </w:rPr>
            </w:pPr>
            <w:r w:rsidRPr="007D6B0C">
              <w:rPr>
                <w:rFonts w:cs="Times New Roman"/>
                <w:color w:val="000000"/>
              </w:rPr>
              <w:t>5.79</w:t>
            </w:r>
          </w:p>
        </w:tc>
      </w:tr>
      <w:tr w:rsidR="00D64840" w:rsidRPr="007D6B0C" w14:paraId="42C119C1" w14:textId="77777777" w:rsidTr="00D64840">
        <w:trPr>
          <w:trHeight w:val="418"/>
          <w:jc w:val="center"/>
        </w:trPr>
        <w:tc>
          <w:tcPr>
            <w:tcW w:w="12960" w:type="dxa"/>
            <w:gridSpan w:val="9"/>
            <w:tcBorders>
              <w:left w:val="double" w:sz="12" w:space="0" w:color="auto"/>
              <w:right w:val="double" w:sz="12" w:space="0" w:color="auto"/>
            </w:tcBorders>
            <w:shd w:val="clear" w:color="auto" w:fill="auto"/>
            <w:noWrap/>
            <w:vAlign w:val="center"/>
          </w:tcPr>
          <w:p w14:paraId="489978EE" w14:textId="77777777" w:rsidR="00D64840" w:rsidRPr="007D6B0C" w:rsidRDefault="00D64840" w:rsidP="00D64840">
            <w:pPr>
              <w:spacing w:line="276" w:lineRule="auto"/>
              <w:jc w:val="left"/>
              <w:rPr>
                <w:rFonts w:cs="Times New Roman"/>
                <w:color w:val="000000"/>
              </w:rPr>
            </w:pPr>
            <w:r w:rsidRPr="007D6B0C">
              <w:rPr>
                <w:rFonts w:cs="Times New Roman"/>
                <w:b/>
                <w:bCs/>
                <w:i/>
                <w:iCs/>
              </w:rPr>
              <w:t>Temporal Factors</w:t>
            </w:r>
          </w:p>
        </w:tc>
      </w:tr>
      <w:tr w:rsidR="00CA490D" w:rsidRPr="007D6B0C" w14:paraId="3AB0A549" w14:textId="77777777" w:rsidTr="004221D5">
        <w:trPr>
          <w:trHeight w:val="418"/>
          <w:jc w:val="center"/>
        </w:trPr>
        <w:tc>
          <w:tcPr>
            <w:tcW w:w="1935" w:type="dxa"/>
            <w:tcBorders>
              <w:left w:val="double" w:sz="12" w:space="0" w:color="auto"/>
            </w:tcBorders>
            <w:shd w:val="clear" w:color="auto" w:fill="auto"/>
            <w:noWrap/>
            <w:vAlign w:val="center"/>
          </w:tcPr>
          <w:p w14:paraId="0505CC0C" w14:textId="77777777" w:rsidR="00D64840" w:rsidRPr="007D6B0C" w:rsidRDefault="00D64840" w:rsidP="00D64840">
            <w:pPr>
              <w:spacing w:line="276" w:lineRule="auto"/>
              <w:ind w:left="216"/>
              <w:jc w:val="left"/>
              <w:rPr>
                <w:rFonts w:cs="Times New Roman"/>
              </w:rPr>
            </w:pPr>
            <w:r w:rsidRPr="007D6B0C">
              <w:rPr>
                <w:rFonts w:cs="Times New Roman"/>
              </w:rPr>
              <w:t>1 week lag traffic volume</w:t>
            </w:r>
          </w:p>
        </w:tc>
        <w:tc>
          <w:tcPr>
            <w:tcW w:w="4140" w:type="dxa"/>
            <w:vAlign w:val="center"/>
          </w:tcPr>
          <w:p w14:paraId="4A718E0C" w14:textId="77777777" w:rsidR="00D64840" w:rsidRPr="007D6B0C" w:rsidRDefault="00D64840" w:rsidP="00D64840">
            <w:pPr>
              <w:spacing w:line="276" w:lineRule="auto"/>
              <w:jc w:val="left"/>
              <w:rPr>
                <w:rFonts w:cs="Times New Roman"/>
                <w:color w:val="000000"/>
              </w:rPr>
            </w:pPr>
            <w:r>
              <w:rPr>
                <w:rFonts w:cs="Times New Roman"/>
                <w:color w:val="000000"/>
              </w:rPr>
              <w:t>Traffic volume of 1 week lag of the corresponding date in PM peak period</w:t>
            </w:r>
          </w:p>
        </w:tc>
        <w:tc>
          <w:tcPr>
            <w:tcW w:w="1080" w:type="dxa"/>
            <w:tcBorders>
              <w:right w:val="single" w:sz="4" w:space="0" w:color="auto"/>
            </w:tcBorders>
            <w:shd w:val="clear" w:color="auto" w:fill="auto"/>
            <w:noWrap/>
            <w:vAlign w:val="center"/>
          </w:tcPr>
          <w:p w14:paraId="01634A37" w14:textId="77777777" w:rsidR="00D64840" w:rsidRPr="007D6B0C" w:rsidRDefault="00D64840" w:rsidP="00CC7304">
            <w:pPr>
              <w:spacing w:line="276" w:lineRule="auto"/>
              <w:jc w:val="center"/>
              <w:rPr>
                <w:rFonts w:cs="Times New Roman"/>
                <w:color w:val="000000"/>
              </w:rPr>
            </w:pPr>
            <w:r w:rsidRPr="007D6B0C">
              <w:rPr>
                <w:rFonts w:cs="Times New Roman"/>
                <w:color w:val="000000"/>
              </w:rPr>
              <w:t>0.00</w:t>
            </w:r>
          </w:p>
        </w:tc>
        <w:tc>
          <w:tcPr>
            <w:tcW w:w="1440" w:type="dxa"/>
            <w:tcBorders>
              <w:left w:val="single" w:sz="4" w:space="0" w:color="auto"/>
            </w:tcBorders>
            <w:shd w:val="clear" w:color="auto" w:fill="auto"/>
            <w:vAlign w:val="center"/>
          </w:tcPr>
          <w:p w14:paraId="5922CA04" w14:textId="77777777" w:rsidR="00D64840" w:rsidRPr="007D6B0C" w:rsidRDefault="00D64840" w:rsidP="00CC7304">
            <w:pPr>
              <w:spacing w:line="276" w:lineRule="auto"/>
              <w:jc w:val="center"/>
              <w:rPr>
                <w:rFonts w:cs="Times New Roman"/>
                <w:color w:val="000000"/>
              </w:rPr>
            </w:pPr>
            <w:r w:rsidRPr="007D6B0C">
              <w:rPr>
                <w:rFonts w:cs="Times New Roman"/>
                <w:color w:val="000000"/>
              </w:rPr>
              <w:t>20091.00</w:t>
            </w:r>
          </w:p>
        </w:tc>
        <w:tc>
          <w:tcPr>
            <w:tcW w:w="1170" w:type="dxa"/>
            <w:tcBorders>
              <w:right w:val="single" w:sz="4" w:space="0" w:color="auto"/>
            </w:tcBorders>
            <w:shd w:val="clear" w:color="auto" w:fill="auto"/>
            <w:noWrap/>
            <w:vAlign w:val="center"/>
          </w:tcPr>
          <w:p w14:paraId="26ACD179" w14:textId="77777777" w:rsidR="00D64840" w:rsidRPr="007D6B0C" w:rsidRDefault="00D64840" w:rsidP="00CC7304">
            <w:pPr>
              <w:spacing w:line="276" w:lineRule="auto"/>
              <w:jc w:val="center"/>
              <w:rPr>
                <w:rFonts w:cs="Times New Roman"/>
                <w:color w:val="000000"/>
              </w:rPr>
            </w:pPr>
            <w:r w:rsidRPr="007D6B0C">
              <w:rPr>
                <w:rFonts w:cs="Times New Roman"/>
                <w:color w:val="000000"/>
              </w:rPr>
              <w:t>6255.</w:t>
            </w:r>
            <w:r>
              <w:rPr>
                <w:rFonts w:cs="Times New Roman"/>
                <w:color w:val="000000"/>
              </w:rPr>
              <w:t>80</w:t>
            </w:r>
          </w:p>
        </w:tc>
        <w:tc>
          <w:tcPr>
            <w:tcW w:w="984" w:type="dxa"/>
            <w:tcBorders>
              <w:left w:val="single" w:sz="4" w:space="0" w:color="auto"/>
            </w:tcBorders>
            <w:shd w:val="clear" w:color="auto" w:fill="auto"/>
            <w:vAlign w:val="center"/>
          </w:tcPr>
          <w:p w14:paraId="4EECE1FA" w14:textId="77777777" w:rsidR="00D64840" w:rsidRPr="007D6B0C" w:rsidRDefault="00D64840" w:rsidP="00CC7304">
            <w:pPr>
              <w:spacing w:line="276" w:lineRule="auto"/>
              <w:jc w:val="center"/>
              <w:rPr>
                <w:rFonts w:cs="Times New Roman"/>
                <w:color w:val="000000"/>
              </w:rPr>
            </w:pPr>
            <w:r w:rsidRPr="007D6B0C">
              <w:rPr>
                <w:rFonts w:cs="Times New Roman"/>
                <w:color w:val="000000"/>
              </w:rPr>
              <w:t>0.00</w:t>
            </w:r>
          </w:p>
        </w:tc>
        <w:tc>
          <w:tcPr>
            <w:tcW w:w="1198" w:type="dxa"/>
            <w:gridSpan w:val="2"/>
            <w:tcBorders>
              <w:right w:val="single" w:sz="4" w:space="0" w:color="auto"/>
            </w:tcBorders>
            <w:shd w:val="clear" w:color="auto" w:fill="auto"/>
            <w:noWrap/>
            <w:vAlign w:val="center"/>
          </w:tcPr>
          <w:p w14:paraId="70A6178C" w14:textId="77777777" w:rsidR="00D64840" w:rsidRPr="007D6B0C" w:rsidRDefault="00D64840" w:rsidP="00CC7304">
            <w:pPr>
              <w:spacing w:line="276" w:lineRule="auto"/>
              <w:jc w:val="center"/>
              <w:rPr>
                <w:rFonts w:cs="Times New Roman"/>
                <w:color w:val="000000"/>
              </w:rPr>
            </w:pPr>
            <w:r w:rsidRPr="007D6B0C">
              <w:rPr>
                <w:rFonts w:cs="Times New Roman"/>
                <w:color w:val="000000"/>
              </w:rPr>
              <w:t>20085</w:t>
            </w:r>
            <w:r>
              <w:rPr>
                <w:rFonts w:cs="Times New Roman"/>
                <w:color w:val="000000"/>
              </w:rPr>
              <w:t>.00</w:t>
            </w:r>
          </w:p>
        </w:tc>
        <w:tc>
          <w:tcPr>
            <w:tcW w:w="1013" w:type="dxa"/>
            <w:tcBorders>
              <w:left w:val="single" w:sz="4" w:space="0" w:color="auto"/>
              <w:right w:val="double" w:sz="12" w:space="0" w:color="auto"/>
            </w:tcBorders>
            <w:shd w:val="clear" w:color="auto" w:fill="auto"/>
            <w:vAlign w:val="center"/>
          </w:tcPr>
          <w:p w14:paraId="2EE24CFF" w14:textId="77777777" w:rsidR="00D64840" w:rsidRPr="007D6B0C" w:rsidRDefault="00D64840" w:rsidP="00CC7304">
            <w:pPr>
              <w:spacing w:line="276" w:lineRule="auto"/>
              <w:jc w:val="center"/>
              <w:rPr>
                <w:rFonts w:cs="Times New Roman"/>
                <w:color w:val="000000"/>
              </w:rPr>
            </w:pPr>
            <w:r w:rsidRPr="007D6B0C">
              <w:rPr>
                <w:rFonts w:cs="Times New Roman"/>
                <w:color w:val="000000"/>
              </w:rPr>
              <w:t>5795.</w:t>
            </w:r>
            <w:r>
              <w:rPr>
                <w:rFonts w:cs="Times New Roman"/>
                <w:color w:val="000000"/>
              </w:rPr>
              <w:t>80</w:t>
            </w:r>
          </w:p>
        </w:tc>
      </w:tr>
      <w:tr w:rsidR="00D64840" w:rsidRPr="007D6B0C" w14:paraId="1080552A" w14:textId="77777777" w:rsidTr="00D64840">
        <w:trPr>
          <w:trHeight w:val="418"/>
          <w:jc w:val="center"/>
        </w:trPr>
        <w:tc>
          <w:tcPr>
            <w:tcW w:w="12960" w:type="dxa"/>
            <w:gridSpan w:val="9"/>
            <w:tcBorders>
              <w:left w:val="double" w:sz="12" w:space="0" w:color="auto"/>
              <w:bottom w:val="single" w:sz="4" w:space="0" w:color="auto"/>
              <w:right w:val="double" w:sz="12" w:space="0" w:color="auto"/>
            </w:tcBorders>
            <w:shd w:val="clear" w:color="auto" w:fill="auto"/>
            <w:noWrap/>
            <w:vAlign w:val="center"/>
          </w:tcPr>
          <w:p w14:paraId="25C1A269" w14:textId="77777777" w:rsidR="00D64840" w:rsidRPr="007D6B0C" w:rsidRDefault="00D64840" w:rsidP="00D64840">
            <w:pPr>
              <w:spacing w:line="276" w:lineRule="auto"/>
              <w:jc w:val="left"/>
              <w:rPr>
                <w:rFonts w:cs="Times New Roman"/>
                <w:color w:val="000000"/>
              </w:rPr>
            </w:pPr>
            <w:r w:rsidRPr="007D6B0C">
              <w:rPr>
                <w:rFonts w:cs="Times New Roman"/>
                <w:b/>
                <w:bCs/>
                <w:i/>
                <w:iCs/>
              </w:rPr>
              <w:t>Dependent variable</w:t>
            </w:r>
          </w:p>
        </w:tc>
      </w:tr>
      <w:tr w:rsidR="00CA490D" w:rsidRPr="007D6B0C" w14:paraId="3C02EE76" w14:textId="77777777" w:rsidTr="004221D5">
        <w:trPr>
          <w:trHeight w:val="418"/>
          <w:jc w:val="center"/>
        </w:trPr>
        <w:tc>
          <w:tcPr>
            <w:tcW w:w="1935" w:type="dxa"/>
            <w:tcBorders>
              <w:left w:val="double" w:sz="12" w:space="0" w:color="auto"/>
              <w:bottom w:val="double" w:sz="12" w:space="0" w:color="auto"/>
            </w:tcBorders>
            <w:shd w:val="clear" w:color="auto" w:fill="auto"/>
            <w:noWrap/>
            <w:vAlign w:val="center"/>
          </w:tcPr>
          <w:p w14:paraId="264FD685" w14:textId="77777777" w:rsidR="00D64840" w:rsidRPr="007D6B0C" w:rsidRDefault="00D64840" w:rsidP="00D64840">
            <w:pPr>
              <w:spacing w:line="276" w:lineRule="auto"/>
              <w:ind w:left="216"/>
              <w:jc w:val="left"/>
              <w:rPr>
                <w:rFonts w:cs="Times New Roman"/>
              </w:rPr>
            </w:pPr>
            <w:r w:rsidRPr="007D6B0C">
              <w:rPr>
                <w:rFonts w:cs="Times New Roman"/>
              </w:rPr>
              <w:t>Traffic volume</w:t>
            </w:r>
          </w:p>
        </w:tc>
        <w:tc>
          <w:tcPr>
            <w:tcW w:w="4140" w:type="dxa"/>
            <w:tcBorders>
              <w:bottom w:val="double" w:sz="12" w:space="0" w:color="auto"/>
            </w:tcBorders>
            <w:vAlign w:val="center"/>
          </w:tcPr>
          <w:p w14:paraId="5FE570E0" w14:textId="77777777" w:rsidR="00D64840" w:rsidRPr="007D6B0C" w:rsidRDefault="00D64840" w:rsidP="00D64840">
            <w:pPr>
              <w:spacing w:line="276" w:lineRule="auto"/>
              <w:jc w:val="left"/>
              <w:rPr>
                <w:rFonts w:cs="Times New Roman"/>
                <w:color w:val="000000"/>
              </w:rPr>
            </w:pPr>
            <w:r>
              <w:rPr>
                <w:rFonts w:cs="Times New Roman"/>
                <w:color w:val="000000"/>
              </w:rPr>
              <w:t>Traffic volume of the corresponding date in PM peak period</w:t>
            </w:r>
          </w:p>
        </w:tc>
        <w:tc>
          <w:tcPr>
            <w:tcW w:w="1080" w:type="dxa"/>
            <w:tcBorders>
              <w:bottom w:val="double" w:sz="12" w:space="0" w:color="auto"/>
              <w:right w:val="single" w:sz="4" w:space="0" w:color="auto"/>
            </w:tcBorders>
            <w:shd w:val="clear" w:color="auto" w:fill="auto"/>
            <w:noWrap/>
            <w:vAlign w:val="center"/>
          </w:tcPr>
          <w:p w14:paraId="002822F0" w14:textId="77777777" w:rsidR="00D64840" w:rsidRPr="007D6B0C" w:rsidRDefault="00D64840" w:rsidP="00CC7304">
            <w:pPr>
              <w:spacing w:line="276" w:lineRule="auto"/>
              <w:jc w:val="center"/>
              <w:rPr>
                <w:rFonts w:cs="Times New Roman"/>
                <w:color w:val="000000"/>
              </w:rPr>
            </w:pPr>
            <w:r w:rsidRPr="007D6B0C">
              <w:rPr>
                <w:rFonts w:cs="Times New Roman"/>
                <w:color w:val="000000"/>
              </w:rPr>
              <w:t>0.00</w:t>
            </w:r>
          </w:p>
        </w:tc>
        <w:tc>
          <w:tcPr>
            <w:tcW w:w="1440" w:type="dxa"/>
            <w:tcBorders>
              <w:left w:val="single" w:sz="4" w:space="0" w:color="auto"/>
              <w:bottom w:val="double" w:sz="12" w:space="0" w:color="auto"/>
            </w:tcBorders>
            <w:shd w:val="clear" w:color="auto" w:fill="auto"/>
            <w:vAlign w:val="center"/>
          </w:tcPr>
          <w:p w14:paraId="1ED0F156" w14:textId="77777777" w:rsidR="00D64840" w:rsidRPr="007D6B0C" w:rsidRDefault="00D64840" w:rsidP="00CC7304">
            <w:pPr>
              <w:spacing w:line="276" w:lineRule="auto"/>
              <w:jc w:val="center"/>
              <w:rPr>
                <w:rFonts w:cs="Times New Roman"/>
                <w:color w:val="000000"/>
              </w:rPr>
            </w:pPr>
            <w:r w:rsidRPr="007D6B0C">
              <w:rPr>
                <w:rFonts w:cs="Times New Roman"/>
                <w:color w:val="000000"/>
              </w:rPr>
              <w:t>20091.00</w:t>
            </w:r>
          </w:p>
        </w:tc>
        <w:tc>
          <w:tcPr>
            <w:tcW w:w="1170" w:type="dxa"/>
            <w:tcBorders>
              <w:bottom w:val="double" w:sz="12" w:space="0" w:color="auto"/>
              <w:right w:val="single" w:sz="4" w:space="0" w:color="auto"/>
            </w:tcBorders>
            <w:shd w:val="clear" w:color="auto" w:fill="auto"/>
            <w:noWrap/>
            <w:vAlign w:val="center"/>
          </w:tcPr>
          <w:p w14:paraId="50C720CC" w14:textId="77777777" w:rsidR="00D64840" w:rsidRPr="007D6B0C" w:rsidRDefault="00D64840" w:rsidP="00CC7304">
            <w:pPr>
              <w:spacing w:line="276" w:lineRule="auto"/>
              <w:jc w:val="center"/>
              <w:rPr>
                <w:rFonts w:cs="Times New Roman"/>
                <w:color w:val="000000"/>
              </w:rPr>
            </w:pPr>
            <w:r w:rsidRPr="007D6B0C">
              <w:rPr>
                <w:rFonts w:cs="Times New Roman"/>
                <w:color w:val="000000"/>
              </w:rPr>
              <w:t>6281.37</w:t>
            </w:r>
          </w:p>
        </w:tc>
        <w:tc>
          <w:tcPr>
            <w:tcW w:w="984" w:type="dxa"/>
            <w:tcBorders>
              <w:left w:val="single" w:sz="4" w:space="0" w:color="auto"/>
              <w:bottom w:val="double" w:sz="12" w:space="0" w:color="auto"/>
            </w:tcBorders>
            <w:shd w:val="clear" w:color="auto" w:fill="auto"/>
            <w:vAlign w:val="center"/>
          </w:tcPr>
          <w:p w14:paraId="02420EF3" w14:textId="77777777" w:rsidR="00D64840" w:rsidRPr="007D6B0C" w:rsidRDefault="00D64840" w:rsidP="00CC7304">
            <w:pPr>
              <w:spacing w:line="276" w:lineRule="auto"/>
              <w:jc w:val="center"/>
              <w:rPr>
                <w:rFonts w:cs="Times New Roman"/>
                <w:color w:val="000000"/>
              </w:rPr>
            </w:pPr>
            <w:r w:rsidRPr="007D6B0C">
              <w:rPr>
                <w:rFonts w:cs="Times New Roman"/>
                <w:color w:val="000000"/>
              </w:rPr>
              <w:t>0.00</w:t>
            </w:r>
          </w:p>
        </w:tc>
        <w:tc>
          <w:tcPr>
            <w:tcW w:w="1198" w:type="dxa"/>
            <w:gridSpan w:val="2"/>
            <w:tcBorders>
              <w:bottom w:val="double" w:sz="12" w:space="0" w:color="auto"/>
              <w:right w:val="single" w:sz="4" w:space="0" w:color="auto"/>
            </w:tcBorders>
            <w:shd w:val="clear" w:color="auto" w:fill="auto"/>
            <w:noWrap/>
            <w:vAlign w:val="center"/>
          </w:tcPr>
          <w:p w14:paraId="3B4435C7" w14:textId="77777777" w:rsidR="00D64840" w:rsidRPr="007D6B0C" w:rsidRDefault="00D64840" w:rsidP="00CC7304">
            <w:pPr>
              <w:spacing w:line="276" w:lineRule="auto"/>
              <w:jc w:val="center"/>
              <w:rPr>
                <w:rFonts w:cs="Times New Roman"/>
                <w:color w:val="000000"/>
              </w:rPr>
            </w:pPr>
            <w:r w:rsidRPr="007D6B0C">
              <w:rPr>
                <w:rFonts w:cs="Times New Roman"/>
                <w:color w:val="000000"/>
              </w:rPr>
              <w:t>20089.0</w:t>
            </w:r>
            <w:r>
              <w:rPr>
                <w:rFonts w:cs="Times New Roman"/>
                <w:color w:val="000000"/>
              </w:rPr>
              <w:t>0</w:t>
            </w:r>
          </w:p>
        </w:tc>
        <w:tc>
          <w:tcPr>
            <w:tcW w:w="1013" w:type="dxa"/>
            <w:tcBorders>
              <w:left w:val="single" w:sz="4" w:space="0" w:color="auto"/>
              <w:bottom w:val="double" w:sz="12" w:space="0" w:color="auto"/>
              <w:right w:val="double" w:sz="12" w:space="0" w:color="auto"/>
            </w:tcBorders>
            <w:shd w:val="clear" w:color="auto" w:fill="auto"/>
            <w:vAlign w:val="center"/>
          </w:tcPr>
          <w:p w14:paraId="42CFE14C" w14:textId="77777777" w:rsidR="00D64840" w:rsidRPr="007D6B0C" w:rsidRDefault="00D64840" w:rsidP="00CC7304">
            <w:pPr>
              <w:spacing w:line="276" w:lineRule="auto"/>
              <w:jc w:val="center"/>
              <w:rPr>
                <w:rFonts w:cs="Times New Roman"/>
                <w:color w:val="000000"/>
              </w:rPr>
            </w:pPr>
            <w:r w:rsidRPr="007D6B0C">
              <w:rPr>
                <w:rFonts w:cs="Times New Roman"/>
                <w:color w:val="000000"/>
              </w:rPr>
              <w:t>5748.17</w:t>
            </w:r>
          </w:p>
        </w:tc>
      </w:tr>
    </w:tbl>
    <w:p w14:paraId="49BBB071" w14:textId="77777777" w:rsidR="00D64840" w:rsidRDefault="00D64840" w:rsidP="006E6623">
      <w:pPr>
        <w:spacing w:line="276" w:lineRule="auto"/>
        <w:jc w:val="center"/>
        <w:rPr>
          <w:rFonts w:cs="Times New Roman"/>
          <w:b/>
          <w:bCs/>
          <w:szCs w:val="24"/>
        </w:rPr>
      </w:pPr>
    </w:p>
    <w:p w14:paraId="30141E27" w14:textId="398C32E6" w:rsidR="00D64840" w:rsidRPr="00D64840" w:rsidRDefault="00D64840" w:rsidP="00D64840">
      <w:pPr>
        <w:rPr>
          <w:rFonts w:cs="Times New Roman"/>
          <w:szCs w:val="24"/>
        </w:rPr>
        <w:sectPr w:rsidR="00D64840" w:rsidRPr="00D64840" w:rsidSect="003F3854">
          <w:type w:val="continuous"/>
          <w:pgSz w:w="15840" w:h="12240" w:orient="landscape" w:code="1"/>
          <w:pgMar w:top="1440" w:right="1440" w:bottom="1440" w:left="1440" w:header="0" w:footer="720" w:gutter="0"/>
          <w:cols w:space="720"/>
          <w:docGrid w:linePitch="360"/>
        </w:sectPr>
      </w:pPr>
    </w:p>
    <w:p w14:paraId="061A78B8" w14:textId="6CBE360F" w:rsidR="006E6623" w:rsidRPr="004A1D24" w:rsidRDefault="00EC24D4" w:rsidP="00DB7B3E">
      <w:pPr>
        <w:spacing w:line="276" w:lineRule="auto"/>
        <w:jc w:val="center"/>
        <w:rPr>
          <w:rFonts w:cs="Times New Roman"/>
          <w:b/>
          <w:bCs/>
          <w:szCs w:val="24"/>
        </w:rPr>
      </w:pPr>
      <w:r w:rsidRPr="004A1D24">
        <w:rPr>
          <w:rFonts w:cs="Times New Roman"/>
          <w:b/>
          <w:bCs/>
          <w:szCs w:val="24"/>
        </w:rPr>
        <w:lastRenderedPageBreak/>
        <w:t xml:space="preserve">Table </w:t>
      </w:r>
      <w:r w:rsidR="009812B4">
        <w:rPr>
          <w:rFonts w:cs="Times New Roman"/>
          <w:b/>
          <w:bCs/>
          <w:szCs w:val="24"/>
        </w:rPr>
        <w:t>3</w:t>
      </w:r>
      <w:r w:rsidRPr="004A1D24">
        <w:rPr>
          <w:rFonts w:cs="Times New Roman"/>
          <w:b/>
          <w:bCs/>
          <w:szCs w:val="24"/>
        </w:rPr>
        <w:t xml:space="preserve">: </w:t>
      </w:r>
      <w:r w:rsidR="006E6623" w:rsidRPr="004A1D24">
        <w:rPr>
          <w:rFonts w:cs="Times New Roman"/>
          <w:b/>
          <w:bCs/>
          <w:szCs w:val="24"/>
        </w:rPr>
        <w:t>Goodness of Fit Measures</w:t>
      </w:r>
    </w:p>
    <w:tbl>
      <w:tblPr>
        <w:tblStyle w:val="TableGrid"/>
        <w:tblW w:w="9535" w:type="dxa"/>
        <w:jc w:val="center"/>
        <w:tblLook w:val="04A0" w:firstRow="1" w:lastRow="0" w:firstColumn="1" w:lastColumn="0" w:noHBand="0" w:noVBand="1"/>
      </w:tblPr>
      <w:tblGrid>
        <w:gridCol w:w="2785"/>
        <w:gridCol w:w="1601"/>
        <w:gridCol w:w="1729"/>
        <w:gridCol w:w="1650"/>
        <w:gridCol w:w="1770"/>
      </w:tblGrid>
      <w:tr w:rsidR="006E6623" w:rsidRPr="00D817D3" w14:paraId="76A4C6D0" w14:textId="77777777" w:rsidTr="004A1D24">
        <w:trPr>
          <w:trHeight w:val="720"/>
          <w:jc w:val="center"/>
        </w:trPr>
        <w:tc>
          <w:tcPr>
            <w:tcW w:w="2785" w:type="dxa"/>
            <w:vMerge w:val="restart"/>
            <w:tcBorders>
              <w:top w:val="double" w:sz="12" w:space="0" w:color="auto"/>
              <w:left w:val="double" w:sz="12" w:space="0" w:color="auto"/>
              <w:bottom w:val="single" w:sz="12" w:space="0" w:color="auto"/>
            </w:tcBorders>
            <w:vAlign w:val="center"/>
          </w:tcPr>
          <w:p w14:paraId="4095D3D4" w14:textId="77777777" w:rsidR="006E6623" w:rsidRPr="004A1D24" w:rsidRDefault="006E6623" w:rsidP="006E6623">
            <w:pPr>
              <w:spacing w:line="276" w:lineRule="auto"/>
              <w:jc w:val="left"/>
              <w:rPr>
                <w:rFonts w:cs="Times New Roman"/>
                <w:b/>
                <w:bCs/>
                <w:szCs w:val="24"/>
              </w:rPr>
            </w:pPr>
            <w:r w:rsidRPr="004A1D24">
              <w:rPr>
                <w:rFonts w:cs="Times New Roman"/>
                <w:b/>
                <w:bCs/>
                <w:szCs w:val="24"/>
              </w:rPr>
              <w:t>Model</w:t>
            </w:r>
          </w:p>
        </w:tc>
        <w:tc>
          <w:tcPr>
            <w:tcW w:w="3330" w:type="dxa"/>
            <w:gridSpan w:val="2"/>
            <w:tcBorders>
              <w:top w:val="double" w:sz="12" w:space="0" w:color="auto"/>
              <w:bottom w:val="single" w:sz="4" w:space="0" w:color="auto"/>
            </w:tcBorders>
            <w:vAlign w:val="center"/>
          </w:tcPr>
          <w:p w14:paraId="4EEC5391" w14:textId="77777777" w:rsidR="006E6623" w:rsidRPr="004A1D24" w:rsidRDefault="006E6623" w:rsidP="006E6623">
            <w:pPr>
              <w:spacing w:line="276" w:lineRule="auto"/>
              <w:jc w:val="center"/>
              <w:rPr>
                <w:rFonts w:cs="Times New Roman"/>
                <w:b/>
                <w:bCs/>
                <w:szCs w:val="24"/>
              </w:rPr>
            </w:pPr>
            <w:r w:rsidRPr="004A1D24">
              <w:rPr>
                <w:rFonts w:cs="Times New Roman"/>
                <w:b/>
                <w:bCs/>
                <w:szCs w:val="24"/>
              </w:rPr>
              <w:t>Weekday Model</w:t>
            </w:r>
          </w:p>
        </w:tc>
        <w:tc>
          <w:tcPr>
            <w:tcW w:w="3420" w:type="dxa"/>
            <w:gridSpan w:val="2"/>
            <w:tcBorders>
              <w:top w:val="double" w:sz="12" w:space="0" w:color="auto"/>
              <w:bottom w:val="single" w:sz="4" w:space="0" w:color="auto"/>
              <w:right w:val="double" w:sz="12" w:space="0" w:color="auto"/>
            </w:tcBorders>
            <w:vAlign w:val="center"/>
          </w:tcPr>
          <w:p w14:paraId="5B4EBC90" w14:textId="77777777" w:rsidR="006E6623" w:rsidRPr="004A1D24" w:rsidRDefault="006E6623" w:rsidP="006E6623">
            <w:pPr>
              <w:spacing w:line="276" w:lineRule="auto"/>
              <w:jc w:val="center"/>
              <w:rPr>
                <w:rFonts w:cs="Times New Roman"/>
                <w:b/>
                <w:bCs/>
                <w:szCs w:val="24"/>
              </w:rPr>
            </w:pPr>
            <w:r w:rsidRPr="004A1D24">
              <w:rPr>
                <w:rFonts w:cs="Times New Roman"/>
                <w:b/>
                <w:bCs/>
                <w:szCs w:val="24"/>
              </w:rPr>
              <w:t>Holiday Model</w:t>
            </w:r>
          </w:p>
        </w:tc>
      </w:tr>
      <w:tr w:rsidR="006E6623" w:rsidRPr="00D817D3" w14:paraId="2ABF9787" w14:textId="77777777" w:rsidTr="004A1D24">
        <w:trPr>
          <w:trHeight w:val="720"/>
          <w:jc w:val="center"/>
        </w:trPr>
        <w:tc>
          <w:tcPr>
            <w:tcW w:w="2785" w:type="dxa"/>
            <w:vMerge/>
            <w:tcBorders>
              <w:left w:val="double" w:sz="12" w:space="0" w:color="auto"/>
              <w:bottom w:val="single" w:sz="12" w:space="0" w:color="auto"/>
            </w:tcBorders>
            <w:vAlign w:val="center"/>
          </w:tcPr>
          <w:p w14:paraId="2A6C05FC" w14:textId="77777777" w:rsidR="006E6623" w:rsidRPr="004A1D24" w:rsidRDefault="006E6623" w:rsidP="006E6623">
            <w:pPr>
              <w:spacing w:line="276" w:lineRule="auto"/>
              <w:jc w:val="left"/>
              <w:rPr>
                <w:rFonts w:cs="Times New Roman"/>
                <w:b/>
                <w:bCs/>
                <w:szCs w:val="24"/>
              </w:rPr>
            </w:pPr>
          </w:p>
        </w:tc>
        <w:tc>
          <w:tcPr>
            <w:tcW w:w="1601" w:type="dxa"/>
            <w:tcBorders>
              <w:bottom w:val="single" w:sz="12" w:space="0" w:color="auto"/>
            </w:tcBorders>
            <w:vAlign w:val="center"/>
          </w:tcPr>
          <w:p w14:paraId="0D2E6818" w14:textId="77777777" w:rsidR="006E6623" w:rsidRPr="004A1D24" w:rsidRDefault="006E6623" w:rsidP="006E6623">
            <w:pPr>
              <w:spacing w:line="276" w:lineRule="auto"/>
              <w:jc w:val="center"/>
              <w:rPr>
                <w:rFonts w:cs="Times New Roman"/>
                <w:b/>
                <w:bCs/>
                <w:szCs w:val="24"/>
              </w:rPr>
            </w:pPr>
            <w:r w:rsidRPr="004A1D24">
              <w:rPr>
                <w:rFonts w:cs="Times New Roman"/>
                <w:b/>
                <w:bCs/>
                <w:szCs w:val="24"/>
              </w:rPr>
              <w:t>Log-likelihood (LL)</w:t>
            </w:r>
          </w:p>
        </w:tc>
        <w:tc>
          <w:tcPr>
            <w:tcW w:w="1729" w:type="dxa"/>
            <w:tcBorders>
              <w:bottom w:val="single" w:sz="12" w:space="0" w:color="auto"/>
            </w:tcBorders>
            <w:vAlign w:val="center"/>
          </w:tcPr>
          <w:p w14:paraId="485C2880" w14:textId="77777777" w:rsidR="006E6623" w:rsidRPr="004A1D24" w:rsidRDefault="006E6623" w:rsidP="006E6623">
            <w:pPr>
              <w:spacing w:line="276" w:lineRule="auto"/>
              <w:jc w:val="center"/>
              <w:rPr>
                <w:rFonts w:cs="Times New Roman"/>
                <w:b/>
                <w:bCs/>
                <w:szCs w:val="24"/>
              </w:rPr>
            </w:pPr>
            <w:r w:rsidRPr="004A1D24">
              <w:rPr>
                <w:rFonts w:cs="Times New Roman"/>
                <w:b/>
                <w:bCs/>
                <w:szCs w:val="24"/>
              </w:rPr>
              <w:t>Bayesian Information Criterion (BIC)</w:t>
            </w:r>
          </w:p>
        </w:tc>
        <w:tc>
          <w:tcPr>
            <w:tcW w:w="1650" w:type="dxa"/>
            <w:tcBorders>
              <w:bottom w:val="single" w:sz="12" w:space="0" w:color="auto"/>
            </w:tcBorders>
            <w:vAlign w:val="center"/>
          </w:tcPr>
          <w:p w14:paraId="128A90CB" w14:textId="77777777" w:rsidR="006E6623" w:rsidRPr="004A1D24" w:rsidRDefault="006E6623" w:rsidP="006E6623">
            <w:pPr>
              <w:spacing w:line="276" w:lineRule="auto"/>
              <w:jc w:val="center"/>
              <w:rPr>
                <w:rFonts w:cs="Times New Roman"/>
                <w:b/>
                <w:bCs/>
                <w:szCs w:val="24"/>
              </w:rPr>
            </w:pPr>
            <w:r w:rsidRPr="004A1D24">
              <w:rPr>
                <w:rFonts w:cs="Times New Roman"/>
                <w:b/>
                <w:bCs/>
                <w:szCs w:val="24"/>
              </w:rPr>
              <w:t>Log-likelihood (LL)</w:t>
            </w:r>
          </w:p>
        </w:tc>
        <w:tc>
          <w:tcPr>
            <w:tcW w:w="1770" w:type="dxa"/>
            <w:tcBorders>
              <w:bottom w:val="single" w:sz="12" w:space="0" w:color="auto"/>
              <w:right w:val="double" w:sz="12" w:space="0" w:color="auto"/>
            </w:tcBorders>
            <w:vAlign w:val="center"/>
          </w:tcPr>
          <w:p w14:paraId="68E16A80" w14:textId="77777777" w:rsidR="006E6623" w:rsidRPr="004A1D24" w:rsidRDefault="006E6623" w:rsidP="006E6623">
            <w:pPr>
              <w:spacing w:line="276" w:lineRule="auto"/>
              <w:jc w:val="center"/>
              <w:rPr>
                <w:rFonts w:cs="Times New Roman"/>
                <w:b/>
                <w:bCs/>
                <w:szCs w:val="24"/>
              </w:rPr>
            </w:pPr>
            <w:r w:rsidRPr="004A1D24">
              <w:rPr>
                <w:rFonts w:cs="Times New Roman"/>
                <w:b/>
                <w:bCs/>
                <w:szCs w:val="24"/>
              </w:rPr>
              <w:t>Bayesian Information Criterion (BIC)</w:t>
            </w:r>
          </w:p>
        </w:tc>
      </w:tr>
      <w:tr w:rsidR="006E6623" w:rsidRPr="00D817D3" w14:paraId="4A6555ED" w14:textId="77777777" w:rsidTr="004A1D24">
        <w:trPr>
          <w:trHeight w:val="720"/>
          <w:jc w:val="center"/>
        </w:trPr>
        <w:tc>
          <w:tcPr>
            <w:tcW w:w="2785" w:type="dxa"/>
            <w:tcBorders>
              <w:top w:val="single" w:sz="12" w:space="0" w:color="auto"/>
              <w:left w:val="double" w:sz="12" w:space="0" w:color="auto"/>
            </w:tcBorders>
            <w:vAlign w:val="center"/>
          </w:tcPr>
          <w:p w14:paraId="1324E685" w14:textId="77777777" w:rsidR="006E6623" w:rsidRPr="004A1D24" w:rsidRDefault="006E6623" w:rsidP="006E6623">
            <w:pPr>
              <w:spacing w:line="276" w:lineRule="auto"/>
              <w:jc w:val="left"/>
              <w:rPr>
                <w:rFonts w:cs="Times New Roman"/>
                <w:szCs w:val="24"/>
              </w:rPr>
            </w:pPr>
            <w:r w:rsidRPr="004A1D24">
              <w:rPr>
                <w:rFonts w:cs="Times New Roman"/>
                <w:szCs w:val="24"/>
              </w:rPr>
              <w:t>Ordinary Least Squares Linear Regression Model</w:t>
            </w:r>
          </w:p>
        </w:tc>
        <w:tc>
          <w:tcPr>
            <w:tcW w:w="1601" w:type="dxa"/>
            <w:tcBorders>
              <w:top w:val="single" w:sz="12" w:space="0" w:color="auto"/>
            </w:tcBorders>
            <w:vAlign w:val="center"/>
          </w:tcPr>
          <w:p w14:paraId="09AC32F1" w14:textId="5FC63449"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-126,400</w:t>
            </w:r>
          </w:p>
        </w:tc>
        <w:tc>
          <w:tcPr>
            <w:tcW w:w="1729" w:type="dxa"/>
            <w:tcBorders>
              <w:top w:val="single" w:sz="12" w:space="0" w:color="auto"/>
            </w:tcBorders>
            <w:vAlign w:val="center"/>
          </w:tcPr>
          <w:p w14:paraId="2E2B0AFD" w14:textId="34A714B2"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252,983</w:t>
            </w:r>
          </w:p>
        </w:tc>
        <w:tc>
          <w:tcPr>
            <w:tcW w:w="1650" w:type="dxa"/>
            <w:tcBorders>
              <w:top w:val="single" w:sz="12" w:space="0" w:color="auto"/>
            </w:tcBorders>
            <w:vAlign w:val="center"/>
          </w:tcPr>
          <w:p w14:paraId="445151AB" w14:textId="4BF2B2DF"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-132,300</w:t>
            </w:r>
          </w:p>
        </w:tc>
        <w:tc>
          <w:tcPr>
            <w:tcW w:w="1770" w:type="dxa"/>
            <w:tcBorders>
              <w:top w:val="single" w:sz="12" w:space="0" w:color="auto"/>
              <w:right w:val="double" w:sz="12" w:space="0" w:color="auto"/>
            </w:tcBorders>
            <w:vAlign w:val="center"/>
          </w:tcPr>
          <w:p w14:paraId="7EB6EB14" w14:textId="70F91537"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264,783</w:t>
            </w:r>
          </w:p>
        </w:tc>
      </w:tr>
      <w:tr w:rsidR="006E6623" w:rsidRPr="00D817D3" w14:paraId="7A013300" w14:textId="77777777" w:rsidTr="004A1D24">
        <w:trPr>
          <w:trHeight w:val="720"/>
          <w:jc w:val="center"/>
        </w:trPr>
        <w:tc>
          <w:tcPr>
            <w:tcW w:w="2785" w:type="dxa"/>
            <w:tcBorders>
              <w:left w:val="double" w:sz="12" w:space="0" w:color="auto"/>
              <w:bottom w:val="single" w:sz="4" w:space="0" w:color="auto"/>
            </w:tcBorders>
            <w:vAlign w:val="center"/>
          </w:tcPr>
          <w:p w14:paraId="2C9E4216" w14:textId="77777777" w:rsidR="006E6623" w:rsidRPr="004A1D24" w:rsidRDefault="006E6623" w:rsidP="006E6623">
            <w:pPr>
              <w:spacing w:line="276" w:lineRule="auto"/>
              <w:jc w:val="left"/>
              <w:rPr>
                <w:rFonts w:cs="Times New Roman"/>
                <w:szCs w:val="24"/>
              </w:rPr>
            </w:pPr>
            <w:r w:rsidRPr="004A1D24">
              <w:rPr>
                <w:rFonts w:cs="Times New Roman"/>
                <w:szCs w:val="24"/>
              </w:rPr>
              <w:t>Spatial Autoregressive Model (SAR)</w:t>
            </w:r>
          </w:p>
        </w:tc>
        <w:tc>
          <w:tcPr>
            <w:tcW w:w="1601" w:type="dxa"/>
            <w:tcBorders>
              <w:bottom w:val="single" w:sz="4" w:space="0" w:color="auto"/>
            </w:tcBorders>
            <w:vAlign w:val="center"/>
          </w:tcPr>
          <w:p w14:paraId="4E5A096D" w14:textId="5E70E06C"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-88,145</w:t>
            </w:r>
          </w:p>
        </w:tc>
        <w:tc>
          <w:tcPr>
            <w:tcW w:w="1729" w:type="dxa"/>
            <w:tcBorders>
              <w:bottom w:val="single" w:sz="4" w:space="0" w:color="auto"/>
            </w:tcBorders>
            <w:vAlign w:val="center"/>
          </w:tcPr>
          <w:p w14:paraId="6F2886B7" w14:textId="61AB0883"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176,48</w:t>
            </w:r>
            <w:r w:rsidR="005237AB">
              <w:rPr>
                <w:rFonts w:cs="Times New Roman"/>
                <w:color w:val="000000"/>
                <w:szCs w:val="24"/>
              </w:rPr>
              <w:t>5</w:t>
            </w:r>
          </w:p>
        </w:tc>
        <w:tc>
          <w:tcPr>
            <w:tcW w:w="1650" w:type="dxa"/>
            <w:tcBorders>
              <w:bottom w:val="single" w:sz="4" w:space="0" w:color="auto"/>
            </w:tcBorders>
            <w:vAlign w:val="center"/>
          </w:tcPr>
          <w:p w14:paraId="00C51ECF" w14:textId="1AE69A11"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-92,552</w:t>
            </w:r>
          </w:p>
        </w:tc>
        <w:tc>
          <w:tcPr>
            <w:tcW w:w="1770" w:type="dxa"/>
            <w:tcBorders>
              <w:bottom w:val="single" w:sz="4" w:space="0" w:color="auto"/>
              <w:right w:val="double" w:sz="12" w:space="0" w:color="auto"/>
            </w:tcBorders>
            <w:vAlign w:val="center"/>
          </w:tcPr>
          <w:p w14:paraId="253B9649" w14:textId="5FF26F9A"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185,299</w:t>
            </w:r>
          </w:p>
        </w:tc>
      </w:tr>
      <w:tr w:rsidR="006E6623" w:rsidRPr="00D817D3" w14:paraId="75B24E66" w14:textId="77777777" w:rsidTr="004A1D24">
        <w:trPr>
          <w:trHeight w:val="720"/>
          <w:jc w:val="center"/>
        </w:trPr>
        <w:tc>
          <w:tcPr>
            <w:tcW w:w="2785" w:type="dxa"/>
            <w:tcBorders>
              <w:left w:val="double" w:sz="12" w:space="0" w:color="auto"/>
              <w:bottom w:val="double" w:sz="12" w:space="0" w:color="auto"/>
            </w:tcBorders>
            <w:vAlign w:val="center"/>
          </w:tcPr>
          <w:p w14:paraId="1B0E9375" w14:textId="77777777" w:rsidR="006E6623" w:rsidRPr="004A1D24" w:rsidRDefault="006E6623" w:rsidP="006E6623">
            <w:pPr>
              <w:spacing w:line="276" w:lineRule="auto"/>
              <w:jc w:val="left"/>
              <w:rPr>
                <w:rFonts w:cs="Times New Roman"/>
                <w:szCs w:val="24"/>
              </w:rPr>
            </w:pPr>
            <w:r w:rsidRPr="004A1D24">
              <w:rPr>
                <w:rFonts w:cs="Times New Roman"/>
                <w:szCs w:val="24"/>
              </w:rPr>
              <w:t>Spatial Error Model (SEM)</w:t>
            </w:r>
          </w:p>
        </w:tc>
        <w:tc>
          <w:tcPr>
            <w:tcW w:w="1601" w:type="dxa"/>
            <w:tcBorders>
              <w:bottom w:val="double" w:sz="12" w:space="0" w:color="auto"/>
            </w:tcBorders>
            <w:vAlign w:val="center"/>
          </w:tcPr>
          <w:p w14:paraId="193BA288" w14:textId="2E668ACC"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-87,92</w:t>
            </w:r>
            <w:r w:rsidR="005237AB">
              <w:rPr>
                <w:rFonts w:cs="Times New Roman"/>
                <w:color w:val="000000"/>
                <w:szCs w:val="24"/>
              </w:rPr>
              <w:t>6</w:t>
            </w:r>
          </w:p>
        </w:tc>
        <w:tc>
          <w:tcPr>
            <w:tcW w:w="1729" w:type="dxa"/>
            <w:tcBorders>
              <w:bottom w:val="double" w:sz="12" w:space="0" w:color="auto"/>
            </w:tcBorders>
            <w:vAlign w:val="center"/>
          </w:tcPr>
          <w:p w14:paraId="1FD709A2" w14:textId="7FEBA819"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176,03</w:t>
            </w:r>
            <w:r w:rsidR="005237AB">
              <w:rPr>
                <w:rFonts w:cs="Times New Roman"/>
                <w:color w:val="000000"/>
                <w:szCs w:val="24"/>
              </w:rPr>
              <w:t>5</w:t>
            </w:r>
          </w:p>
        </w:tc>
        <w:tc>
          <w:tcPr>
            <w:tcW w:w="1650" w:type="dxa"/>
            <w:tcBorders>
              <w:bottom w:val="double" w:sz="12" w:space="0" w:color="auto"/>
            </w:tcBorders>
            <w:vAlign w:val="center"/>
          </w:tcPr>
          <w:p w14:paraId="1799579B" w14:textId="2B4611B9"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-92,357</w:t>
            </w:r>
          </w:p>
        </w:tc>
        <w:tc>
          <w:tcPr>
            <w:tcW w:w="1770" w:type="dxa"/>
            <w:tcBorders>
              <w:bottom w:val="double" w:sz="12" w:space="0" w:color="auto"/>
              <w:right w:val="double" w:sz="12" w:space="0" w:color="auto"/>
            </w:tcBorders>
            <w:vAlign w:val="center"/>
          </w:tcPr>
          <w:p w14:paraId="70C2A149" w14:textId="3509D467" w:rsidR="006E6623" w:rsidRPr="004A1D24" w:rsidRDefault="006E6623" w:rsidP="006E6623">
            <w:pPr>
              <w:spacing w:line="276" w:lineRule="auto"/>
              <w:jc w:val="center"/>
              <w:rPr>
                <w:rFonts w:cs="Times New Roman"/>
                <w:color w:val="000000"/>
                <w:szCs w:val="24"/>
              </w:rPr>
            </w:pPr>
            <w:r w:rsidRPr="004A1D24">
              <w:rPr>
                <w:rFonts w:cs="Times New Roman"/>
                <w:color w:val="000000"/>
                <w:szCs w:val="24"/>
              </w:rPr>
              <w:t>184,89</w:t>
            </w:r>
            <w:r w:rsidR="005237AB">
              <w:rPr>
                <w:rFonts w:cs="Times New Roman"/>
                <w:color w:val="000000"/>
                <w:szCs w:val="24"/>
              </w:rPr>
              <w:t>8</w:t>
            </w:r>
          </w:p>
        </w:tc>
      </w:tr>
    </w:tbl>
    <w:p w14:paraId="259F71BD" w14:textId="5BEA0CC6" w:rsidR="00C118AB" w:rsidRDefault="00C118AB" w:rsidP="00C118AB">
      <w:pPr>
        <w:contextualSpacing/>
        <w:rPr>
          <w:rFonts w:eastAsiaTheme="minorEastAsia" w:cs="Times New Roman"/>
          <w:b/>
          <w:bCs/>
          <w:szCs w:val="24"/>
        </w:rPr>
      </w:pPr>
    </w:p>
    <w:p w14:paraId="3CF8EB96" w14:textId="1A29A2CC" w:rsidR="00C118AB" w:rsidRDefault="00C118AB" w:rsidP="00C118AB">
      <w:pPr>
        <w:contextualSpacing/>
        <w:rPr>
          <w:rFonts w:eastAsiaTheme="minorEastAsia" w:cs="Times New Roman"/>
          <w:b/>
          <w:bCs/>
          <w:szCs w:val="24"/>
        </w:rPr>
      </w:pPr>
    </w:p>
    <w:p w14:paraId="4A573829" w14:textId="77777777" w:rsidR="00C118AB" w:rsidRDefault="00C118AB" w:rsidP="00C118AB">
      <w:pPr>
        <w:contextualSpacing/>
        <w:rPr>
          <w:rFonts w:eastAsiaTheme="minorEastAsia" w:cs="Times New Roman"/>
          <w:b/>
          <w:bCs/>
          <w:szCs w:val="24"/>
        </w:rPr>
      </w:pPr>
    </w:p>
    <w:p w14:paraId="7B6001FC" w14:textId="77777777" w:rsidR="005042C5" w:rsidRDefault="005042C5" w:rsidP="00FD55E6">
      <w:pPr>
        <w:contextualSpacing/>
        <w:jc w:val="center"/>
        <w:rPr>
          <w:rFonts w:eastAsiaTheme="minorEastAsia" w:cs="Times New Roman"/>
          <w:b/>
          <w:bCs/>
          <w:szCs w:val="24"/>
        </w:rPr>
      </w:pPr>
    </w:p>
    <w:p w14:paraId="364E3865" w14:textId="77777777" w:rsidR="005042C5" w:rsidRDefault="005042C5" w:rsidP="00FD55E6">
      <w:pPr>
        <w:contextualSpacing/>
        <w:jc w:val="center"/>
        <w:rPr>
          <w:rFonts w:eastAsiaTheme="minorEastAsia" w:cs="Times New Roman"/>
          <w:b/>
          <w:bCs/>
          <w:szCs w:val="24"/>
        </w:rPr>
      </w:pPr>
    </w:p>
    <w:p w14:paraId="3AF4F58C" w14:textId="77777777" w:rsidR="005042C5" w:rsidRDefault="005042C5" w:rsidP="00FD55E6">
      <w:pPr>
        <w:contextualSpacing/>
        <w:jc w:val="center"/>
        <w:rPr>
          <w:rFonts w:eastAsiaTheme="minorEastAsia" w:cs="Times New Roman"/>
          <w:b/>
          <w:bCs/>
          <w:szCs w:val="24"/>
        </w:rPr>
      </w:pPr>
    </w:p>
    <w:p w14:paraId="5B1AFCD4" w14:textId="77777777" w:rsidR="005042C5" w:rsidRDefault="005042C5" w:rsidP="00FD55E6">
      <w:pPr>
        <w:contextualSpacing/>
        <w:jc w:val="center"/>
        <w:rPr>
          <w:rFonts w:eastAsiaTheme="minorEastAsia" w:cs="Times New Roman"/>
          <w:b/>
          <w:bCs/>
          <w:szCs w:val="24"/>
        </w:rPr>
      </w:pPr>
    </w:p>
    <w:p w14:paraId="126FE0C4" w14:textId="77777777" w:rsidR="005042C5" w:rsidRDefault="005042C5" w:rsidP="00FD55E6">
      <w:pPr>
        <w:contextualSpacing/>
        <w:jc w:val="center"/>
        <w:rPr>
          <w:rFonts w:eastAsiaTheme="minorEastAsia" w:cs="Times New Roman"/>
          <w:b/>
          <w:bCs/>
          <w:szCs w:val="24"/>
        </w:rPr>
      </w:pPr>
    </w:p>
    <w:p w14:paraId="0762CF59" w14:textId="77777777" w:rsidR="005042C5" w:rsidRDefault="005042C5" w:rsidP="00FD55E6">
      <w:pPr>
        <w:contextualSpacing/>
        <w:jc w:val="center"/>
        <w:rPr>
          <w:rFonts w:eastAsiaTheme="minorEastAsia" w:cs="Times New Roman"/>
          <w:b/>
          <w:bCs/>
          <w:szCs w:val="24"/>
        </w:rPr>
      </w:pPr>
    </w:p>
    <w:p w14:paraId="11F834D1" w14:textId="77777777" w:rsidR="005042C5" w:rsidRDefault="005042C5" w:rsidP="00FD55E6">
      <w:pPr>
        <w:contextualSpacing/>
        <w:jc w:val="center"/>
        <w:rPr>
          <w:rFonts w:eastAsiaTheme="minorEastAsia" w:cs="Times New Roman"/>
          <w:b/>
          <w:bCs/>
          <w:szCs w:val="24"/>
        </w:rPr>
      </w:pPr>
    </w:p>
    <w:p w14:paraId="48F57B10" w14:textId="77777777" w:rsidR="005042C5" w:rsidRDefault="005042C5" w:rsidP="00FD55E6">
      <w:pPr>
        <w:contextualSpacing/>
        <w:jc w:val="center"/>
        <w:rPr>
          <w:rFonts w:eastAsiaTheme="minorEastAsia" w:cs="Times New Roman"/>
          <w:b/>
          <w:bCs/>
          <w:szCs w:val="24"/>
        </w:rPr>
      </w:pPr>
    </w:p>
    <w:p w14:paraId="7BF7FE6C" w14:textId="77777777" w:rsidR="005042C5" w:rsidRDefault="005042C5" w:rsidP="00FD55E6">
      <w:pPr>
        <w:contextualSpacing/>
        <w:jc w:val="center"/>
        <w:rPr>
          <w:rFonts w:eastAsiaTheme="minorEastAsia" w:cs="Times New Roman"/>
          <w:b/>
          <w:bCs/>
          <w:szCs w:val="24"/>
        </w:rPr>
      </w:pPr>
    </w:p>
    <w:p w14:paraId="259C4C55" w14:textId="77777777" w:rsidR="005042C5" w:rsidRDefault="005042C5" w:rsidP="00FD55E6">
      <w:pPr>
        <w:contextualSpacing/>
        <w:jc w:val="center"/>
        <w:rPr>
          <w:rFonts w:eastAsiaTheme="minorEastAsia" w:cs="Times New Roman"/>
          <w:b/>
          <w:bCs/>
          <w:szCs w:val="24"/>
        </w:rPr>
      </w:pPr>
    </w:p>
    <w:p w14:paraId="11BBD7C1" w14:textId="77777777" w:rsidR="005042C5" w:rsidRDefault="005042C5" w:rsidP="00FD55E6">
      <w:pPr>
        <w:contextualSpacing/>
        <w:jc w:val="center"/>
        <w:rPr>
          <w:rFonts w:eastAsiaTheme="minorEastAsia" w:cs="Times New Roman"/>
          <w:b/>
          <w:bCs/>
          <w:szCs w:val="24"/>
        </w:rPr>
      </w:pPr>
    </w:p>
    <w:p w14:paraId="18C6E4E5" w14:textId="77777777" w:rsidR="005042C5" w:rsidRDefault="005042C5" w:rsidP="00FD55E6">
      <w:pPr>
        <w:contextualSpacing/>
        <w:jc w:val="center"/>
        <w:rPr>
          <w:rFonts w:eastAsiaTheme="minorEastAsia" w:cs="Times New Roman"/>
          <w:b/>
          <w:bCs/>
          <w:szCs w:val="24"/>
        </w:rPr>
      </w:pPr>
    </w:p>
    <w:p w14:paraId="17B12A49" w14:textId="2DA1E2F6" w:rsidR="006E6623" w:rsidRPr="00CB38E6" w:rsidRDefault="005042C5" w:rsidP="00FD55E6">
      <w:pPr>
        <w:contextualSpacing/>
        <w:jc w:val="center"/>
        <w:rPr>
          <w:rFonts w:eastAsiaTheme="minorEastAsia" w:cs="Times New Roman"/>
          <w:b/>
          <w:bCs/>
          <w:szCs w:val="24"/>
        </w:rPr>
      </w:pPr>
      <w:r w:rsidRPr="00CB38E6">
        <w:rPr>
          <w:rFonts w:eastAsiaTheme="minorEastAsia" w:cs="Times New Roman"/>
          <w:b/>
          <w:bCs/>
          <w:szCs w:val="24"/>
        </w:rPr>
        <w:lastRenderedPageBreak/>
        <w:t>T</w:t>
      </w:r>
      <w:r>
        <w:rPr>
          <w:rFonts w:eastAsiaTheme="minorEastAsia" w:cs="Times New Roman"/>
          <w:b/>
          <w:bCs/>
          <w:szCs w:val="24"/>
        </w:rPr>
        <w:t xml:space="preserve">able </w:t>
      </w:r>
      <w:r w:rsidR="009812B4">
        <w:rPr>
          <w:rFonts w:eastAsiaTheme="minorEastAsia" w:cs="Times New Roman"/>
          <w:b/>
          <w:bCs/>
          <w:szCs w:val="24"/>
        </w:rPr>
        <w:t>4</w:t>
      </w:r>
      <w:r>
        <w:rPr>
          <w:rFonts w:eastAsiaTheme="minorEastAsia" w:cs="Times New Roman"/>
          <w:b/>
          <w:bCs/>
          <w:szCs w:val="24"/>
        </w:rPr>
        <w:t>:</w:t>
      </w:r>
      <w:r w:rsidRPr="00CB38E6">
        <w:rPr>
          <w:rFonts w:eastAsiaTheme="minorEastAsia" w:cs="Times New Roman"/>
          <w:b/>
          <w:bCs/>
          <w:szCs w:val="24"/>
        </w:rPr>
        <w:t xml:space="preserve"> </w:t>
      </w:r>
      <w:r w:rsidR="006E6623" w:rsidRPr="00CB38E6">
        <w:rPr>
          <w:rFonts w:eastAsiaTheme="minorEastAsia" w:cs="Times New Roman"/>
          <w:b/>
          <w:bCs/>
          <w:szCs w:val="24"/>
        </w:rPr>
        <w:t xml:space="preserve">Model </w:t>
      </w:r>
      <w:r w:rsidR="006E6623">
        <w:rPr>
          <w:rFonts w:eastAsiaTheme="minorEastAsia" w:cs="Times New Roman"/>
          <w:b/>
          <w:bCs/>
          <w:szCs w:val="24"/>
        </w:rPr>
        <w:t>E</w:t>
      </w:r>
      <w:r w:rsidR="006E6623" w:rsidRPr="00CB38E6">
        <w:rPr>
          <w:rFonts w:eastAsiaTheme="minorEastAsia" w:cs="Times New Roman"/>
          <w:b/>
          <w:bCs/>
          <w:szCs w:val="24"/>
        </w:rPr>
        <w:t>stimat</w:t>
      </w:r>
      <w:r w:rsidR="006E6623">
        <w:rPr>
          <w:rFonts w:eastAsiaTheme="minorEastAsia" w:cs="Times New Roman"/>
          <w:b/>
          <w:bCs/>
          <w:szCs w:val="24"/>
        </w:rPr>
        <w:t>ion Results</w:t>
      </w:r>
    </w:p>
    <w:tbl>
      <w:tblPr>
        <w:tblStyle w:val="TableGrid"/>
        <w:tblW w:w="9802" w:type="dxa"/>
        <w:jc w:val="center"/>
        <w:tblLook w:val="04A0" w:firstRow="1" w:lastRow="0" w:firstColumn="1" w:lastColumn="0" w:noHBand="0" w:noVBand="1"/>
      </w:tblPr>
      <w:tblGrid>
        <w:gridCol w:w="4838"/>
        <w:gridCol w:w="1402"/>
        <w:gridCol w:w="1035"/>
        <w:gridCol w:w="1425"/>
        <w:gridCol w:w="1102"/>
      </w:tblGrid>
      <w:tr w:rsidR="006E6623" w:rsidRPr="00D817D3" w14:paraId="5A1AFFC1" w14:textId="77777777" w:rsidTr="003C0D3A">
        <w:trPr>
          <w:trHeight w:val="290"/>
          <w:jc w:val="center"/>
        </w:trPr>
        <w:tc>
          <w:tcPr>
            <w:tcW w:w="4838" w:type="dxa"/>
            <w:vMerge w:val="restart"/>
            <w:tcBorders>
              <w:top w:val="double" w:sz="12" w:space="0" w:color="auto"/>
              <w:left w:val="double" w:sz="12" w:space="0" w:color="auto"/>
              <w:bottom w:val="single" w:sz="12" w:space="0" w:color="auto"/>
            </w:tcBorders>
            <w:noWrap/>
            <w:vAlign w:val="center"/>
            <w:hideMark/>
          </w:tcPr>
          <w:p w14:paraId="02B0004D" w14:textId="77777777" w:rsidR="006E6623" w:rsidRPr="00D817D3" w:rsidRDefault="006E6623" w:rsidP="00B020EB">
            <w:pPr>
              <w:spacing w:line="240" w:lineRule="auto"/>
              <w:jc w:val="left"/>
              <w:rPr>
                <w:rFonts w:cs="Times New Roman"/>
                <w:sz w:val="22"/>
              </w:rPr>
            </w:pPr>
            <w:r w:rsidRPr="00D817D3">
              <w:rPr>
                <w:rFonts w:cs="Times New Roman"/>
                <w:b/>
                <w:bCs/>
                <w:sz w:val="22"/>
              </w:rPr>
              <w:t>Variable</w:t>
            </w:r>
          </w:p>
        </w:tc>
        <w:tc>
          <w:tcPr>
            <w:tcW w:w="2437" w:type="dxa"/>
            <w:gridSpan w:val="2"/>
            <w:tcBorders>
              <w:top w:val="double" w:sz="12" w:space="0" w:color="auto"/>
              <w:bottom w:val="single" w:sz="4" w:space="0" w:color="auto"/>
            </w:tcBorders>
            <w:noWrap/>
            <w:vAlign w:val="center"/>
            <w:hideMark/>
          </w:tcPr>
          <w:p w14:paraId="35082BEB" w14:textId="77777777" w:rsidR="006E6623" w:rsidRPr="00D817D3" w:rsidRDefault="006E6623" w:rsidP="00B020EB">
            <w:pPr>
              <w:spacing w:line="240" w:lineRule="auto"/>
              <w:jc w:val="center"/>
              <w:rPr>
                <w:rFonts w:cs="Times New Roman"/>
                <w:b/>
                <w:bCs/>
                <w:sz w:val="22"/>
              </w:rPr>
            </w:pPr>
            <w:r w:rsidRPr="00D817D3">
              <w:rPr>
                <w:rFonts w:cs="Times New Roman"/>
                <w:b/>
                <w:bCs/>
                <w:sz w:val="22"/>
              </w:rPr>
              <w:t>Weekdays</w:t>
            </w:r>
          </w:p>
        </w:tc>
        <w:tc>
          <w:tcPr>
            <w:tcW w:w="2527" w:type="dxa"/>
            <w:gridSpan w:val="2"/>
            <w:tcBorders>
              <w:top w:val="double" w:sz="12" w:space="0" w:color="auto"/>
              <w:bottom w:val="single" w:sz="4" w:space="0" w:color="auto"/>
              <w:right w:val="double" w:sz="12" w:space="0" w:color="auto"/>
            </w:tcBorders>
            <w:noWrap/>
            <w:vAlign w:val="center"/>
            <w:hideMark/>
          </w:tcPr>
          <w:p w14:paraId="158994B7" w14:textId="77777777" w:rsidR="006E6623" w:rsidRPr="00D817D3" w:rsidRDefault="006E6623" w:rsidP="00B020EB">
            <w:pPr>
              <w:spacing w:line="240" w:lineRule="auto"/>
              <w:jc w:val="center"/>
              <w:rPr>
                <w:rFonts w:cs="Times New Roman"/>
                <w:b/>
                <w:bCs/>
                <w:sz w:val="22"/>
              </w:rPr>
            </w:pPr>
            <w:r w:rsidRPr="00D817D3">
              <w:rPr>
                <w:rFonts w:cs="Times New Roman"/>
                <w:b/>
                <w:bCs/>
                <w:sz w:val="22"/>
              </w:rPr>
              <w:t>Holidays</w:t>
            </w:r>
          </w:p>
        </w:tc>
      </w:tr>
      <w:tr w:rsidR="006E6623" w:rsidRPr="00D817D3" w14:paraId="5B05D479" w14:textId="77777777" w:rsidTr="003C0D3A">
        <w:trPr>
          <w:trHeight w:val="290"/>
          <w:jc w:val="center"/>
        </w:trPr>
        <w:tc>
          <w:tcPr>
            <w:tcW w:w="4838" w:type="dxa"/>
            <w:vMerge/>
            <w:tcBorders>
              <w:top w:val="single" w:sz="12" w:space="0" w:color="auto"/>
              <w:left w:val="double" w:sz="12" w:space="0" w:color="auto"/>
              <w:bottom w:val="single" w:sz="12" w:space="0" w:color="auto"/>
            </w:tcBorders>
            <w:noWrap/>
            <w:vAlign w:val="center"/>
            <w:hideMark/>
          </w:tcPr>
          <w:p w14:paraId="58D26FB2" w14:textId="77777777" w:rsidR="006E6623" w:rsidRPr="00D817D3" w:rsidRDefault="006E6623" w:rsidP="00B020EB">
            <w:pPr>
              <w:spacing w:line="240" w:lineRule="auto"/>
              <w:jc w:val="left"/>
              <w:rPr>
                <w:rFonts w:cs="Times New Roman"/>
                <w:b/>
                <w:bCs/>
                <w:sz w:val="22"/>
              </w:rPr>
            </w:pPr>
          </w:p>
        </w:tc>
        <w:tc>
          <w:tcPr>
            <w:tcW w:w="1402" w:type="dxa"/>
            <w:tcBorders>
              <w:bottom w:val="single" w:sz="12" w:space="0" w:color="auto"/>
            </w:tcBorders>
            <w:noWrap/>
            <w:vAlign w:val="center"/>
            <w:hideMark/>
          </w:tcPr>
          <w:p w14:paraId="1C13DEAD" w14:textId="77777777" w:rsidR="006E6623" w:rsidRPr="00D817D3" w:rsidRDefault="006E6623" w:rsidP="00B020EB">
            <w:pPr>
              <w:spacing w:line="240" w:lineRule="auto"/>
              <w:jc w:val="center"/>
              <w:rPr>
                <w:rFonts w:cs="Times New Roman"/>
                <w:b/>
                <w:bCs/>
                <w:sz w:val="22"/>
              </w:rPr>
            </w:pPr>
            <w:r w:rsidRPr="00D817D3">
              <w:rPr>
                <w:rFonts w:cs="Times New Roman"/>
                <w:b/>
                <w:bCs/>
                <w:sz w:val="22"/>
              </w:rPr>
              <w:t>Coefficient</w:t>
            </w:r>
          </w:p>
        </w:tc>
        <w:tc>
          <w:tcPr>
            <w:tcW w:w="1035" w:type="dxa"/>
            <w:tcBorders>
              <w:bottom w:val="single" w:sz="12" w:space="0" w:color="auto"/>
            </w:tcBorders>
            <w:noWrap/>
            <w:vAlign w:val="center"/>
            <w:hideMark/>
          </w:tcPr>
          <w:p w14:paraId="4152529D" w14:textId="77777777" w:rsidR="006E6623" w:rsidRPr="00D817D3" w:rsidRDefault="006E6623" w:rsidP="00B020EB">
            <w:pPr>
              <w:spacing w:line="240" w:lineRule="auto"/>
              <w:jc w:val="center"/>
              <w:rPr>
                <w:rFonts w:cs="Times New Roman"/>
                <w:b/>
                <w:bCs/>
                <w:sz w:val="22"/>
              </w:rPr>
            </w:pPr>
            <w:r w:rsidRPr="00D817D3">
              <w:rPr>
                <w:rFonts w:cs="Times New Roman"/>
                <w:b/>
                <w:bCs/>
                <w:sz w:val="22"/>
              </w:rPr>
              <w:t>T-value</w:t>
            </w:r>
          </w:p>
        </w:tc>
        <w:tc>
          <w:tcPr>
            <w:tcW w:w="1425" w:type="dxa"/>
            <w:tcBorders>
              <w:bottom w:val="single" w:sz="12" w:space="0" w:color="auto"/>
            </w:tcBorders>
            <w:noWrap/>
            <w:vAlign w:val="center"/>
            <w:hideMark/>
          </w:tcPr>
          <w:p w14:paraId="0E381A9E" w14:textId="77777777" w:rsidR="006E6623" w:rsidRPr="00D817D3" w:rsidRDefault="006E6623" w:rsidP="00B020EB">
            <w:pPr>
              <w:spacing w:line="240" w:lineRule="auto"/>
              <w:jc w:val="center"/>
              <w:rPr>
                <w:rFonts w:cs="Times New Roman"/>
                <w:b/>
                <w:bCs/>
                <w:sz w:val="22"/>
              </w:rPr>
            </w:pPr>
            <w:r w:rsidRPr="00D817D3">
              <w:rPr>
                <w:rFonts w:cs="Times New Roman"/>
                <w:b/>
                <w:bCs/>
                <w:sz w:val="22"/>
              </w:rPr>
              <w:t>Coefficient</w:t>
            </w:r>
          </w:p>
        </w:tc>
        <w:tc>
          <w:tcPr>
            <w:tcW w:w="1102" w:type="dxa"/>
            <w:tcBorders>
              <w:bottom w:val="single" w:sz="12" w:space="0" w:color="auto"/>
              <w:right w:val="double" w:sz="12" w:space="0" w:color="auto"/>
            </w:tcBorders>
            <w:noWrap/>
            <w:vAlign w:val="center"/>
            <w:hideMark/>
          </w:tcPr>
          <w:p w14:paraId="1961E11D" w14:textId="77777777" w:rsidR="006E6623" w:rsidRPr="00D817D3" w:rsidRDefault="006E6623" w:rsidP="00B020EB">
            <w:pPr>
              <w:spacing w:line="240" w:lineRule="auto"/>
              <w:jc w:val="center"/>
              <w:rPr>
                <w:rFonts w:cs="Times New Roman"/>
                <w:b/>
                <w:bCs/>
                <w:sz w:val="22"/>
              </w:rPr>
            </w:pPr>
            <w:r w:rsidRPr="00D817D3">
              <w:rPr>
                <w:rFonts w:cs="Times New Roman"/>
                <w:b/>
                <w:bCs/>
                <w:sz w:val="22"/>
              </w:rPr>
              <w:t>T-value</w:t>
            </w:r>
          </w:p>
        </w:tc>
      </w:tr>
      <w:tr w:rsidR="006E6623" w:rsidRPr="00D817D3" w14:paraId="28214957" w14:textId="77777777" w:rsidTr="003C0D3A">
        <w:trPr>
          <w:trHeight w:val="290"/>
          <w:jc w:val="center"/>
        </w:trPr>
        <w:tc>
          <w:tcPr>
            <w:tcW w:w="4838" w:type="dxa"/>
            <w:tcBorders>
              <w:top w:val="single" w:sz="12" w:space="0" w:color="auto"/>
              <w:left w:val="double" w:sz="12" w:space="0" w:color="auto"/>
            </w:tcBorders>
            <w:noWrap/>
            <w:vAlign w:val="center"/>
            <w:hideMark/>
          </w:tcPr>
          <w:p w14:paraId="09B515FA" w14:textId="77777777" w:rsidR="006E6623" w:rsidRPr="00D817D3" w:rsidRDefault="006E6623" w:rsidP="00B020EB">
            <w:pPr>
              <w:spacing w:line="240" w:lineRule="auto"/>
              <w:jc w:val="left"/>
              <w:rPr>
                <w:rFonts w:cs="Times New Roman"/>
                <w:sz w:val="22"/>
              </w:rPr>
            </w:pPr>
            <w:r w:rsidRPr="00D817D3">
              <w:rPr>
                <w:rFonts w:cs="Times New Roman"/>
                <w:sz w:val="22"/>
              </w:rPr>
              <w:t>Intercept</w:t>
            </w:r>
          </w:p>
        </w:tc>
        <w:tc>
          <w:tcPr>
            <w:tcW w:w="1402" w:type="dxa"/>
            <w:tcBorders>
              <w:top w:val="single" w:sz="12" w:space="0" w:color="auto"/>
            </w:tcBorders>
            <w:noWrap/>
            <w:vAlign w:val="center"/>
          </w:tcPr>
          <w:p w14:paraId="0318E081" w14:textId="0C409E72" w:rsidR="006E6623" w:rsidRPr="00D817D3" w:rsidRDefault="006E6623" w:rsidP="00B020EB">
            <w:pPr>
              <w:spacing w:line="240" w:lineRule="auto"/>
              <w:jc w:val="center"/>
              <w:rPr>
                <w:rFonts w:cs="Times New Roman"/>
                <w:sz w:val="22"/>
              </w:rPr>
            </w:pPr>
            <w:r w:rsidRPr="00D817D3">
              <w:rPr>
                <w:rFonts w:cs="Times New Roman"/>
                <w:sz w:val="22"/>
              </w:rPr>
              <w:t>7.31</w:t>
            </w:r>
            <w:r w:rsidR="006C752B">
              <w:rPr>
                <w:rFonts w:cs="Times New Roman"/>
                <w:sz w:val="22"/>
              </w:rPr>
              <w:t>2</w:t>
            </w:r>
          </w:p>
        </w:tc>
        <w:tc>
          <w:tcPr>
            <w:tcW w:w="1035" w:type="dxa"/>
            <w:tcBorders>
              <w:top w:val="single" w:sz="12" w:space="0" w:color="auto"/>
            </w:tcBorders>
            <w:noWrap/>
            <w:vAlign w:val="center"/>
          </w:tcPr>
          <w:p w14:paraId="6C696FAE" w14:textId="77777777" w:rsidR="006E6623" w:rsidRPr="00D817D3" w:rsidRDefault="006E6623" w:rsidP="00B020EB">
            <w:pPr>
              <w:spacing w:line="240" w:lineRule="auto"/>
              <w:jc w:val="center"/>
              <w:rPr>
                <w:rFonts w:cs="Times New Roman"/>
                <w:sz w:val="22"/>
              </w:rPr>
            </w:pPr>
            <w:r w:rsidRPr="00D817D3">
              <w:rPr>
                <w:rFonts w:cs="Times New Roman"/>
                <w:sz w:val="22"/>
              </w:rPr>
              <w:t>132.11</w:t>
            </w:r>
          </w:p>
        </w:tc>
        <w:tc>
          <w:tcPr>
            <w:tcW w:w="1425" w:type="dxa"/>
            <w:tcBorders>
              <w:top w:val="single" w:sz="12" w:space="0" w:color="auto"/>
            </w:tcBorders>
            <w:noWrap/>
            <w:vAlign w:val="center"/>
            <w:hideMark/>
          </w:tcPr>
          <w:p w14:paraId="23EE569C" w14:textId="7557B105" w:rsidR="006E6623" w:rsidRPr="00D817D3" w:rsidRDefault="006E6623" w:rsidP="00B020EB">
            <w:pPr>
              <w:spacing w:line="240" w:lineRule="auto"/>
              <w:jc w:val="center"/>
              <w:rPr>
                <w:rFonts w:cs="Times New Roman"/>
                <w:sz w:val="22"/>
              </w:rPr>
            </w:pPr>
            <w:r w:rsidRPr="00D817D3">
              <w:rPr>
                <w:rFonts w:cs="Times New Roman"/>
                <w:sz w:val="22"/>
              </w:rPr>
              <w:t>6.7</w:t>
            </w:r>
            <w:r w:rsidR="002224EC">
              <w:rPr>
                <w:rFonts w:cs="Times New Roman"/>
                <w:sz w:val="22"/>
              </w:rPr>
              <w:t>2</w:t>
            </w:r>
            <w:r w:rsidR="009C74C5">
              <w:rPr>
                <w:rFonts w:cs="Times New Roman"/>
                <w:sz w:val="22"/>
              </w:rPr>
              <w:t>1</w:t>
            </w:r>
          </w:p>
        </w:tc>
        <w:tc>
          <w:tcPr>
            <w:tcW w:w="1102" w:type="dxa"/>
            <w:tcBorders>
              <w:top w:val="single" w:sz="12" w:space="0" w:color="auto"/>
              <w:right w:val="double" w:sz="12" w:space="0" w:color="auto"/>
            </w:tcBorders>
            <w:noWrap/>
            <w:vAlign w:val="center"/>
            <w:hideMark/>
          </w:tcPr>
          <w:p w14:paraId="097D548D" w14:textId="77777777" w:rsidR="006E6623" w:rsidRPr="00D817D3" w:rsidRDefault="006E6623" w:rsidP="00B020EB">
            <w:pPr>
              <w:spacing w:line="240" w:lineRule="auto"/>
              <w:jc w:val="center"/>
              <w:rPr>
                <w:rFonts w:cs="Times New Roman"/>
                <w:sz w:val="22"/>
              </w:rPr>
            </w:pPr>
            <w:r w:rsidRPr="00D817D3">
              <w:rPr>
                <w:rFonts w:cs="Times New Roman"/>
                <w:sz w:val="22"/>
              </w:rPr>
              <w:t>105.11</w:t>
            </w:r>
          </w:p>
        </w:tc>
      </w:tr>
      <w:tr w:rsidR="006E6623" w:rsidRPr="00D817D3" w14:paraId="54A98CD4" w14:textId="77777777" w:rsidTr="003C0D3A">
        <w:trPr>
          <w:trHeight w:val="290"/>
          <w:jc w:val="center"/>
        </w:trPr>
        <w:tc>
          <w:tcPr>
            <w:tcW w:w="9802" w:type="dxa"/>
            <w:gridSpan w:val="5"/>
            <w:tcBorders>
              <w:left w:val="double" w:sz="12" w:space="0" w:color="auto"/>
              <w:right w:val="double" w:sz="12" w:space="0" w:color="auto"/>
            </w:tcBorders>
            <w:noWrap/>
            <w:vAlign w:val="center"/>
            <w:hideMark/>
          </w:tcPr>
          <w:p w14:paraId="20075737" w14:textId="77777777" w:rsidR="006E6623" w:rsidRPr="00D817D3" w:rsidRDefault="006E6623" w:rsidP="00B020EB">
            <w:pPr>
              <w:spacing w:line="240" w:lineRule="auto"/>
              <w:jc w:val="left"/>
              <w:rPr>
                <w:rFonts w:cs="Times New Roman"/>
                <w:b/>
                <w:bCs/>
                <w:i/>
                <w:iCs/>
                <w:sz w:val="22"/>
              </w:rPr>
            </w:pPr>
            <w:r w:rsidRPr="00D817D3">
              <w:rPr>
                <w:rFonts w:cs="Times New Roman"/>
                <w:b/>
                <w:bCs/>
                <w:i/>
                <w:iCs/>
                <w:sz w:val="22"/>
              </w:rPr>
              <w:t>Covid-19 transmission Factors</w:t>
            </w:r>
          </w:p>
        </w:tc>
      </w:tr>
      <w:tr w:rsidR="006E6623" w:rsidRPr="00D817D3" w14:paraId="4EB19071" w14:textId="77777777" w:rsidTr="003C0D3A">
        <w:trPr>
          <w:trHeight w:val="290"/>
          <w:jc w:val="center"/>
        </w:trPr>
        <w:tc>
          <w:tcPr>
            <w:tcW w:w="4838" w:type="dxa"/>
            <w:tcBorders>
              <w:left w:val="double" w:sz="12" w:space="0" w:color="auto"/>
            </w:tcBorders>
            <w:noWrap/>
            <w:vAlign w:val="center"/>
            <w:hideMark/>
          </w:tcPr>
          <w:p w14:paraId="078C9588" w14:textId="731FFCA1" w:rsidR="006E6623" w:rsidRPr="00D817D3" w:rsidRDefault="00CC57C7" w:rsidP="00B020EB">
            <w:pPr>
              <w:spacing w:line="240" w:lineRule="auto"/>
              <w:ind w:left="216"/>
              <w:jc w:val="left"/>
              <w:rPr>
                <w:rFonts w:cs="Times New Roman"/>
                <w:sz w:val="22"/>
              </w:rPr>
            </w:pPr>
            <w:r w:rsidRPr="00E54286">
              <w:rPr>
                <w:rFonts w:cs="Times New Roman"/>
                <w:sz w:val="22"/>
              </w:rPr>
              <w:t>ln (</w:t>
            </w:r>
            <w:r w:rsidR="00E54286" w:rsidRPr="00E54286">
              <w:rPr>
                <w:rFonts w:cs="Times New Roman"/>
                <w:sz w:val="22"/>
              </w:rPr>
              <w:t xml:space="preserve">2-week lagged COVID-19 cases per 1M population </w:t>
            </w:r>
            <w:r w:rsidR="006E6623" w:rsidRPr="00D817D3">
              <w:rPr>
                <w:rFonts w:cs="Times New Roman"/>
                <w:sz w:val="22"/>
              </w:rPr>
              <w:t>+1)</w:t>
            </w:r>
            <w:r w:rsidR="004D4C33" w:rsidRPr="00D817D3">
              <w:rPr>
                <w:rFonts w:cs="Times New Roman"/>
                <w:sz w:val="22"/>
              </w:rPr>
              <w:t xml:space="preserve"> </w:t>
            </w:r>
            <w:r w:rsidR="001628D3">
              <w:rPr>
                <w:rFonts w:cs="Times New Roman"/>
                <w:sz w:val="22"/>
              </w:rPr>
              <w:t>x</w:t>
            </w:r>
            <w:r w:rsidR="004D4C33" w:rsidRPr="00D817D3">
              <w:rPr>
                <w:rFonts w:cs="Times New Roman"/>
                <w:sz w:val="22"/>
              </w:rPr>
              <w:t>10</w:t>
            </w:r>
            <w:r w:rsidR="004D4C33" w:rsidRPr="00D817D3">
              <w:rPr>
                <w:rFonts w:cs="Times New Roman"/>
                <w:sz w:val="22"/>
                <w:vertAlign w:val="superscript"/>
              </w:rPr>
              <w:t>-2</w:t>
            </w:r>
          </w:p>
        </w:tc>
        <w:tc>
          <w:tcPr>
            <w:tcW w:w="1402" w:type="dxa"/>
            <w:noWrap/>
            <w:vAlign w:val="center"/>
          </w:tcPr>
          <w:p w14:paraId="37514731" w14:textId="1550A1F8" w:rsidR="006E6623" w:rsidRPr="00D817D3" w:rsidRDefault="006E6623" w:rsidP="00B020EB">
            <w:pPr>
              <w:spacing w:line="240" w:lineRule="auto"/>
              <w:jc w:val="center"/>
              <w:rPr>
                <w:rFonts w:cs="Times New Roman"/>
                <w:sz w:val="22"/>
              </w:rPr>
            </w:pPr>
            <w:r w:rsidRPr="00D817D3">
              <w:rPr>
                <w:rFonts w:cs="Times New Roman"/>
                <w:sz w:val="22"/>
              </w:rPr>
              <w:t>-0.74</w:t>
            </w:r>
            <w:r w:rsidR="00DC4377">
              <w:rPr>
                <w:rFonts w:cs="Times New Roman"/>
                <w:sz w:val="22"/>
              </w:rPr>
              <w:t>1</w:t>
            </w:r>
          </w:p>
        </w:tc>
        <w:tc>
          <w:tcPr>
            <w:tcW w:w="1035" w:type="dxa"/>
            <w:noWrap/>
            <w:vAlign w:val="center"/>
          </w:tcPr>
          <w:p w14:paraId="4424F2E6" w14:textId="77777777" w:rsidR="006E6623" w:rsidRPr="00D817D3" w:rsidRDefault="006E6623" w:rsidP="00B020EB">
            <w:pPr>
              <w:spacing w:line="240" w:lineRule="auto"/>
              <w:jc w:val="center"/>
              <w:rPr>
                <w:rFonts w:cs="Times New Roman"/>
                <w:sz w:val="22"/>
              </w:rPr>
            </w:pPr>
            <w:r w:rsidRPr="00D817D3">
              <w:rPr>
                <w:rFonts w:cs="Times New Roman"/>
                <w:sz w:val="22"/>
              </w:rPr>
              <w:t>-8.78</w:t>
            </w:r>
          </w:p>
        </w:tc>
        <w:tc>
          <w:tcPr>
            <w:tcW w:w="1425" w:type="dxa"/>
            <w:noWrap/>
            <w:vAlign w:val="center"/>
            <w:hideMark/>
          </w:tcPr>
          <w:p w14:paraId="58874210" w14:textId="063FB359" w:rsidR="006E6623" w:rsidRPr="00D817D3" w:rsidRDefault="006E6623" w:rsidP="00B020EB">
            <w:pPr>
              <w:spacing w:line="240" w:lineRule="auto"/>
              <w:jc w:val="center"/>
              <w:rPr>
                <w:rFonts w:cs="Times New Roman"/>
                <w:sz w:val="22"/>
              </w:rPr>
            </w:pPr>
            <w:r w:rsidRPr="00D817D3">
              <w:rPr>
                <w:rFonts w:cs="Times New Roman"/>
                <w:color w:val="000000"/>
                <w:sz w:val="22"/>
              </w:rPr>
              <w:t>-0.57</w:t>
            </w:r>
            <w:r w:rsidR="009C74C5">
              <w:rPr>
                <w:rFonts w:cs="Times New Roman"/>
                <w:color w:val="000000"/>
                <w:sz w:val="22"/>
              </w:rPr>
              <w:t>2</w:t>
            </w:r>
          </w:p>
        </w:tc>
        <w:tc>
          <w:tcPr>
            <w:tcW w:w="1102" w:type="dxa"/>
            <w:tcBorders>
              <w:right w:val="double" w:sz="12" w:space="0" w:color="auto"/>
            </w:tcBorders>
            <w:noWrap/>
            <w:vAlign w:val="center"/>
            <w:hideMark/>
          </w:tcPr>
          <w:p w14:paraId="57FE37DA" w14:textId="77777777" w:rsidR="006E6623" w:rsidRPr="00D817D3" w:rsidRDefault="006E6623" w:rsidP="00B020EB">
            <w:pPr>
              <w:spacing w:line="240" w:lineRule="auto"/>
              <w:jc w:val="center"/>
              <w:rPr>
                <w:rFonts w:cs="Times New Roman"/>
                <w:sz w:val="22"/>
              </w:rPr>
            </w:pPr>
            <w:r w:rsidRPr="00D817D3">
              <w:rPr>
                <w:rFonts w:cs="Times New Roman"/>
                <w:sz w:val="22"/>
              </w:rPr>
              <w:t>-5.86</w:t>
            </w:r>
          </w:p>
        </w:tc>
      </w:tr>
      <w:tr w:rsidR="006E6623" w:rsidRPr="00D817D3" w14:paraId="0E9D3AF4" w14:textId="77777777" w:rsidTr="003C0D3A">
        <w:trPr>
          <w:trHeight w:val="290"/>
          <w:jc w:val="center"/>
        </w:trPr>
        <w:tc>
          <w:tcPr>
            <w:tcW w:w="4838" w:type="dxa"/>
            <w:tcBorders>
              <w:left w:val="double" w:sz="12" w:space="0" w:color="auto"/>
            </w:tcBorders>
            <w:noWrap/>
            <w:vAlign w:val="center"/>
            <w:hideMark/>
          </w:tcPr>
          <w:p w14:paraId="0CFF2E9F" w14:textId="77777777" w:rsidR="006E6623" w:rsidRPr="00D817D3" w:rsidRDefault="006E6623" w:rsidP="00B020EB">
            <w:pPr>
              <w:spacing w:line="240" w:lineRule="auto"/>
              <w:ind w:left="216"/>
              <w:jc w:val="left"/>
              <w:rPr>
                <w:rFonts w:cs="Times New Roman"/>
                <w:sz w:val="22"/>
              </w:rPr>
            </w:pPr>
            <w:r w:rsidRPr="00D817D3">
              <w:rPr>
                <w:rFonts w:cs="Times New Roman"/>
                <w:sz w:val="22"/>
              </w:rPr>
              <w:t>% Difference with the preceding 3 weeks moving average</w:t>
            </w:r>
          </w:p>
        </w:tc>
        <w:tc>
          <w:tcPr>
            <w:tcW w:w="1402" w:type="dxa"/>
            <w:noWrap/>
            <w:vAlign w:val="center"/>
          </w:tcPr>
          <w:p w14:paraId="34AC4EFF" w14:textId="2E114F4E" w:rsidR="006E6623" w:rsidRPr="00D817D3" w:rsidRDefault="006E6623" w:rsidP="00B020EB">
            <w:pPr>
              <w:spacing w:line="240" w:lineRule="auto"/>
              <w:jc w:val="center"/>
              <w:rPr>
                <w:rFonts w:cs="Times New Roman"/>
                <w:sz w:val="22"/>
              </w:rPr>
            </w:pPr>
            <w:r w:rsidRPr="00D817D3">
              <w:rPr>
                <w:rFonts w:cs="Times New Roman"/>
                <w:sz w:val="22"/>
              </w:rPr>
              <w:t>-0.0</w:t>
            </w:r>
            <w:r w:rsidR="006C752B">
              <w:rPr>
                <w:rFonts w:cs="Times New Roman"/>
                <w:sz w:val="22"/>
              </w:rPr>
              <w:t>68</w:t>
            </w:r>
          </w:p>
        </w:tc>
        <w:tc>
          <w:tcPr>
            <w:tcW w:w="1035" w:type="dxa"/>
            <w:noWrap/>
            <w:vAlign w:val="center"/>
          </w:tcPr>
          <w:p w14:paraId="515F602E" w14:textId="77777777" w:rsidR="006E6623" w:rsidRPr="00D817D3" w:rsidRDefault="006E6623" w:rsidP="00B020EB">
            <w:pPr>
              <w:spacing w:line="240" w:lineRule="auto"/>
              <w:jc w:val="center"/>
              <w:rPr>
                <w:rFonts w:cs="Times New Roman"/>
                <w:sz w:val="22"/>
              </w:rPr>
            </w:pPr>
            <w:r w:rsidRPr="00D817D3">
              <w:rPr>
                <w:rFonts w:cs="Times New Roman"/>
                <w:sz w:val="22"/>
              </w:rPr>
              <w:t>-10.32</w:t>
            </w:r>
          </w:p>
        </w:tc>
        <w:tc>
          <w:tcPr>
            <w:tcW w:w="1425" w:type="dxa"/>
            <w:noWrap/>
            <w:vAlign w:val="center"/>
            <w:hideMark/>
          </w:tcPr>
          <w:p w14:paraId="52F9B2DB" w14:textId="53BDB327" w:rsidR="006E6623" w:rsidRPr="00D817D3" w:rsidRDefault="006E6623" w:rsidP="00B020EB">
            <w:pPr>
              <w:spacing w:line="240" w:lineRule="auto"/>
              <w:jc w:val="center"/>
              <w:rPr>
                <w:rFonts w:cs="Times New Roman"/>
                <w:sz w:val="22"/>
              </w:rPr>
            </w:pPr>
            <w:r w:rsidRPr="00D817D3">
              <w:rPr>
                <w:rFonts w:cs="Times New Roman"/>
                <w:sz w:val="22"/>
              </w:rPr>
              <w:t>-0.1</w:t>
            </w:r>
            <w:r w:rsidR="009C74C5">
              <w:rPr>
                <w:rFonts w:cs="Times New Roman"/>
                <w:sz w:val="22"/>
              </w:rPr>
              <w:t>18</w:t>
            </w:r>
          </w:p>
        </w:tc>
        <w:tc>
          <w:tcPr>
            <w:tcW w:w="1102" w:type="dxa"/>
            <w:tcBorders>
              <w:right w:val="double" w:sz="12" w:space="0" w:color="auto"/>
            </w:tcBorders>
            <w:noWrap/>
            <w:vAlign w:val="center"/>
            <w:hideMark/>
          </w:tcPr>
          <w:p w14:paraId="504F55D9" w14:textId="77777777" w:rsidR="006E6623" w:rsidRPr="00D817D3" w:rsidRDefault="006E6623" w:rsidP="00B020EB">
            <w:pPr>
              <w:spacing w:line="240" w:lineRule="auto"/>
              <w:jc w:val="center"/>
              <w:rPr>
                <w:rFonts w:cs="Times New Roman"/>
                <w:sz w:val="22"/>
              </w:rPr>
            </w:pPr>
            <w:r w:rsidRPr="00D817D3">
              <w:rPr>
                <w:rFonts w:cs="Times New Roman"/>
                <w:sz w:val="22"/>
              </w:rPr>
              <w:t>-19.09</w:t>
            </w:r>
          </w:p>
        </w:tc>
      </w:tr>
      <w:tr w:rsidR="006E6623" w:rsidRPr="00D817D3" w14:paraId="372AB650" w14:textId="77777777" w:rsidTr="003C0D3A">
        <w:trPr>
          <w:trHeight w:val="290"/>
          <w:jc w:val="center"/>
        </w:trPr>
        <w:tc>
          <w:tcPr>
            <w:tcW w:w="4838" w:type="dxa"/>
            <w:tcBorders>
              <w:left w:val="double" w:sz="12" w:space="0" w:color="auto"/>
            </w:tcBorders>
            <w:noWrap/>
            <w:vAlign w:val="center"/>
          </w:tcPr>
          <w:p w14:paraId="40EB634E" w14:textId="77777777" w:rsidR="006E6623" w:rsidRPr="00D817D3" w:rsidRDefault="006E6623" w:rsidP="00B020EB">
            <w:pPr>
              <w:spacing w:line="240" w:lineRule="auto"/>
              <w:ind w:left="576"/>
              <w:jc w:val="left"/>
              <w:rPr>
                <w:rFonts w:cs="Times New Roman"/>
                <w:sz w:val="22"/>
              </w:rPr>
            </w:pPr>
            <w:r>
              <w:rPr>
                <w:rFonts w:cs="Times New Roman"/>
                <w:sz w:val="22"/>
              </w:rPr>
              <w:t>x Effect in the South region</w:t>
            </w:r>
          </w:p>
        </w:tc>
        <w:tc>
          <w:tcPr>
            <w:tcW w:w="1402" w:type="dxa"/>
            <w:noWrap/>
            <w:vAlign w:val="center"/>
          </w:tcPr>
          <w:p w14:paraId="214D77D0" w14:textId="1DD20ECE" w:rsidR="006E6623" w:rsidRPr="00D817D3" w:rsidRDefault="006E6623" w:rsidP="00B020EB">
            <w:pPr>
              <w:spacing w:line="240" w:lineRule="auto"/>
              <w:jc w:val="center"/>
              <w:rPr>
                <w:rFonts w:cs="Times New Roman"/>
                <w:sz w:val="22"/>
              </w:rPr>
            </w:pPr>
            <w:r w:rsidRPr="00D817D3">
              <w:rPr>
                <w:rFonts w:cs="Times New Roman"/>
                <w:sz w:val="22"/>
              </w:rPr>
              <w:t>-0.05</w:t>
            </w:r>
            <w:r w:rsidR="006C752B">
              <w:rPr>
                <w:rFonts w:cs="Times New Roman"/>
                <w:sz w:val="22"/>
              </w:rPr>
              <w:t>3</w:t>
            </w:r>
          </w:p>
        </w:tc>
        <w:tc>
          <w:tcPr>
            <w:tcW w:w="1035" w:type="dxa"/>
            <w:noWrap/>
            <w:vAlign w:val="center"/>
          </w:tcPr>
          <w:p w14:paraId="33FA1D30" w14:textId="77777777" w:rsidR="006E6623" w:rsidRPr="00D817D3" w:rsidRDefault="006E6623" w:rsidP="00B020EB">
            <w:pPr>
              <w:spacing w:line="240" w:lineRule="auto"/>
              <w:jc w:val="center"/>
              <w:rPr>
                <w:rFonts w:cs="Times New Roman"/>
                <w:sz w:val="22"/>
              </w:rPr>
            </w:pPr>
            <w:r w:rsidRPr="00D817D3">
              <w:rPr>
                <w:rFonts w:cs="Times New Roman"/>
                <w:sz w:val="22"/>
              </w:rPr>
              <w:t>-2.19</w:t>
            </w:r>
          </w:p>
        </w:tc>
        <w:tc>
          <w:tcPr>
            <w:tcW w:w="1425" w:type="dxa"/>
            <w:noWrap/>
            <w:vAlign w:val="center"/>
          </w:tcPr>
          <w:p w14:paraId="1D3E7DE0"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102" w:type="dxa"/>
            <w:tcBorders>
              <w:right w:val="double" w:sz="12" w:space="0" w:color="auto"/>
            </w:tcBorders>
            <w:noWrap/>
            <w:vAlign w:val="center"/>
          </w:tcPr>
          <w:p w14:paraId="016FC023" w14:textId="77777777" w:rsidR="006E6623" w:rsidRPr="00D817D3" w:rsidRDefault="006E6623" w:rsidP="00B020EB">
            <w:pPr>
              <w:spacing w:line="240" w:lineRule="auto"/>
              <w:jc w:val="center"/>
              <w:rPr>
                <w:rFonts w:cs="Times New Roman"/>
                <w:sz w:val="22"/>
              </w:rPr>
            </w:pPr>
            <w:r w:rsidRPr="00D817D3">
              <w:rPr>
                <w:rFonts w:cs="Times New Roman"/>
                <w:sz w:val="22"/>
              </w:rPr>
              <w:t>----</w:t>
            </w:r>
          </w:p>
        </w:tc>
      </w:tr>
      <w:tr w:rsidR="006E6623" w:rsidRPr="00D817D3" w14:paraId="44986DCC" w14:textId="77777777" w:rsidTr="003C0D3A">
        <w:trPr>
          <w:trHeight w:val="290"/>
          <w:jc w:val="center"/>
        </w:trPr>
        <w:tc>
          <w:tcPr>
            <w:tcW w:w="9802" w:type="dxa"/>
            <w:gridSpan w:val="5"/>
            <w:tcBorders>
              <w:left w:val="double" w:sz="12" w:space="0" w:color="auto"/>
              <w:right w:val="double" w:sz="12" w:space="0" w:color="auto"/>
            </w:tcBorders>
            <w:noWrap/>
            <w:vAlign w:val="center"/>
            <w:hideMark/>
          </w:tcPr>
          <w:p w14:paraId="7CA0EC5C" w14:textId="77777777" w:rsidR="006E6623" w:rsidRPr="00D817D3" w:rsidRDefault="006E6623" w:rsidP="00B020EB">
            <w:pPr>
              <w:spacing w:line="240" w:lineRule="auto"/>
              <w:jc w:val="left"/>
              <w:rPr>
                <w:rFonts w:cs="Times New Roman"/>
                <w:b/>
                <w:bCs/>
                <w:i/>
                <w:iCs/>
                <w:sz w:val="22"/>
              </w:rPr>
            </w:pPr>
            <w:r w:rsidRPr="00D817D3">
              <w:rPr>
                <w:rFonts w:cs="Times New Roman"/>
                <w:b/>
                <w:bCs/>
                <w:i/>
                <w:iCs/>
                <w:sz w:val="22"/>
              </w:rPr>
              <w:t>Socioeconomics</w:t>
            </w:r>
          </w:p>
        </w:tc>
      </w:tr>
      <w:tr w:rsidR="006E6623" w:rsidRPr="00D817D3" w14:paraId="1C09A6AA" w14:textId="77777777" w:rsidTr="003C0D3A">
        <w:trPr>
          <w:trHeight w:val="290"/>
          <w:jc w:val="center"/>
        </w:trPr>
        <w:tc>
          <w:tcPr>
            <w:tcW w:w="4838" w:type="dxa"/>
            <w:tcBorders>
              <w:left w:val="double" w:sz="12" w:space="0" w:color="auto"/>
            </w:tcBorders>
            <w:noWrap/>
            <w:vAlign w:val="center"/>
            <w:hideMark/>
          </w:tcPr>
          <w:p w14:paraId="26B90600" w14:textId="77777777" w:rsidR="006E6623" w:rsidRPr="00D817D3" w:rsidRDefault="006E6623" w:rsidP="00B020EB">
            <w:pPr>
              <w:spacing w:line="240" w:lineRule="auto"/>
              <w:ind w:left="216"/>
              <w:jc w:val="left"/>
              <w:rPr>
                <w:rFonts w:cs="Times New Roman"/>
                <w:sz w:val="22"/>
              </w:rPr>
            </w:pPr>
            <w:r w:rsidRPr="00D817D3">
              <w:rPr>
                <w:rFonts w:cs="Times New Roman"/>
                <w:sz w:val="22"/>
              </w:rPr>
              <w:t>Low median income</w:t>
            </w:r>
          </w:p>
        </w:tc>
        <w:tc>
          <w:tcPr>
            <w:tcW w:w="1402" w:type="dxa"/>
            <w:noWrap/>
            <w:vAlign w:val="center"/>
          </w:tcPr>
          <w:p w14:paraId="2327EE24" w14:textId="5FB1AD06" w:rsidR="006E6623" w:rsidRPr="00D817D3" w:rsidRDefault="006E6623" w:rsidP="00B020EB">
            <w:pPr>
              <w:spacing w:line="240" w:lineRule="auto"/>
              <w:jc w:val="center"/>
              <w:rPr>
                <w:rFonts w:cs="Times New Roman"/>
                <w:sz w:val="22"/>
              </w:rPr>
            </w:pPr>
            <w:r w:rsidRPr="00D817D3">
              <w:rPr>
                <w:rFonts w:cs="Times New Roman"/>
                <w:sz w:val="22"/>
              </w:rPr>
              <w:t>-0.46</w:t>
            </w:r>
            <w:r w:rsidR="006C752B">
              <w:rPr>
                <w:rFonts w:cs="Times New Roman"/>
                <w:sz w:val="22"/>
              </w:rPr>
              <w:t>1</w:t>
            </w:r>
          </w:p>
        </w:tc>
        <w:tc>
          <w:tcPr>
            <w:tcW w:w="1035" w:type="dxa"/>
            <w:noWrap/>
            <w:vAlign w:val="center"/>
          </w:tcPr>
          <w:p w14:paraId="4DE7A123" w14:textId="77777777" w:rsidR="006E6623" w:rsidRPr="00D817D3" w:rsidRDefault="006E6623" w:rsidP="00B020EB">
            <w:pPr>
              <w:spacing w:line="240" w:lineRule="auto"/>
              <w:jc w:val="center"/>
              <w:rPr>
                <w:rFonts w:cs="Times New Roman"/>
                <w:sz w:val="22"/>
              </w:rPr>
            </w:pPr>
            <w:r w:rsidRPr="00D817D3">
              <w:rPr>
                <w:rFonts w:cs="Times New Roman"/>
                <w:sz w:val="22"/>
              </w:rPr>
              <w:t>-7.79</w:t>
            </w:r>
          </w:p>
        </w:tc>
        <w:tc>
          <w:tcPr>
            <w:tcW w:w="1425" w:type="dxa"/>
            <w:noWrap/>
            <w:vAlign w:val="center"/>
            <w:hideMark/>
          </w:tcPr>
          <w:p w14:paraId="4A1D8F2F"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102" w:type="dxa"/>
            <w:tcBorders>
              <w:right w:val="double" w:sz="12" w:space="0" w:color="auto"/>
            </w:tcBorders>
            <w:noWrap/>
            <w:vAlign w:val="center"/>
            <w:hideMark/>
          </w:tcPr>
          <w:p w14:paraId="6B0AE540" w14:textId="77777777" w:rsidR="006E6623" w:rsidRPr="00D817D3" w:rsidRDefault="006E6623" w:rsidP="00B020EB">
            <w:pPr>
              <w:spacing w:line="240" w:lineRule="auto"/>
              <w:jc w:val="center"/>
              <w:rPr>
                <w:rFonts w:cs="Times New Roman"/>
                <w:sz w:val="22"/>
              </w:rPr>
            </w:pPr>
            <w:r w:rsidRPr="00D817D3">
              <w:rPr>
                <w:rFonts w:cs="Times New Roman"/>
                <w:sz w:val="22"/>
              </w:rPr>
              <w:t>----</w:t>
            </w:r>
          </w:p>
        </w:tc>
      </w:tr>
      <w:tr w:rsidR="006E6623" w:rsidRPr="00D817D3" w14:paraId="1A5B55FE" w14:textId="77777777" w:rsidTr="003C0D3A">
        <w:trPr>
          <w:trHeight w:val="290"/>
          <w:jc w:val="center"/>
        </w:trPr>
        <w:tc>
          <w:tcPr>
            <w:tcW w:w="4838" w:type="dxa"/>
            <w:tcBorders>
              <w:left w:val="double" w:sz="12" w:space="0" w:color="auto"/>
            </w:tcBorders>
            <w:noWrap/>
            <w:vAlign w:val="center"/>
          </w:tcPr>
          <w:p w14:paraId="394B7624" w14:textId="463C8DDA" w:rsidR="006E6623" w:rsidRPr="00D817D3" w:rsidRDefault="006E6623" w:rsidP="00B020EB">
            <w:pPr>
              <w:spacing w:line="240" w:lineRule="auto"/>
              <w:ind w:left="576"/>
              <w:jc w:val="left"/>
              <w:rPr>
                <w:rFonts w:cs="Times New Roman"/>
                <w:sz w:val="22"/>
              </w:rPr>
            </w:pPr>
            <w:r w:rsidRPr="00D817D3">
              <w:rPr>
                <w:rFonts w:cs="Times New Roman"/>
                <w:sz w:val="22"/>
              </w:rPr>
              <w:t xml:space="preserve">x COVID effect after </w:t>
            </w:r>
            <w:r w:rsidR="000611F0">
              <w:rPr>
                <w:rFonts w:cs="Times New Roman"/>
                <w:sz w:val="22"/>
              </w:rPr>
              <w:t>1</w:t>
            </w:r>
            <w:r w:rsidR="000611F0" w:rsidRPr="000611F0">
              <w:rPr>
                <w:rFonts w:cs="Times New Roman"/>
                <w:sz w:val="22"/>
                <w:vertAlign w:val="superscript"/>
              </w:rPr>
              <w:t>st</w:t>
            </w:r>
            <w:r w:rsidR="000611F0">
              <w:rPr>
                <w:rFonts w:cs="Times New Roman"/>
                <w:sz w:val="22"/>
              </w:rPr>
              <w:t xml:space="preserve"> </w:t>
            </w:r>
            <w:r w:rsidRPr="00D817D3">
              <w:rPr>
                <w:rFonts w:cs="Times New Roman"/>
                <w:sz w:val="22"/>
              </w:rPr>
              <w:t>March 2020</w:t>
            </w:r>
          </w:p>
        </w:tc>
        <w:tc>
          <w:tcPr>
            <w:tcW w:w="1402" w:type="dxa"/>
            <w:noWrap/>
            <w:vAlign w:val="center"/>
          </w:tcPr>
          <w:p w14:paraId="1F000744" w14:textId="7EB825D4" w:rsidR="006E6623" w:rsidRPr="00D817D3" w:rsidRDefault="006E6623" w:rsidP="00B020EB">
            <w:pPr>
              <w:spacing w:line="240" w:lineRule="auto"/>
              <w:jc w:val="center"/>
              <w:rPr>
                <w:rFonts w:cs="Times New Roman"/>
                <w:sz w:val="22"/>
              </w:rPr>
            </w:pPr>
            <w:r w:rsidRPr="00D817D3">
              <w:rPr>
                <w:rFonts w:cs="Times New Roman"/>
                <w:sz w:val="22"/>
              </w:rPr>
              <w:t>-0.07</w:t>
            </w:r>
            <w:r w:rsidR="006C752B">
              <w:rPr>
                <w:rFonts w:cs="Times New Roman"/>
                <w:sz w:val="22"/>
              </w:rPr>
              <w:t>3</w:t>
            </w:r>
          </w:p>
        </w:tc>
        <w:tc>
          <w:tcPr>
            <w:tcW w:w="1035" w:type="dxa"/>
            <w:noWrap/>
            <w:vAlign w:val="center"/>
          </w:tcPr>
          <w:p w14:paraId="5F237A6B" w14:textId="77777777" w:rsidR="006E6623" w:rsidRPr="00D817D3" w:rsidRDefault="006E6623" w:rsidP="00B020EB">
            <w:pPr>
              <w:spacing w:line="240" w:lineRule="auto"/>
              <w:jc w:val="center"/>
              <w:rPr>
                <w:rFonts w:cs="Times New Roman"/>
                <w:sz w:val="22"/>
              </w:rPr>
            </w:pPr>
            <w:r w:rsidRPr="00D817D3">
              <w:rPr>
                <w:rFonts w:cs="Times New Roman"/>
                <w:sz w:val="22"/>
              </w:rPr>
              <w:t>-3.02</w:t>
            </w:r>
          </w:p>
        </w:tc>
        <w:tc>
          <w:tcPr>
            <w:tcW w:w="1425" w:type="dxa"/>
            <w:noWrap/>
            <w:vAlign w:val="center"/>
          </w:tcPr>
          <w:p w14:paraId="6F1C35FB" w14:textId="77777777" w:rsidR="006E6623" w:rsidRPr="00D817D3" w:rsidRDefault="006E6623" w:rsidP="00B020EB">
            <w:pPr>
              <w:spacing w:line="240" w:lineRule="auto"/>
              <w:jc w:val="center"/>
              <w:rPr>
                <w:rFonts w:cs="Times New Roman"/>
                <w:sz w:val="22"/>
              </w:rPr>
            </w:pPr>
          </w:p>
        </w:tc>
        <w:tc>
          <w:tcPr>
            <w:tcW w:w="1102" w:type="dxa"/>
            <w:tcBorders>
              <w:right w:val="double" w:sz="12" w:space="0" w:color="auto"/>
            </w:tcBorders>
            <w:noWrap/>
            <w:vAlign w:val="center"/>
          </w:tcPr>
          <w:p w14:paraId="284FD998" w14:textId="77777777" w:rsidR="006E6623" w:rsidRPr="00D817D3" w:rsidRDefault="006E6623" w:rsidP="00B020EB">
            <w:pPr>
              <w:spacing w:line="240" w:lineRule="auto"/>
              <w:jc w:val="center"/>
              <w:rPr>
                <w:rFonts w:cs="Times New Roman"/>
                <w:sz w:val="22"/>
              </w:rPr>
            </w:pPr>
          </w:p>
        </w:tc>
      </w:tr>
      <w:tr w:rsidR="006E6623" w:rsidRPr="00D817D3" w14:paraId="11C77D9B" w14:textId="77777777" w:rsidTr="003C0D3A">
        <w:trPr>
          <w:trHeight w:val="290"/>
          <w:jc w:val="center"/>
        </w:trPr>
        <w:tc>
          <w:tcPr>
            <w:tcW w:w="4838" w:type="dxa"/>
            <w:tcBorders>
              <w:left w:val="double" w:sz="12" w:space="0" w:color="auto"/>
            </w:tcBorders>
            <w:noWrap/>
            <w:vAlign w:val="center"/>
            <w:hideMark/>
          </w:tcPr>
          <w:p w14:paraId="3CFEA679" w14:textId="77777777" w:rsidR="006E6623" w:rsidRPr="00D817D3" w:rsidRDefault="006E6623" w:rsidP="00B020EB">
            <w:pPr>
              <w:spacing w:line="240" w:lineRule="auto"/>
              <w:ind w:left="216"/>
              <w:jc w:val="left"/>
              <w:rPr>
                <w:rFonts w:cs="Times New Roman"/>
                <w:sz w:val="22"/>
              </w:rPr>
            </w:pPr>
            <w:r w:rsidRPr="00D817D3">
              <w:rPr>
                <w:rFonts w:cs="Times New Roman"/>
                <w:sz w:val="22"/>
              </w:rPr>
              <w:t xml:space="preserve">Proportion of </w:t>
            </w:r>
            <w:r>
              <w:rPr>
                <w:rFonts w:cs="Times New Roman"/>
                <w:sz w:val="22"/>
              </w:rPr>
              <w:t>Zero</w:t>
            </w:r>
            <w:r w:rsidRPr="00D817D3">
              <w:rPr>
                <w:rFonts w:cs="Times New Roman"/>
                <w:sz w:val="22"/>
              </w:rPr>
              <w:t xml:space="preserve"> vehicle household</w:t>
            </w:r>
          </w:p>
        </w:tc>
        <w:tc>
          <w:tcPr>
            <w:tcW w:w="1402" w:type="dxa"/>
            <w:noWrap/>
            <w:vAlign w:val="center"/>
          </w:tcPr>
          <w:p w14:paraId="10454873" w14:textId="7F8ACC48" w:rsidR="006E6623" w:rsidRPr="00D817D3" w:rsidRDefault="006E6623" w:rsidP="00B020EB">
            <w:pPr>
              <w:spacing w:line="240" w:lineRule="auto"/>
              <w:jc w:val="center"/>
              <w:rPr>
                <w:rFonts w:cs="Times New Roman"/>
                <w:sz w:val="22"/>
              </w:rPr>
            </w:pPr>
            <w:r w:rsidRPr="00D817D3">
              <w:rPr>
                <w:rFonts w:cs="Times New Roman"/>
                <w:sz w:val="22"/>
              </w:rPr>
              <w:t>-3.17</w:t>
            </w:r>
            <w:r w:rsidR="006C752B">
              <w:rPr>
                <w:rFonts w:cs="Times New Roman"/>
                <w:sz w:val="22"/>
              </w:rPr>
              <w:t>2</w:t>
            </w:r>
          </w:p>
        </w:tc>
        <w:tc>
          <w:tcPr>
            <w:tcW w:w="1035" w:type="dxa"/>
            <w:noWrap/>
            <w:vAlign w:val="center"/>
          </w:tcPr>
          <w:p w14:paraId="4CF92B1C" w14:textId="77777777" w:rsidR="006E6623" w:rsidRPr="00D817D3" w:rsidRDefault="006E6623" w:rsidP="00B020EB">
            <w:pPr>
              <w:spacing w:line="240" w:lineRule="auto"/>
              <w:jc w:val="center"/>
              <w:rPr>
                <w:rFonts w:cs="Times New Roman"/>
                <w:sz w:val="22"/>
              </w:rPr>
            </w:pPr>
            <w:r w:rsidRPr="00D817D3">
              <w:rPr>
                <w:rFonts w:cs="Times New Roman"/>
                <w:sz w:val="22"/>
              </w:rPr>
              <w:t>-11.84</w:t>
            </w:r>
          </w:p>
        </w:tc>
        <w:tc>
          <w:tcPr>
            <w:tcW w:w="1425" w:type="dxa"/>
            <w:noWrap/>
            <w:vAlign w:val="center"/>
            <w:hideMark/>
          </w:tcPr>
          <w:p w14:paraId="0DF7A804" w14:textId="5C9042D6" w:rsidR="006E6623" w:rsidRPr="00D817D3" w:rsidRDefault="006E6623" w:rsidP="00B020EB">
            <w:pPr>
              <w:spacing w:line="240" w:lineRule="auto"/>
              <w:jc w:val="center"/>
              <w:rPr>
                <w:rFonts w:cs="Times New Roman"/>
                <w:sz w:val="22"/>
              </w:rPr>
            </w:pPr>
            <w:r w:rsidRPr="00D817D3">
              <w:rPr>
                <w:rFonts w:cs="Times New Roman"/>
                <w:sz w:val="22"/>
              </w:rPr>
              <w:t>-3.40</w:t>
            </w:r>
            <w:r w:rsidR="009C74C5">
              <w:rPr>
                <w:rFonts w:cs="Times New Roman"/>
                <w:sz w:val="22"/>
              </w:rPr>
              <w:t>1</w:t>
            </w:r>
          </w:p>
        </w:tc>
        <w:tc>
          <w:tcPr>
            <w:tcW w:w="1102" w:type="dxa"/>
            <w:tcBorders>
              <w:right w:val="double" w:sz="12" w:space="0" w:color="auto"/>
            </w:tcBorders>
            <w:noWrap/>
            <w:vAlign w:val="center"/>
            <w:hideMark/>
          </w:tcPr>
          <w:p w14:paraId="70F568EF" w14:textId="77777777" w:rsidR="006E6623" w:rsidRPr="00D817D3" w:rsidRDefault="006E6623" w:rsidP="00B020EB">
            <w:pPr>
              <w:spacing w:line="240" w:lineRule="auto"/>
              <w:jc w:val="center"/>
              <w:rPr>
                <w:rFonts w:cs="Times New Roman"/>
                <w:sz w:val="22"/>
              </w:rPr>
            </w:pPr>
            <w:r w:rsidRPr="00D817D3">
              <w:rPr>
                <w:rFonts w:cs="Times New Roman"/>
                <w:sz w:val="22"/>
              </w:rPr>
              <w:t>-12.31</w:t>
            </w:r>
          </w:p>
        </w:tc>
      </w:tr>
      <w:tr w:rsidR="006E6623" w:rsidRPr="00D817D3" w14:paraId="4E165A42" w14:textId="77777777" w:rsidTr="003C0D3A">
        <w:trPr>
          <w:trHeight w:val="290"/>
          <w:jc w:val="center"/>
        </w:trPr>
        <w:tc>
          <w:tcPr>
            <w:tcW w:w="9802" w:type="dxa"/>
            <w:gridSpan w:val="5"/>
            <w:tcBorders>
              <w:left w:val="double" w:sz="12" w:space="0" w:color="auto"/>
              <w:right w:val="double" w:sz="12" w:space="0" w:color="auto"/>
            </w:tcBorders>
            <w:noWrap/>
            <w:vAlign w:val="center"/>
            <w:hideMark/>
          </w:tcPr>
          <w:p w14:paraId="2D2A62A0" w14:textId="77777777" w:rsidR="006E6623" w:rsidRPr="00D817D3" w:rsidRDefault="006E6623" w:rsidP="00B020EB">
            <w:pPr>
              <w:spacing w:line="240" w:lineRule="auto"/>
              <w:jc w:val="left"/>
              <w:rPr>
                <w:rFonts w:cs="Times New Roman"/>
                <w:b/>
                <w:bCs/>
                <w:i/>
                <w:iCs/>
                <w:sz w:val="22"/>
              </w:rPr>
            </w:pPr>
            <w:r w:rsidRPr="00D817D3">
              <w:rPr>
                <w:rFonts w:cs="Times New Roman"/>
                <w:b/>
                <w:bCs/>
                <w:i/>
                <w:iCs/>
                <w:sz w:val="22"/>
              </w:rPr>
              <w:t>Land use characteristics</w:t>
            </w:r>
          </w:p>
        </w:tc>
      </w:tr>
      <w:tr w:rsidR="006E6623" w:rsidRPr="00D817D3" w14:paraId="085E0CD3" w14:textId="77777777" w:rsidTr="003C0D3A">
        <w:trPr>
          <w:trHeight w:val="290"/>
          <w:jc w:val="center"/>
        </w:trPr>
        <w:tc>
          <w:tcPr>
            <w:tcW w:w="4838" w:type="dxa"/>
            <w:tcBorders>
              <w:left w:val="double" w:sz="12" w:space="0" w:color="auto"/>
            </w:tcBorders>
            <w:noWrap/>
            <w:vAlign w:val="center"/>
          </w:tcPr>
          <w:p w14:paraId="4A91706A" w14:textId="32B319A5" w:rsidR="006E6623" w:rsidRPr="00D817D3" w:rsidRDefault="006E6623" w:rsidP="00B020EB">
            <w:pPr>
              <w:spacing w:line="240" w:lineRule="auto"/>
              <w:ind w:left="216"/>
              <w:jc w:val="left"/>
              <w:rPr>
                <w:rFonts w:cs="Times New Roman"/>
                <w:sz w:val="22"/>
              </w:rPr>
            </w:pPr>
            <w:r w:rsidRPr="00D817D3">
              <w:rPr>
                <w:rFonts w:cs="Times New Roman"/>
                <w:sz w:val="22"/>
              </w:rPr>
              <w:t>Distance from the nearest CBD</w:t>
            </w:r>
            <w:r w:rsidR="001628D3">
              <w:rPr>
                <w:rFonts w:cs="Times New Roman"/>
                <w:sz w:val="22"/>
              </w:rPr>
              <w:t xml:space="preserve"> x</w:t>
            </w:r>
            <w:r w:rsidR="001628D3" w:rsidRPr="00D817D3">
              <w:rPr>
                <w:rFonts w:cs="Times New Roman"/>
                <w:sz w:val="22"/>
              </w:rPr>
              <w:t>10</w:t>
            </w:r>
            <w:r w:rsidR="001628D3" w:rsidRPr="00D817D3">
              <w:rPr>
                <w:rFonts w:cs="Times New Roman"/>
                <w:sz w:val="22"/>
                <w:vertAlign w:val="superscript"/>
              </w:rPr>
              <w:t>-2</w:t>
            </w:r>
          </w:p>
        </w:tc>
        <w:tc>
          <w:tcPr>
            <w:tcW w:w="1402" w:type="dxa"/>
            <w:noWrap/>
            <w:vAlign w:val="center"/>
          </w:tcPr>
          <w:p w14:paraId="48927590" w14:textId="3134941E" w:rsidR="006E6623" w:rsidRPr="00D817D3" w:rsidRDefault="006E6623" w:rsidP="00B020EB">
            <w:pPr>
              <w:spacing w:line="240" w:lineRule="auto"/>
              <w:jc w:val="center"/>
              <w:rPr>
                <w:rFonts w:cs="Times New Roman"/>
                <w:sz w:val="22"/>
              </w:rPr>
            </w:pPr>
            <w:r w:rsidRPr="00D817D3">
              <w:rPr>
                <w:rFonts w:cs="Times New Roman"/>
                <w:sz w:val="22"/>
              </w:rPr>
              <w:t>-0.07</w:t>
            </w:r>
            <w:r w:rsidR="006C752B">
              <w:rPr>
                <w:rFonts w:cs="Times New Roman"/>
                <w:sz w:val="22"/>
              </w:rPr>
              <w:t>1</w:t>
            </w:r>
          </w:p>
        </w:tc>
        <w:tc>
          <w:tcPr>
            <w:tcW w:w="1035" w:type="dxa"/>
            <w:noWrap/>
            <w:vAlign w:val="center"/>
          </w:tcPr>
          <w:p w14:paraId="35B4F419" w14:textId="77777777" w:rsidR="006E6623" w:rsidRPr="00D817D3" w:rsidRDefault="006E6623" w:rsidP="00B020EB">
            <w:pPr>
              <w:spacing w:line="240" w:lineRule="auto"/>
              <w:jc w:val="center"/>
              <w:rPr>
                <w:rFonts w:cs="Times New Roman"/>
                <w:sz w:val="22"/>
              </w:rPr>
            </w:pPr>
            <w:r w:rsidRPr="00D817D3">
              <w:rPr>
                <w:rFonts w:cs="Times New Roman"/>
                <w:sz w:val="22"/>
              </w:rPr>
              <w:t>-2.31</w:t>
            </w:r>
          </w:p>
        </w:tc>
        <w:tc>
          <w:tcPr>
            <w:tcW w:w="1425" w:type="dxa"/>
            <w:noWrap/>
            <w:vAlign w:val="center"/>
          </w:tcPr>
          <w:p w14:paraId="7A05344D" w14:textId="10631F7C" w:rsidR="006E6623" w:rsidRPr="00D817D3" w:rsidRDefault="006E6623" w:rsidP="00B020EB">
            <w:pPr>
              <w:spacing w:line="240" w:lineRule="auto"/>
              <w:jc w:val="center"/>
              <w:rPr>
                <w:rFonts w:cs="Times New Roman"/>
                <w:sz w:val="22"/>
              </w:rPr>
            </w:pPr>
            <w:r w:rsidRPr="00D817D3">
              <w:rPr>
                <w:rFonts w:cs="Times New Roman"/>
                <w:sz w:val="22"/>
              </w:rPr>
              <w:t>0.13</w:t>
            </w:r>
            <w:r w:rsidR="009C74C5">
              <w:rPr>
                <w:rFonts w:cs="Times New Roman"/>
                <w:sz w:val="22"/>
              </w:rPr>
              <w:t>4</w:t>
            </w:r>
          </w:p>
        </w:tc>
        <w:tc>
          <w:tcPr>
            <w:tcW w:w="1102" w:type="dxa"/>
            <w:tcBorders>
              <w:right w:val="double" w:sz="12" w:space="0" w:color="auto"/>
            </w:tcBorders>
            <w:noWrap/>
            <w:vAlign w:val="center"/>
          </w:tcPr>
          <w:p w14:paraId="34B46A48" w14:textId="77777777" w:rsidR="006E6623" w:rsidRPr="00D817D3" w:rsidRDefault="006E6623" w:rsidP="00B020EB">
            <w:pPr>
              <w:spacing w:line="240" w:lineRule="auto"/>
              <w:jc w:val="center"/>
              <w:rPr>
                <w:rFonts w:cs="Times New Roman"/>
                <w:sz w:val="22"/>
              </w:rPr>
            </w:pPr>
            <w:r w:rsidRPr="00D817D3">
              <w:rPr>
                <w:rFonts w:cs="Times New Roman"/>
                <w:sz w:val="22"/>
              </w:rPr>
              <w:t>4.04</w:t>
            </w:r>
          </w:p>
        </w:tc>
      </w:tr>
      <w:tr w:rsidR="006E6623" w:rsidRPr="00D817D3" w14:paraId="63E04634" w14:textId="77777777" w:rsidTr="003C0D3A">
        <w:trPr>
          <w:trHeight w:val="290"/>
          <w:jc w:val="center"/>
        </w:trPr>
        <w:tc>
          <w:tcPr>
            <w:tcW w:w="4838" w:type="dxa"/>
            <w:tcBorders>
              <w:left w:val="double" w:sz="12" w:space="0" w:color="auto"/>
            </w:tcBorders>
            <w:noWrap/>
            <w:vAlign w:val="center"/>
            <w:hideMark/>
          </w:tcPr>
          <w:p w14:paraId="1B1EA4C4" w14:textId="77777777" w:rsidR="006E6623" w:rsidRPr="00D817D3" w:rsidRDefault="006E6623" w:rsidP="00B020EB">
            <w:pPr>
              <w:spacing w:line="240" w:lineRule="auto"/>
              <w:ind w:left="216"/>
              <w:jc w:val="left"/>
              <w:rPr>
                <w:rFonts w:cs="Times New Roman"/>
                <w:sz w:val="22"/>
              </w:rPr>
            </w:pPr>
            <w:r w:rsidRPr="00D817D3">
              <w:rPr>
                <w:rFonts w:cs="Times New Roman"/>
                <w:sz w:val="22"/>
              </w:rPr>
              <w:t>Proportion of commercial area</w:t>
            </w:r>
          </w:p>
        </w:tc>
        <w:tc>
          <w:tcPr>
            <w:tcW w:w="1402" w:type="dxa"/>
            <w:noWrap/>
            <w:vAlign w:val="center"/>
          </w:tcPr>
          <w:p w14:paraId="01A3A9D4"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035" w:type="dxa"/>
            <w:noWrap/>
            <w:vAlign w:val="center"/>
          </w:tcPr>
          <w:p w14:paraId="7EB6ED73"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425" w:type="dxa"/>
            <w:noWrap/>
            <w:vAlign w:val="center"/>
            <w:hideMark/>
          </w:tcPr>
          <w:p w14:paraId="4AC040E6" w14:textId="287C72A8" w:rsidR="006E6623" w:rsidRPr="00D817D3" w:rsidRDefault="006E6623" w:rsidP="00B020EB">
            <w:pPr>
              <w:spacing w:line="240" w:lineRule="auto"/>
              <w:jc w:val="center"/>
              <w:rPr>
                <w:rFonts w:cs="Times New Roman"/>
                <w:sz w:val="22"/>
              </w:rPr>
            </w:pPr>
            <w:r w:rsidRPr="00D817D3">
              <w:rPr>
                <w:rFonts w:cs="Times New Roman"/>
                <w:sz w:val="22"/>
              </w:rPr>
              <w:t>-0.2</w:t>
            </w:r>
            <w:r w:rsidR="009C74C5">
              <w:rPr>
                <w:rFonts w:cs="Times New Roman"/>
                <w:sz w:val="22"/>
              </w:rPr>
              <w:t>79</w:t>
            </w:r>
          </w:p>
        </w:tc>
        <w:tc>
          <w:tcPr>
            <w:tcW w:w="1102" w:type="dxa"/>
            <w:tcBorders>
              <w:right w:val="double" w:sz="12" w:space="0" w:color="auto"/>
            </w:tcBorders>
            <w:noWrap/>
            <w:vAlign w:val="center"/>
            <w:hideMark/>
          </w:tcPr>
          <w:p w14:paraId="4C86A121" w14:textId="77777777" w:rsidR="006E6623" w:rsidRPr="00D817D3" w:rsidRDefault="006E6623" w:rsidP="00B020EB">
            <w:pPr>
              <w:spacing w:line="240" w:lineRule="auto"/>
              <w:jc w:val="center"/>
              <w:rPr>
                <w:rFonts w:cs="Times New Roman"/>
                <w:sz w:val="22"/>
              </w:rPr>
            </w:pPr>
            <w:r w:rsidRPr="00D817D3">
              <w:rPr>
                <w:rFonts w:cs="Times New Roman"/>
                <w:sz w:val="22"/>
              </w:rPr>
              <w:t>-3.75</w:t>
            </w:r>
          </w:p>
        </w:tc>
      </w:tr>
      <w:tr w:rsidR="006E6623" w:rsidRPr="00D817D3" w14:paraId="1A341F8C" w14:textId="77777777" w:rsidTr="003C0D3A">
        <w:trPr>
          <w:trHeight w:val="290"/>
          <w:jc w:val="center"/>
        </w:trPr>
        <w:tc>
          <w:tcPr>
            <w:tcW w:w="4838" w:type="dxa"/>
            <w:tcBorders>
              <w:left w:val="double" w:sz="12" w:space="0" w:color="auto"/>
            </w:tcBorders>
            <w:noWrap/>
            <w:vAlign w:val="center"/>
            <w:hideMark/>
          </w:tcPr>
          <w:p w14:paraId="2DF22337" w14:textId="77777777" w:rsidR="006E6623" w:rsidRPr="00D817D3" w:rsidRDefault="006E6623" w:rsidP="00B020EB">
            <w:pPr>
              <w:spacing w:line="240" w:lineRule="auto"/>
              <w:ind w:left="216"/>
              <w:jc w:val="left"/>
              <w:rPr>
                <w:rFonts w:cs="Times New Roman"/>
                <w:sz w:val="22"/>
              </w:rPr>
            </w:pPr>
            <w:r w:rsidRPr="00D817D3">
              <w:rPr>
                <w:rFonts w:cs="Times New Roman"/>
                <w:sz w:val="22"/>
              </w:rPr>
              <w:t>Proportion of industrial areas</w:t>
            </w:r>
          </w:p>
        </w:tc>
        <w:tc>
          <w:tcPr>
            <w:tcW w:w="1402" w:type="dxa"/>
            <w:noWrap/>
            <w:vAlign w:val="center"/>
          </w:tcPr>
          <w:p w14:paraId="3D3DC527" w14:textId="2464E6C7" w:rsidR="006E6623" w:rsidRPr="00D817D3" w:rsidRDefault="006E6623" w:rsidP="00B020EB">
            <w:pPr>
              <w:spacing w:line="240" w:lineRule="auto"/>
              <w:jc w:val="center"/>
              <w:rPr>
                <w:rFonts w:cs="Times New Roman"/>
                <w:sz w:val="22"/>
              </w:rPr>
            </w:pPr>
            <w:r w:rsidRPr="00D817D3">
              <w:rPr>
                <w:rFonts w:cs="Times New Roman"/>
                <w:sz w:val="22"/>
              </w:rPr>
              <w:t>0.33</w:t>
            </w:r>
            <w:r w:rsidR="006C752B">
              <w:rPr>
                <w:rFonts w:cs="Times New Roman"/>
                <w:sz w:val="22"/>
              </w:rPr>
              <w:t>4</w:t>
            </w:r>
          </w:p>
        </w:tc>
        <w:tc>
          <w:tcPr>
            <w:tcW w:w="1035" w:type="dxa"/>
            <w:noWrap/>
            <w:vAlign w:val="center"/>
          </w:tcPr>
          <w:p w14:paraId="05C150A6" w14:textId="77777777" w:rsidR="006E6623" w:rsidRPr="00D817D3" w:rsidRDefault="006E6623" w:rsidP="00B020EB">
            <w:pPr>
              <w:spacing w:line="240" w:lineRule="auto"/>
              <w:jc w:val="center"/>
              <w:rPr>
                <w:rFonts w:cs="Times New Roman"/>
                <w:sz w:val="22"/>
              </w:rPr>
            </w:pPr>
            <w:r w:rsidRPr="00D817D3">
              <w:rPr>
                <w:rFonts w:cs="Times New Roman"/>
                <w:sz w:val="22"/>
              </w:rPr>
              <w:t>3.04</w:t>
            </w:r>
          </w:p>
        </w:tc>
        <w:tc>
          <w:tcPr>
            <w:tcW w:w="1425" w:type="dxa"/>
            <w:noWrap/>
            <w:vAlign w:val="center"/>
            <w:hideMark/>
          </w:tcPr>
          <w:p w14:paraId="643F9DDC"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102" w:type="dxa"/>
            <w:tcBorders>
              <w:right w:val="double" w:sz="12" w:space="0" w:color="auto"/>
            </w:tcBorders>
            <w:noWrap/>
            <w:vAlign w:val="center"/>
            <w:hideMark/>
          </w:tcPr>
          <w:p w14:paraId="7797EB8B" w14:textId="77777777" w:rsidR="006E6623" w:rsidRPr="00D817D3" w:rsidRDefault="006E6623" w:rsidP="00B020EB">
            <w:pPr>
              <w:spacing w:line="240" w:lineRule="auto"/>
              <w:jc w:val="center"/>
              <w:rPr>
                <w:rFonts w:cs="Times New Roman"/>
                <w:sz w:val="22"/>
              </w:rPr>
            </w:pPr>
            <w:r w:rsidRPr="00D817D3">
              <w:rPr>
                <w:rFonts w:cs="Times New Roman"/>
                <w:sz w:val="22"/>
              </w:rPr>
              <w:t>----</w:t>
            </w:r>
          </w:p>
        </w:tc>
      </w:tr>
      <w:tr w:rsidR="006E6623" w:rsidRPr="00D817D3" w14:paraId="60EB20FD" w14:textId="77777777" w:rsidTr="003C0D3A">
        <w:trPr>
          <w:trHeight w:val="290"/>
          <w:jc w:val="center"/>
        </w:trPr>
        <w:tc>
          <w:tcPr>
            <w:tcW w:w="4838" w:type="dxa"/>
            <w:tcBorders>
              <w:left w:val="double" w:sz="12" w:space="0" w:color="auto"/>
            </w:tcBorders>
            <w:noWrap/>
            <w:vAlign w:val="center"/>
            <w:hideMark/>
          </w:tcPr>
          <w:p w14:paraId="5CAAEEA3" w14:textId="77777777" w:rsidR="006E6623" w:rsidRPr="00D817D3" w:rsidRDefault="006E6623" w:rsidP="00B020EB">
            <w:pPr>
              <w:spacing w:line="240" w:lineRule="auto"/>
              <w:ind w:left="216"/>
              <w:jc w:val="left"/>
              <w:rPr>
                <w:rFonts w:cs="Times New Roman"/>
                <w:sz w:val="22"/>
              </w:rPr>
            </w:pPr>
            <w:r w:rsidRPr="00D817D3">
              <w:rPr>
                <w:rFonts w:cs="Times New Roman"/>
                <w:sz w:val="22"/>
              </w:rPr>
              <w:t>Proportion of recreational area</w:t>
            </w:r>
          </w:p>
        </w:tc>
        <w:tc>
          <w:tcPr>
            <w:tcW w:w="1402" w:type="dxa"/>
            <w:noWrap/>
            <w:vAlign w:val="center"/>
          </w:tcPr>
          <w:p w14:paraId="2491C692"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035" w:type="dxa"/>
            <w:noWrap/>
            <w:vAlign w:val="center"/>
          </w:tcPr>
          <w:p w14:paraId="077BA356"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425" w:type="dxa"/>
            <w:noWrap/>
            <w:vAlign w:val="center"/>
            <w:hideMark/>
          </w:tcPr>
          <w:p w14:paraId="2D35DAFB" w14:textId="579361DA" w:rsidR="006E6623" w:rsidRPr="00D817D3" w:rsidRDefault="006E6623" w:rsidP="00B020EB">
            <w:pPr>
              <w:spacing w:line="240" w:lineRule="auto"/>
              <w:jc w:val="center"/>
              <w:rPr>
                <w:rFonts w:cs="Times New Roman"/>
                <w:sz w:val="22"/>
              </w:rPr>
            </w:pPr>
            <w:r w:rsidRPr="00D817D3">
              <w:rPr>
                <w:rFonts w:cs="Times New Roman"/>
                <w:sz w:val="22"/>
              </w:rPr>
              <w:t>0.21</w:t>
            </w:r>
            <w:r w:rsidR="009C74C5">
              <w:rPr>
                <w:rFonts w:cs="Times New Roman"/>
                <w:sz w:val="22"/>
              </w:rPr>
              <w:t>4</w:t>
            </w:r>
          </w:p>
        </w:tc>
        <w:tc>
          <w:tcPr>
            <w:tcW w:w="1102" w:type="dxa"/>
            <w:tcBorders>
              <w:right w:val="double" w:sz="12" w:space="0" w:color="auto"/>
            </w:tcBorders>
            <w:noWrap/>
            <w:vAlign w:val="center"/>
            <w:hideMark/>
          </w:tcPr>
          <w:p w14:paraId="061EA6A1" w14:textId="77777777" w:rsidR="006E6623" w:rsidRPr="00D817D3" w:rsidRDefault="006E6623" w:rsidP="00B020EB">
            <w:pPr>
              <w:spacing w:line="240" w:lineRule="auto"/>
              <w:jc w:val="center"/>
              <w:rPr>
                <w:rFonts w:cs="Times New Roman"/>
                <w:sz w:val="22"/>
              </w:rPr>
            </w:pPr>
            <w:r w:rsidRPr="00D817D3">
              <w:rPr>
                <w:rFonts w:cs="Times New Roman"/>
                <w:sz w:val="22"/>
              </w:rPr>
              <w:t>4.15</w:t>
            </w:r>
          </w:p>
        </w:tc>
      </w:tr>
      <w:tr w:rsidR="006E6623" w:rsidRPr="00D817D3" w14:paraId="67A7475B" w14:textId="77777777" w:rsidTr="003C0D3A">
        <w:trPr>
          <w:trHeight w:val="290"/>
          <w:jc w:val="center"/>
        </w:trPr>
        <w:tc>
          <w:tcPr>
            <w:tcW w:w="4838" w:type="dxa"/>
            <w:tcBorders>
              <w:left w:val="double" w:sz="12" w:space="0" w:color="auto"/>
            </w:tcBorders>
            <w:noWrap/>
            <w:vAlign w:val="center"/>
          </w:tcPr>
          <w:p w14:paraId="375D7416" w14:textId="4D5EEC0C" w:rsidR="006E6623" w:rsidRPr="00D817D3" w:rsidRDefault="006E6623" w:rsidP="00B020EB">
            <w:pPr>
              <w:spacing w:line="240" w:lineRule="auto"/>
              <w:ind w:left="576"/>
              <w:jc w:val="left"/>
              <w:rPr>
                <w:rFonts w:cs="Times New Roman"/>
                <w:sz w:val="22"/>
              </w:rPr>
            </w:pPr>
            <w:r w:rsidRPr="00D817D3">
              <w:rPr>
                <w:rFonts w:cs="Times New Roman"/>
                <w:sz w:val="22"/>
              </w:rPr>
              <w:t xml:space="preserve"> x COVID effect after </w:t>
            </w:r>
            <w:r w:rsidR="000611F0">
              <w:rPr>
                <w:rFonts w:cs="Times New Roman"/>
                <w:sz w:val="22"/>
              </w:rPr>
              <w:t>1</w:t>
            </w:r>
            <w:r w:rsidR="000611F0" w:rsidRPr="000611F0">
              <w:rPr>
                <w:rFonts w:cs="Times New Roman"/>
                <w:sz w:val="22"/>
                <w:vertAlign w:val="superscript"/>
              </w:rPr>
              <w:t>st</w:t>
            </w:r>
            <w:r w:rsidR="000611F0">
              <w:rPr>
                <w:rFonts w:cs="Times New Roman"/>
                <w:sz w:val="22"/>
              </w:rPr>
              <w:t xml:space="preserve"> </w:t>
            </w:r>
            <w:r w:rsidRPr="00D817D3">
              <w:rPr>
                <w:rFonts w:cs="Times New Roman"/>
                <w:sz w:val="22"/>
              </w:rPr>
              <w:t>March 2020</w:t>
            </w:r>
          </w:p>
        </w:tc>
        <w:tc>
          <w:tcPr>
            <w:tcW w:w="1402" w:type="dxa"/>
            <w:noWrap/>
            <w:vAlign w:val="center"/>
          </w:tcPr>
          <w:p w14:paraId="173B323B"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035" w:type="dxa"/>
            <w:noWrap/>
            <w:vAlign w:val="center"/>
          </w:tcPr>
          <w:p w14:paraId="5502CACA"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425" w:type="dxa"/>
            <w:noWrap/>
            <w:vAlign w:val="center"/>
          </w:tcPr>
          <w:p w14:paraId="672A7A8D" w14:textId="6D2CEF04" w:rsidR="006E6623" w:rsidRPr="00D817D3" w:rsidRDefault="006E6623" w:rsidP="00B020EB">
            <w:pPr>
              <w:spacing w:line="240" w:lineRule="auto"/>
              <w:jc w:val="center"/>
              <w:rPr>
                <w:rFonts w:cs="Times New Roman"/>
                <w:sz w:val="22"/>
              </w:rPr>
            </w:pPr>
            <w:r w:rsidRPr="00D817D3">
              <w:rPr>
                <w:rFonts w:cs="Times New Roman"/>
                <w:sz w:val="22"/>
              </w:rPr>
              <w:t>-0.05</w:t>
            </w:r>
            <w:r w:rsidR="009C74C5">
              <w:rPr>
                <w:rFonts w:cs="Times New Roman"/>
                <w:sz w:val="22"/>
              </w:rPr>
              <w:t>3</w:t>
            </w:r>
          </w:p>
        </w:tc>
        <w:tc>
          <w:tcPr>
            <w:tcW w:w="1102" w:type="dxa"/>
            <w:tcBorders>
              <w:right w:val="double" w:sz="12" w:space="0" w:color="auto"/>
            </w:tcBorders>
            <w:noWrap/>
            <w:vAlign w:val="center"/>
          </w:tcPr>
          <w:p w14:paraId="63AC64E3" w14:textId="77777777" w:rsidR="006E6623" w:rsidRPr="00D817D3" w:rsidRDefault="006E6623" w:rsidP="00B020EB">
            <w:pPr>
              <w:spacing w:line="240" w:lineRule="auto"/>
              <w:jc w:val="center"/>
              <w:rPr>
                <w:rFonts w:cs="Times New Roman"/>
                <w:sz w:val="22"/>
              </w:rPr>
            </w:pPr>
            <w:r w:rsidRPr="00D817D3">
              <w:rPr>
                <w:rFonts w:cs="Times New Roman"/>
                <w:sz w:val="22"/>
              </w:rPr>
              <w:t>-2.89</w:t>
            </w:r>
          </w:p>
        </w:tc>
      </w:tr>
      <w:tr w:rsidR="006E6623" w:rsidRPr="00D817D3" w14:paraId="41BADD65" w14:textId="77777777" w:rsidTr="003C0D3A">
        <w:trPr>
          <w:trHeight w:val="290"/>
          <w:jc w:val="center"/>
        </w:trPr>
        <w:tc>
          <w:tcPr>
            <w:tcW w:w="9802" w:type="dxa"/>
            <w:gridSpan w:val="5"/>
            <w:tcBorders>
              <w:left w:val="double" w:sz="12" w:space="0" w:color="auto"/>
              <w:right w:val="double" w:sz="12" w:space="0" w:color="auto"/>
            </w:tcBorders>
            <w:noWrap/>
            <w:vAlign w:val="center"/>
            <w:hideMark/>
          </w:tcPr>
          <w:p w14:paraId="176967AC" w14:textId="77777777" w:rsidR="006E6623" w:rsidRPr="00D817D3" w:rsidRDefault="006E6623" w:rsidP="00B020EB">
            <w:pPr>
              <w:spacing w:line="240" w:lineRule="auto"/>
              <w:jc w:val="left"/>
              <w:rPr>
                <w:rFonts w:cs="Times New Roman"/>
                <w:b/>
                <w:bCs/>
                <w:i/>
                <w:iCs/>
                <w:sz w:val="22"/>
              </w:rPr>
            </w:pPr>
            <w:r w:rsidRPr="00D817D3">
              <w:rPr>
                <w:rFonts w:cs="Times New Roman"/>
                <w:b/>
                <w:bCs/>
                <w:i/>
                <w:iCs/>
                <w:sz w:val="22"/>
              </w:rPr>
              <w:t>Built environment attributes</w:t>
            </w:r>
          </w:p>
        </w:tc>
      </w:tr>
      <w:tr w:rsidR="006E6623" w:rsidRPr="00D817D3" w14:paraId="5DB974AB" w14:textId="77777777" w:rsidTr="003C0D3A">
        <w:trPr>
          <w:trHeight w:val="290"/>
          <w:jc w:val="center"/>
        </w:trPr>
        <w:tc>
          <w:tcPr>
            <w:tcW w:w="4838" w:type="dxa"/>
            <w:tcBorders>
              <w:left w:val="double" w:sz="12" w:space="0" w:color="auto"/>
            </w:tcBorders>
            <w:noWrap/>
            <w:vAlign w:val="center"/>
            <w:hideMark/>
          </w:tcPr>
          <w:p w14:paraId="38CC301A" w14:textId="36A3A9A3" w:rsidR="006E6623" w:rsidRPr="00D817D3" w:rsidRDefault="006E6623" w:rsidP="00B020EB">
            <w:pPr>
              <w:spacing w:line="240" w:lineRule="auto"/>
              <w:ind w:left="216"/>
              <w:jc w:val="left"/>
              <w:rPr>
                <w:rFonts w:cs="Times New Roman"/>
                <w:sz w:val="22"/>
              </w:rPr>
            </w:pPr>
            <w:r w:rsidRPr="00D817D3">
              <w:rPr>
                <w:rFonts w:cs="Times New Roman"/>
                <w:sz w:val="22"/>
              </w:rPr>
              <w:t>Number of shopping center</w:t>
            </w:r>
            <w:r>
              <w:rPr>
                <w:rFonts w:cs="Times New Roman"/>
                <w:sz w:val="22"/>
              </w:rPr>
              <w:t>s</w:t>
            </w:r>
            <w:r w:rsidR="001628D3">
              <w:rPr>
                <w:rFonts w:cs="Times New Roman"/>
                <w:sz w:val="22"/>
              </w:rPr>
              <w:t xml:space="preserve"> x</w:t>
            </w:r>
            <w:r w:rsidR="001628D3" w:rsidRPr="00D817D3">
              <w:rPr>
                <w:rFonts w:cs="Times New Roman"/>
                <w:sz w:val="22"/>
              </w:rPr>
              <w:t>10</w:t>
            </w:r>
            <w:r w:rsidR="001628D3" w:rsidRPr="00D817D3">
              <w:rPr>
                <w:rFonts w:cs="Times New Roman"/>
                <w:sz w:val="22"/>
                <w:vertAlign w:val="superscript"/>
              </w:rPr>
              <w:t>-2</w:t>
            </w:r>
          </w:p>
        </w:tc>
        <w:tc>
          <w:tcPr>
            <w:tcW w:w="1402" w:type="dxa"/>
            <w:noWrap/>
            <w:vAlign w:val="center"/>
          </w:tcPr>
          <w:p w14:paraId="0C5E2912" w14:textId="094B45B8" w:rsidR="006E6623" w:rsidRPr="00D817D3" w:rsidRDefault="006E6623" w:rsidP="00B020EB">
            <w:pPr>
              <w:spacing w:line="240" w:lineRule="auto"/>
              <w:jc w:val="center"/>
              <w:rPr>
                <w:rFonts w:cs="Times New Roman"/>
                <w:sz w:val="22"/>
              </w:rPr>
            </w:pPr>
            <w:r w:rsidRPr="00D817D3">
              <w:rPr>
                <w:rFonts w:cs="Times New Roman"/>
                <w:sz w:val="22"/>
              </w:rPr>
              <w:t>0.18</w:t>
            </w:r>
            <w:r w:rsidR="006C752B">
              <w:rPr>
                <w:rFonts w:cs="Times New Roman"/>
                <w:sz w:val="22"/>
              </w:rPr>
              <w:t>2</w:t>
            </w:r>
          </w:p>
        </w:tc>
        <w:tc>
          <w:tcPr>
            <w:tcW w:w="1035" w:type="dxa"/>
            <w:noWrap/>
            <w:vAlign w:val="center"/>
          </w:tcPr>
          <w:p w14:paraId="135A3FEE" w14:textId="77777777" w:rsidR="006E6623" w:rsidRPr="00D817D3" w:rsidRDefault="006E6623" w:rsidP="00B020EB">
            <w:pPr>
              <w:spacing w:line="240" w:lineRule="auto"/>
              <w:jc w:val="center"/>
              <w:rPr>
                <w:rFonts w:cs="Times New Roman"/>
                <w:sz w:val="22"/>
              </w:rPr>
            </w:pPr>
            <w:r w:rsidRPr="00D817D3">
              <w:rPr>
                <w:rFonts w:cs="Times New Roman"/>
                <w:sz w:val="22"/>
              </w:rPr>
              <w:t>3.69</w:t>
            </w:r>
          </w:p>
        </w:tc>
        <w:tc>
          <w:tcPr>
            <w:tcW w:w="1425" w:type="dxa"/>
            <w:noWrap/>
            <w:vAlign w:val="center"/>
            <w:hideMark/>
          </w:tcPr>
          <w:p w14:paraId="08533D45" w14:textId="33804B0E" w:rsidR="006E6623" w:rsidRPr="00D817D3" w:rsidRDefault="006E6623" w:rsidP="00B020EB">
            <w:pPr>
              <w:spacing w:line="240" w:lineRule="auto"/>
              <w:jc w:val="center"/>
              <w:rPr>
                <w:rFonts w:cs="Times New Roman"/>
                <w:sz w:val="22"/>
              </w:rPr>
            </w:pPr>
            <w:r w:rsidRPr="00D817D3">
              <w:rPr>
                <w:rFonts w:cs="Times New Roman"/>
                <w:color w:val="000000"/>
                <w:sz w:val="22"/>
              </w:rPr>
              <w:t>0.19</w:t>
            </w:r>
            <w:r w:rsidR="009C74C5">
              <w:rPr>
                <w:rFonts w:cs="Times New Roman"/>
                <w:color w:val="000000"/>
                <w:sz w:val="22"/>
              </w:rPr>
              <w:t>2</w:t>
            </w:r>
          </w:p>
        </w:tc>
        <w:tc>
          <w:tcPr>
            <w:tcW w:w="1102" w:type="dxa"/>
            <w:tcBorders>
              <w:right w:val="double" w:sz="12" w:space="0" w:color="auto"/>
            </w:tcBorders>
            <w:noWrap/>
            <w:vAlign w:val="center"/>
            <w:hideMark/>
          </w:tcPr>
          <w:p w14:paraId="7C622F31" w14:textId="77777777" w:rsidR="006E6623" w:rsidRPr="00D817D3" w:rsidRDefault="006E6623" w:rsidP="00B020EB">
            <w:pPr>
              <w:spacing w:line="240" w:lineRule="auto"/>
              <w:jc w:val="center"/>
              <w:rPr>
                <w:rFonts w:cs="Times New Roman"/>
                <w:sz w:val="22"/>
              </w:rPr>
            </w:pPr>
            <w:r w:rsidRPr="00D817D3">
              <w:rPr>
                <w:rFonts w:cs="Times New Roman"/>
                <w:sz w:val="22"/>
              </w:rPr>
              <w:t>3.56</w:t>
            </w:r>
          </w:p>
        </w:tc>
      </w:tr>
      <w:tr w:rsidR="006E6623" w:rsidRPr="00D817D3" w14:paraId="62D91F44" w14:textId="77777777" w:rsidTr="003C0D3A">
        <w:trPr>
          <w:trHeight w:val="290"/>
          <w:jc w:val="center"/>
        </w:trPr>
        <w:tc>
          <w:tcPr>
            <w:tcW w:w="4838" w:type="dxa"/>
            <w:tcBorders>
              <w:left w:val="double" w:sz="12" w:space="0" w:color="auto"/>
            </w:tcBorders>
            <w:noWrap/>
            <w:vAlign w:val="center"/>
            <w:hideMark/>
          </w:tcPr>
          <w:p w14:paraId="2EBDA65A" w14:textId="6DE5396A" w:rsidR="006E6623" w:rsidRPr="00D817D3" w:rsidRDefault="006E6623" w:rsidP="00B020EB">
            <w:pPr>
              <w:spacing w:line="240" w:lineRule="auto"/>
              <w:ind w:left="576"/>
              <w:jc w:val="left"/>
              <w:rPr>
                <w:rFonts w:cs="Times New Roman"/>
                <w:sz w:val="22"/>
              </w:rPr>
            </w:pPr>
            <w:r w:rsidRPr="00D817D3">
              <w:rPr>
                <w:rFonts w:cs="Times New Roman"/>
                <w:sz w:val="22"/>
              </w:rPr>
              <w:t xml:space="preserve">x Covid effect after </w:t>
            </w:r>
            <w:r w:rsidR="000611F0">
              <w:rPr>
                <w:rFonts w:cs="Times New Roman"/>
                <w:sz w:val="22"/>
              </w:rPr>
              <w:t>1</w:t>
            </w:r>
            <w:r w:rsidR="000611F0" w:rsidRPr="000611F0">
              <w:rPr>
                <w:rFonts w:cs="Times New Roman"/>
                <w:sz w:val="22"/>
                <w:vertAlign w:val="superscript"/>
              </w:rPr>
              <w:t>st</w:t>
            </w:r>
            <w:r w:rsidR="000611F0">
              <w:rPr>
                <w:rFonts w:cs="Times New Roman"/>
                <w:sz w:val="22"/>
              </w:rPr>
              <w:t xml:space="preserve"> </w:t>
            </w:r>
            <w:r w:rsidRPr="00D817D3">
              <w:rPr>
                <w:rFonts w:cs="Times New Roman"/>
                <w:sz w:val="22"/>
              </w:rPr>
              <w:t>March 2020</w:t>
            </w:r>
            <w:r w:rsidR="001628D3">
              <w:rPr>
                <w:rFonts w:cs="Times New Roman"/>
                <w:sz w:val="22"/>
              </w:rPr>
              <w:t xml:space="preserve"> x</w:t>
            </w:r>
            <w:r w:rsidR="001628D3" w:rsidRPr="00D817D3">
              <w:rPr>
                <w:rFonts w:cs="Times New Roman"/>
                <w:sz w:val="22"/>
              </w:rPr>
              <w:t>10</w:t>
            </w:r>
            <w:r w:rsidR="001628D3" w:rsidRPr="00D817D3">
              <w:rPr>
                <w:rFonts w:cs="Times New Roman"/>
                <w:sz w:val="22"/>
                <w:vertAlign w:val="superscript"/>
              </w:rPr>
              <w:t>-2</w:t>
            </w:r>
          </w:p>
        </w:tc>
        <w:tc>
          <w:tcPr>
            <w:tcW w:w="1402" w:type="dxa"/>
            <w:noWrap/>
            <w:vAlign w:val="center"/>
          </w:tcPr>
          <w:p w14:paraId="3CA3A98E" w14:textId="3C3AE59A" w:rsidR="006E6623" w:rsidRPr="00D817D3" w:rsidRDefault="006E6623" w:rsidP="00B020EB">
            <w:pPr>
              <w:spacing w:line="240" w:lineRule="auto"/>
              <w:jc w:val="center"/>
              <w:rPr>
                <w:rFonts w:cs="Times New Roman"/>
                <w:sz w:val="22"/>
              </w:rPr>
            </w:pPr>
            <w:r w:rsidRPr="00D817D3">
              <w:rPr>
                <w:rFonts w:cs="Times New Roman"/>
                <w:sz w:val="22"/>
              </w:rPr>
              <w:t>-0.0</w:t>
            </w:r>
            <w:r w:rsidR="006C752B">
              <w:rPr>
                <w:rFonts w:cs="Times New Roman"/>
                <w:sz w:val="22"/>
              </w:rPr>
              <w:t>39</w:t>
            </w:r>
          </w:p>
        </w:tc>
        <w:tc>
          <w:tcPr>
            <w:tcW w:w="1035" w:type="dxa"/>
            <w:noWrap/>
            <w:vAlign w:val="center"/>
          </w:tcPr>
          <w:p w14:paraId="6DAC84C6" w14:textId="77777777" w:rsidR="006E6623" w:rsidRPr="00D817D3" w:rsidRDefault="006E6623" w:rsidP="00B020EB">
            <w:pPr>
              <w:spacing w:line="240" w:lineRule="auto"/>
              <w:jc w:val="center"/>
              <w:rPr>
                <w:rFonts w:cs="Times New Roman"/>
                <w:sz w:val="22"/>
              </w:rPr>
            </w:pPr>
            <w:r w:rsidRPr="00D817D3">
              <w:rPr>
                <w:rFonts w:cs="Times New Roman"/>
                <w:sz w:val="22"/>
              </w:rPr>
              <w:t>-2.67</w:t>
            </w:r>
          </w:p>
        </w:tc>
        <w:tc>
          <w:tcPr>
            <w:tcW w:w="1425" w:type="dxa"/>
            <w:noWrap/>
            <w:vAlign w:val="center"/>
            <w:hideMark/>
          </w:tcPr>
          <w:p w14:paraId="0E6E981E" w14:textId="24A8046B" w:rsidR="006E6623" w:rsidRPr="00D817D3" w:rsidRDefault="006E6623" w:rsidP="00B020EB">
            <w:pPr>
              <w:spacing w:line="240" w:lineRule="auto"/>
              <w:jc w:val="center"/>
              <w:rPr>
                <w:rFonts w:cs="Times New Roman"/>
                <w:sz w:val="22"/>
              </w:rPr>
            </w:pPr>
            <w:r w:rsidRPr="00D817D3">
              <w:rPr>
                <w:rFonts w:cs="Times New Roman"/>
                <w:sz w:val="22"/>
              </w:rPr>
              <w:t>-0.03</w:t>
            </w:r>
            <w:r w:rsidR="009C74C5">
              <w:rPr>
                <w:rFonts w:cs="Times New Roman"/>
                <w:sz w:val="22"/>
              </w:rPr>
              <w:t>4</w:t>
            </w:r>
          </w:p>
        </w:tc>
        <w:tc>
          <w:tcPr>
            <w:tcW w:w="1102" w:type="dxa"/>
            <w:tcBorders>
              <w:right w:val="double" w:sz="12" w:space="0" w:color="auto"/>
            </w:tcBorders>
            <w:noWrap/>
            <w:vAlign w:val="center"/>
            <w:hideMark/>
          </w:tcPr>
          <w:p w14:paraId="43CE77DD" w14:textId="77777777" w:rsidR="006E6623" w:rsidRPr="00D817D3" w:rsidRDefault="006E6623" w:rsidP="00B020EB">
            <w:pPr>
              <w:spacing w:line="240" w:lineRule="auto"/>
              <w:jc w:val="center"/>
              <w:rPr>
                <w:rFonts w:cs="Times New Roman"/>
                <w:sz w:val="22"/>
              </w:rPr>
            </w:pPr>
            <w:r w:rsidRPr="00D817D3">
              <w:rPr>
                <w:rFonts w:cs="Times New Roman"/>
                <w:sz w:val="22"/>
              </w:rPr>
              <w:t>-1.81</w:t>
            </w:r>
          </w:p>
        </w:tc>
      </w:tr>
      <w:tr w:rsidR="006E6623" w:rsidRPr="00D817D3" w14:paraId="6B18B3F9" w14:textId="77777777" w:rsidTr="003C0D3A">
        <w:trPr>
          <w:trHeight w:val="290"/>
          <w:jc w:val="center"/>
        </w:trPr>
        <w:tc>
          <w:tcPr>
            <w:tcW w:w="9802" w:type="dxa"/>
            <w:gridSpan w:val="5"/>
            <w:tcBorders>
              <w:left w:val="double" w:sz="12" w:space="0" w:color="auto"/>
              <w:right w:val="double" w:sz="12" w:space="0" w:color="auto"/>
            </w:tcBorders>
            <w:noWrap/>
            <w:vAlign w:val="center"/>
            <w:hideMark/>
          </w:tcPr>
          <w:p w14:paraId="3E916692" w14:textId="77777777" w:rsidR="006E6623" w:rsidRPr="00D817D3" w:rsidRDefault="006E6623" w:rsidP="00B020EB">
            <w:pPr>
              <w:spacing w:line="240" w:lineRule="auto"/>
              <w:jc w:val="left"/>
              <w:rPr>
                <w:rFonts w:cs="Times New Roman"/>
                <w:b/>
                <w:bCs/>
                <w:i/>
                <w:iCs/>
                <w:sz w:val="22"/>
              </w:rPr>
            </w:pPr>
            <w:r w:rsidRPr="00D817D3">
              <w:rPr>
                <w:rFonts w:cs="Times New Roman"/>
                <w:b/>
                <w:bCs/>
                <w:i/>
                <w:iCs/>
                <w:sz w:val="22"/>
              </w:rPr>
              <w:t>Roadway Characteristics</w:t>
            </w:r>
          </w:p>
        </w:tc>
      </w:tr>
      <w:tr w:rsidR="006E6623" w:rsidRPr="00D817D3" w14:paraId="505DE27E" w14:textId="77777777" w:rsidTr="003C0D3A">
        <w:trPr>
          <w:trHeight w:val="290"/>
          <w:jc w:val="center"/>
        </w:trPr>
        <w:tc>
          <w:tcPr>
            <w:tcW w:w="4838" w:type="dxa"/>
            <w:tcBorders>
              <w:left w:val="double" w:sz="12" w:space="0" w:color="auto"/>
            </w:tcBorders>
            <w:noWrap/>
            <w:vAlign w:val="center"/>
            <w:hideMark/>
          </w:tcPr>
          <w:p w14:paraId="2DBD357E" w14:textId="77777777" w:rsidR="006E6623" w:rsidRPr="00D817D3" w:rsidRDefault="006E6623" w:rsidP="00B020EB">
            <w:pPr>
              <w:spacing w:line="240" w:lineRule="auto"/>
              <w:ind w:left="216"/>
              <w:jc w:val="left"/>
              <w:rPr>
                <w:rFonts w:cs="Times New Roman"/>
                <w:sz w:val="22"/>
              </w:rPr>
            </w:pPr>
            <w:r w:rsidRPr="00D817D3">
              <w:rPr>
                <w:rFonts w:cs="Times New Roman"/>
                <w:sz w:val="22"/>
              </w:rPr>
              <w:t>Number of Lanes</w:t>
            </w:r>
          </w:p>
        </w:tc>
        <w:tc>
          <w:tcPr>
            <w:tcW w:w="1402" w:type="dxa"/>
            <w:noWrap/>
            <w:vAlign w:val="center"/>
          </w:tcPr>
          <w:p w14:paraId="4EB9FB1D" w14:textId="10B32B77" w:rsidR="006E6623" w:rsidRPr="00D817D3" w:rsidRDefault="006E6623" w:rsidP="00B020EB">
            <w:pPr>
              <w:spacing w:line="240" w:lineRule="auto"/>
              <w:jc w:val="center"/>
              <w:rPr>
                <w:rFonts w:cs="Times New Roman"/>
                <w:sz w:val="22"/>
              </w:rPr>
            </w:pPr>
            <w:r w:rsidRPr="00D817D3">
              <w:rPr>
                <w:rFonts w:cs="Times New Roman"/>
                <w:sz w:val="22"/>
              </w:rPr>
              <w:t>0.16</w:t>
            </w:r>
            <w:r w:rsidR="006C752B">
              <w:rPr>
                <w:rFonts w:cs="Times New Roman"/>
                <w:sz w:val="22"/>
              </w:rPr>
              <w:t>2</w:t>
            </w:r>
          </w:p>
        </w:tc>
        <w:tc>
          <w:tcPr>
            <w:tcW w:w="1035" w:type="dxa"/>
            <w:noWrap/>
            <w:vAlign w:val="center"/>
          </w:tcPr>
          <w:p w14:paraId="4FE3674B" w14:textId="77777777" w:rsidR="006E6623" w:rsidRPr="00D817D3" w:rsidRDefault="006E6623" w:rsidP="00B020EB">
            <w:pPr>
              <w:spacing w:line="240" w:lineRule="auto"/>
              <w:jc w:val="center"/>
              <w:rPr>
                <w:rFonts w:cs="Times New Roman"/>
                <w:sz w:val="22"/>
              </w:rPr>
            </w:pPr>
            <w:r w:rsidRPr="00D817D3">
              <w:rPr>
                <w:rFonts w:cs="Times New Roman"/>
                <w:sz w:val="22"/>
              </w:rPr>
              <w:t>11.64</w:t>
            </w:r>
          </w:p>
        </w:tc>
        <w:tc>
          <w:tcPr>
            <w:tcW w:w="1425" w:type="dxa"/>
            <w:noWrap/>
            <w:vAlign w:val="center"/>
            <w:hideMark/>
          </w:tcPr>
          <w:p w14:paraId="61FE8754" w14:textId="1AA1176F" w:rsidR="006E6623" w:rsidRPr="00D817D3" w:rsidRDefault="006E6623" w:rsidP="00B020EB">
            <w:pPr>
              <w:spacing w:line="240" w:lineRule="auto"/>
              <w:jc w:val="center"/>
              <w:rPr>
                <w:rFonts w:cs="Times New Roman"/>
                <w:sz w:val="22"/>
              </w:rPr>
            </w:pPr>
            <w:r w:rsidRPr="00D817D3">
              <w:rPr>
                <w:rFonts w:cs="Times New Roman"/>
                <w:sz w:val="22"/>
              </w:rPr>
              <w:t>0.21</w:t>
            </w:r>
            <w:r w:rsidR="009C74C5">
              <w:rPr>
                <w:rFonts w:cs="Times New Roman"/>
                <w:sz w:val="22"/>
              </w:rPr>
              <w:t>3</w:t>
            </w:r>
          </w:p>
        </w:tc>
        <w:tc>
          <w:tcPr>
            <w:tcW w:w="1102" w:type="dxa"/>
            <w:tcBorders>
              <w:right w:val="double" w:sz="12" w:space="0" w:color="auto"/>
            </w:tcBorders>
            <w:noWrap/>
            <w:vAlign w:val="center"/>
            <w:hideMark/>
          </w:tcPr>
          <w:p w14:paraId="7C9A8E9C" w14:textId="77777777" w:rsidR="006E6623" w:rsidRPr="00D817D3" w:rsidRDefault="006E6623" w:rsidP="00B020EB">
            <w:pPr>
              <w:spacing w:line="240" w:lineRule="auto"/>
              <w:jc w:val="center"/>
              <w:rPr>
                <w:rFonts w:cs="Times New Roman"/>
                <w:sz w:val="22"/>
              </w:rPr>
            </w:pPr>
            <w:r w:rsidRPr="00D817D3">
              <w:rPr>
                <w:rFonts w:cs="Times New Roman"/>
                <w:sz w:val="22"/>
              </w:rPr>
              <w:t>14.65</w:t>
            </w:r>
          </w:p>
        </w:tc>
      </w:tr>
      <w:tr w:rsidR="006E6623" w:rsidRPr="00D817D3" w14:paraId="3531205C" w14:textId="77777777" w:rsidTr="003C0D3A">
        <w:trPr>
          <w:trHeight w:val="290"/>
          <w:jc w:val="center"/>
        </w:trPr>
        <w:tc>
          <w:tcPr>
            <w:tcW w:w="9802" w:type="dxa"/>
            <w:gridSpan w:val="5"/>
            <w:tcBorders>
              <w:left w:val="double" w:sz="12" w:space="0" w:color="auto"/>
              <w:right w:val="double" w:sz="12" w:space="0" w:color="auto"/>
            </w:tcBorders>
            <w:noWrap/>
            <w:vAlign w:val="center"/>
            <w:hideMark/>
          </w:tcPr>
          <w:p w14:paraId="3CC6E44D" w14:textId="77777777" w:rsidR="006E6623" w:rsidRPr="00D817D3" w:rsidRDefault="006E6623" w:rsidP="00B020EB">
            <w:pPr>
              <w:spacing w:line="240" w:lineRule="auto"/>
              <w:jc w:val="left"/>
              <w:rPr>
                <w:rFonts w:cs="Times New Roman"/>
                <w:b/>
                <w:bCs/>
                <w:i/>
                <w:iCs/>
                <w:sz w:val="22"/>
              </w:rPr>
            </w:pPr>
            <w:r w:rsidRPr="00D817D3">
              <w:rPr>
                <w:rFonts w:cs="Times New Roman"/>
                <w:b/>
                <w:bCs/>
                <w:i/>
                <w:iCs/>
                <w:sz w:val="22"/>
              </w:rPr>
              <w:t>Meteorological variables</w:t>
            </w:r>
          </w:p>
        </w:tc>
      </w:tr>
      <w:tr w:rsidR="006E6623" w:rsidRPr="00D817D3" w14:paraId="1DAB8B37" w14:textId="77777777" w:rsidTr="003C0D3A">
        <w:trPr>
          <w:trHeight w:val="290"/>
          <w:jc w:val="center"/>
        </w:trPr>
        <w:tc>
          <w:tcPr>
            <w:tcW w:w="4838" w:type="dxa"/>
            <w:tcBorders>
              <w:left w:val="double" w:sz="12" w:space="0" w:color="auto"/>
            </w:tcBorders>
            <w:noWrap/>
            <w:vAlign w:val="center"/>
            <w:hideMark/>
          </w:tcPr>
          <w:p w14:paraId="38B340B7" w14:textId="77777777" w:rsidR="006E6623" w:rsidRPr="00D817D3" w:rsidRDefault="006E6623" w:rsidP="00B020EB">
            <w:pPr>
              <w:spacing w:line="240" w:lineRule="auto"/>
              <w:ind w:left="216"/>
              <w:jc w:val="left"/>
              <w:rPr>
                <w:rFonts w:cs="Times New Roman"/>
                <w:sz w:val="22"/>
              </w:rPr>
            </w:pPr>
            <w:r w:rsidRPr="00D817D3">
              <w:rPr>
                <w:rFonts w:cs="Times New Roman"/>
                <w:sz w:val="22"/>
              </w:rPr>
              <w:t>Precipitation</w:t>
            </w:r>
          </w:p>
        </w:tc>
        <w:tc>
          <w:tcPr>
            <w:tcW w:w="1402" w:type="dxa"/>
            <w:noWrap/>
            <w:vAlign w:val="center"/>
          </w:tcPr>
          <w:p w14:paraId="4FC67768" w14:textId="6E971448" w:rsidR="006E6623" w:rsidRPr="00D817D3" w:rsidRDefault="006E6623" w:rsidP="00B020EB">
            <w:pPr>
              <w:spacing w:line="240" w:lineRule="auto"/>
              <w:jc w:val="center"/>
              <w:rPr>
                <w:rFonts w:cs="Times New Roman"/>
                <w:sz w:val="22"/>
              </w:rPr>
            </w:pPr>
            <w:r w:rsidRPr="00D817D3">
              <w:rPr>
                <w:rFonts w:cs="Times New Roman"/>
                <w:sz w:val="22"/>
              </w:rPr>
              <w:t>-0.05</w:t>
            </w:r>
            <w:r w:rsidR="006C752B">
              <w:rPr>
                <w:rFonts w:cs="Times New Roman"/>
                <w:sz w:val="22"/>
              </w:rPr>
              <w:t>3</w:t>
            </w:r>
          </w:p>
        </w:tc>
        <w:tc>
          <w:tcPr>
            <w:tcW w:w="1035" w:type="dxa"/>
            <w:noWrap/>
            <w:vAlign w:val="center"/>
          </w:tcPr>
          <w:p w14:paraId="0BDFC333" w14:textId="77777777" w:rsidR="006E6623" w:rsidRPr="00D817D3" w:rsidRDefault="006E6623" w:rsidP="00B020EB">
            <w:pPr>
              <w:spacing w:line="240" w:lineRule="auto"/>
              <w:jc w:val="center"/>
              <w:rPr>
                <w:rFonts w:cs="Times New Roman"/>
                <w:sz w:val="22"/>
              </w:rPr>
            </w:pPr>
            <w:r w:rsidRPr="00D817D3">
              <w:rPr>
                <w:rFonts w:cs="Times New Roman"/>
                <w:sz w:val="22"/>
              </w:rPr>
              <w:t>-2.92</w:t>
            </w:r>
          </w:p>
        </w:tc>
        <w:tc>
          <w:tcPr>
            <w:tcW w:w="1425" w:type="dxa"/>
            <w:noWrap/>
            <w:vAlign w:val="center"/>
            <w:hideMark/>
          </w:tcPr>
          <w:p w14:paraId="22503D04" w14:textId="6E26F9D3" w:rsidR="006E6623" w:rsidRPr="00D817D3" w:rsidRDefault="006E6623" w:rsidP="00B020EB">
            <w:pPr>
              <w:spacing w:line="240" w:lineRule="auto"/>
              <w:jc w:val="center"/>
              <w:rPr>
                <w:rFonts w:cs="Times New Roman"/>
                <w:sz w:val="22"/>
              </w:rPr>
            </w:pPr>
            <w:r w:rsidRPr="00D817D3">
              <w:rPr>
                <w:rFonts w:cs="Times New Roman"/>
                <w:sz w:val="22"/>
              </w:rPr>
              <w:t>-0.03</w:t>
            </w:r>
            <w:r w:rsidR="009C74C5">
              <w:rPr>
                <w:rFonts w:cs="Times New Roman"/>
                <w:sz w:val="22"/>
              </w:rPr>
              <w:t>1</w:t>
            </w:r>
          </w:p>
        </w:tc>
        <w:tc>
          <w:tcPr>
            <w:tcW w:w="1102" w:type="dxa"/>
            <w:tcBorders>
              <w:right w:val="double" w:sz="12" w:space="0" w:color="auto"/>
            </w:tcBorders>
            <w:noWrap/>
            <w:vAlign w:val="center"/>
            <w:hideMark/>
          </w:tcPr>
          <w:p w14:paraId="7B4192D9" w14:textId="77777777" w:rsidR="006E6623" w:rsidRPr="00D817D3" w:rsidRDefault="006E6623" w:rsidP="00B020EB">
            <w:pPr>
              <w:spacing w:line="240" w:lineRule="auto"/>
              <w:jc w:val="center"/>
              <w:rPr>
                <w:rFonts w:cs="Times New Roman"/>
                <w:sz w:val="22"/>
              </w:rPr>
            </w:pPr>
            <w:r w:rsidRPr="00D817D3">
              <w:rPr>
                <w:rFonts w:cs="Times New Roman"/>
                <w:sz w:val="22"/>
              </w:rPr>
              <w:t>-1.69</w:t>
            </w:r>
          </w:p>
        </w:tc>
      </w:tr>
      <w:tr w:rsidR="006E6623" w:rsidRPr="00D817D3" w14:paraId="6C56083F" w14:textId="77777777" w:rsidTr="003C0D3A">
        <w:trPr>
          <w:trHeight w:val="290"/>
          <w:jc w:val="center"/>
        </w:trPr>
        <w:tc>
          <w:tcPr>
            <w:tcW w:w="4838" w:type="dxa"/>
            <w:tcBorders>
              <w:left w:val="double" w:sz="12" w:space="0" w:color="auto"/>
            </w:tcBorders>
            <w:noWrap/>
            <w:vAlign w:val="center"/>
            <w:hideMark/>
          </w:tcPr>
          <w:p w14:paraId="59088489" w14:textId="02A18937" w:rsidR="006E6623" w:rsidRPr="00D817D3" w:rsidRDefault="006E6623" w:rsidP="00B020EB">
            <w:pPr>
              <w:spacing w:line="240" w:lineRule="auto"/>
              <w:ind w:left="216"/>
              <w:jc w:val="left"/>
              <w:rPr>
                <w:rFonts w:cs="Times New Roman"/>
                <w:sz w:val="22"/>
              </w:rPr>
            </w:pPr>
            <w:r w:rsidRPr="00D817D3">
              <w:rPr>
                <w:rFonts w:cs="Times New Roman"/>
                <w:sz w:val="22"/>
              </w:rPr>
              <w:t>Average wind speed</w:t>
            </w:r>
            <w:r w:rsidR="001628D3">
              <w:rPr>
                <w:rFonts w:cs="Times New Roman"/>
                <w:sz w:val="22"/>
              </w:rPr>
              <w:t xml:space="preserve"> x</w:t>
            </w:r>
            <w:r w:rsidR="001628D3" w:rsidRPr="00D817D3">
              <w:rPr>
                <w:rFonts w:cs="Times New Roman"/>
                <w:sz w:val="22"/>
              </w:rPr>
              <w:t>10</w:t>
            </w:r>
            <w:r w:rsidR="001628D3" w:rsidRPr="00D817D3">
              <w:rPr>
                <w:rFonts w:cs="Times New Roman"/>
                <w:sz w:val="22"/>
                <w:vertAlign w:val="superscript"/>
              </w:rPr>
              <w:t>-2</w:t>
            </w:r>
          </w:p>
        </w:tc>
        <w:tc>
          <w:tcPr>
            <w:tcW w:w="1402" w:type="dxa"/>
            <w:noWrap/>
            <w:vAlign w:val="center"/>
          </w:tcPr>
          <w:p w14:paraId="36D16784" w14:textId="2BA7B3F0" w:rsidR="006E6623" w:rsidRPr="00D817D3" w:rsidRDefault="006E6623" w:rsidP="00B020EB">
            <w:pPr>
              <w:spacing w:line="240" w:lineRule="auto"/>
              <w:jc w:val="center"/>
              <w:rPr>
                <w:rFonts w:cs="Times New Roman"/>
                <w:sz w:val="22"/>
              </w:rPr>
            </w:pPr>
            <w:r w:rsidRPr="00D817D3">
              <w:rPr>
                <w:rFonts w:cs="Times New Roman"/>
                <w:sz w:val="22"/>
              </w:rPr>
              <w:t>-0.20</w:t>
            </w:r>
            <w:r w:rsidR="006C752B">
              <w:rPr>
                <w:rFonts w:cs="Times New Roman"/>
                <w:sz w:val="22"/>
              </w:rPr>
              <w:t>1</w:t>
            </w:r>
          </w:p>
        </w:tc>
        <w:tc>
          <w:tcPr>
            <w:tcW w:w="1035" w:type="dxa"/>
            <w:noWrap/>
            <w:vAlign w:val="center"/>
          </w:tcPr>
          <w:p w14:paraId="1A7D1470" w14:textId="77777777" w:rsidR="006E6623" w:rsidRPr="00D817D3" w:rsidRDefault="006E6623" w:rsidP="00B020EB">
            <w:pPr>
              <w:spacing w:line="240" w:lineRule="auto"/>
              <w:jc w:val="center"/>
              <w:rPr>
                <w:rFonts w:cs="Times New Roman"/>
                <w:sz w:val="22"/>
              </w:rPr>
            </w:pPr>
            <w:r w:rsidRPr="00D817D3">
              <w:rPr>
                <w:rFonts w:cs="Times New Roman"/>
                <w:sz w:val="22"/>
              </w:rPr>
              <w:t>-2.65</w:t>
            </w:r>
          </w:p>
        </w:tc>
        <w:tc>
          <w:tcPr>
            <w:tcW w:w="1425" w:type="dxa"/>
            <w:noWrap/>
            <w:vAlign w:val="center"/>
            <w:hideMark/>
          </w:tcPr>
          <w:p w14:paraId="4B85CC3A" w14:textId="6A9538DF" w:rsidR="006E6623" w:rsidRPr="00D817D3" w:rsidRDefault="006E6623" w:rsidP="00B020EB">
            <w:pPr>
              <w:spacing w:line="240" w:lineRule="auto"/>
              <w:jc w:val="center"/>
              <w:rPr>
                <w:rFonts w:cs="Times New Roman"/>
                <w:sz w:val="22"/>
              </w:rPr>
            </w:pPr>
            <w:r w:rsidRPr="00D817D3">
              <w:rPr>
                <w:rFonts w:cs="Times New Roman"/>
                <w:color w:val="000000"/>
                <w:sz w:val="22"/>
              </w:rPr>
              <w:t>-0.2</w:t>
            </w:r>
            <w:r w:rsidR="009C74C5">
              <w:rPr>
                <w:rFonts w:cs="Times New Roman"/>
                <w:color w:val="000000"/>
                <w:sz w:val="22"/>
              </w:rPr>
              <w:t>07</w:t>
            </w:r>
          </w:p>
        </w:tc>
        <w:tc>
          <w:tcPr>
            <w:tcW w:w="1102" w:type="dxa"/>
            <w:tcBorders>
              <w:right w:val="double" w:sz="12" w:space="0" w:color="auto"/>
            </w:tcBorders>
            <w:noWrap/>
            <w:vAlign w:val="center"/>
            <w:hideMark/>
          </w:tcPr>
          <w:p w14:paraId="66F8A81B" w14:textId="77777777" w:rsidR="006E6623" w:rsidRPr="00D817D3" w:rsidRDefault="006E6623" w:rsidP="00B020EB">
            <w:pPr>
              <w:spacing w:line="240" w:lineRule="auto"/>
              <w:jc w:val="center"/>
              <w:rPr>
                <w:rFonts w:cs="Times New Roman"/>
                <w:sz w:val="22"/>
              </w:rPr>
            </w:pPr>
            <w:r w:rsidRPr="00D817D3">
              <w:rPr>
                <w:rFonts w:cs="Times New Roman"/>
                <w:sz w:val="22"/>
              </w:rPr>
              <w:t>-2.51</w:t>
            </w:r>
          </w:p>
        </w:tc>
      </w:tr>
      <w:tr w:rsidR="006E6623" w:rsidRPr="00D817D3" w14:paraId="4E3E8978" w14:textId="77777777" w:rsidTr="003C0D3A">
        <w:trPr>
          <w:trHeight w:val="290"/>
          <w:jc w:val="center"/>
        </w:trPr>
        <w:tc>
          <w:tcPr>
            <w:tcW w:w="9802" w:type="dxa"/>
            <w:gridSpan w:val="5"/>
            <w:tcBorders>
              <w:left w:val="double" w:sz="12" w:space="0" w:color="auto"/>
              <w:right w:val="double" w:sz="12" w:space="0" w:color="auto"/>
            </w:tcBorders>
            <w:noWrap/>
            <w:vAlign w:val="center"/>
            <w:hideMark/>
          </w:tcPr>
          <w:p w14:paraId="3B873D11" w14:textId="77777777" w:rsidR="006E6623" w:rsidRPr="00D817D3" w:rsidRDefault="006E6623" w:rsidP="00B020EB">
            <w:pPr>
              <w:spacing w:line="240" w:lineRule="auto"/>
              <w:jc w:val="left"/>
              <w:rPr>
                <w:rFonts w:cs="Times New Roman"/>
                <w:b/>
                <w:bCs/>
                <w:i/>
                <w:iCs/>
                <w:sz w:val="22"/>
              </w:rPr>
            </w:pPr>
            <w:r w:rsidRPr="00D817D3">
              <w:rPr>
                <w:rFonts w:cs="Times New Roman"/>
                <w:b/>
                <w:bCs/>
                <w:i/>
                <w:iCs/>
                <w:sz w:val="22"/>
              </w:rPr>
              <w:t>Spatial Factors</w:t>
            </w:r>
          </w:p>
        </w:tc>
      </w:tr>
      <w:tr w:rsidR="006E6623" w:rsidRPr="00D817D3" w14:paraId="0D36B436" w14:textId="77777777" w:rsidTr="003C0D3A">
        <w:trPr>
          <w:trHeight w:val="290"/>
          <w:jc w:val="center"/>
        </w:trPr>
        <w:tc>
          <w:tcPr>
            <w:tcW w:w="4838" w:type="dxa"/>
            <w:tcBorders>
              <w:left w:val="double" w:sz="12" w:space="0" w:color="auto"/>
            </w:tcBorders>
            <w:noWrap/>
            <w:vAlign w:val="center"/>
            <w:hideMark/>
          </w:tcPr>
          <w:p w14:paraId="502CA7B2" w14:textId="77777777" w:rsidR="006E6623" w:rsidRPr="00D817D3" w:rsidRDefault="006E6623" w:rsidP="00B020EB">
            <w:pPr>
              <w:spacing w:line="240" w:lineRule="auto"/>
              <w:ind w:left="216"/>
              <w:jc w:val="left"/>
              <w:rPr>
                <w:rFonts w:cs="Times New Roman"/>
                <w:i/>
                <w:iCs/>
                <w:sz w:val="22"/>
              </w:rPr>
            </w:pPr>
            <w:r w:rsidRPr="00D817D3">
              <w:rPr>
                <w:rFonts w:cs="Times New Roman"/>
                <w:i/>
                <w:iCs/>
                <w:sz w:val="22"/>
              </w:rPr>
              <w:t>Base: Other regions in Florida</w:t>
            </w:r>
          </w:p>
        </w:tc>
        <w:tc>
          <w:tcPr>
            <w:tcW w:w="1402" w:type="dxa"/>
            <w:noWrap/>
            <w:vAlign w:val="center"/>
            <w:hideMark/>
          </w:tcPr>
          <w:p w14:paraId="5C2A2F1B" w14:textId="77777777" w:rsidR="006E6623" w:rsidRPr="00D817D3" w:rsidRDefault="006E6623" w:rsidP="00B020EB">
            <w:pPr>
              <w:spacing w:line="240" w:lineRule="auto"/>
              <w:jc w:val="center"/>
              <w:rPr>
                <w:rFonts w:cs="Times New Roman"/>
                <w:sz w:val="22"/>
              </w:rPr>
            </w:pPr>
          </w:p>
        </w:tc>
        <w:tc>
          <w:tcPr>
            <w:tcW w:w="1035" w:type="dxa"/>
            <w:noWrap/>
            <w:vAlign w:val="center"/>
            <w:hideMark/>
          </w:tcPr>
          <w:p w14:paraId="595DF7AC" w14:textId="77777777" w:rsidR="006E6623" w:rsidRPr="00D817D3" w:rsidRDefault="006E6623" w:rsidP="00B020EB">
            <w:pPr>
              <w:spacing w:line="240" w:lineRule="auto"/>
              <w:jc w:val="center"/>
              <w:rPr>
                <w:rFonts w:cs="Times New Roman"/>
                <w:sz w:val="22"/>
              </w:rPr>
            </w:pPr>
          </w:p>
        </w:tc>
        <w:tc>
          <w:tcPr>
            <w:tcW w:w="1425" w:type="dxa"/>
            <w:noWrap/>
            <w:vAlign w:val="center"/>
            <w:hideMark/>
          </w:tcPr>
          <w:p w14:paraId="04F36BA9" w14:textId="77777777" w:rsidR="006E6623" w:rsidRPr="00D817D3" w:rsidRDefault="006E6623" w:rsidP="00B020EB">
            <w:pPr>
              <w:spacing w:line="240" w:lineRule="auto"/>
              <w:jc w:val="center"/>
              <w:rPr>
                <w:rFonts w:cs="Times New Roman"/>
                <w:sz w:val="22"/>
              </w:rPr>
            </w:pPr>
          </w:p>
        </w:tc>
        <w:tc>
          <w:tcPr>
            <w:tcW w:w="1102" w:type="dxa"/>
            <w:tcBorders>
              <w:right w:val="double" w:sz="12" w:space="0" w:color="auto"/>
            </w:tcBorders>
            <w:noWrap/>
            <w:vAlign w:val="center"/>
            <w:hideMark/>
          </w:tcPr>
          <w:p w14:paraId="0975F4A3" w14:textId="77777777" w:rsidR="006E6623" w:rsidRPr="00D817D3" w:rsidRDefault="006E6623" w:rsidP="00B020EB">
            <w:pPr>
              <w:spacing w:line="240" w:lineRule="auto"/>
              <w:jc w:val="center"/>
              <w:rPr>
                <w:rFonts w:cs="Times New Roman"/>
                <w:sz w:val="22"/>
              </w:rPr>
            </w:pPr>
          </w:p>
        </w:tc>
      </w:tr>
      <w:tr w:rsidR="006E6623" w:rsidRPr="00D817D3" w14:paraId="6C1ECB6B" w14:textId="77777777" w:rsidTr="003C0D3A">
        <w:trPr>
          <w:trHeight w:val="290"/>
          <w:jc w:val="center"/>
        </w:trPr>
        <w:tc>
          <w:tcPr>
            <w:tcW w:w="4838" w:type="dxa"/>
            <w:tcBorders>
              <w:left w:val="double" w:sz="12" w:space="0" w:color="auto"/>
            </w:tcBorders>
            <w:noWrap/>
            <w:vAlign w:val="center"/>
            <w:hideMark/>
          </w:tcPr>
          <w:p w14:paraId="06AC286E" w14:textId="77777777" w:rsidR="006E6623" w:rsidRPr="00D817D3" w:rsidRDefault="006E6623" w:rsidP="00B020EB">
            <w:pPr>
              <w:spacing w:line="240" w:lineRule="auto"/>
              <w:ind w:left="216"/>
              <w:jc w:val="left"/>
              <w:rPr>
                <w:rFonts w:cs="Times New Roman"/>
                <w:sz w:val="22"/>
              </w:rPr>
            </w:pPr>
            <w:r w:rsidRPr="00D817D3">
              <w:rPr>
                <w:rFonts w:cs="Times New Roman"/>
                <w:sz w:val="22"/>
              </w:rPr>
              <w:t>Central Region</w:t>
            </w:r>
          </w:p>
        </w:tc>
        <w:tc>
          <w:tcPr>
            <w:tcW w:w="1402" w:type="dxa"/>
            <w:noWrap/>
            <w:vAlign w:val="center"/>
          </w:tcPr>
          <w:p w14:paraId="1597A8E7"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035" w:type="dxa"/>
            <w:noWrap/>
            <w:vAlign w:val="center"/>
          </w:tcPr>
          <w:p w14:paraId="76376E72" w14:textId="77777777" w:rsidR="006E6623" w:rsidRPr="00D817D3" w:rsidRDefault="006E6623" w:rsidP="00B020EB">
            <w:pPr>
              <w:spacing w:line="240" w:lineRule="auto"/>
              <w:jc w:val="center"/>
              <w:rPr>
                <w:rFonts w:cs="Times New Roman"/>
                <w:sz w:val="22"/>
              </w:rPr>
            </w:pPr>
            <w:r w:rsidRPr="00D817D3">
              <w:rPr>
                <w:rFonts w:cs="Times New Roman"/>
                <w:sz w:val="22"/>
              </w:rPr>
              <w:t>----</w:t>
            </w:r>
          </w:p>
        </w:tc>
        <w:tc>
          <w:tcPr>
            <w:tcW w:w="1425" w:type="dxa"/>
            <w:noWrap/>
            <w:vAlign w:val="center"/>
            <w:hideMark/>
          </w:tcPr>
          <w:p w14:paraId="47950506" w14:textId="7E27AAF8" w:rsidR="006E6623" w:rsidRPr="00D817D3" w:rsidRDefault="006E6623" w:rsidP="00B020EB">
            <w:pPr>
              <w:spacing w:line="240" w:lineRule="auto"/>
              <w:jc w:val="center"/>
              <w:rPr>
                <w:rFonts w:cs="Times New Roman"/>
                <w:sz w:val="22"/>
              </w:rPr>
            </w:pPr>
            <w:r w:rsidRPr="00D817D3">
              <w:rPr>
                <w:rFonts w:cs="Times New Roman"/>
                <w:sz w:val="22"/>
              </w:rPr>
              <w:t>0.49</w:t>
            </w:r>
            <w:r w:rsidR="009C74C5">
              <w:rPr>
                <w:rFonts w:cs="Times New Roman"/>
                <w:sz w:val="22"/>
              </w:rPr>
              <w:t>1</w:t>
            </w:r>
          </w:p>
        </w:tc>
        <w:tc>
          <w:tcPr>
            <w:tcW w:w="1102" w:type="dxa"/>
            <w:tcBorders>
              <w:right w:val="double" w:sz="12" w:space="0" w:color="auto"/>
            </w:tcBorders>
            <w:noWrap/>
            <w:vAlign w:val="center"/>
            <w:hideMark/>
          </w:tcPr>
          <w:p w14:paraId="3AEE8987" w14:textId="77777777" w:rsidR="006E6623" w:rsidRPr="00D817D3" w:rsidRDefault="006E6623" w:rsidP="00B020EB">
            <w:pPr>
              <w:spacing w:line="240" w:lineRule="auto"/>
              <w:jc w:val="center"/>
              <w:rPr>
                <w:rFonts w:cs="Times New Roman"/>
                <w:sz w:val="22"/>
              </w:rPr>
            </w:pPr>
            <w:r w:rsidRPr="00D817D3">
              <w:rPr>
                <w:rFonts w:cs="Times New Roman"/>
                <w:sz w:val="22"/>
              </w:rPr>
              <w:t>16.93</w:t>
            </w:r>
          </w:p>
        </w:tc>
      </w:tr>
      <w:tr w:rsidR="006E6623" w:rsidRPr="00D817D3" w14:paraId="55903914" w14:textId="77777777" w:rsidTr="003C0D3A">
        <w:trPr>
          <w:trHeight w:val="290"/>
          <w:jc w:val="center"/>
        </w:trPr>
        <w:tc>
          <w:tcPr>
            <w:tcW w:w="4838" w:type="dxa"/>
            <w:tcBorders>
              <w:left w:val="double" w:sz="12" w:space="0" w:color="auto"/>
            </w:tcBorders>
            <w:noWrap/>
            <w:vAlign w:val="center"/>
            <w:hideMark/>
          </w:tcPr>
          <w:p w14:paraId="746EBDBB" w14:textId="77777777" w:rsidR="006E6623" w:rsidRPr="00D817D3" w:rsidRDefault="006E6623" w:rsidP="00B020EB">
            <w:pPr>
              <w:spacing w:line="240" w:lineRule="auto"/>
              <w:ind w:left="216"/>
              <w:jc w:val="left"/>
              <w:rPr>
                <w:rFonts w:cs="Times New Roman"/>
                <w:sz w:val="22"/>
              </w:rPr>
            </w:pPr>
            <w:r w:rsidRPr="00D817D3">
              <w:rPr>
                <w:rFonts w:cs="Times New Roman"/>
                <w:sz w:val="22"/>
              </w:rPr>
              <w:t>South Region</w:t>
            </w:r>
          </w:p>
        </w:tc>
        <w:tc>
          <w:tcPr>
            <w:tcW w:w="1402" w:type="dxa"/>
            <w:noWrap/>
            <w:vAlign w:val="center"/>
          </w:tcPr>
          <w:p w14:paraId="5771A47F" w14:textId="3D730B3B" w:rsidR="006E6623" w:rsidRPr="00D817D3" w:rsidRDefault="006E6623" w:rsidP="00B020EB">
            <w:pPr>
              <w:spacing w:line="240" w:lineRule="auto"/>
              <w:jc w:val="center"/>
              <w:rPr>
                <w:rFonts w:cs="Times New Roman"/>
                <w:sz w:val="22"/>
              </w:rPr>
            </w:pPr>
            <w:r w:rsidRPr="00D817D3">
              <w:rPr>
                <w:rFonts w:cs="Times New Roman"/>
                <w:sz w:val="22"/>
              </w:rPr>
              <w:t>-0.57</w:t>
            </w:r>
            <w:r w:rsidR="006C752B">
              <w:rPr>
                <w:rFonts w:cs="Times New Roman"/>
                <w:sz w:val="22"/>
              </w:rPr>
              <w:t>0</w:t>
            </w:r>
          </w:p>
        </w:tc>
        <w:tc>
          <w:tcPr>
            <w:tcW w:w="1035" w:type="dxa"/>
            <w:noWrap/>
            <w:vAlign w:val="center"/>
          </w:tcPr>
          <w:p w14:paraId="3DC075D4" w14:textId="77777777" w:rsidR="006E6623" w:rsidRPr="00D817D3" w:rsidRDefault="006E6623" w:rsidP="00B020EB">
            <w:pPr>
              <w:spacing w:line="240" w:lineRule="auto"/>
              <w:jc w:val="center"/>
              <w:rPr>
                <w:rFonts w:cs="Times New Roman"/>
                <w:sz w:val="22"/>
              </w:rPr>
            </w:pPr>
            <w:r w:rsidRPr="00D817D3">
              <w:rPr>
                <w:rFonts w:cs="Times New Roman"/>
                <w:sz w:val="22"/>
              </w:rPr>
              <w:t>-8.52</w:t>
            </w:r>
          </w:p>
        </w:tc>
        <w:tc>
          <w:tcPr>
            <w:tcW w:w="1425" w:type="dxa"/>
            <w:noWrap/>
            <w:vAlign w:val="center"/>
            <w:hideMark/>
          </w:tcPr>
          <w:p w14:paraId="1B7509C1" w14:textId="39396D25" w:rsidR="006E6623" w:rsidRPr="00D817D3" w:rsidRDefault="006E6623" w:rsidP="00B020EB">
            <w:pPr>
              <w:spacing w:line="240" w:lineRule="auto"/>
              <w:jc w:val="center"/>
              <w:rPr>
                <w:rFonts w:cs="Times New Roman"/>
                <w:sz w:val="22"/>
              </w:rPr>
            </w:pPr>
            <w:r w:rsidRPr="00D817D3">
              <w:rPr>
                <w:rFonts w:cs="Times New Roman"/>
                <w:sz w:val="22"/>
              </w:rPr>
              <w:t>-0.48</w:t>
            </w:r>
            <w:r w:rsidR="009C74C5">
              <w:rPr>
                <w:rFonts w:cs="Times New Roman"/>
                <w:sz w:val="22"/>
              </w:rPr>
              <w:t>3</w:t>
            </w:r>
          </w:p>
        </w:tc>
        <w:tc>
          <w:tcPr>
            <w:tcW w:w="1102" w:type="dxa"/>
            <w:tcBorders>
              <w:right w:val="double" w:sz="12" w:space="0" w:color="auto"/>
            </w:tcBorders>
            <w:noWrap/>
            <w:vAlign w:val="center"/>
            <w:hideMark/>
          </w:tcPr>
          <w:p w14:paraId="7403EC61" w14:textId="77777777" w:rsidR="006E6623" w:rsidRPr="00D817D3" w:rsidRDefault="006E6623" w:rsidP="00B020EB">
            <w:pPr>
              <w:spacing w:line="240" w:lineRule="auto"/>
              <w:jc w:val="center"/>
              <w:rPr>
                <w:rFonts w:cs="Times New Roman"/>
                <w:sz w:val="22"/>
              </w:rPr>
            </w:pPr>
            <w:r w:rsidRPr="00D817D3">
              <w:rPr>
                <w:rFonts w:cs="Times New Roman"/>
                <w:sz w:val="22"/>
              </w:rPr>
              <w:t>-6.67</w:t>
            </w:r>
          </w:p>
        </w:tc>
      </w:tr>
      <w:tr w:rsidR="006E6623" w:rsidRPr="00D817D3" w14:paraId="7851FF60" w14:textId="77777777" w:rsidTr="003C0D3A">
        <w:trPr>
          <w:trHeight w:val="290"/>
          <w:jc w:val="center"/>
        </w:trPr>
        <w:tc>
          <w:tcPr>
            <w:tcW w:w="9802" w:type="dxa"/>
            <w:gridSpan w:val="5"/>
            <w:tcBorders>
              <w:left w:val="double" w:sz="12" w:space="0" w:color="auto"/>
              <w:right w:val="double" w:sz="12" w:space="0" w:color="auto"/>
            </w:tcBorders>
            <w:noWrap/>
            <w:vAlign w:val="center"/>
            <w:hideMark/>
          </w:tcPr>
          <w:p w14:paraId="18EA8737" w14:textId="77777777" w:rsidR="006E6623" w:rsidRPr="00D817D3" w:rsidRDefault="006E6623" w:rsidP="00B020EB">
            <w:pPr>
              <w:spacing w:line="240" w:lineRule="auto"/>
              <w:jc w:val="left"/>
              <w:rPr>
                <w:rFonts w:cs="Times New Roman"/>
                <w:b/>
                <w:bCs/>
                <w:i/>
                <w:iCs/>
                <w:sz w:val="22"/>
              </w:rPr>
            </w:pPr>
            <w:r w:rsidRPr="00D817D3">
              <w:rPr>
                <w:rFonts w:cs="Times New Roman"/>
                <w:b/>
                <w:bCs/>
                <w:i/>
                <w:iCs/>
                <w:sz w:val="22"/>
              </w:rPr>
              <w:t>Temporal Factors</w:t>
            </w:r>
          </w:p>
        </w:tc>
      </w:tr>
      <w:tr w:rsidR="006E6623" w:rsidRPr="00D817D3" w14:paraId="37D32D45" w14:textId="77777777" w:rsidTr="003C0D3A">
        <w:trPr>
          <w:trHeight w:val="290"/>
          <w:jc w:val="center"/>
        </w:trPr>
        <w:tc>
          <w:tcPr>
            <w:tcW w:w="4838" w:type="dxa"/>
            <w:tcBorders>
              <w:left w:val="double" w:sz="12" w:space="0" w:color="auto"/>
            </w:tcBorders>
            <w:noWrap/>
            <w:vAlign w:val="center"/>
            <w:hideMark/>
          </w:tcPr>
          <w:p w14:paraId="7CBF0121" w14:textId="77777777" w:rsidR="006E6623" w:rsidRPr="00D817D3" w:rsidRDefault="006E6623" w:rsidP="00B020EB">
            <w:pPr>
              <w:spacing w:line="240" w:lineRule="auto"/>
              <w:ind w:left="216"/>
              <w:jc w:val="left"/>
              <w:rPr>
                <w:rFonts w:cs="Times New Roman"/>
                <w:sz w:val="22"/>
              </w:rPr>
            </w:pPr>
            <w:r w:rsidRPr="00D817D3">
              <w:rPr>
                <w:rFonts w:cs="Times New Roman"/>
                <w:sz w:val="22"/>
              </w:rPr>
              <w:t>1 week lag traffic volume/1000</w:t>
            </w:r>
          </w:p>
        </w:tc>
        <w:tc>
          <w:tcPr>
            <w:tcW w:w="1402" w:type="dxa"/>
            <w:noWrap/>
            <w:vAlign w:val="center"/>
          </w:tcPr>
          <w:p w14:paraId="469B478C" w14:textId="70A3B8AF" w:rsidR="006E6623" w:rsidRPr="00D817D3" w:rsidRDefault="006E6623" w:rsidP="00B020EB">
            <w:pPr>
              <w:spacing w:line="240" w:lineRule="auto"/>
              <w:jc w:val="center"/>
              <w:rPr>
                <w:rFonts w:cs="Times New Roman"/>
                <w:sz w:val="22"/>
              </w:rPr>
            </w:pPr>
            <w:r w:rsidRPr="00D817D3">
              <w:rPr>
                <w:rFonts w:cs="Times New Roman"/>
                <w:sz w:val="22"/>
              </w:rPr>
              <w:t>0.12</w:t>
            </w:r>
            <w:r w:rsidR="006C752B">
              <w:rPr>
                <w:rFonts w:cs="Times New Roman"/>
                <w:sz w:val="22"/>
              </w:rPr>
              <w:t>1</w:t>
            </w:r>
          </w:p>
        </w:tc>
        <w:tc>
          <w:tcPr>
            <w:tcW w:w="1035" w:type="dxa"/>
            <w:noWrap/>
            <w:vAlign w:val="center"/>
          </w:tcPr>
          <w:p w14:paraId="4E14A9BD" w14:textId="77777777" w:rsidR="006E6623" w:rsidRPr="00D817D3" w:rsidRDefault="006E6623" w:rsidP="00B020EB">
            <w:pPr>
              <w:spacing w:line="240" w:lineRule="auto"/>
              <w:jc w:val="center"/>
              <w:rPr>
                <w:rFonts w:cs="Times New Roman"/>
                <w:sz w:val="22"/>
              </w:rPr>
            </w:pPr>
            <w:r w:rsidRPr="00D817D3">
              <w:rPr>
                <w:rFonts w:cs="Times New Roman"/>
                <w:sz w:val="22"/>
              </w:rPr>
              <w:t>125.48</w:t>
            </w:r>
          </w:p>
        </w:tc>
        <w:tc>
          <w:tcPr>
            <w:tcW w:w="1425" w:type="dxa"/>
            <w:noWrap/>
            <w:vAlign w:val="center"/>
            <w:hideMark/>
          </w:tcPr>
          <w:p w14:paraId="09C09660" w14:textId="6E56356C" w:rsidR="006E6623" w:rsidRPr="00D817D3" w:rsidRDefault="006E6623" w:rsidP="00B020EB">
            <w:pPr>
              <w:spacing w:line="240" w:lineRule="auto"/>
              <w:jc w:val="center"/>
              <w:rPr>
                <w:rFonts w:cs="Times New Roman"/>
                <w:sz w:val="22"/>
              </w:rPr>
            </w:pPr>
            <w:r w:rsidRPr="00D817D3">
              <w:rPr>
                <w:rFonts w:cs="Times New Roman"/>
                <w:sz w:val="22"/>
              </w:rPr>
              <w:t>0.14</w:t>
            </w:r>
            <w:r w:rsidR="009C74C5">
              <w:rPr>
                <w:rFonts w:cs="Times New Roman"/>
                <w:sz w:val="22"/>
              </w:rPr>
              <w:t>2</w:t>
            </w:r>
          </w:p>
        </w:tc>
        <w:tc>
          <w:tcPr>
            <w:tcW w:w="1102" w:type="dxa"/>
            <w:tcBorders>
              <w:right w:val="double" w:sz="12" w:space="0" w:color="auto"/>
            </w:tcBorders>
            <w:noWrap/>
            <w:vAlign w:val="center"/>
            <w:hideMark/>
          </w:tcPr>
          <w:p w14:paraId="3C5584C4" w14:textId="77777777" w:rsidR="006E6623" w:rsidRPr="00D817D3" w:rsidRDefault="006E6623" w:rsidP="00B020EB">
            <w:pPr>
              <w:spacing w:line="240" w:lineRule="auto"/>
              <w:jc w:val="center"/>
              <w:rPr>
                <w:rFonts w:cs="Times New Roman"/>
                <w:sz w:val="22"/>
              </w:rPr>
            </w:pPr>
            <w:r w:rsidRPr="00D817D3">
              <w:rPr>
                <w:rFonts w:cs="Times New Roman"/>
                <w:sz w:val="22"/>
              </w:rPr>
              <w:t>135.95</w:t>
            </w:r>
          </w:p>
        </w:tc>
      </w:tr>
      <w:tr w:rsidR="006E6623" w:rsidRPr="00D817D3" w14:paraId="2FEC472F" w14:textId="77777777" w:rsidTr="003C0D3A">
        <w:trPr>
          <w:trHeight w:val="290"/>
          <w:jc w:val="center"/>
        </w:trPr>
        <w:tc>
          <w:tcPr>
            <w:tcW w:w="9802" w:type="dxa"/>
            <w:gridSpan w:val="5"/>
            <w:tcBorders>
              <w:left w:val="double" w:sz="12" w:space="0" w:color="auto"/>
              <w:bottom w:val="single" w:sz="4" w:space="0" w:color="auto"/>
              <w:right w:val="double" w:sz="12" w:space="0" w:color="auto"/>
            </w:tcBorders>
            <w:noWrap/>
            <w:vAlign w:val="center"/>
            <w:hideMark/>
          </w:tcPr>
          <w:p w14:paraId="3B7C7048" w14:textId="77777777" w:rsidR="006E6623" w:rsidRPr="00D817D3" w:rsidRDefault="006E6623" w:rsidP="00B020EB">
            <w:pPr>
              <w:spacing w:line="240" w:lineRule="auto"/>
              <w:jc w:val="left"/>
              <w:rPr>
                <w:rFonts w:cs="Times New Roman"/>
                <w:b/>
                <w:bCs/>
                <w:i/>
                <w:iCs/>
                <w:sz w:val="22"/>
              </w:rPr>
            </w:pPr>
            <w:r w:rsidRPr="00D817D3">
              <w:rPr>
                <w:rFonts w:cs="Times New Roman"/>
                <w:b/>
                <w:bCs/>
                <w:i/>
                <w:iCs/>
                <w:sz w:val="22"/>
              </w:rPr>
              <w:t>Correlations</w:t>
            </w:r>
          </w:p>
        </w:tc>
      </w:tr>
      <w:tr w:rsidR="006E6623" w:rsidRPr="00D817D3" w14:paraId="6D0B7BA0" w14:textId="77777777" w:rsidTr="003C0D3A">
        <w:trPr>
          <w:trHeight w:val="290"/>
          <w:jc w:val="center"/>
        </w:trPr>
        <w:tc>
          <w:tcPr>
            <w:tcW w:w="4838" w:type="dxa"/>
            <w:tcBorders>
              <w:left w:val="double" w:sz="12" w:space="0" w:color="auto"/>
              <w:bottom w:val="double" w:sz="12" w:space="0" w:color="auto"/>
            </w:tcBorders>
            <w:noWrap/>
            <w:vAlign w:val="center"/>
            <w:hideMark/>
          </w:tcPr>
          <w:p w14:paraId="1673A56D" w14:textId="637C8C9E" w:rsidR="006E6623" w:rsidRPr="00D817D3" w:rsidRDefault="006E6623" w:rsidP="00B020EB">
            <w:pPr>
              <w:spacing w:line="240" w:lineRule="auto"/>
              <w:ind w:left="216"/>
              <w:jc w:val="left"/>
              <w:rPr>
                <w:rFonts w:cs="Times New Roman"/>
                <w:sz w:val="22"/>
              </w:rPr>
            </w:pPr>
            <w:r w:rsidRPr="00D817D3">
              <w:rPr>
                <w:rFonts w:cs="Times New Roman"/>
                <w:sz w:val="22"/>
              </w:rPr>
              <w:t>Spatial aut</w:t>
            </w:r>
            <w:r w:rsidR="00CC57C7">
              <w:rPr>
                <w:rFonts w:cs="Times New Roman"/>
                <w:sz w:val="22"/>
              </w:rPr>
              <w:t>o</w:t>
            </w:r>
            <w:r w:rsidRPr="00D817D3">
              <w:rPr>
                <w:rFonts w:cs="Times New Roman"/>
                <w:sz w:val="22"/>
              </w:rPr>
              <w:t>correlation</w:t>
            </w:r>
          </w:p>
        </w:tc>
        <w:tc>
          <w:tcPr>
            <w:tcW w:w="1402" w:type="dxa"/>
            <w:tcBorders>
              <w:bottom w:val="double" w:sz="12" w:space="0" w:color="auto"/>
            </w:tcBorders>
            <w:noWrap/>
            <w:vAlign w:val="center"/>
          </w:tcPr>
          <w:p w14:paraId="6D9E07C8" w14:textId="2A6C77A5" w:rsidR="006E6623" w:rsidRPr="00D817D3" w:rsidRDefault="006E6623" w:rsidP="00B020EB">
            <w:pPr>
              <w:spacing w:line="240" w:lineRule="auto"/>
              <w:jc w:val="center"/>
              <w:rPr>
                <w:rFonts w:cs="Times New Roman"/>
                <w:sz w:val="22"/>
              </w:rPr>
            </w:pPr>
            <w:r w:rsidRPr="00D817D3">
              <w:rPr>
                <w:rFonts w:cs="Times New Roman"/>
                <w:sz w:val="22"/>
              </w:rPr>
              <w:t>0.25</w:t>
            </w:r>
            <w:r w:rsidR="006C752B">
              <w:rPr>
                <w:rFonts w:cs="Times New Roman"/>
                <w:sz w:val="22"/>
              </w:rPr>
              <w:t>2</w:t>
            </w:r>
          </w:p>
        </w:tc>
        <w:tc>
          <w:tcPr>
            <w:tcW w:w="1035" w:type="dxa"/>
            <w:tcBorders>
              <w:bottom w:val="double" w:sz="12" w:space="0" w:color="auto"/>
            </w:tcBorders>
            <w:noWrap/>
            <w:vAlign w:val="center"/>
          </w:tcPr>
          <w:p w14:paraId="629D84E8" w14:textId="77777777" w:rsidR="006E6623" w:rsidRPr="00D817D3" w:rsidRDefault="006E6623" w:rsidP="00B020EB">
            <w:pPr>
              <w:spacing w:line="240" w:lineRule="auto"/>
              <w:jc w:val="center"/>
              <w:rPr>
                <w:rFonts w:cs="Times New Roman"/>
                <w:sz w:val="22"/>
              </w:rPr>
            </w:pPr>
            <w:r w:rsidRPr="00D817D3">
              <w:rPr>
                <w:rFonts w:cs="Times New Roman"/>
                <w:sz w:val="22"/>
              </w:rPr>
              <w:t>32.27</w:t>
            </w:r>
          </w:p>
        </w:tc>
        <w:tc>
          <w:tcPr>
            <w:tcW w:w="1425" w:type="dxa"/>
            <w:tcBorders>
              <w:bottom w:val="double" w:sz="12" w:space="0" w:color="auto"/>
            </w:tcBorders>
            <w:noWrap/>
            <w:vAlign w:val="center"/>
            <w:hideMark/>
          </w:tcPr>
          <w:p w14:paraId="50009EDC" w14:textId="14EA3FAB" w:rsidR="006E6623" w:rsidRPr="00D817D3" w:rsidRDefault="006E6623" w:rsidP="00B020EB">
            <w:pPr>
              <w:spacing w:line="240" w:lineRule="auto"/>
              <w:jc w:val="center"/>
              <w:rPr>
                <w:rFonts w:cs="Times New Roman"/>
                <w:sz w:val="22"/>
              </w:rPr>
            </w:pPr>
            <w:r w:rsidRPr="00D817D3">
              <w:rPr>
                <w:rFonts w:cs="Times New Roman"/>
                <w:sz w:val="22"/>
              </w:rPr>
              <w:t>0.27</w:t>
            </w:r>
            <w:r w:rsidR="009C74C5">
              <w:rPr>
                <w:rFonts w:cs="Times New Roman"/>
                <w:sz w:val="22"/>
              </w:rPr>
              <w:t>4</w:t>
            </w:r>
          </w:p>
        </w:tc>
        <w:tc>
          <w:tcPr>
            <w:tcW w:w="1102" w:type="dxa"/>
            <w:tcBorders>
              <w:bottom w:val="double" w:sz="12" w:space="0" w:color="auto"/>
              <w:right w:val="double" w:sz="12" w:space="0" w:color="auto"/>
            </w:tcBorders>
            <w:noWrap/>
            <w:vAlign w:val="center"/>
            <w:hideMark/>
          </w:tcPr>
          <w:p w14:paraId="42DB2AF3" w14:textId="77777777" w:rsidR="006E6623" w:rsidRPr="00D817D3" w:rsidRDefault="006E6623" w:rsidP="00B020EB">
            <w:pPr>
              <w:spacing w:line="240" w:lineRule="auto"/>
              <w:jc w:val="center"/>
              <w:rPr>
                <w:rFonts w:cs="Times New Roman"/>
                <w:sz w:val="22"/>
              </w:rPr>
            </w:pPr>
            <w:r w:rsidRPr="00D817D3">
              <w:rPr>
                <w:rFonts w:cs="Times New Roman"/>
                <w:sz w:val="22"/>
              </w:rPr>
              <w:t>36.49</w:t>
            </w:r>
          </w:p>
        </w:tc>
      </w:tr>
    </w:tbl>
    <w:p w14:paraId="1486FA74" w14:textId="223AE1A5" w:rsidR="00C118AB" w:rsidRDefault="00C118AB" w:rsidP="006E6623"/>
    <w:p w14:paraId="47EF440B" w14:textId="0AF4CF31" w:rsidR="00C118AB" w:rsidRDefault="00C118AB" w:rsidP="006E6623"/>
    <w:p w14:paraId="6CBD50EF" w14:textId="2BF212BC" w:rsidR="00C118AB" w:rsidRDefault="00C118AB" w:rsidP="006E6623"/>
    <w:p w14:paraId="00C58760" w14:textId="632885B8" w:rsidR="00C118AB" w:rsidRDefault="005042C5" w:rsidP="00C118AB">
      <w:pPr>
        <w:jc w:val="center"/>
        <w:rPr>
          <w:b/>
          <w:bCs/>
        </w:rPr>
      </w:pPr>
      <w:r w:rsidRPr="00C118AB">
        <w:rPr>
          <w:b/>
          <w:bCs/>
        </w:rPr>
        <w:lastRenderedPageBreak/>
        <w:t xml:space="preserve">Table </w:t>
      </w:r>
      <w:r w:rsidR="009812B4">
        <w:rPr>
          <w:b/>
          <w:bCs/>
        </w:rPr>
        <w:t>5</w:t>
      </w:r>
      <w:r w:rsidRPr="00C118AB">
        <w:rPr>
          <w:b/>
          <w:bCs/>
        </w:rPr>
        <w:t xml:space="preserve">: </w:t>
      </w:r>
      <w:r w:rsidR="00C118AB" w:rsidRPr="00C118AB">
        <w:rPr>
          <w:b/>
          <w:bCs/>
        </w:rPr>
        <w:t>Confusion matrix for weekday (holiday) model</w:t>
      </w:r>
    </w:p>
    <w:tbl>
      <w:tblPr>
        <w:tblStyle w:val="TableGrid"/>
        <w:tblW w:w="0" w:type="auto"/>
        <w:tblInd w:w="360" w:type="dxa"/>
        <w:tblLook w:val="04A0" w:firstRow="1" w:lastRow="0" w:firstColumn="1" w:lastColumn="0" w:noHBand="0" w:noVBand="1"/>
      </w:tblPr>
      <w:tblGrid>
        <w:gridCol w:w="1134"/>
        <w:gridCol w:w="1350"/>
        <w:gridCol w:w="1318"/>
        <w:gridCol w:w="1217"/>
        <w:gridCol w:w="1238"/>
        <w:gridCol w:w="1410"/>
        <w:gridCol w:w="1243"/>
      </w:tblGrid>
      <w:tr w:rsidR="00C118AB" w14:paraId="275952DD" w14:textId="77777777" w:rsidTr="00877CA9">
        <w:trPr>
          <w:trHeight w:val="432"/>
        </w:trPr>
        <w:tc>
          <w:tcPr>
            <w:tcW w:w="1136" w:type="dxa"/>
            <w:tcBorders>
              <w:top w:val="double" w:sz="12" w:space="0" w:color="auto"/>
              <w:left w:val="double" w:sz="12" w:space="0" w:color="auto"/>
              <w:bottom w:val="single" w:sz="4" w:space="0" w:color="auto"/>
            </w:tcBorders>
          </w:tcPr>
          <w:p w14:paraId="50C0EF8C" w14:textId="77777777" w:rsidR="00C118AB" w:rsidRPr="00F7172F" w:rsidRDefault="00C118AB" w:rsidP="0014721C">
            <w:pPr>
              <w:spacing w:line="240" w:lineRule="auto"/>
              <w:rPr>
                <w:rFonts w:eastAsiaTheme="minorEastAsia" w:cs="Times New Roman"/>
                <w:szCs w:val="24"/>
              </w:rPr>
            </w:pPr>
          </w:p>
        </w:tc>
        <w:tc>
          <w:tcPr>
            <w:tcW w:w="7854" w:type="dxa"/>
            <w:gridSpan w:val="6"/>
            <w:tcBorders>
              <w:top w:val="double" w:sz="12" w:space="0" w:color="auto"/>
              <w:right w:val="double" w:sz="12" w:space="0" w:color="auto"/>
            </w:tcBorders>
            <w:vAlign w:val="center"/>
          </w:tcPr>
          <w:p w14:paraId="14B2B869" w14:textId="512E6559" w:rsidR="00C118AB" w:rsidRPr="002063F1" w:rsidRDefault="00C118AB" w:rsidP="0014721C">
            <w:pPr>
              <w:spacing w:line="240" w:lineRule="auto"/>
              <w:jc w:val="center"/>
              <w:rPr>
                <w:rFonts w:eastAsiaTheme="minorEastAsia" w:cs="Times New Roman"/>
                <w:b/>
                <w:bCs/>
                <w:szCs w:val="24"/>
              </w:rPr>
            </w:pPr>
            <w:r w:rsidRPr="002063F1">
              <w:rPr>
                <w:rFonts w:eastAsiaTheme="minorEastAsia" w:cs="Times New Roman"/>
                <w:b/>
                <w:bCs/>
                <w:szCs w:val="24"/>
              </w:rPr>
              <w:t>Predicted traffic volume recovery</w:t>
            </w:r>
            <w:r w:rsidR="002063F1">
              <w:rPr>
                <w:rFonts w:eastAsiaTheme="minorEastAsia" w:cs="Times New Roman"/>
                <w:b/>
                <w:bCs/>
                <w:szCs w:val="24"/>
              </w:rPr>
              <w:t xml:space="preserve"> rate</w:t>
            </w:r>
          </w:p>
        </w:tc>
      </w:tr>
      <w:tr w:rsidR="00C118AB" w14:paraId="6F549D18" w14:textId="77777777" w:rsidTr="00877CA9">
        <w:trPr>
          <w:trHeight w:val="432"/>
        </w:trPr>
        <w:tc>
          <w:tcPr>
            <w:tcW w:w="1136" w:type="dxa"/>
            <w:vMerge w:val="restart"/>
            <w:tcBorders>
              <w:left w:val="double" w:sz="12" w:space="0" w:color="auto"/>
              <w:bottom w:val="double" w:sz="12" w:space="0" w:color="auto"/>
            </w:tcBorders>
            <w:vAlign w:val="center"/>
          </w:tcPr>
          <w:p w14:paraId="28CC9D09" w14:textId="35F75C30" w:rsidR="00C118AB" w:rsidRPr="002063F1" w:rsidRDefault="004D5F6B" w:rsidP="0014721C">
            <w:pPr>
              <w:spacing w:line="240" w:lineRule="auto"/>
              <w:jc w:val="center"/>
              <w:rPr>
                <w:rFonts w:eastAsiaTheme="minorEastAsia" w:cs="Times New Roman"/>
                <w:b/>
                <w:bCs/>
                <w:szCs w:val="24"/>
              </w:rPr>
            </w:pPr>
            <w:r w:rsidRPr="002063F1">
              <w:rPr>
                <w:rFonts w:eastAsiaTheme="minorEastAsia" w:cs="Times New Roman"/>
                <w:b/>
                <w:bCs/>
                <w:szCs w:val="24"/>
              </w:rPr>
              <w:t>True</w:t>
            </w:r>
            <w:r w:rsidR="00C118AB" w:rsidRPr="002063F1">
              <w:rPr>
                <w:rFonts w:eastAsiaTheme="minorEastAsia" w:cs="Times New Roman"/>
                <w:b/>
                <w:bCs/>
                <w:szCs w:val="24"/>
              </w:rPr>
              <w:t xml:space="preserve"> traffic volume recovery</w:t>
            </w:r>
            <w:r w:rsidR="002063F1">
              <w:rPr>
                <w:rFonts w:eastAsiaTheme="minorEastAsia" w:cs="Times New Roman"/>
                <w:b/>
                <w:bCs/>
                <w:szCs w:val="24"/>
              </w:rPr>
              <w:t xml:space="preserve"> rate</w:t>
            </w:r>
          </w:p>
        </w:tc>
        <w:tc>
          <w:tcPr>
            <w:tcW w:w="1382" w:type="dxa"/>
          </w:tcPr>
          <w:p w14:paraId="4CB13750" w14:textId="77777777" w:rsidR="00C118AB" w:rsidRPr="00F7172F" w:rsidRDefault="00C118AB" w:rsidP="0014721C">
            <w:pPr>
              <w:spacing w:line="240" w:lineRule="auto"/>
              <w:rPr>
                <w:rFonts w:eastAsiaTheme="minorEastAsia" w:cs="Times New Roman"/>
                <w:szCs w:val="24"/>
              </w:rPr>
            </w:pPr>
          </w:p>
        </w:tc>
        <w:tc>
          <w:tcPr>
            <w:tcW w:w="1334" w:type="dxa"/>
            <w:vAlign w:val="center"/>
          </w:tcPr>
          <w:p w14:paraId="45A3D81F" w14:textId="77777777" w:rsidR="00C118AB" w:rsidRPr="00F7172F" w:rsidRDefault="00C118AB" w:rsidP="0014721C">
            <w:pPr>
              <w:spacing w:line="240" w:lineRule="auto"/>
              <w:jc w:val="center"/>
              <w:rPr>
                <w:rFonts w:eastAsiaTheme="minorEastAsia" w:cs="Times New Roman"/>
                <w:szCs w:val="24"/>
              </w:rPr>
            </w:pPr>
            <w:r w:rsidRPr="00F7172F">
              <w:rPr>
                <w:rFonts w:eastAsiaTheme="minorEastAsia" w:cs="Times New Roman"/>
                <w:szCs w:val="24"/>
              </w:rPr>
              <w:t>Less than 0.81</w:t>
            </w:r>
          </w:p>
        </w:tc>
        <w:tc>
          <w:tcPr>
            <w:tcW w:w="1222" w:type="dxa"/>
            <w:vAlign w:val="center"/>
          </w:tcPr>
          <w:p w14:paraId="39A6F1DB" w14:textId="77777777" w:rsidR="00C118AB" w:rsidRPr="00F7172F" w:rsidRDefault="00C118AB" w:rsidP="0014721C">
            <w:pPr>
              <w:spacing w:line="240" w:lineRule="auto"/>
              <w:jc w:val="center"/>
              <w:rPr>
                <w:rFonts w:eastAsiaTheme="minorEastAsia" w:cs="Times New Roman"/>
                <w:szCs w:val="24"/>
              </w:rPr>
            </w:pPr>
            <w:r w:rsidRPr="00F7172F">
              <w:rPr>
                <w:rFonts w:eastAsiaTheme="minorEastAsia" w:cs="Times New Roman"/>
                <w:szCs w:val="24"/>
              </w:rPr>
              <w:t>0.81 to 0.90</w:t>
            </w:r>
          </w:p>
        </w:tc>
        <w:tc>
          <w:tcPr>
            <w:tcW w:w="1244" w:type="dxa"/>
            <w:vAlign w:val="center"/>
          </w:tcPr>
          <w:p w14:paraId="54993B2B" w14:textId="77777777" w:rsidR="00C118AB" w:rsidRPr="00F7172F" w:rsidRDefault="00C118AB" w:rsidP="0014721C">
            <w:pPr>
              <w:spacing w:line="240" w:lineRule="auto"/>
              <w:jc w:val="center"/>
              <w:rPr>
                <w:rFonts w:eastAsiaTheme="minorEastAsia" w:cs="Times New Roman"/>
                <w:szCs w:val="24"/>
              </w:rPr>
            </w:pPr>
            <w:r w:rsidRPr="00F7172F">
              <w:rPr>
                <w:rFonts w:eastAsiaTheme="minorEastAsia" w:cs="Times New Roman"/>
                <w:szCs w:val="24"/>
              </w:rPr>
              <w:t>0.90 to 0.95</w:t>
            </w:r>
          </w:p>
        </w:tc>
        <w:tc>
          <w:tcPr>
            <w:tcW w:w="1423" w:type="dxa"/>
            <w:vAlign w:val="center"/>
          </w:tcPr>
          <w:p w14:paraId="157FCDF2" w14:textId="77777777" w:rsidR="00C118AB" w:rsidRPr="00F7172F" w:rsidRDefault="00C118AB" w:rsidP="0014721C">
            <w:pPr>
              <w:spacing w:line="240" w:lineRule="auto"/>
              <w:jc w:val="center"/>
              <w:rPr>
                <w:rFonts w:eastAsiaTheme="minorEastAsia" w:cs="Times New Roman"/>
                <w:szCs w:val="24"/>
              </w:rPr>
            </w:pPr>
            <w:r w:rsidRPr="00F7172F">
              <w:rPr>
                <w:rFonts w:eastAsiaTheme="minorEastAsia" w:cs="Times New Roman"/>
                <w:szCs w:val="24"/>
              </w:rPr>
              <w:t>More than 0.95</w:t>
            </w:r>
          </w:p>
        </w:tc>
        <w:tc>
          <w:tcPr>
            <w:tcW w:w="1249" w:type="dxa"/>
            <w:tcBorders>
              <w:right w:val="double" w:sz="12" w:space="0" w:color="auto"/>
            </w:tcBorders>
            <w:vAlign w:val="center"/>
          </w:tcPr>
          <w:p w14:paraId="630C70EA" w14:textId="77777777" w:rsidR="00C118AB" w:rsidRPr="00F7172F" w:rsidRDefault="00C118AB" w:rsidP="0014721C">
            <w:pPr>
              <w:spacing w:line="240" w:lineRule="auto"/>
              <w:jc w:val="center"/>
              <w:rPr>
                <w:rFonts w:eastAsiaTheme="minorEastAsia" w:cs="Times New Roman"/>
                <w:szCs w:val="24"/>
              </w:rPr>
            </w:pPr>
            <w:r w:rsidRPr="00F7172F">
              <w:rPr>
                <w:rFonts w:eastAsiaTheme="minorEastAsia" w:cs="Times New Roman"/>
                <w:szCs w:val="24"/>
              </w:rPr>
              <w:t>Total</w:t>
            </w:r>
          </w:p>
        </w:tc>
      </w:tr>
      <w:tr w:rsidR="00C118AB" w14:paraId="77DE40B7" w14:textId="77777777" w:rsidTr="00877CA9">
        <w:trPr>
          <w:trHeight w:val="432"/>
        </w:trPr>
        <w:tc>
          <w:tcPr>
            <w:tcW w:w="1136" w:type="dxa"/>
            <w:vMerge/>
            <w:tcBorders>
              <w:left w:val="double" w:sz="12" w:space="0" w:color="auto"/>
              <w:bottom w:val="double" w:sz="12" w:space="0" w:color="auto"/>
            </w:tcBorders>
          </w:tcPr>
          <w:p w14:paraId="1C1B84A0" w14:textId="77777777" w:rsidR="00C118AB" w:rsidRPr="00F7172F" w:rsidRDefault="00C118AB" w:rsidP="0014721C">
            <w:pPr>
              <w:spacing w:line="240" w:lineRule="auto"/>
              <w:rPr>
                <w:rFonts w:eastAsiaTheme="minorEastAsia" w:cs="Times New Roman"/>
                <w:szCs w:val="24"/>
              </w:rPr>
            </w:pPr>
          </w:p>
        </w:tc>
        <w:tc>
          <w:tcPr>
            <w:tcW w:w="1382" w:type="dxa"/>
            <w:vAlign w:val="center"/>
          </w:tcPr>
          <w:p w14:paraId="66BBBEF8" w14:textId="77777777" w:rsidR="00C118AB" w:rsidRPr="00F7172F" w:rsidRDefault="00C118AB" w:rsidP="0014721C">
            <w:pPr>
              <w:spacing w:line="240" w:lineRule="auto"/>
              <w:jc w:val="left"/>
              <w:rPr>
                <w:rFonts w:eastAsiaTheme="minorEastAsia" w:cs="Times New Roman"/>
                <w:szCs w:val="24"/>
              </w:rPr>
            </w:pPr>
            <w:r w:rsidRPr="00F7172F">
              <w:rPr>
                <w:rFonts w:eastAsiaTheme="minorEastAsia" w:cs="Times New Roman"/>
                <w:szCs w:val="24"/>
              </w:rPr>
              <w:t>Less than 0.81</w:t>
            </w:r>
          </w:p>
        </w:tc>
        <w:tc>
          <w:tcPr>
            <w:tcW w:w="1334" w:type="dxa"/>
            <w:vAlign w:val="center"/>
          </w:tcPr>
          <w:p w14:paraId="16883E89" w14:textId="77777777" w:rsidR="00877CA9" w:rsidRDefault="004D5F6B" w:rsidP="00877CA9">
            <w:pPr>
              <w:spacing w:line="240" w:lineRule="auto"/>
              <w:jc w:val="center"/>
              <w:rPr>
                <w:rFonts w:eastAsiaTheme="minorEastAsia" w:cs="Times New Roman"/>
                <w:szCs w:val="24"/>
              </w:rPr>
            </w:pPr>
            <w:r w:rsidRPr="0014721C">
              <w:rPr>
                <w:rFonts w:eastAsiaTheme="minorEastAsia" w:cs="Times New Roman"/>
                <w:szCs w:val="24"/>
              </w:rPr>
              <w:t>---</w:t>
            </w:r>
          </w:p>
          <w:p w14:paraId="752D45ED" w14:textId="291B473A" w:rsidR="00C118AB" w:rsidRPr="0014721C" w:rsidRDefault="00C118AB" w:rsidP="00877CA9">
            <w:pPr>
              <w:spacing w:line="240" w:lineRule="auto"/>
              <w:jc w:val="center"/>
              <w:rPr>
                <w:rFonts w:eastAsiaTheme="minorEastAsia" w:cs="Times New Roman"/>
                <w:szCs w:val="24"/>
              </w:rPr>
            </w:pPr>
            <w:r w:rsidRPr="0014721C">
              <w:rPr>
                <w:rFonts w:eastAsiaTheme="minorEastAsia" w:cs="Times New Roman"/>
                <w:szCs w:val="24"/>
              </w:rPr>
              <w:t>(---)</w:t>
            </w:r>
          </w:p>
        </w:tc>
        <w:tc>
          <w:tcPr>
            <w:tcW w:w="1222" w:type="dxa"/>
            <w:vAlign w:val="center"/>
          </w:tcPr>
          <w:p w14:paraId="2AD1584A" w14:textId="77777777" w:rsidR="00877CA9" w:rsidRDefault="004D5F6B" w:rsidP="00877CA9">
            <w:pPr>
              <w:spacing w:line="240" w:lineRule="auto"/>
              <w:jc w:val="center"/>
              <w:rPr>
                <w:rFonts w:eastAsiaTheme="minorEastAsia" w:cs="Times New Roman"/>
                <w:b/>
                <w:bCs/>
                <w:szCs w:val="24"/>
              </w:rPr>
            </w:pPr>
            <w:r w:rsidRPr="0014721C">
              <w:rPr>
                <w:rFonts w:eastAsiaTheme="minorEastAsia" w:cs="Times New Roman"/>
                <w:b/>
                <w:bCs/>
                <w:szCs w:val="24"/>
              </w:rPr>
              <w:t>---</w:t>
            </w:r>
          </w:p>
          <w:p w14:paraId="1411FC13" w14:textId="058DC529" w:rsidR="00C118AB" w:rsidRPr="0014721C" w:rsidRDefault="00C118AB" w:rsidP="00877CA9">
            <w:pPr>
              <w:spacing w:line="240" w:lineRule="auto"/>
              <w:jc w:val="center"/>
              <w:rPr>
                <w:rFonts w:eastAsiaTheme="minorEastAsia" w:cs="Times New Roman"/>
                <w:b/>
                <w:bCs/>
                <w:szCs w:val="24"/>
              </w:rPr>
            </w:pPr>
            <w:r w:rsidRPr="0014721C">
              <w:rPr>
                <w:rFonts w:eastAsiaTheme="minorEastAsia" w:cs="Times New Roman"/>
                <w:b/>
                <w:bCs/>
                <w:szCs w:val="24"/>
              </w:rPr>
              <w:t>(---)</w:t>
            </w:r>
          </w:p>
        </w:tc>
        <w:tc>
          <w:tcPr>
            <w:tcW w:w="1244" w:type="dxa"/>
            <w:vAlign w:val="center"/>
          </w:tcPr>
          <w:p w14:paraId="0CB97E7D" w14:textId="77777777" w:rsidR="00877CA9" w:rsidRDefault="004D5F6B" w:rsidP="00877CA9">
            <w:pPr>
              <w:spacing w:line="240" w:lineRule="auto"/>
              <w:jc w:val="center"/>
              <w:rPr>
                <w:rFonts w:eastAsiaTheme="minorEastAsia" w:cs="Times New Roman"/>
                <w:b/>
                <w:bCs/>
                <w:szCs w:val="24"/>
              </w:rPr>
            </w:pPr>
            <w:r w:rsidRPr="0014721C">
              <w:rPr>
                <w:rFonts w:eastAsiaTheme="minorEastAsia" w:cs="Times New Roman"/>
                <w:b/>
                <w:bCs/>
                <w:szCs w:val="24"/>
              </w:rPr>
              <w:t>---</w:t>
            </w:r>
          </w:p>
          <w:p w14:paraId="4C3B2CD5" w14:textId="43396A8D" w:rsidR="00C118AB" w:rsidRPr="0014721C" w:rsidRDefault="00C118AB" w:rsidP="00877CA9">
            <w:pPr>
              <w:spacing w:line="240" w:lineRule="auto"/>
              <w:jc w:val="center"/>
              <w:rPr>
                <w:rFonts w:eastAsiaTheme="minorEastAsia" w:cs="Times New Roman"/>
                <w:b/>
                <w:bCs/>
                <w:szCs w:val="24"/>
              </w:rPr>
            </w:pPr>
            <w:r w:rsidRPr="0014721C">
              <w:rPr>
                <w:rFonts w:eastAsiaTheme="minorEastAsia" w:cs="Times New Roman"/>
                <w:b/>
                <w:bCs/>
                <w:szCs w:val="24"/>
              </w:rPr>
              <w:t>(---)</w:t>
            </w:r>
          </w:p>
        </w:tc>
        <w:tc>
          <w:tcPr>
            <w:tcW w:w="1423" w:type="dxa"/>
            <w:vAlign w:val="center"/>
          </w:tcPr>
          <w:p w14:paraId="3F9F2FF8" w14:textId="77777777" w:rsidR="00877CA9" w:rsidRDefault="004D5F6B" w:rsidP="00877CA9">
            <w:pPr>
              <w:spacing w:line="240" w:lineRule="auto"/>
              <w:jc w:val="center"/>
              <w:rPr>
                <w:rFonts w:eastAsiaTheme="minorEastAsia" w:cs="Times New Roman"/>
                <w:b/>
                <w:bCs/>
                <w:szCs w:val="24"/>
              </w:rPr>
            </w:pPr>
            <w:r w:rsidRPr="0014721C">
              <w:rPr>
                <w:rFonts w:eastAsiaTheme="minorEastAsia" w:cs="Times New Roman"/>
                <w:b/>
                <w:bCs/>
                <w:szCs w:val="24"/>
              </w:rPr>
              <w:t>---</w:t>
            </w:r>
          </w:p>
          <w:p w14:paraId="7D2F3705" w14:textId="2F03CB68" w:rsidR="00C118AB" w:rsidRPr="0014721C" w:rsidRDefault="00C118AB" w:rsidP="00877CA9">
            <w:pPr>
              <w:spacing w:line="240" w:lineRule="auto"/>
              <w:jc w:val="center"/>
              <w:rPr>
                <w:rFonts w:eastAsiaTheme="minorEastAsia" w:cs="Times New Roman"/>
                <w:b/>
                <w:bCs/>
                <w:szCs w:val="24"/>
              </w:rPr>
            </w:pPr>
            <w:r w:rsidRPr="0014721C">
              <w:rPr>
                <w:rFonts w:eastAsiaTheme="minorEastAsia" w:cs="Times New Roman"/>
                <w:b/>
                <w:bCs/>
                <w:szCs w:val="24"/>
              </w:rPr>
              <w:t>(---)</w:t>
            </w:r>
          </w:p>
        </w:tc>
        <w:tc>
          <w:tcPr>
            <w:tcW w:w="1249" w:type="dxa"/>
            <w:tcBorders>
              <w:right w:val="double" w:sz="12" w:space="0" w:color="auto"/>
            </w:tcBorders>
            <w:vAlign w:val="center"/>
          </w:tcPr>
          <w:p w14:paraId="714FBEA0" w14:textId="77777777" w:rsidR="00877CA9" w:rsidRDefault="004D5F6B" w:rsidP="00877CA9">
            <w:pPr>
              <w:spacing w:line="240" w:lineRule="auto"/>
              <w:jc w:val="center"/>
              <w:rPr>
                <w:rFonts w:eastAsiaTheme="minorEastAsia" w:cs="Times New Roman"/>
                <w:b/>
                <w:bCs/>
                <w:szCs w:val="24"/>
              </w:rPr>
            </w:pPr>
            <w:r w:rsidRPr="0014721C">
              <w:rPr>
                <w:rFonts w:eastAsiaTheme="minorEastAsia" w:cs="Times New Roman"/>
                <w:b/>
                <w:bCs/>
                <w:szCs w:val="24"/>
              </w:rPr>
              <w:t>---</w:t>
            </w:r>
          </w:p>
          <w:p w14:paraId="2A0E0B8F" w14:textId="1D5C19A0" w:rsidR="00C118AB" w:rsidRPr="0014721C" w:rsidRDefault="00C118AB" w:rsidP="00877CA9">
            <w:pPr>
              <w:spacing w:line="240" w:lineRule="auto"/>
              <w:jc w:val="center"/>
              <w:rPr>
                <w:rFonts w:eastAsiaTheme="minorEastAsia" w:cs="Times New Roman"/>
                <w:b/>
                <w:bCs/>
                <w:szCs w:val="24"/>
              </w:rPr>
            </w:pPr>
            <w:r w:rsidRPr="0014721C">
              <w:rPr>
                <w:rFonts w:eastAsiaTheme="minorEastAsia" w:cs="Times New Roman"/>
                <w:b/>
                <w:bCs/>
                <w:szCs w:val="24"/>
              </w:rPr>
              <w:t>(---)</w:t>
            </w:r>
          </w:p>
        </w:tc>
      </w:tr>
      <w:tr w:rsidR="00C118AB" w14:paraId="07C80941" w14:textId="77777777" w:rsidTr="00877CA9">
        <w:trPr>
          <w:trHeight w:val="432"/>
        </w:trPr>
        <w:tc>
          <w:tcPr>
            <w:tcW w:w="1136" w:type="dxa"/>
            <w:vMerge/>
            <w:tcBorders>
              <w:left w:val="double" w:sz="12" w:space="0" w:color="auto"/>
              <w:bottom w:val="double" w:sz="12" w:space="0" w:color="auto"/>
            </w:tcBorders>
          </w:tcPr>
          <w:p w14:paraId="2465AF88" w14:textId="77777777" w:rsidR="00C118AB" w:rsidRPr="00F7172F" w:rsidRDefault="00C118AB" w:rsidP="0014721C">
            <w:pPr>
              <w:spacing w:line="240" w:lineRule="auto"/>
              <w:rPr>
                <w:rFonts w:eastAsiaTheme="minorEastAsia" w:cs="Times New Roman"/>
                <w:szCs w:val="24"/>
              </w:rPr>
            </w:pPr>
          </w:p>
        </w:tc>
        <w:tc>
          <w:tcPr>
            <w:tcW w:w="1382" w:type="dxa"/>
            <w:vAlign w:val="center"/>
          </w:tcPr>
          <w:p w14:paraId="6C0BC267" w14:textId="77777777" w:rsidR="00C118AB" w:rsidRPr="00F7172F" w:rsidRDefault="00C118AB" w:rsidP="0014721C">
            <w:pPr>
              <w:spacing w:line="240" w:lineRule="auto"/>
              <w:jc w:val="left"/>
              <w:rPr>
                <w:rFonts w:eastAsiaTheme="minorEastAsia" w:cs="Times New Roman"/>
                <w:szCs w:val="24"/>
              </w:rPr>
            </w:pPr>
            <w:r w:rsidRPr="00F7172F">
              <w:rPr>
                <w:rFonts w:eastAsiaTheme="minorEastAsia" w:cs="Times New Roman"/>
                <w:szCs w:val="24"/>
              </w:rPr>
              <w:t>0.81 to 0.90</w:t>
            </w:r>
          </w:p>
        </w:tc>
        <w:tc>
          <w:tcPr>
            <w:tcW w:w="1334" w:type="dxa"/>
          </w:tcPr>
          <w:p w14:paraId="1A2DECFF"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0.11%</w:t>
            </w:r>
          </w:p>
          <w:p w14:paraId="6EE9A49D"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(0.10%)</w:t>
            </w:r>
          </w:p>
        </w:tc>
        <w:tc>
          <w:tcPr>
            <w:tcW w:w="1222" w:type="dxa"/>
          </w:tcPr>
          <w:p w14:paraId="145CFACC" w14:textId="77777777" w:rsidR="00C118AB" w:rsidRPr="00F7172F" w:rsidRDefault="00C118AB" w:rsidP="0014721C">
            <w:pPr>
              <w:spacing w:line="240" w:lineRule="auto"/>
              <w:jc w:val="center"/>
              <w:rPr>
                <w:rFonts w:eastAsiaTheme="minorEastAsia" w:cs="Times New Roman"/>
                <w:b/>
                <w:bCs/>
                <w:szCs w:val="24"/>
              </w:rPr>
            </w:pPr>
            <w:r w:rsidRPr="00F7172F">
              <w:rPr>
                <w:rFonts w:cs="Times New Roman"/>
                <w:b/>
                <w:bCs/>
                <w:szCs w:val="24"/>
              </w:rPr>
              <w:t>1.34%</w:t>
            </w:r>
          </w:p>
          <w:p w14:paraId="4E0E1CFB" w14:textId="77777777" w:rsidR="00C118AB" w:rsidRPr="00F7172F" w:rsidRDefault="00C118AB" w:rsidP="0014721C">
            <w:pPr>
              <w:spacing w:line="240" w:lineRule="auto"/>
              <w:jc w:val="center"/>
              <w:rPr>
                <w:rFonts w:eastAsiaTheme="minorEastAsia" w:cs="Times New Roman"/>
                <w:szCs w:val="24"/>
              </w:rPr>
            </w:pPr>
            <w:r w:rsidRPr="00F7172F">
              <w:rPr>
                <w:rFonts w:cs="Times New Roman"/>
                <w:b/>
                <w:bCs/>
                <w:szCs w:val="24"/>
              </w:rPr>
              <w:t>(0.97%)</w:t>
            </w:r>
          </w:p>
        </w:tc>
        <w:tc>
          <w:tcPr>
            <w:tcW w:w="1244" w:type="dxa"/>
          </w:tcPr>
          <w:p w14:paraId="0E7A9DDB"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0.20%</w:t>
            </w:r>
          </w:p>
          <w:p w14:paraId="110697C7"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(0.24%)</w:t>
            </w:r>
          </w:p>
        </w:tc>
        <w:tc>
          <w:tcPr>
            <w:tcW w:w="1423" w:type="dxa"/>
          </w:tcPr>
          <w:p w14:paraId="44F97021"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0.21%</w:t>
            </w:r>
          </w:p>
          <w:p w14:paraId="304F7CBA"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(0.58%)</w:t>
            </w:r>
          </w:p>
        </w:tc>
        <w:tc>
          <w:tcPr>
            <w:tcW w:w="1249" w:type="dxa"/>
            <w:tcBorders>
              <w:right w:val="double" w:sz="12" w:space="0" w:color="auto"/>
            </w:tcBorders>
          </w:tcPr>
          <w:p w14:paraId="7470C422"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1.86%</w:t>
            </w:r>
          </w:p>
          <w:p w14:paraId="25214104"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(1.89%)</w:t>
            </w:r>
          </w:p>
        </w:tc>
      </w:tr>
      <w:tr w:rsidR="00C118AB" w14:paraId="64B157C5" w14:textId="77777777" w:rsidTr="00877CA9">
        <w:trPr>
          <w:trHeight w:val="432"/>
        </w:trPr>
        <w:tc>
          <w:tcPr>
            <w:tcW w:w="1136" w:type="dxa"/>
            <w:vMerge/>
            <w:tcBorders>
              <w:left w:val="double" w:sz="12" w:space="0" w:color="auto"/>
              <w:bottom w:val="double" w:sz="12" w:space="0" w:color="auto"/>
            </w:tcBorders>
          </w:tcPr>
          <w:p w14:paraId="2017AB14" w14:textId="77777777" w:rsidR="00C118AB" w:rsidRPr="00F7172F" w:rsidRDefault="00C118AB" w:rsidP="0014721C">
            <w:pPr>
              <w:spacing w:line="240" w:lineRule="auto"/>
              <w:rPr>
                <w:rFonts w:eastAsiaTheme="minorEastAsia" w:cs="Times New Roman"/>
                <w:szCs w:val="24"/>
              </w:rPr>
            </w:pPr>
          </w:p>
        </w:tc>
        <w:tc>
          <w:tcPr>
            <w:tcW w:w="1382" w:type="dxa"/>
            <w:vAlign w:val="center"/>
          </w:tcPr>
          <w:p w14:paraId="470AD50A" w14:textId="77777777" w:rsidR="00C118AB" w:rsidRPr="00F7172F" w:rsidRDefault="00C118AB" w:rsidP="0014721C">
            <w:pPr>
              <w:spacing w:line="240" w:lineRule="auto"/>
              <w:jc w:val="left"/>
              <w:rPr>
                <w:rFonts w:eastAsiaTheme="minorEastAsia" w:cs="Times New Roman"/>
                <w:szCs w:val="24"/>
              </w:rPr>
            </w:pPr>
            <w:r w:rsidRPr="00F7172F">
              <w:rPr>
                <w:rFonts w:eastAsiaTheme="minorEastAsia" w:cs="Times New Roman"/>
                <w:szCs w:val="24"/>
              </w:rPr>
              <w:t>0.90 to 0.95</w:t>
            </w:r>
          </w:p>
        </w:tc>
        <w:tc>
          <w:tcPr>
            <w:tcW w:w="1334" w:type="dxa"/>
          </w:tcPr>
          <w:p w14:paraId="059BB202"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0.01%</w:t>
            </w:r>
          </w:p>
          <w:p w14:paraId="4108B43E"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(0.13%)</w:t>
            </w:r>
          </w:p>
        </w:tc>
        <w:tc>
          <w:tcPr>
            <w:tcW w:w="1222" w:type="dxa"/>
          </w:tcPr>
          <w:p w14:paraId="05F78D3D"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2.15%</w:t>
            </w:r>
          </w:p>
          <w:p w14:paraId="04F2010E"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(3.72%)</w:t>
            </w:r>
          </w:p>
        </w:tc>
        <w:tc>
          <w:tcPr>
            <w:tcW w:w="1244" w:type="dxa"/>
          </w:tcPr>
          <w:p w14:paraId="531F29C9" w14:textId="77777777" w:rsidR="00C118AB" w:rsidRPr="00F7172F" w:rsidRDefault="00C118AB" w:rsidP="0014721C">
            <w:pPr>
              <w:spacing w:line="240" w:lineRule="auto"/>
              <w:jc w:val="center"/>
              <w:rPr>
                <w:rFonts w:eastAsiaTheme="minorEastAsia" w:cs="Times New Roman"/>
                <w:b/>
                <w:bCs/>
                <w:szCs w:val="24"/>
              </w:rPr>
            </w:pPr>
            <w:r w:rsidRPr="00F7172F">
              <w:rPr>
                <w:rFonts w:cs="Times New Roman"/>
                <w:b/>
                <w:bCs/>
                <w:szCs w:val="24"/>
              </w:rPr>
              <w:t>2.59%</w:t>
            </w:r>
          </w:p>
          <w:p w14:paraId="6D92EA98" w14:textId="77777777" w:rsidR="00C118AB" w:rsidRPr="00F7172F" w:rsidRDefault="00C118AB" w:rsidP="0014721C">
            <w:pPr>
              <w:spacing w:line="240" w:lineRule="auto"/>
              <w:jc w:val="center"/>
              <w:rPr>
                <w:rFonts w:eastAsiaTheme="minorEastAsia" w:cs="Times New Roman"/>
                <w:szCs w:val="24"/>
              </w:rPr>
            </w:pPr>
            <w:r w:rsidRPr="00F7172F">
              <w:rPr>
                <w:rFonts w:cs="Times New Roman"/>
                <w:b/>
                <w:bCs/>
                <w:szCs w:val="24"/>
              </w:rPr>
              <w:t>(3.10%)</w:t>
            </w:r>
          </w:p>
        </w:tc>
        <w:tc>
          <w:tcPr>
            <w:tcW w:w="1423" w:type="dxa"/>
          </w:tcPr>
          <w:p w14:paraId="383EBC9C"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0.56%</w:t>
            </w:r>
          </w:p>
          <w:p w14:paraId="59D67C05"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(1.68%)</w:t>
            </w:r>
          </w:p>
        </w:tc>
        <w:tc>
          <w:tcPr>
            <w:tcW w:w="1249" w:type="dxa"/>
            <w:tcBorders>
              <w:right w:val="double" w:sz="12" w:space="0" w:color="auto"/>
            </w:tcBorders>
          </w:tcPr>
          <w:p w14:paraId="1460B35F"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5.32%</w:t>
            </w:r>
          </w:p>
          <w:p w14:paraId="5CCDF809"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(8.63%)</w:t>
            </w:r>
          </w:p>
        </w:tc>
      </w:tr>
      <w:tr w:rsidR="00C118AB" w14:paraId="292FA016" w14:textId="77777777" w:rsidTr="00877CA9">
        <w:trPr>
          <w:trHeight w:val="432"/>
        </w:trPr>
        <w:tc>
          <w:tcPr>
            <w:tcW w:w="1136" w:type="dxa"/>
            <w:vMerge/>
            <w:tcBorders>
              <w:left w:val="double" w:sz="12" w:space="0" w:color="auto"/>
              <w:bottom w:val="double" w:sz="12" w:space="0" w:color="auto"/>
            </w:tcBorders>
          </w:tcPr>
          <w:p w14:paraId="02810CFE" w14:textId="77777777" w:rsidR="00C118AB" w:rsidRPr="00F7172F" w:rsidRDefault="00C118AB" w:rsidP="0014721C">
            <w:pPr>
              <w:spacing w:line="240" w:lineRule="auto"/>
              <w:rPr>
                <w:rFonts w:eastAsiaTheme="minorEastAsia" w:cs="Times New Roman"/>
                <w:szCs w:val="24"/>
              </w:rPr>
            </w:pPr>
          </w:p>
        </w:tc>
        <w:tc>
          <w:tcPr>
            <w:tcW w:w="1382" w:type="dxa"/>
            <w:tcBorders>
              <w:bottom w:val="single" w:sz="4" w:space="0" w:color="auto"/>
            </w:tcBorders>
            <w:vAlign w:val="center"/>
          </w:tcPr>
          <w:p w14:paraId="2BDC1962" w14:textId="77777777" w:rsidR="00C118AB" w:rsidRPr="00F7172F" w:rsidRDefault="00C118AB" w:rsidP="0014721C">
            <w:pPr>
              <w:spacing w:line="240" w:lineRule="auto"/>
              <w:jc w:val="left"/>
              <w:rPr>
                <w:rFonts w:eastAsiaTheme="minorEastAsia" w:cs="Times New Roman"/>
                <w:szCs w:val="24"/>
              </w:rPr>
            </w:pPr>
            <w:r w:rsidRPr="00F7172F">
              <w:rPr>
                <w:rFonts w:eastAsiaTheme="minorEastAsia" w:cs="Times New Roman"/>
                <w:szCs w:val="24"/>
              </w:rPr>
              <w:t>More than 0.95</w:t>
            </w:r>
          </w:p>
        </w:tc>
        <w:tc>
          <w:tcPr>
            <w:tcW w:w="1334" w:type="dxa"/>
            <w:tcBorders>
              <w:bottom w:val="single" w:sz="4" w:space="0" w:color="auto"/>
            </w:tcBorders>
          </w:tcPr>
          <w:p w14:paraId="35C6856B"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0.07%</w:t>
            </w:r>
          </w:p>
          <w:p w14:paraId="1BF928EC"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(0.18%)</w:t>
            </w:r>
          </w:p>
        </w:tc>
        <w:tc>
          <w:tcPr>
            <w:tcW w:w="1222" w:type="dxa"/>
            <w:tcBorders>
              <w:bottom w:val="single" w:sz="4" w:space="0" w:color="auto"/>
            </w:tcBorders>
          </w:tcPr>
          <w:p w14:paraId="40A3B16A"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5.41%</w:t>
            </w:r>
          </w:p>
          <w:p w14:paraId="62D9F484"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(10.66%)</w:t>
            </w:r>
          </w:p>
        </w:tc>
        <w:tc>
          <w:tcPr>
            <w:tcW w:w="1244" w:type="dxa"/>
            <w:tcBorders>
              <w:bottom w:val="single" w:sz="4" w:space="0" w:color="auto"/>
            </w:tcBorders>
          </w:tcPr>
          <w:p w14:paraId="5E8650F4"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23.31%</w:t>
            </w:r>
          </w:p>
          <w:p w14:paraId="61DC9B26"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(28.16%)</w:t>
            </w:r>
          </w:p>
        </w:tc>
        <w:tc>
          <w:tcPr>
            <w:tcW w:w="1423" w:type="dxa"/>
            <w:tcBorders>
              <w:bottom w:val="single" w:sz="4" w:space="0" w:color="auto"/>
            </w:tcBorders>
          </w:tcPr>
          <w:p w14:paraId="6738D9F8" w14:textId="77777777" w:rsidR="00C118AB" w:rsidRPr="00F7172F" w:rsidRDefault="00C118AB" w:rsidP="0014721C">
            <w:pPr>
              <w:spacing w:line="240" w:lineRule="auto"/>
              <w:jc w:val="center"/>
              <w:rPr>
                <w:rFonts w:eastAsiaTheme="minorEastAsia" w:cs="Times New Roman"/>
                <w:b/>
                <w:bCs/>
                <w:szCs w:val="24"/>
              </w:rPr>
            </w:pPr>
            <w:r w:rsidRPr="00F7172F">
              <w:rPr>
                <w:rFonts w:cs="Times New Roman"/>
                <w:b/>
                <w:bCs/>
                <w:szCs w:val="24"/>
              </w:rPr>
              <w:t>64.03%</w:t>
            </w:r>
          </w:p>
          <w:p w14:paraId="0B0EDEC8" w14:textId="77777777" w:rsidR="00C118AB" w:rsidRPr="00F7172F" w:rsidRDefault="00C118AB" w:rsidP="0014721C">
            <w:pPr>
              <w:spacing w:line="240" w:lineRule="auto"/>
              <w:jc w:val="center"/>
              <w:rPr>
                <w:rFonts w:eastAsiaTheme="minorEastAsia" w:cs="Times New Roman"/>
                <w:szCs w:val="24"/>
              </w:rPr>
            </w:pPr>
            <w:r w:rsidRPr="00F7172F">
              <w:rPr>
                <w:rFonts w:cs="Times New Roman"/>
                <w:b/>
                <w:bCs/>
                <w:szCs w:val="24"/>
              </w:rPr>
              <w:t>(50.48%)</w:t>
            </w:r>
          </w:p>
        </w:tc>
        <w:tc>
          <w:tcPr>
            <w:tcW w:w="1249" w:type="dxa"/>
            <w:tcBorders>
              <w:bottom w:val="single" w:sz="4" w:space="0" w:color="auto"/>
              <w:right w:val="double" w:sz="12" w:space="0" w:color="auto"/>
            </w:tcBorders>
          </w:tcPr>
          <w:p w14:paraId="54855068"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92.82%</w:t>
            </w:r>
          </w:p>
          <w:p w14:paraId="196A9700" w14:textId="77777777" w:rsidR="00C118AB" w:rsidRPr="00F7172F" w:rsidRDefault="00C118AB" w:rsidP="0014721C">
            <w:pPr>
              <w:spacing w:line="240" w:lineRule="auto"/>
              <w:jc w:val="center"/>
              <w:rPr>
                <w:rFonts w:eastAsiaTheme="minorEastAsia" w:cs="Times New Roman"/>
                <w:szCs w:val="24"/>
              </w:rPr>
            </w:pPr>
            <w:r w:rsidRPr="00F7172F">
              <w:rPr>
                <w:rFonts w:cs="Times New Roman"/>
                <w:szCs w:val="24"/>
              </w:rPr>
              <w:t>(89.49%)</w:t>
            </w:r>
          </w:p>
        </w:tc>
      </w:tr>
      <w:tr w:rsidR="00C118AB" w14:paraId="3B2520BA" w14:textId="77777777" w:rsidTr="00877CA9">
        <w:trPr>
          <w:trHeight w:val="432"/>
        </w:trPr>
        <w:tc>
          <w:tcPr>
            <w:tcW w:w="1136" w:type="dxa"/>
            <w:vMerge/>
            <w:tcBorders>
              <w:left w:val="double" w:sz="12" w:space="0" w:color="auto"/>
              <w:bottom w:val="double" w:sz="12" w:space="0" w:color="auto"/>
            </w:tcBorders>
          </w:tcPr>
          <w:p w14:paraId="231D319A" w14:textId="77777777" w:rsidR="00C118AB" w:rsidRPr="00F7172F" w:rsidRDefault="00C118AB" w:rsidP="0014721C">
            <w:pPr>
              <w:spacing w:line="240" w:lineRule="auto"/>
              <w:rPr>
                <w:rFonts w:eastAsiaTheme="minorEastAsia" w:cs="Times New Roman"/>
                <w:szCs w:val="24"/>
              </w:rPr>
            </w:pPr>
          </w:p>
        </w:tc>
        <w:tc>
          <w:tcPr>
            <w:tcW w:w="1382" w:type="dxa"/>
            <w:tcBorders>
              <w:bottom w:val="double" w:sz="12" w:space="0" w:color="auto"/>
            </w:tcBorders>
            <w:vAlign w:val="center"/>
          </w:tcPr>
          <w:p w14:paraId="3204B0F8" w14:textId="77777777" w:rsidR="00C118AB" w:rsidRPr="00F7172F" w:rsidRDefault="00C118AB" w:rsidP="0014721C">
            <w:pPr>
              <w:spacing w:line="240" w:lineRule="auto"/>
              <w:jc w:val="left"/>
              <w:rPr>
                <w:rFonts w:eastAsiaTheme="minorEastAsia" w:cs="Times New Roman"/>
                <w:szCs w:val="24"/>
              </w:rPr>
            </w:pPr>
            <w:r w:rsidRPr="00F7172F">
              <w:rPr>
                <w:rFonts w:eastAsiaTheme="minorEastAsia" w:cs="Times New Roman"/>
                <w:szCs w:val="24"/>
              </w:rPr>
              <w:t>Total</w:t>
            </w:r>
          </w:p>
        </w:tc>
        <w:tc>
          <w:tcPr>
            <w:tcW w:w="1334" w:type="dxa"/>
            <w:tcBorders>
              <w:bottom w:val="double" w:sz="12" w:space="0" w:color="auto"/>
            </w:tcBorders>
            <w:vAlign w:val="bottom"/>
          </w:tcPr>
          <w:p w14:paraId="7905F3A1" w14:textId="77777777" w:rsidR="00C118AB" w:rsidRPr="00F7172F" w:rsidRDefault="00C118AB" w:rsidP="0014721C">
            <w:pPr>
              <w:spacing w:line="240" w:lineRule="auto"/>
              <w:jc w:val="center"/>
              <w:rPr>
                <w:rFonts w:eastAsiaTheme="minorEastAsia" w:cs="Times New Roman"/>
                <w:szCs w:val="24"/>
              </w:rPr>
            </w:pPr>
            <w:r w:rsidRPr="00F7172F">
              <w:rPr>
                <w:rFonts w:cs="Times New Roman"/>
                <w:color w:val="000000"/>
              </w:rPr>
              <w:t>0.20%</w:t>
            </w:r>
          </w:p>
          <w:p w14:paraId="74606A03" w14:textId="77777777" w:rsidR="00C118AB" w:rsidRPr="00F7172F" w:rsidRDefault="00C118AB" w:rsidP="0014721C">
            <w:pPr>
              <w:spacing w:line="240" w:lineRule="auto"/>
              <w:jc w:val="center"/>
              <w:rPr>
                <w:rFonts w:eastAsiaTheme="minorEastAsia" w:cs="Times New Roman"/>
                <w:szCs w:val="24"/>
              </w:rPr>
            </w:pPr>
            <w:r w:rsidRPr="00F7172F">
              <w:rPr>
                <w:rFonts w:cs="Times New Roman"/>
                <w:color w:val="000000"/>
              </w:rPr>
              <w:t>(0.41%)</w:t>
            </w:r>
          </w:p>
        </w:tc>
        <w:tc>
          <w:tcPr>
            <w:tcW w:w="1222" w:type="dxa"/>
            <w:tcBorders>
              <w:bottom w:val="double" w:sz="12" w:space="0" w:color="auto"/>
            </w:tcBorders>
            <w:vAlign w:val="bottom"/>
          </w:tcPr>
          <w:p w14:paraId="31CFDF1D" w14:textId="77777777" w:rsidR="00C118AB" w:rsidRPr="00F7172F" w:rsidRDefault="00C118AB" w:rsidP="0014721C">
            <w:pPr>
              <w:spacing w:line="240" w:lineRule="auto"/>
              <w:jc w:val="center"/>
              <w:rPr>
                <w:rFonts w:eastAsiaTheme="minorEastAsia" w:cs="Times New Roman"/>
                <w:szCs w:val="24"/>
              </w:rPr>
            </w:pPr>
            <w:r w:rsidRPr="00F7172F">
              <w:rPr>
                <w:rFonts w:cs="Times New Roman"/>
                <w:color w:val="000000"/>
              </w:rPr>
              <w:t>8.90%</w:t>
            </w:r>
          </w:p>
          <w:p w14:paraId="0EAF3647" w14:textId="77777777" w:rsidR="00C118AB" w:rsidRPr="00F7172F" w:rsidRDefault="00C118AB" w:rsidP="0014721C">
            <w:pPr>
              <w:spacing w:line="240" w:lineRule="auto"/>
              <w:jc w:val="center"/>
              <w:rPr>
                <w:rFonts w:eastAsiaTheme="minorEastAsia" w:cs="Times New Roman"/>
                <w:szCs w:val="24"/>
              </w:rPr>
            </w:pPr>
            <w:r w:rsidRPr="00F7172F">
              <w:rPr>
                <w:rFonts w:cs="Times New Roman"/>
                <w:color w:val="000000"/>
              </w:rPr>
              <w:t>(15.36%)</w:t>
            </w:r>
          </w:p>
        </w:tc>
        <w:tc>
          <w:tcPr>
            <w:tcW w:w="1244" w:type="dxa"/>
            <w:tcBorders>
              <w:bottom w:val="double" w:sz="12" w:space="0" w:color="auto"/>
            </w:tcBorders>
            <w:vAlign w:val="bottom"/>
          </w:tcPr>
          <w:p w14:paraId="72C1F3FE" w14:textId="77777777" w:rsidR="00C118AB" w:rsidRPr="00F7172F" w:rsidRDefault="00C118AB" w:rsidP="0014721C">
            <w:pPr>
              <w:spacing w:line="240" w:lineRule="auto"/>
              <w:jc w:val="center"/>
              <w:rPr>
                <w:rFonts w:eastAsiaTheme="minorEastAsia" w:cs="Times New Roman"/>
                <w:szCs w:val="24"/>
              </w:rPr>
            </w:pPr>
            <w:r w:rsidRPr="00F7172F">
              <w:rPr>
                <w:rFonts w:cs="Times New Roman"/>
                <w:color w:val="000000"/>
              </w:rPr>
              <w:t>26.10%</w:t>
            </w:r>
          </w:p>
          <w:p w14:paraId="15BA4BF1" w14:textId="77777777" w:rsidR="00C118AB" w:rsidRPr="00F7172F" w:rsidRDefault="00C118AB" w:rsidP="0014721C">
            <w:pPr>
              <w:spacing w:line="240" w:lineRule="auto"/>
              <w:jc w:val="center"/>
              <w:rPr>
                <w:rFonts w:eastAsiaTheme="minorEastAsia" w:cs="Times New Roman"/>
                <w:szCs w:val="24"/>
              </w:rPr>
            </w:pPr>
            <w:r w:rsidRPr="00F7172F">
              <w:rPr>
                <w:rFonts w:cs="Times New Roman"/>
                <w:color w:val="000000"/>
              </w:rPr>
              <w:t>(31.50%)</w:t>
            </w:r>
          </w:p>
        </w:tc>
        <w:tc>
          <w:tcPr>
            <w:tcW w:w="1423" w:type="dxa"/>
            <w:tcBorders>
              <w:bottom w:val="double" w:sz="12" w:space="0" w:color="auto"/>
            </w:tcBorders>
            <w:vAlign w:val="bottom"/>
          </w:tcPr>
          <w:p w14:paraId="270008FC" w14:textId="77777777" w:rsidR="00C118AB" w:rsidRPr="00F7172F" w:rsidRDefault="00C118AB" w:rsidP="0014721C">
            <w:pPr>
              <w:spacing w:line="240" w:lineRule="auto"/>
              <w:jc w:val="center"/>
              <w:rPr>
                <w:rFonts w:eastAsiaTheme="minorEastAsia" w:cs="Times New Roman"/>
                <w:szCs w:val="24"/>
              </w:rPr>
            </w:pPr>
            <w:r w:rsidRPr="00F7172F">
              <w:rPr>
                <w:rFonts w:cs="Times New Roman"/>
                <w:color w:val="000000"/>
              </w:rPr>
              <w:t>64.80%</w:t>
            </w:r>
          </w:p>
          <w:p w14:paraId="47657A5F" w14:textId="77777777" w:rsidR="00C118AB" w:rsidRPr="00F7172F" w:rsidRDefault="00C118AB" w:rsidP="0014721C">
            <w:pPr>
              <w:spacing w:line="240" w:lineRule="auto"/>
              <w:jc w:val="center"/>
              <w:rPr>
                <w:rFonts w:eastAsiaTheme="minorEastAsia" w:cs="Times New Roman"/>
                <w:szCs w:val="24"/>
              </w:rPr>
            </w:pPr>
            <w:r w:rsidRPr="00F7172F">
              <w:rPr>
                <w:rFonts w:cs="Times New Roman"/>
                <w:color w:val="000000"/>
              </w:rPr>
              <w:t>(52.74%)</w:t>
            </w:r>
          </w:p>
        </w:tc>
        <w:tc>
          <w:tcPr>
            <w:tcW w:w="1249" w:type="dxa"/>
            <w:tcBorders>
              <w:bottom w:val="double" w:sz="12" w:space="0" w:color="auto"/>
              <w:right w:val="double" w:sz="12" w:space="0" w:color="auto"/>
            </w:tcBorders>
            <w:vAlign w:val="bottom"/>
          </w:tcPr>
          <w:p w14:paraId="1B146BA6" w14:textId="77777777" w:rsidR="00C118AB" w:rsidRPr="00F7172F" w:rsidRDefault="00C118AB" w:rsidP="0014721C">
            <w:pPr>
              <w:spacing w:line="240" w:lineRule="auto"/>
              <w:jc w:val="center"/>
              <w:rPr>
                <w:rFonts w:eastAsiaTheme="minorEastAsia" w:cs="Times New Roman"/>
                <w:szCs w:val="24"/>
              </w:rPr>
            </w:pPr>
            <w:r w:rsidRPr="00F7172F">
              <w:rPr>
                <w:rFonts w:cs="Times New Roman"/>
                <w:color w:val="000000"/>
              </w:rPr>
              <w:t>100%</w:t>
            </w:r>
          </w:p>
          <w:p w14:paraId="797290AC" w14:textId="77777777" w:rsidR="00C118AB" w:rsidRPr="00F7172F" w:rsidRDefault="00C118AB" w:rsidP="0014721C">
            <w:pPr>
              <w:spacing w:line="240" w:lineRule="auto"/>
              <w:jc w:val="center"/>
              <w:rPr>
                <w:rFonts w:eastAsiaTheme="minorEastAsia" w:cs="Times New Roman"/>
                <w:szCs w:val="24"/>
              </w:rPr>
            </w:pPr>
            <w:r w:rsidRPr="00F7172F">
              <w:rPr>
                <w:rFonts w:cs="Times New Roman"/>
                <w:color w:val="000000"/>
              </w:rPr>
              <w:t>(100%)</w:t>
            </w:r>
          </w:p>
        </w:tc>
      </w:tr>
    </w:tbl>
    <w:p w14:paraId="23025023" w14:textId="77777777" w:rsidR="00290864" w:rsidRDefault="00290864" w:rsidP="00F255BF">
      <w:pPr>
        <w:rPr>
          <w:b/>
          <w:bCs/>
        </w:rPr>
      </w:pPr>
    </w:p>
    <w:sectPr w:rsidR="00290864" w:rsidSect="003F3854">
      <w:type w:val="continuous"/>
      <w:pgSz w:w="12240" w:h="15840" w:code="1"/>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57617" w14:textId="77777777" w:rsidR="005A6194" w:rsidRDefault="005A6194" w:rsidP="009E189E">
      <w:pPr>
        <w:spacing w:after="0" w:line="240" w:lineRule="auto"/>
      </w:pPr>
      <w:r>
        <w:separator/>
      </w:r>
    </w:p>
  </w:endnote>
  <w:endnote w:type="continuationSeparator" w:id="0">
    <w:p w14:paraId="0758167F" w14:textId="77777777" w:rsidR="005A6194" w:rsidRDefault="005A6194" w:rsidP="009E1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A545" w14:textId="77777777" w:rsidR="005A6194" w:rsidRDefault="005A6194" w:rsidP="009E189E">
      <w:pPr>
        <w:spacing w:after="0" w:line="240" w:lineRule="auto"/>
      </w:pPr>
      <w:r>
        <w:separator/>
      </w:r>
    </w:p>
  </w:footnote>
  <w:footnote w:type="continuationSeparator" w:id="0">
    <w:p w14:paraId="1809B0F6" w14:textId="77777777" w:rsidR="005A6194" w:rsidRDefault="005A6194" w:rsidP="009E1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951846"/>
      <w:docPartObj>
        <w:docPartGallery w:val="Page Numbers (Top of Page)"/>
        <w:docPartUnique/>
      </w:docPartObj>
    </w:sdtPr>
    <w:sdtEndPr>
      <w:rPr>
        <w:noProof/>
      </w:rPr>
    </w:sdtEndPr>
    <w:sdtContent>
      <w:p w14:paraId="39ACEFB5" w14:textId="2B0147E1" w:rsidR="005D4A00" w:rsidRDefault="00512E6D" w:rsidP="009E189E">
        <w:pPr>
          <w:pStyle w:val="Header"/>
          <w:jc w:val="right"/>
        </w:pPr>
        <w:r>
          <w:tab/>
        </w:r>
        <w: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0532"/>
    <w:multiLevelType w:val="hybridMultilevel"/>
    <w:tmpl w:val="FA40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4773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EDA"/>
    <w:rsid w:val="00002FAA"/>
    <w:rsid w:val="00004A84"/>
    <w:rsid w:val="00011BA1"/>
    <w:rsid w:val="00011F40"/>
    <w:rsid w:val="00017027"/>
    <w:rsid w:val="00025109"/>
    <w:rsid w:val="000252B3"/>
    <w:rsid w:val="0003163B"/>
    <w:rsid w:val="000317D5"/>
    <w:rsid w:val="0003359C"/>
    <w:rsid w:val="000359BC"/>
    <w:rsid w:val="00043D0F"/>
    <w:rsid w:val="000476D7"/>
    <w:rsid w:val="0005145A"/>
    <w:rsid w:val="0005527D"/>
    <w:rsid w:val="00055DDD"/>
    <w:rsid w:val="00057EE5"/>
    <w:rsid w:val="000611F0"/>
    <w:rsid w:val="000618DC"/>
    <w:rsid w:val="00065F65"/>
    <w:rsid w:val="0007171F"/>
    <w:rsid w:val="0007384D"/>
    <w:rsid w:val="00077B88"/>
    <w:rsid w:val="000846C2"/>
    <w:rsid w:val="000864E8"/>
    <w:rsid w:val="00087233"/>
    <w:rsid w:val="00093570"/>
    <w:rsid w:val="000946E6"/>
    <w:rsid w:val="000A09A4"/>
    <w:rsid w:val="000A3328"/>
    <w:rsid w:val="000A49CA"/>
    <w:rsid w:val="000A6C41"/>
    <w:rsid w:val="000B1AB9"/>
    <w:rsid w:val="000B3658"/>
    <w:rsid w:val="000B408B"/>
    <w:rsid w:val="000C0610"/>
    <w:rsid w:val="000C42D8"/>
    <w:rsid w:val="000C6430"/>
    <w:rsid w:val="000C67C4"/>
    <w:rsid w:val="000C70D4"/>
    <w:rsid w:val="000C7EBB"/>
    <w:rsid w:val="000D6B50"/>
    <w:rsid w:val="000D73F4"/>
    <w:rsid w:val="000E2000"/>
    <w:rsid w:val="000E21E9"/>
    <w:rsid w:val="000E255B"/>
    <w:rsid w:val="000E7A7F"/>
    <w:rsid w:val="000F014C"/>
    <w:rsid w:val="000F0CEE"/>
    <w:rsid w:val="000F164A"/>
    <w:rsid w:val="00102BA4"/>
    <w:rsid w:val="00102D2B"/>
    <w:rsid w:val="00104836"/>
    <w:rsid w:val="00104CE7"/>
    <w:rsid w:val="001072BB"/>
    <w:rsid w:val="00112F9C"/>
    <w:rsid w:val="001173E7"/>
    <w:rsid w:val="001200C9"/>
    <w:rsid w:val="0012356F"/>
    <w:rsid w:val="001256B4"/>
    <w:rsid w:val="00130EE9"/>
    <w:rsid w:val="00131413"/>
    <w:rsid w:val="00132F06"/>
    <w:rsid w:val="0013332C"/>
    <w:rsid w:val="001335CB"/>
    <w:rsid w:val="00144E75"/>
    <w:rsid w:val="0014721C"/>
    <w:rsid w:val="00151381"/>
    <w:rsid w:val="00151CEE"/>
    <w:rsid w:val="00154F6F"/>
    <w:rsid w:val="0015574F"/>
    <w:rsid w:val="00155809"/>
    <w:rsid w:val="00155E16"/>
    <w:rsid w:val="00156EFB"/>
    <w:rsid w:val="0016247A"/>
    <w:rsid w:val="001628D3"/>
    <w:rsid w:val="001643CC"/>
    <w:rsid w:val="00164466"/>
    <w:rsid w:val="00165213"/>
    <w:rsid w:val="001802F4"/>
    <w:rsid w:val="00180443"/>
    <w:rsid w:val="0018398F"/>
    <w:rsid w:val="00186826"/>
    <w:rsid w:val="00194D86"/>
    <w:rsid w:val="001A78E5"/>
    <w:rsid w:val="001B1764"/>
    <w:rsid w:val="001B1D3D"/>
    <w:rsid w:val="001B58D4"/>
    <w:rsid w:val="001C5D7E"/>
    <w:rsid w:val="001D3A94"/>
    <w:rsid w:val="001D4DE9"/>
    <w:rsid w:val="001E285B"/>
    <w:rsid w:val="001E32B5"/>
    <w:rsid w:val="001E4C7A"/>
    <w:rsid w:val="001E798A"/>
    <w:rsid w:val="001F272A"/>
    <w:rsid w:val="001F7A7D"/>
    <w:rsid w:val="0020382B"/>
    <w:rsid w:val="002061D6"/>
    <w:rsid w:val="002063F1"/>
    <w:rsid w:val="00207649"/>
    <w:rsid w:val="002214B2"/>
    <w:rsid w:val="002224EC"/>
    <w:rsid w:val="00222BB3"/>
    <w:rsid w:val="002235B6"/>
    <w:rsid w:val="00230420"/>
    <w:rsid w:val="00230460"/>
    <w:rsid w:val="00236513"/>
    <w:rsid w:val="00236DA6"/>
    <w:rsid w:val="0024068F"/>
    <w:rsid w:val="002549BD"/>
    <w:rsid w:val="00263EA5"/>
    <w:rsid w:val="002708FD"/>
    <w:rsid w:val="0027141B"/>
    <w:rsid w:val="002758F1"/>
    <w:rsid w:val="00282CEF"/>
    <w:rsid w:val="00290864"/>
    <w:rsid w:val="0029342C"/>
    <w:rsid w:val="002A2652"/>
    <w:rsid w:val="002A5C29"/>
    <w:rsid w:val="002B3FB4"/>
    <w:rsid w:val="002B40AF"/>
    <w:rsid w:val="002C10F8"/>
    <w:rsid w:val="002C42E9"/>
    <w:rsid w:val="002C7F32"/>
    <w:rsid w:val="002D043C"/>
    <w:rsid w:val="002D54E2"/>
    <w:rsid w:val="002E3A18"/>
    <w:rsid w:val="002F4E53"/>
    <w:rsid w:val="002F69CA"/>
    <w:rsid w:val="002F7A91"/>
    <w:rsid w:val="00302589"/>
    <w:rsid w:val="003057FC"/>
    <w:rsid w:val="00305834"/>
    <w:rsid w:val="00307B22"/>
    <w:rsid w:val="003134EA"/>
    <w:rsid w:val="00315260"/>
    <w:rsid w:val="00315875"/>
    <w:rsid w:val="00315FD7"/>
    <w:rsid w:val="00332DC3"/>
    <w:rsid w:val="00336368"/>
    <w:rsid w:val="0034215F"/>
    <w:rsid w:val="003566E2"/>
    <w:rsid w:val="00357D7F"/>
    <w:rsid w:val="00366D29"/>
    <w:rsid w:val="003677E5"/>
    <w:rsid w:val="003734FE"/>
    <w:rsid w:val="00377EDF"/>
    <w:rsid w:val="00381CB6"/>
    <w:rsid w:val="00393B05"/>
    <w:rsid w:val="00394F19"/>
    <w:rsid w:val="003A087A"/>
    <w:rsid w:val="003A153B"/>
    <w:rsid w:val="003A1BD3"/>
    <w:rsid w:val="003B0F6B"/>
    <w:rsid w:val="003B153D"/>
    <w:rsid w:val="003B2B61"/>
    <w:rsid w:val="003C0D3A"/>
    <w:rsid w:val="003C0ECB"/>
    <w:rsid w:val="003F13C4"/>
    <w:rsid w:val="003F3854"/>
    <w:rsid w:val="004006C9"/>
    <w:rsid w:val="004010CD"/>
    <w:rsid w:val="004108E8"/>
    <w:rsid w:val="004110BE"/>
    <w:rsid w:val="004221D5"/>
    <w:rsid w:val="0042284A"/>
    <w:rsid w:val="00423C10"/>
    <w:rsid w:val="0043112D"/>
    <w:rsid w:val="0043607C"/>
    <w:rsid w:val="004373E5"/>
    <w:rsid w:val="00441086"/>
    <w:rsid w:val="004416F3"/>
    <w:rsid w:val="00441C7C"/>
    <w:rsid w:val="00444396"/>
    <w:rsid w:val="00457DF5"/>
    <w:rsid w:val="00457F45"/>
    <w:rsid w:val="00460243"/>
    <w:rsid w:val="00461737"/>
    <w:rsid w:val="004617A4"/>
    <w:rsid w:val="0046534F"/>
    <w:rsid w:val="00467BBE"/>
    <w:rsid w:val="00472C18"/>
    <w:rsid w:val="00483974"/>
    <w:rsid w:val="004A1D24"/>
    <w:rsid w:val="004C1DDF"/>
    <w:rsid w:val="004C4789"/>
    <w:rsid w:val="004C4BAE"/>
    <w:rsid w:val="004C6C76"/>
    <w:rsid w:val="004D4C33"/>
    <w:rsid w:val="004D5F6B"/>
    <w:rsid w:val="004E0954"/>
    <w:rsid w:val="004E5776"/>
    <w:rsid w:val="004E71DF"/>
    <w:rsid w:val="004E7A78"/>
    <w:rsid w:val="004F067A"/>
    <w:rsid w:val="004F3FE2"/>
    <w:rsid w:val="005042C5"/>
    <w:rsid w:val="005110E1"/>
    <w:rsid w:val="00511977"/>
    <w:rsid w:val="005121A1"/>
    <w:rsid w:val="00512E6D"/>
    <w:rsid w:val="0051465E"/>
    <w:rsid w:val="005237AB"/>
    <w:rsid w:val="00530698"/>
    <w:rsid w:val="00530A4E"/>
    <w:rsid w:val="0053549F"/>
    <w:rsid w:val="005416F0"/>
    <w:rsid w:val="00545628"/>
    <w:rsid w:val="005465AE"/>
    <w:rsid w:val="00553D41"/>
    <w:rsid w:val="00561D26"/>
    <w:rsid w:val="005648C9"/>
    <w:rsid w:val="0056525F"/>
    <w:rsid w:val="00570DC3"/>
    <w:rsid w:val="00580EC2"/>
    <w:rsid w:val="00586A4A"/>
    <w:rsid w:val="00592533"/>
    <w:rsid w:val="005935F2"/>
    <w:rsid w:val="005A558B"/>
    <w:rsid w:val="005A6194"/>
    <w:rsid w:val="005B6261"/>
    <w:rsid w:val="005B75A5"/>
    <w:rsid w:val="005C1E5A"/>
    <w:rsid w:val="005C3C68"/>
    <w:rsid w:val="005C662A"/>
    <w:rsid w:val="005C68F4"/>
    <w:rsid w:val="005C6E8C"/>
    <w:rsid w:val="005D29CB"/>
    <w:rsid w:val="005D57C1"/>
    <w:rsid w:val="005E1107"/>
    <w:rsid w:val="005F2DB9"/>
    <w:rsid w:val="005F79C6"/>
    <w:rsid w:val="00604D16"/>
    <w:rsid w:val="00610939"/>
    <w:rsid w:val="006112E7"/>
    <w:rsid w:val="00612721"/>
    <w:rsid w:val="00614978"/>
    <w:rsid w:val="0062002B"/>
    <w:rsid w:val="00623E35"/>
    <w:rsid w:val="00626CC7"/>
    <w:rsid w:val="00631076"/>
    <w:rsid w:val="00637F2B"/>
    <w:rsid w:val="006438E3"/>
    <w:rsid w:val="00653F10"/>
    <w:rsid w:val="00661B71"/>
    <w:rsid w:val="006637A2"/>
    <w:rsid w:val="00676B15"/>
    <w:rsid w:val="0068060D"/>
    <w:rsid w:val="00684CDD"/>
    <w:rsid w:val="0069413B"/>
    <w:rsid w:val="00696E7E"/>
    <w:rsid w:val="006A1102"/>
    <w:rsid w:val="006A317B"/>
    <w:rsid w:val="006A7DB9"/>
    <w:rsid w:val="006B1BF1"/>
    <w:rsid w:val="006B23D2"/>
    <w:rsid w:val="006B3055"/>
    <w:rsid w:val="006B6171"/>
    <w:rsid w:val="006B75BD"/>
    <w:rsid w:val="006B7E77"/>
    <w:rsid w:val="006C752B"/>
    <w:rsid w:val="006E2B5D"/>
    <w:rsid w:val="006E353C"/>
    <w:rsid w:val="006E6623"/>
    <w:rsid w:val="006E7571"/>
    <w:rsid w:val="006F28D2"/>
    <w:rsid w:val="007003F1"/>
    <w:rsid w:val="00700532"/>
    <w:rsid w:val="00702D5A"/>
    <w:rsid w:val="00705038"/>
    <w:rsid w:val="00732FC1"/>
    <w:rsid w:val="0073438C"/>
    <w:rsid w:val="00736079"/>
    <w:rsid w:val="0073683B"/>
    <w:rsid w:val="00745C2B"/>
    <w:rsid w:val="007529A4"/>
    <w:rsid w:val="00757996"/>
    <w:rsid w:val="0076794B"/>
    <w:rsid w:val="00770F03"/>
    <w:rsid w:val="00771B4E"/>
    <w:rsid w:val="0077580B"/>
    <w:rsid w:val="00777DD9"/>
    <w:rsid w:val="0078334C"/>
    <w:rsid w:val="0078656F"/>
    <w:rsid w:val="007869FC"/>
    <w:rsid w:val="00787E06"/>
    <w:rsid w:val="00791F90"/>
    <w:rsid w:val="007A10A6"/>
    <w:rsid w:val="007A7F2B"/>
    <w:rsid w:val="007B6ED8"/>
    <w:rsid w:val="007C2F6A"/>
    <w:rsid w:val="007C7D89"/>
    <w:rsid w:val="007D1578"/>
    <w:rsid w:val="007D3888"/>
    <w:rsid w:val="007D6795"/>
    <w:rsid w:val="007E0E23"/>
    <w:rsid w:val="007F24BF"/>
    <w:rsid w:val="007F40D0"/>
    <w:rsid w:val="008010D2"/>
    <w:rsid w:val="00803AD9"/>
    <w:rsid w:val="0081170A"/>
    <w:rsid w:val="008129A3"/>
    <w:rsid w:val="00813088"/>
    <w:rsid w:val="008224FA"/>
    <w:rsid w:val="0082500E"/>
    <w:rsid w:val="00825D9E"/>
    <w:rsid w:val="00827C86"/>
    <w:rsid w:val="008419C5"/>
    <w:rsid w:val="008434DD"/>
    <w:rsid w:val="00843551"/>
    <w:rsid w:val="00853BDE"/>
    <w:rsid w:val="00861BEF"/>
    <w:rsid w:val="008663BA"/>
    <w:rsid w:val="00877CA9"/>
    <w:rsid w:val="0089624E"/>
    <w:rsid w:val="008A6493"/>
    <w:rsid w:val="008B39A0"/>
    <w:rsid w:val="008C3C21"/>
    <w:rsid w:val="008D2319"/>
    <w:rsid w:val="008E20CA"/>
    <w:rsid w:val="008E27B0"/>
    <w:rsid w:val="008F4660"/>
    <w:rsid w:val="008F5AC1"/>
    <w:rsid w:val="008F634E"/>
    <w:rsid w:val="008F7B3E"/>
    <w:rsid w:val="00903DB2"/>
    <w:rsid w:val="00904431"/>
    <w:rsid w:val="009046F3"/>
    <w:rsid w:val="00913FAE"/>
    <w:rsid w:val="00916138"/>
    <w:rsid w:val="00916C77"/>
    <w:rsid w:val="0091792B"/>
    <w:rsid w:val="00927AA0"/>
    <w:rsid w:val="009363A8"/>
    <w:rsid w:val="00940503"/>
    <w:rsid w:val="00940C2D"/>
    <w:rsid w:val="00943B80"/>
    <w:rsid w:val="00950679"/>
    <w:rsid w:val="00951B18"/>
    <w:rsid w:val="009663B5"/>
    <w:rsid w:val="00972E57"/>
    <w:rsid w:val="00974FD1"/>
    <w:rsid w:val="00976825"/>
    <w:rsid w:val="009805AF"/>
    <w:rsid w:val="00980623"/>
    <w:rsid w:val="00980E42"/>
    <w:rsid w:val="009812B4"/>
    <w:rsid w:val="0098416A"/>
    <w:rsid w:val="009841A4"/>
    <w:rsid w:val="009851CF"/>
    <w:rsid w:val="0098753F"/>
    <w:rsid w:val="00991708"/>
    <w:rsid w:val="00996D3E"/>
    <w:rsid w:val="009A1A7E"/>
    <w:rsid w:val="009B6B82"/>
    <w:rsid w:val="009C0AEB"/>
    <w:rsid w:val="009C5EDA"/>
    <w:rsid w:val="009C650D"/>
    <w:rsid w:val="009C74C5"/>
    <w:rsid w:val="009C7EEB"/>
    <w:rsid w:val="009D24C5"/>
    <w:rsid w:val="009D32C3"/>
    <w:rsid w:val="009D3857"/>
    <w:rsid w:val="009D7CA2"/>
    <w:rsid w:val="009E0646"/>
    <w:rsid w:val="009E13BF"/>
    <w:rsid w:val="009E189E"/>
    <w:rsid w:val="009F0B52"/>
    <w:rsid w:val="009F143A"/>
    <w:rsid w:val="00A001CF"/>
    <w:rsid w:val="00A036CE"/>
    <w:rsid w:val="00A0631C"/>
    <w:rsid w:val="00A109D0"/>
    <w:rsid w:val="00A16DED"/>
    <w:rsid w:val="00A209F5"/>
    <w:rsid w:val="00A21C1F"/>
    <w:rsid w:val="00A53C83"/>
    <w:rsid w:val="00A71C90"/>
    <w:rsid w:val="00A71E39"/>
    <w:rsid w:val="00A76CA0"/>
    <w:rsid w:val="00A811EC"/>
    <w:rsid w:val="00A8250C"/>
    <w:rsid w:val="00A8373F"/>
    <w:rsid w:val="00A90BFF"/>
    <w:rsid w:val="00A945BA"/>
    <w:rsid w:val="00AA41A9"/>
    <w:rsid w:val="00AA5C53"/>
    <w:rsid w:val="00AA670B"/>
    <w:rsid w:val="00AD350F"/>
    <w:rsid w:val="00AE75DB"/>
    <w:rsid w:val="00AF1859"/>
    <w:rsid w:val="00B00041"/>
    <w:rsid w:val="00B12079"/>
    <w:rsid w:val="00B122AC"/>
    <w:rsid w:val="00B243DC"/>
    <w:rsid w:val="00B26614"/>
    <w:rsid w:val="00B306C1"/>
    <w:rsid w:val="00B3162E"/>
    <w:rsid w:val="00B32115"/>
    <w:rsid w:val="00B322A7"/>
    <w:rsid w:val="00B36CC1"/>
    <w:rsid w:val="00B37572"/>
    <w:rsid w:val="00B37981"/>
    <w:rsid w:val="00B41C1B"/>
    <w:rsid w:val="00B4408C"/>
    <w:rsid w:val="00B50150"/>
    <w:rsid w:val="00B50363"/>
    <w:rsid w:val="00B52837"/>
    <w:rsid w:val="00B54661"/>
    <w:rsid w:val="00B54D5E"/>
    <w:rsid w:val="00B57A23"/>
    <w:rsid w:val="00B6039C"/>
    <w:rsid w:val="00B60AEC"/>
    <w:rsid w:val="00B615C1"/>
    <w:rsid w:val="00B634AB"/>
    <w:rsid w:val="00B6464B"/>
    <w:rsid w:val="00B65D04"/>
    <w:rsid w:val="00B663C9"/>
    <w:rsid w:val="00B74225"/>
    <w:rsid w:val="00B757CF"/>
    <w:rsid w:val="00B77622"/>
    <w:rsid w:val="00B80B5E"/>
    <w:rsid w:val="00B86F4A"/>
    <w:rsid w:val="00B87DDE"/>
    <w:rsid w:val="00B91989"/>
    <w:rsid w:val="00B9768C"/>
    <w:rsid w:val="00B979C6"/>
    <w:rsid w:val="00BA02D8"/>
    <w:rsid w:val="00BA430E"/>
    <w:rsid w:val="00BB59CA"/>
    <w:rsid w:val="00BB6B05"/>
    <w:rsid w:val="00BC258D"/>
    <w:rsid w:val="00BC42CF"/>
    <w:rsid w:val="00BD2DB0"/>
    <w:rsid w:val="00BD5E73"/>
    <w:rsid w:val="00BD6C6D"/>
    <w:rsid w:val="00BD768F"/>
    <w:rsid w:val="00BE282B"/>
    <w:rsid w:val="00BE6427"/>
    <w:rsid w:val="00BF6444"/>
    <w:rsid w:val="00C01A64"/>
    <w:rsid w:val="00C113C0"/>
    <w:rsid w:val="00C118AB"/>
    <w:rsid w:val="00C21D4C"/>
    <w:rsid w:val="00C21EAE"/>
    <w:rsid w:val="00C2332E"/>
    <w:rsid w:val="00C3082C"/>
    <w:rsid w:val="00C338CA"/>
    <w:rsid w:val="00C3786A"/>
    <w:rsid w:val="00C4768F"/>
    <w:rsid w:val="00C5364F"/>
    <w:rsid w:val="00C621E9"/>
    <w:rsid w:val="00C65987"/>
    <w:rsid w:val="00C67945"/>
    <w:rsid w:val="00C67EAC"/>
    <w:rsid w:val="00C74201"/>
    <w:rsid w:val="00C85715"/>
    <w:rsid w:val="00C85FFC"/>
    <w:rsid w:val="00C91917"/>
    <w:rsid w:val="00C95291"/>
    <w:rsid w:val="00CA27FB"/>
    <w:rsid w:val="00CA490D"/>
    <w:rsid w:val="00CA507F"/>
    <w:rsid w:val="00CB1511"/>
    <w:rsid w:val="00CB683C"/>
    <w:rsid w:val="00CC11A0"/>
    <w:rsid w:val="00CC2B2D"/>
    <w:rsid w:val="00CC57C7"/>
    <w:rsid w:val="00CD04AA"/>
    <w:rsid w:val="00CD2888"/>
    <w:rsid w:val="00CE0BAF"/>
    <w:rsid w:val="00CE3608"/>
    <w:rsid w:val="00CE4821"/>
    <w:rsid w:val="00CE5987"/>
    <w:rsid w:val="00CF68CD"/>
    <w:rsid w:val="00D015C1"/>
    <w:rsid w:val="00D024C6"/>
    <w:rsid w:val="00D0287F"/>
    <w:rsid w:val="00D06BD7"/>
    <w:rsid w:val="00D1267D"/>
    <w:rsid w:val="00D1686A"/>
    <w:rsid w:val="00D179E8"/>
    <w:rsid w:val="00D2169B"/>
    <w:rsid w:val="00D27203"/>
    <w:rsid w:val="00D323A1"/>
    <w:rsid w:val="00D40729"/>
    <w:rsid w:val="00D42666"/>
    <w:rsid w:val="00D427C6"/>
    <w:rsid w:val="00D46ACA"/>
    <w:rsid w:val="00D47689"/>
    <w:rsid w:val="00D47D11"/>
    <w:rsid w:val="00D556D6"/>
    <w:rsid w:val="00D57D09"/>
    <w:rsid w:val="00D601E7"/>
    <w:rsid w:val="00D6054B"/>
    <w:rsid w:val="00D64840"/>
    <w:rsid w:val="00D64911"/>
    <w:rsid w:val="00D662CF"/>
    <w:rsid w:val="00D72A8B"/>
    <w:rsid w:val="00D76E8D"/>
    <w:rsid w:val="00D8156D"/>
    <w:rsid w:val="00D913B2"/>
    <w:rsid w:val="00D91FAD"/>
    <w:rsid w:val="00D93DEB"/>
    <w:rsid w:val="00D95820"/>
    <w:rsid w:val="00DA2B20"/>
    <w:rsid w:val="00DB568D"/>
    <w:rsid w:val="00DB69FD"/>
    <w:rsid w:val="00DB7B3E"/>
    <w:rsid w:val="00DC1354"/>
    <w:rsid w:val="00DC3665"/>
    <w:rsid w:val="00DC4377"/>
    <w:rsid w:val="00DD1003"/>
    <w:rsid w:val="00DD7357"/>
    <w:rsid w:val="00DE7B83"/>
    <w:rsid w:val="00DF0DFE"/>
    <w:rsid w:val="00DF1A79"/>
    <w:rsid w:val="00DF5B01"/>
    <w:rsid w:val="00E0490B"/>
    <w:rsid w:val="00E07815"/>
    <w:rsid w:val="00E20D17"/>
    <w:rsid w:val="00E21965"/>
    <w:rsid w:val="00E253EC"/>
    <w:rsid w:val="00E270C1"/>
    <w:rsid w:val="00E27AB9"/>
    <w:rsid w:val="00E3321C"/>
    <w:rsid w:val="00E33A78"/>
    <w:rsid w:val="00E44CFC"/>
    <w:rsid w:val="00E4623D"/>
    <w:rsid w:val="00E463DB"/>
    <w:rsid w:val="00E473E4"/>
    <w:rsid w:val="00E474F1"/>
    <w:rsid w:val="00E54286"/>
    <w:rsid w:val="00E5462E"/>
    <w:rsid w:val="00E61833"/>
    <w:rsid w:val="00E635A7"/>
    <w:rsid w:val="00E71F8C"/>
    <w:rsid w:val="00E7667C"/>
    <w:rsid w:val="00E80E32"/>
    <w:rsid w:val="00E928F8"/>
    <w:rsid w:val="00E9359B"/>
    <w:rsid w:val="00E95BD1"/>
    <w:rsid w:val="00EA1C7E"/>
    <w:rsid w:val="00EA36A5"/>
    <w:rsid w:val="00EA6E8A"/>
    <w:rsid w:val="00EB135D"/>
    <w:rsid w:val="00EB1A72"/>
    <w:rsid w:val="00EB2090"/>
    <w:rsid w:val="00EB2922"/>
    <w:rsid w:val="00EB534D"/>
    <w:rsid w:val="00EC24D4"/>
    <w:rsid w:val="00EC6F22"/>
    <w:rsid w:val="00EE1E2B"/>
    <w:rsid w:val="00EE2250"/>
    <w:rsid w:val="00EE3213"/>
    <w:rsid w:val="00EE545D"/>
    <w:rsid w:val="00EE5A82"/>
    <w:rsid w:val="00EF158F"/>
    <w:rsid w:val="00EF1E89"/>
    <w:rsid w:val="00EF3B0C"/>
    <w:rsid w:val="00EF4084"/>
    <w:rsid w:val="00EF5797"/>
    <w:rsid w:val="00EF6176"/>
    <w:rsid w:val="00EF666C"/>
    <w:rsid w:val="00F002E5"/>
    <w:rsid w:val="00F01890"/>
    <w:rsid w:val="00F04A85"/>
    <w:rsid w:val="00F05AC8"/>
    <w:rsid w:val="00F06F98"/>
    <w:rsid w:val="00F076ED"/>
    <w:rsid w:val="00F15087"/>
    <w:rsid w:val="00F21A17"/>
    <w:rsid w:val="00F243D9"/>
    <w:rsid w:val="00F255BF"/>
    <w:rsid w:val="00F26D40"/>
    <w:rsid w:val="00F4476D"/>
    <w:rsid w:val="00F472FD"/>
    <w:rsid w:val="00F518E3"/>
    <w:rsid w:val="00F545C2"/>
    <w:rsid w:val="00F55ED1"/>
    <w:rsid w:val="00F56521"/>
    <w:rsid w:val="00F56B90"/>
    <w:rsid w:val="00F575DE"/>
    <w:rsid w:val="00F7172F"/>
    <w:rsid w:val="00F71E64"/>
    <w:rsid w:val="00F751BB"/>
    <w:rsid w:val="00F75A45"/>
    <w:rsid w:val="00F774CD"/>
    <w:rsid w:val="00F84062"/>
    <w:rsid w:val="00F962C2"/>
    <w:rsid w:val="00FA3F42"/>
    <w:rsid w:val="00FB0C83"/>
    <w:rsid w:val="00FB228A"/>
    <w:rsid w:val="00FB61FA"/>
    <w:rsid w:val="00FB7AE4"/>
    <w:rsid w:val="00FC04DE"/>
    <w:rsid w:val="00FC0931"/>
    <w:rsid w:val="00FC4958"/>
    <w:rsid w:val="00FD2BA1"/>
    <w:rsid w:val="00FD3B4F"/>
    <w:rsid w:val="00FD5203"/>
    <w:rsid w:val="00FD55E6"/>
    <w:rsid w:val="00FD6871"/>
    <w:rsid w:val="00FF47DB"/>
    <w:rsid w:val="00FF5B2C"/>
    <w:rsid w:val="00FF7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564FA"/>
  <w15:chartTrackingRefBased/>
  <w15:docId w15:val="{42B9CA4D-1156-42FE-A3A0-4100B4CD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89E"/>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B54D5E"/>
    <w:pPr>
      <w:keepNext/>
      <w:keepLines/>
      <w:spacing w:after="240" w:line="240" w:lineRule="auto"/>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3163B"/>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63EA5"/>
    <w:pPr>
      <w:keepNext/>
      <w:keepLines/>
      <w:spacing w:before="40" w:after="0"/>
      <w:outlineLvl w:val="2"/>
    </w:pPr>
    <w:rPr>
      <w:rFonts w:eastAsiaTheme="majorEastAsia" w:cstheme="majorBidi"/>
      <w: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D5E"/>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03163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63EA5"/>
    <w:rPr>
      <w:rFonts w:ascii="Times New Roman" w:eastAsiaTheme="majorEastAsia" w:hAnsi="Times New Roman" w:cstheme="majorBidi"/>
      <w:i/>
      <w:sz w:val="24"/>
      <w:szCs w:val="24"/>
      <w:u w:val="single"/>
    </w:rPr>
  </w:style>
  <w:style w:type="paragraph" w:styleId="Header">
    <w:name w:val="header"/>
    <w:basedOn w:val="Normal"/>
    <w:link w:val="HeaderChar"/>
    <w:uiPriority w:val="99"/>
    <w:unhideWhenUsed/>
    <w:rsid w:val="00B54D5E"/>
    <w:pPr>
      <w:tabs>
        <w:tab w:val="center" w:pos="4680"/>
        <w:tab w:val="right" w:pos="9360"/>
      </w:tabs>
      <w:spacing w:after="120"/>
    </w:pPr>
  </w:style>
  <w:style w:type="character" w:customStyle="1" w:styleId="HeaderChar">
    <w:name w:val="Header Char"/>
    <w:basedOn w:val="DefaultParagraphFont"/>
    <w:link w:val="Header"/>
    <w:uiPriority w:val="99"/>
    <w:rsid w:val="00B54D5E"/>
    <w:rPr>
      <w:rFonts w:ascii="Times New Roman" w:hAnsi="Times New Roman"/>
      <w:sz w:val="24"/>
    </w:rPr>
  </w:style>
  <w:style w:type="paragraph" w:styleId="Footer">
    <w:name w:val="footer"/>
    <w:basedOn w:val="Normal"/>
    <w:link w:val="FooterChar"/>
    <w:uiPriority w:val="99"/>
    <w:unhideWhenUsed/>
    <w:rsid w:val="00B54D5E"/>
    <w:pPr>
      <w:tabs>
        <w:tab w:val="center" w:pos="4680"/>
        <w:tab w:val="right" w:pos="9360"/>
      </w:tabs>
      <w:spacing w:after="120"/>
    </w:pPr>
  </w:style>
  <w:style w:type="character" w:customStyle="1" w:styleId="FooterChar">
    <w:name w:val="Footer Char"/>
    <w:basedOn w:val="DefaultParagraphFont"/>
    <w:link w:val="Footer"/>
    <w:uiPriority w:val="99"/>
    <w:rsid w:val="00B54D5E"/>
    <w:rPr>
      <w:rFonts w:ascii="Times New Roman" w:hAnsi="Times New Roman"/>
      <w:sz w:val="24"/>
    </w:rPr>
  </w:style>
  <w:style w:type="paragraph" w:customStyle="1" w:styleId="Figure">
    <w:name w:val="Figure"/>
    <w:basedOn w:val="Normal"/>
    <w:link w:val="FigureChar"/>
    <w:qFormat/>
    <w:rsid w:val="009D7CA2"/>
    <w:pPr>
      <w:jc w:val="center"/>
    </w:pPr>
    <w:rPr>
      <w:b/>
    </w:rPr>
  </w:style>
  <w:style w:type="table" w:styleId="TableGrid">
    <w:name w:val="Table Grid"/>
    <w:basedOn w:val="TableNormal"/>
    <w:uiPriority w:val="39"/>
    <w:rsid w:val="00431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basedOn w:val="DefaultParagraphFont"/>
    <w:link w:val="Figure"/>
    <w:rsid w:val="009D7CA2"/>
    <w:rPr>
      <w:rFonts w:ascii="Times New Roman" w:hAnsi="Times New Roman"/>
      <w:b/>
      <w:sz w:val="24"/>
    </w:rPr>
  </w:style>
  <w:style w:type="character" w:styleId="PlaceholderText">
    <w:name w:val="Placeholder Text"/>
    <w:basedOn w:val="DefaultParagraphFont"/>
    <w:uiPriority w:val="99"/>
    <w:semiHidden/>
    <w:rsid w:val="004110BE"/>
    <w:rPr>
      <w:color w:val="808080"/>
    </w:rPr>
  </w:style>
  <w:style w:type="character" w:styleId="Hyperlink">
    <w:name w:val="Hyperlink"/>
    <w:basedOn w:val="DefaultParagraphFont"/>
    <w:uiPriority w:val="99"/>
    <w:unhideWhenUsed/>
    <w:rsid w:val="00B757CF"/>
    <w:rPr>
      <w:rFonts w:cs="Times New Roman"/>
      <w:color w:val="0563C1" w:themeColor="hyperlink"/>
      <w:u w:val="single"/>
    </w:rPr>
  </w:style>
  <w:style w:type="paragraph" w:styleId="Title">
    <w:name w:val="Title"/>
    <w:basedOn w:val="Normal"/>
    <w:next w:val="Normal"/>
    <w:link w:val="TitleChar"/>
    <w:uiPriority w:val="10"/>
    <w:qFormat/>
    <w:rsid w:val="00B757CF"/>
    <w:pPr>
      <w:spacing w:after="0" w:line="240" w:lineRule="auto"/>
      <w:contextualSpacing/>
      <w:jc w:val="center"/>
    </w:pPr>
    <w:rPr>
      <w:rFonts w:eastAsiaTheme="majorEastAsia" w:cs="Times New Roman"/>
      <w:b/>
      <w:spacing w:val="-10"/>
      <w:kern w:val="28"/>
      <w:sz w:val="28"/>
      <w:szCs w:val="56"/>
    </w:rPr>
  </w:style>
  <w:style w:type="character" w:customStyle="1" w:styleId="TitleChar">
    <w:name w:val="Title Char"/>
    <w:basedOn w:val="DefaultParagraphFont"/>
    <w:link w:val="Title"/>
    <w:uiPriority w:val="10"/>
    <w:rsid w:val="00B757CF"/>
    <w:rPr>
      <w:rFonts w:ascii="Times New Roman" w:eastAsiaTheme="majorEastAsia" w:hAnsi="Times New Roman" w:cs="Times New Roman"/>
      <w:b/>
      <w:spacing w:val="-10"/>
      <w:kern w:val="28"/>
      <w:sz w:val="28"/>
      <w:szCs w:val="56"/>
    </w:rPr>
  </w:style>
  <w:style w:type="paragraph" w:customStyle="1" w:styleId="Standard">
    <w:name w:val="Standard"/>
    <w:rsid w:val="00B757CF"/>
    <w:pPr>
      <w:suppressAutoHyphens/>
      <w:autoSpaceDN w:val="0"/>
      <w:spacing w:after="200" w:line="276" w:lineRule="auto"/>
      <w:textAlignment w:val="baseline"/>
    </w:pPr>
    <w:rPr>
      <w:rFonts w:ascii="Calibri" w:eastAsia="SimSun" w:hAnsi="Calibri" w:cs="Calibri"/>
      <w:kern w:val="3"/>
      <w:lang w:val="en-CA"/>
    </w:rPr>
  </w:style>
  <w:style w:type="paragraph" w:styleId="ListParagraph">
    <w:name w:val="List Paragraph"/>
    <w:basedOn w:val="Normal"/>
    <w:uiPriority w:val="34"/>
    <w:qFormat/>
    <w:rsid w:val="00FD6871"/>
    <w:pPr>
      <w:ind w:left="720"/>
      <w:contextualSpacing/>
    </w:pPr>
  </w:style>
  <w:style w:type="character" w:styleId="LineNumber">
    <w:name w:val="line number"/>
    <w:basedOn w:val="DefaultParagraphFont"/>
    <w:uiPriority w:val="99"/>
    <w:semiHidden/>
    <w:unhideWhenUsed/>
    <w:rsid w:val="003C0ECB"/>
  </w:style>
  <w:style w:type="character" w:styleId="CommentReference">
    <w:name w:val="annotation reference"/>
    <w:basedOn w:val="DefaultParagraphFont"/>
    <w:uiPriority w:val="99"/>
    <w:semiHidden/>
    <w:unhideWhenUsed/>
    <w:rsid w:val="00F55ED1"/>
    <w:rPr>
      <w:sz w:val="16"/>
      <w:szCs w:val="16"/>
    </w:rPr>
  </w:style>
  <w:style w:type="paragraph" w:styleId="CommentText">
    <w:name w:val="annotation text"/>
    <w:basedOn w:val="Normal"/>
    <w:link w:val="CommentTextChar"/>
    <w:uiPriority w:val="99"/>
    <w:unhideWhenUsed/>
    <w:rsid w:val="00F55ED1"/>
    <w:pPr>
      <w:spacing w:line="240" w:lineRule="auto"/>
    </w:pPr>
    <w:rPr>
      <w:sz w:val="20"/>
      <w:szCs w:val="20"/>
    </w:rPr>
  </w:style>
  <w:style w:type="character" w:customStyle="1" w:styleId="CommentTextChar">
    <w:name w:val="Comment Text Char"/>
    <w:basedOn w:val="DefaultParagraphFont"/>
    <w:link w:val="CommentText"/>
    <w:uiPriority w:val="99"/>
    <w:rsid w:val="00F55ED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55ED1"/>
    <w:rPr>
      <w:b/>
      <w:bCs/>
    </w:rPr>
  </w:style>
  <w:style w:type="character" w:customStyle="1" w:styleId="CommentSubjectChar">
    <w:name w:val="Comment Subject Char"/>
    <w:basedOn w:val="CommentTextChar"/>
    <w:link w:val="CommentSubject"/>
    <w:uiPriority w:val="99"/>
    <w:semiHidden/>
    <w:rsid w:val="00F55ED1"/>
    <w:rPr>
      <w:rFonts w:ascii="Times New Roman" w:hAnsi="Times New Roman"/>
      <w:b/>
      <w:bCs/>
      <w:sz w:val="20"/>
      <w:szCs w:val="20"/>
    </w:rPr>
  </w:style>
  <w:style w:type="paragraph" w:styleId="Revision">
    <w:name w:val="Revision"/>
    <w:hidden/>
    <w:uiPriority w:val="99"/>
    <w:semiHidden/>
    <w:rsid w:val="00B87DDE"/>
    <w:pPr>
      <w:spacing w:after="0" w:line="240" w:lineRule="auto"/>
    </w:pPr>
    <w:rPr>
      <w:rFonts w:ascii="Times New Roman" w:hAnsi="Times New Roman"/>
      <w:sz w:val="24"/>
    </w:rPr>
  </w:style>
  <w:style w:type="paragraph" w:styleId="FootnoteText">
    <w:name w:val="footnote text"/>
    <w:basedOn w:val="Normal"/>
    <w:link w:val="FootnoteTextChar"/>
    <w:uiPriority w:val="99"/>
    <w:semiHidden/>
    <w:unhideWhenUsed/>
    <w:rsid w:val="00AA41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41A9"/>
    <w:rPr>
      <w:rFonts w:ascii="Times New Roman" w:hAnsi="Times New Roman"/>
      <w:sz w:val="20"/>
      <w:szCs w:val="20"/>
    </w:rPr>
  </w:style>
  <w:style w:type="character" w:styleId="FootnoteReference">
    <w:name w:val="footnote reference"/>
    <w:basedOn w:val="DefaultParagraphFont"/>
    <w:uiPriority w:val="99"/>
    <w:semiHidden/>
    <w:unhideWhenUsed/>
    <w:rsid w:val="00AA41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istiakjahan@knights.ucf.ed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naveen.eluru@ucf.edu" TargetMode="External"/><Relationship Id="rId4" Type="http://schemas.openxmlformats.org/officeDocument/2006/relationships/settings" Target="settings.xml"/><Relationship Id="rId9" Type="http://schemas.openxmlformats.org/officeDocument/2006/relationships/hyperlink" Target="mailto:tanmoy78@knights.ucf.ed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0AD41-9F63-4D41-B8A1-78666806F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2993</TotalTime>
  <Pages>42</Pages>
  <Words>35082</Words>
  <Characters>199969</Characters>
  <Application>Microsoft Office Word</Application>
  <DocSecurity>0</DocSecurity>
  <Lines>1666</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Istiak Jahan</dc:creator>
  <cp:keywords/>
  <dc:description/>
  <cp:lastModifiedBy>Naveen Eluru</cp:lastModifiedBy>
  <cp:revision>275</cp:revision>
  <dcterms:created xsi:type="dcterms:W3CDTF">2021-12-03T17:35:00Z</dcterms:created>
  <dcterms:modified xsi:type="dcterms:W3CDTF">2023-04-18T10:34:00Z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http://www.zotero.org/styles/transportation-research-record</vt:lpwstr>
  </property>
  <property fmtid="{D5CDD505-2E9C-101B-9397-08002B2CF9AE}" pid="19" name="Mendeley Recent Style Name 8_1">
    <vt:lpwstr>Transportation Research Record: Journal of the Transportation Research Board</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894b767a-f2b0-368d-ae76-6ef24f660ceb</vt:lpwstr>
  </property>
  <property fmtid="{D5CDD505-2E9C-101B-9397-08002B2CF9AE}" pid="24" name="Mendeley Citation Style_1">
    <vt:lpwstr>http://www.zotero.org/styles/apa</vt:lpwstr>
  </property>
</Properties>
</file>