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E97AD" w14:textId="566C1E87" w:rsidR="006E45E4" w:rsidRDefault="00C74B2A" w:rsidP="00B515BD">
      <w:pPr>
        <w:rPr>
          <w:rFonts w:eastAsia="Calibri" w:cs="Times New Roman"/>
          <w:b/>
        </w:rPr>
      </w:pPr>
      <w:r w:rsidRPr="00C74B2A">
        <w:rPr>
          <w:rFonts w:eastAsia="Calibri" w:cs="Times New Roman"/>
          <w:b/>
          <w:sz w:val="26"/>
          <w:szCs w:val="26"/>
        </w:rPr>
        <w:t xml:space="preserve">Predicting </w:t>
      </w:r>
      <w:r w:rsidR="00D213F9">
        <w:rPr>
          <w:rFonts w:eastAsia="Calibri" w:cs="Times New Roman"/>
          <w:b/>
          <w:sz w:val="26"/>
          <w:szCs w:val="26"/>
        </w:rPr>
        <w:t>Hurricane Evacuation</w:t>
      </w:r>
      <w:r w:rsidRPr="00C74B2A">
        <w:rPr>
          <w:rFonts w:eastAsia="Calibri" w:cs="Times New Roman"/>
          <w:b/>
          <w:sz w:val="26"/>
          <w:szCs w:val="26"/>
        </w:rPr>
        <w:t xml:space="preserve"> Behavior</w:t>
      </w:r>
      <w:r w:rsidR="00D213F9">
        <w:rPr>
          <w:rFonts w:eastAsia="Calibri" w:cs="Times New Roman"/>
          <w:b/>
          <w:sz w:val="26"/>
          <w:szCs w:val="26"/>
        </w:rPr>
        <w:t xml:space="preserve"> </w:t>
      </w:r>
      <w:r w:rsidRPr="00C74B2A">
        <w:rPr>
          <w:rFonts w:eastAsia="Calibri" w:cs="Times New Roman"/>
          <w:b/>
          <w:sz w:val="26"/>
          <w:szCs w:val="26"/>
        </w:rPr>
        <w:t>Synthesizing Data from Tr</w:t>
      </w:r>
      <w:r w:rsidR="00D213F9">
        <w:rPr>
          <w:rFonts w:eastAsia="Calibri" w:cs="Times New Roman"/>
          <w:b/>
          <w:sz w:val="26"/>
          <w:szCs w:val="26"/>
        </w:rPr>
        <w:t>avel Surveys</w:t>
      </w:r>
      <w:r w:rsidRPr="00C74B2A">
        <w:rPr>
          <w:rFonts w:eastAsia="Calibri" w:cs="Times New Roman"/>
          <w:b/>
          <w:sz w:val="26"/>
          <w:szCs w:val="26"/>
        </w:rPr>
        <w:t xml:space="preserve"> and Social Media</w:t>
      </w:r>
    </w:p>
    <w:p w14:paraId="5C6524B9" w14:textId="77777777" w:rsidR="006E45E4" w:rsidRDefault="006E45E4" w:rsidP="00DC6410">
      <w:pPr>
        <w:jc w:val="left"/>
        <w:rPr>
          <w:rFonts w:eastAsia="Calibri" w:cs="Times New Roman"/>
          <w:b/>
        </w:rPr>
      </w:pPr>
    </w:p>
    <w:p w14:paraId="6CDC2A99" w14:textId="77777777" w:rsidR="00923BE3" w:rsidRPr="00923BE3" w:rsidRDefault="00923BE3" w:rsidP="004B779D">
      <w:pPr>
        <w:jc w:val="left"/>
        <w:rPr>
          <w:rFonts w:cs="Times New Roman"/>
          <w:b/>
          <w:bCs/>
        </w:rPr>
      </w:pPr>
      <w:r w:rsidRPr="00923BE3">
        <w:rPr>
          <w:rFonts w:cs="Times New Roman"/>
          <w:b/>
          <w:bCs/>
        </w:rPr>
        <w:t>Tanmoy Bhowmik*</w:t>
      </w:r>
    </w:p>
    <w:p w14:paraId="2356F1E1" w14:textId="17CB49D5" w:rsidR="004B779D" w:rsidRPr="004B779D" w:rsidRDefault="004B779D" w:rsidP="004B779D">
      <w:pPr>
        <w:jc w:val="left"/>
        <w:rPr>
          <w:rFonts w:cs="Times New Roman"/>
        </w:rPr>
      </w:pPr>
      <w:r w:rsidRPr="004B779D">
        <w:rPr>
          <w:rFonts w:cs="Times New Roman"/>
        </w:rPr>
        <w:t>Assistant Professor</w:t>
      </w:r>
    </w:p>
    <w:p w14:paraId="1F710BB8" w14:textId="5636BE7D" w:rsidR="004B779D" w:rsidRPr="004B779D" w:rsidRDefault="004B779D" w:rsidP="004B779D">
      <w:pPr>
        <w:jc w:val="left"/>
        <w:rPr>
          <w:rFonts w:cs="Times New Roman"/>
        </w:rPr>
      </w:pPr>
      <w:r w:rsidRPr="00494C5F">
        <w:rPr>
          <w:rFonts w:eastAsia="Calibri" w:cs="Times New Roman"/>
        </w:rPr>
        <w:t xml:space="preserve">Department of </w:t>
      </w:r>
      <w:r w:rsidRPr="004B779D">
        <w:rPr>
          <w:rFonts w:cs="Times New Roman"/>
        </w:rPr>
        <w:t>Civil and Environmental Engineering</w:t>
      </w:r>
    </w:p>
    <w:p w14:paraId="5182B879" w14:textId="77777777" w:rsidR="004B779D" w:rsidRPr="004B779D" w:rsidRDefault="004B779D" w:rsidP="004B779D">
      <w:pPr>
        <w:jc w:val="left"/>
        <w:rPr>
          <w:rFonts w:cs="Times New Roman"/>
        </w:rPr>
      </w:pPr>
      <w:r w:rsidRPr="004B779D">
        <w:rPr>
          <w:rFonts w:cs="Times New Roman"/>
        </w:rPr>
        <w:t>Portland State University</w:t>
      </w:r>
    </w:p>
    <w:p w14:paraId="717D446B" w14:textId="02A0D574" w:rsidR="004B779D" w:rsidRDefault="004B779D" w:rsidP="004B779D">
      <w:pPr>
        <w:jc w:val="left"/>
        <w:rPr>
          <w:rFonts w:eastAsia="Calibri" w:cs="Times New Roman"/>
          <w:b/>
        </w:rPr>
      </w:pPr>
      <w:r w:rsidRPr="004B779D">
        <w:rPr>
          <w:rFonts w:cs="Times New Roman"/>
        </w:rPr>
        <w:t>Email:</w:t>
      </w:r>
      <w:r w:rsidRPr="004B779D">
        <w:rPr>
          <w:rFonts w:eastAsia="Calibri" w:cs="Times New Roman"/>
          <w:b/>
        </w:rPr>
        <w:t xml:space="preserve"> </w:t>
      </w:r>
      <w:hyperlink r:id="rId8" w:history="1">
        <w:r w:rsidRPr="004B779D">
          <w:rPr>
            <w:color w:val="0000FF"/>
          </w:rPr>
          <w:t>tbhowmik@pdx.edu</w:t>
        </w:r>
      </w:hyperlink>
    </w:p>
    <w:p w14:paraId="00D134D7" w14:textId="2711D0A0" w:rsidR="006E45E4" w:rsidRDefault="006E45E4" w:rsidP="004B779D">
      <w:pPr>
        <w:jc w:val="left"/>
        <w:rPr>
          <w:rFonts w:ascii="Arial" w:hAnsi="Arial" w:cs="Arial"/>
          <w:color w:val="494A4C"/>
          <w:sz w:val="23"/>
          <w:szCs w:val="23"/>
          <w:shd w:val="clear" w:color="auto" w:fill="FFFFFF"/>
        </w:rPr>
      </w:pPr>
      <w:proofErr w:type="spellStart"/>
      <w:r w:rsidRPr="00724447">
        <w:rPr>
          <w:rFonts w:cs="Times New Roman"/>
        </w:rPr>
        <w:t>ORCiD</w:t>
      </w:r>
      <w:proofErr w:type="spellEnd"/>
      <w:r w:rsidRPr="00724447">
        <w:rPr>
          <w:rFonts w:cs="Times New Roman"/>
        </w:rPr>
        <w:t xml:space="preserve"> number:</w:t>
      </w:r>
      <w:r>
        <w:rPr>
          <w:rFonts w:cs="Times New Roman"/>
        </w:rPr>
        <w:t xml:space="preserve"> </w:t>
      </w:r>
      <w:r w:rsidRPr="00D9595E">
        <w:rPr>
          <w:rFonts w:cs="Times New Roman"/>
        </w:rPr>
        <w:t>0000-0002-0258-1692</w:t>
      </w:r>
    </w:p>
    <w:p w14:paraId="35F96507" w14:textId="77777777" w:rsidR="0095243E" w:rsidRDefault="0095243E" w:rsidP="00DC6410">
      <w:pPr>
        <w:jc w:val="left"/>
        <w:rPr>
          <w:rFonts w:eastAsia="Calibri" w:cs="Times New Roman"/>
        </w:rPr>
      </w:pPr>
    </w:p>
    <w:p w14:paraId="4F4DFEA8" w14:textId="77777777" w:rsidR="004F5AB8" w:rsidRPr="00494C5F" w:rsidRDefault="004F5AB8" w:rsidP="004F5AB8">
      <w:pPr>
        <w:jc w:val="left"/>
        <w:rPr>
          <w:rFonts w:eastAsia="Calibri" w:cs="Times New Roman"/>
          <w:b/>
        </w:rPr>
      </w:pPr>
      <w:r w:rsidRPr="00494C5F">
        <w:rPr>
          <w:rFonts w:eastAsia="Calibri" w:cs="Times New Roman"/>
          <w:b/>
        </w:rPr>
        <w:t>Naveen Eluru</w:t>
      </w:r>
    </w:p>
    <w:p w14:paraId="7E2F4C7E" w14:textId="77777777" w:rsidR="004F5AB8" w:rsidRPr="00494C5F" w:rsidRDefault="004F5AB8" w:rsidP="004F5AB8">
      <w:pPr>
        <w:jc w:val="left"/>
        <w:rPr>
          <w:rFonts w:eastAsia="Calibri" w:cs="Times New Roman"/>
        </w:rPr>
      </w:pPr>
      <w:r w:rsidRPr="00494C5F">
        <w:rPr>
          <w:rFonts w:eastAsia="Calibri" w:cs="Times New Roman"/>
        </w:rPr>
        <w:t>Professor</w:t>
      </w:r>
    </w:p>
    <w:p w14:paraId="77967954" w14:textId="77777777" w:rsidR="004F5AB8" w:rsidRPr="00494C5F" w:rsidRDefault="004F5AB8" w:rsidP="004F5AB8">
      <w:pPr>
        <w:jc w:val="left"/>
        <w:rPr>
          <w:rFonts w:eastAsia="Calibri" w:cs="Times New Roman"/>
        </w:rPr>
      </w:pPr>
      <w:r w:rsidRPr="00494C5F">
        <w:rPr>
          <w:rFonts w:eastAsia="Calibri" w:cs="Times New Roman"/>
        </w:rPr>
        <w:t xml:space="preserve">Department of Civil, Environmental </w:t>
      </w:r>
      <w:r>
        <w:rPr>
          <w:rFonts w:eastAsia="Calibri" w:cs="Times New Roman"/>
        </w:rPr>
        <w:t>&amp;</w:t>
      </w:r>
      <w:r w:rsidRPr="00494C5F">
        <w:rPr>
          <w:rFonts w:eastAsia="Calibri" w:cs="Times New Roman"/>
        </w:rPr>
        <w:t xml:space="preserve"> Construction Engineering</w:t>
      </w:r>
    </w:p>
    <w:p w14:paraId="62B97995" w14:textId="77777777" w:rsidR="004F5AB8" w:rsidRPr="00494C5F" w:rsidRDefault="004F5AB8" w:rsidP="004F5AB8">
      <w:pPr>
        <w:jc w:val="left"/>
        <w:rPr>
          <w:rFonts w:eastAsia="Calibri" w:cs="Times New Roman"/>
        </w:rPr>
      </w:pPr>
      <w:r w:rsidRPr="00494C5F">
        <w:rPr>
          <w:rFonts w:eastAsia="Calibri" w:cs="Times New Roman"/>
        </w:rPr>
        <w:t>University of Central Florida</w:t>
      </w:r>
    </w:p>
    <w:p w14:paraId="6D64DEAC" w14:textId="77777777" w:rsidR="004F5AB8" w:rsidRDefault="004F5AB8" w:rsidP="004F5AB8">
      <w:pPr>
        <w:jc w:val="left"/>
        <w:rPr>
          <w:rFonts w:eastAsia="Calibri" w:cs="Times New Roman"/>
          <w:color w:val="0000FF"/>
          <w:u w:val="single"/>
        </w:rPr>
      </w:pPr>
      <w:r w:rsidRPr="00494C5F">
        <w:rPr>
          <w:rFonts w:eastAsia="Calibri" w:cs="Times New Roman"/>
        </w:rPr>
        <w:t xml:space="preserve">Email: </w:t>
      </w:r>
      <w:hyperlink r:id="rId9" w:history="1">
        <w:r w:rsidRPr="00494C5F">
          <w:rPr>
            <w:rFonts w:eastAsia="Calibri" w:cs="Times New Roman"/>
            <w:color w:val="0000FF"/>
            <w:u w:val="single"/>
          </w:rPr>
          <w:t>naveen.eluru@ucf.edu</w:t>
        </w:r>
      </w:hyperlink>
    </w:p>
    <w:p w14:paraId="51BF4F04" w14:textId="77777777" w:rsidR="004F5AB8" w:rsidRDefault="004F5AB8" w:rsidP="004F5AB8">
      <w:pPr>
        <w:jc w:val="left"/>
        <w:rPr>
          <w:rStyle w:val="Hyperlink"/>
          <w:szCs w:val="24"/>
        </w:rPr>
      </w:pPr>
      <w:proofErr w:type="spellStart"/>
      <w:r w:rsidRPr="00724447">
        <w:rPr>
          <w:rFonts w:cs="Times New Roman"/>
        </w:rPr>
        <w:t>ORCiD</w:t>
      </w:r>
      <w:proofErr w:type="spellEnd"/>
      <w:r w:rsidRPr="00724447">
        <w:rPr>
          <w:rFonts w:cs="Times New Roman"/>
        </w:rPr>
        <w:t xml:space="preserve"> number: </w:t>
      </w:r>
      <w:r w:rsidRPr="006E7DCE">
        <w:rPr>
          <w:rFonts w:cs="Times New Roman"/>
        </w:rPr>
        <w:t>0000-0003-1221-4113</w:t>
      </w:r>
    </w:p>
    <w:p w14:paraId="3B981262" w14:textId="77777777" w:rsidR="004F5AB8" w:rsidRDefault="004F5AB8" w:rsidP="00734C3D">
      <w:pPr>
        <w:pStyle w:val="paragraph"/>
        <w:spacing w:before="0" w:beforeAutospacing="0" w:after="0" w:afterAutospacing="0"/>
        <w:textAlignment w:val="baseline"/>
        <w:rPr>
          <w:rStyle w:val="normaltextrun"/>
          <w:rFonts w:eastAsiaTheme="majorEastAsia"/>
          <w:b/>
          <w:bCs/>
        </w:rPr>
      </w:pPr>
    </w:p>
    <w:p w14:paraId="4330A05B" w14:textId="5BA74893" w:rsidR="00734C3D" w:rsidRDefault="00734C3D" w:rsidP="00734C3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rPr>
        <w:t>Samiul Hasan</w:t>
      </w:r>
    </w:p>
    <w:p w14:paraId="3B84AD02" w14:textId="0CDC0334" w:rsidR="00734C3D" w:rsidRDefault="00734C3D" w:rsidP="00734C3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Ass</w:t>
      </w:r>
      <w:r w:rsidR="00D213F9">
        <w:rPr>
          <w:rStyle w:val="normaltextrun"/>
          <w:rFonts w:eastAsiaTheme="majorEastAsia"/>
        </w:rPr>
        <w:t>ociate</w:t>
      </w:r>
      <w:r>
        <w:rPr>
          <w:rStyle w:val="normaltextrun"/>
          <w:rFonts w:eastAsiaTheme="majorEastAsia"/>
        </w:rPr>
        <w:t xml:space="preserve"> Professor </w:t>
      </w:r>
      <w:r>
        <w:rPr>
          <w:rStyle w:val="eop"/>
        </w:rPr>
        <w:t> </w:t>
      </w:r>
    </w:p>
    <w:p w14:paraId="6BEDF96B" w14:textId="77777777" w:rsidR="00734C3D" w:rsidRDefault="00734C3D" w:rsidP="00734C3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Department of Civil, Environmental, and Construction Engineering </w:t>
      </w:r>
      <w:r>
        <w:rPr>
          <w:rStyle w:val="eop"/>
        </w:rPr>
        <w:t> </w:t>
      </w:r>
    </w:p>
    <w:p w14:paraId="238679F4" w14:textId="77777777" w:rsidR="00734C3D" w:rsidRDefault="00734C3D" w:rsidP="00734C3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University of Central Florida </w:t>
      </w:r>
      <w:r>
        <w:rPr>
          <w:rStyle w:val="eop"/>
        </w:rPr>
        <w:t> </w:t>
      </w:r>
    </w:p>
    <w:p w14:paraId="790157AF" w14:textId="77777777" w:rsidR="00734C3D" w:rsidRDefault="00734C3D" w:rsidP="00734C3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Email: </w:t>
      </w:r>
      <w:hyperlink r:id="rId10" w:history="1">
        <w:r w:rsidRPr="004A49F0">
          <w:rPr>
            <w:rStyle w:val="Hyperlink"/>
            <w:rFonts w:eastAsiaTheme="majorEastAsia"/>
          </w:rPr>
          <w:t>samiul.hasan@ucf.edu</w:t>
        </w:r>
      </w:hyperlink>
      <w:r>
        <w:rPr>
          <w:rStyle w:val="normaltextrun"/>
          <w:rFonts w:eastAsiaTheme="majorEastAsia"/>
        </w:rPr>
        <w:t xml:space="preserve">  </w:t>
      </w:r>
      <w:r>
        <w:rPr>
          <w:rStyle w:val="eop"/>
        </w:rPr>
        <w:t> </w:t>
      </w:r>
    </w:p>
    <w:p w14:paraId="438DD0CE" w14:textId="77777777" w:rsidR="00734C3D" w:rsidRDefault="00734C3D" w:rsidP="00734C3D">
      <w:pPr>
        <w:jc w:val="left"/>
        <w:rPr>
          <w:rFonts w:eastAsia="Calibri" w:cs="Times New Roman"/>
          <w:b/>
        </w:rPr>
      </w:pPr>
    </w:p>
    <w:p w14:paraId="4EA8D5C0" w14:textId="5BD87702" w:rsidR="008D5C46" w:rsidRDefault="008D5C46" w:rsidP="008D5C46">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rPr>
        <w:t>Aron Culotta</w:t>
      </w:r>
    </w:p>
    <w:p w14:paraId="3E1CF341" w14:textId="483276DD" w:rsidR="008D5C46" w:rsidRDefault="008D5C46" w:rsidP="008D5C46">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Associate Professor </w:t>
      </w:r>
      <w:r>
        <w:rPr>
          <w:rStyle w:val="eop"/>
        </w:rPr>
        <w:t> </w:t>
      </w:r>
    </w:p>
    <w:p w14:paraId="77ACC98B" w14:textId="12E3DA52" w:rsidR="008D5C46" w:rsidRDefault="008D5C46" w:rsidP="008D5C46">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School of Science &amp; Engineering</w:t>
      </w:r>
    </w:p>
    <w:p w14:paraId="4C3A4F8A" w14:textId="050A506B" w:rsidR="008D5C46" w:rsidRPr="008D5C46" w:rsidRDefault="008D5C46" w:rsidP="008D5C46">
      <w:pPr>
        <w:pStyle w:val="paragraph"/>
        <w:spacing w:before="0" w:beforeAutospacing="0" w:after="0" w:afterAutospacing="0"/>
        <w:textAlignment w:val="baseline"/>
        <w:rPr>
          <w:rStyle w:val="normaltextrun"/>
          <w:rFonts w:eastAsiaTheme="majorEastAsia"/>
        </w:rPr>
      </w:pPr>
      <w:r>
        <w:rPr>
          <w:rStyle w:val="normaltextrun"/>
          <w:rFonts w:eastAsiaTheme="majorEastAsia"/>
        </w:rPr>
        <w:t>T</w:t>
      </w:r>
      <w:r w:rsidRPr="008D5C46">
        <w:rPr>
          <w:rStyle w:val="normaltextrun"/>
          <w:rFonts w:eastAsiaTheme="majorEastAsia"/>
        </w:rPr>
        <w:t xml:space="preserve">ulane </w:t>
      </w:r>
      <w:r w:rsidR="001F5D05">
        <w:rPr>
          <w:rStyle w:val="normaltextrun"/>
          <w:rFonts w:eastAsiaTheme="majorEastAsia"/>
        </w:rPr>
        <w:t>U</w:t>
      </w:r>
      <w:r w:rsidRPr="008D5C46">
        <w:rPr>
          <w:rStyle w:val="normaltextrun"/>
          <w:rFonts w:eastAsiaTheme="majorEastAsia"/>
        </w:rPr>
        <w:t>niversity</w:t>
      </w:r>
    </w:p>
    <w:p w14:paraId="7A997287" w14:textId="10F87AE5" w:rsidR="008D5C46" w:rsidRPr="008D5C46" w:rsidRDefault="008D5C46" w:rsidP="008D5C46">
      <w:pPr>
        <w:pStyle w:val="paragraph"/>
        <w:spacing w:before="0" w:beforeAutospacing="0" w:after="0" w:afterAutospacing="0"/>
        <w:textAlignment w:val="baseline"/>
        <w:rPr>
          <w:rStyle w:val="normaltextrun"/>
          <w:rFonts w:eastAsiaTheme="majorEastAsia"/>
        </w:rPr>
      </w:pPr>
      <w:r>
        <w:rPr>
          <w:rStyle w:val="normaltextrun"/>
          <w:rFonts w:eastAsiaTheme="majorEastAsia"/>
        </w:rPr>
        <w:t xml:space="preserve">Email: </w:t>
      </w:r>
      <w:hyperlink r:id="rId11" w:history="1">
        <w:r w:rsidR="00B34FF2" w:rsidRPr="004A49F0">
          <w:rPr>
            <w:rStyle w:val="Hyperlink"/>
            <w:rFonts w:eastAsiaTheme="majorEastAsia"/>
          </w:rPr>
          <w:t>aculotta@tulane.edu</w:t>
        </w:r>
      </w:hyperlink>
      <w:r w:rsidR="00B34FF2">
        <w:rPr>
          <w:rStyle w:val="normaltextrun"/>
          <w:rFonts w:eastAsiaTheme="majorEastAsia"/>
        </w:rPr>
        <w:t xml:space="preserve"> </w:t>
      </w:r>
    </w:p>
    <w:p w14:paraId="00D45EE5" w14:textId="7A358642" w:rsidR="005A709B" w:rsidRDefault="005A709B" w:rsidP="00DC6410">
      <w:pPr>
        <w:jc w:val="left"/>
        <w:rPr>
          <w:rFonts w:eastAsia="Calibri" w:cs="Times New Roman"/>
        </w:rPr>
      </w:pPr>
    </w:p>
    <w:p w14:paraId="07819232" w14:textId="77777777" w:rsidR="006B5FC6" w:rsidRPr="006B5FC6" w:rsidRDefault="006B5FC6" w:rsidP="006B5FC6">
      <w:pPr>
        <w:jc w:val="left"/>
        <w:rPr>
          <w:rFonts w:eastAsia="Calibri" w:cs="Times New Roman"/>
          <w:b/>
          <w:bCs/>
        </w:rPr>
      </w:pPr>
      <w:r w:rsidRPr="006B5FC6">
        <w:rPr>
          <w:rFonts w:eastAsia="Calibri" w:cs="Times New Roman"/>
          <w:b/>
          <w:bCs/>
        </w:rPr>
        <w:t>Kamol Chandra Roy</w:t>
      </w:r>
    </w:p>
    <w:p w14:paraId="10D24E60" w14:textId="77777777" w:rsidR="006B5FC6" w:rsidRPr="006B5FC6" w:rsidRDefault="006B5FC6" w:rsidP="006B5FC6">
      <w:pPr>
        <w:jc w:val="left"/>
        <w:rPr>
          <w:rFonts w:eastAsia="Calibri" w:cs="Times New Roman"/>
        </w:rPr>
      </w:pPr>
      <w:r w:rsidRPr="006B5FC6">
        <w:rPr>
          <w:rFonts w:eastAsia="Calibri" w:cs="Times New Roman"/>
        </w:rPr>
        <w:t>Spatial Data Scientist</w:t>
      </w:r>
    </w:p>
    <w:p w14:paraId="6F1573EA" w14:textId="77777777" w:rsidR="006B5FC6" w:rsidRPr="006B5FC6" w:rsidRDefault="006B5FC6" w:rsidP="006B5FC6">
      <w:pPr>
        <w:jc w:val="left"/>
        <w:rPr>
          <w:rFonts w:eastAsia="Calibri" w:cs="Times New Roman"/>
        </w:rPr>
      </w:pPr>
      <w:r w:rsidRPr="006B5FC6">
        <w:rPr>
          <w:rFonts w:eastAsia="Calibri" w:cs="Times New Roman"/>
        </w:rPr>
        <w:t>Infrastructure Analytics Unit</w:t>
      </w:r>
    </w:p>
    <w:p w14:paraId="250CDD4F" w14:textId="77777777" w:rsidR="006B5FC6" w:rsidRPr="006B5FC6" w:rsidRDefault="006B5FC6" w:rsidP="006B5FC6">
      <w:pPr>
        <w:jc w:val="left"/>
        <w:rPr>
          <w:rFonts w:eastAsia="Calibri" w:cs="Times New Roman"/>
        </w:rPr>
      </w:pPr>
      <w:r w:rsidRPr="006B5FC6">
        <w:rPr>
          <w:rFonts w:eastAsia="Calibri" w:cs="Times New Roman"/>
        </w:rPr>
        <w:t>CPCS Transcom Inc.</w:t>
      </w:r>
    </w:p>
    <w:p w14:paraId="7992D891" w14:textId="77777777" w:rsidR="006B5FC6" w:rsidRPr="006B5FC6" w:rsidRDefault="006B5FC6" w:rsidP="006B5FC6">
      <w:pPr>
        <w:jc w:val="left"/>
        <w:rPr>
          <w:rFonts w:eastAsia="Calibri" w:cs="Times New Roman"/>
        </w:rPr>
      </w:pPr>
      <w:r w:rsidRPr="006B5FC6">
        <w:rPr>
          <w:rFonts w:eastAsia="Calibri" w:cs="Times New Roman"/>
        </w:rPr>
        <w:t>1000 Potomac St NW #500, Washington, DC 20007</w:t>
      </w:r>
    </w:p>
    <w:p w14:paraId="726C8357" w14:textId="072772C8" w:rsidR="006B5FC6" w:rsidRDefault="006B5FC6" w:rsidP="006B5FC6">
      <w:pPr>
        <w:jc w:val="left"/>
        <w:rPr>
          <w:rFonts w:eastAsia="Calibri" w:cs="Times New Roman"/>
        </w:rPr>
      </w:pPr>
      <w:r w:rsidRPr="006B5FC6">
        <w:rPr>
          <w:rFonts w:eastAsia="Calibri" w:cs="Times New Roman"/>
        </w:rPr>
        <w:t xml:space="preserve">Email: </w:t>
      </w:r>
      <w:hyperlink r:id="rId12" w:history="1">
        <w:r w:rsidRPr="004A49F0">
          <w:rPr>
            <w:rStyle w:val="Hyperlink"/>
            <w:rFonts w:eastAsia="Calibri" w:cs="Times New Roman"/>
          </w:rPr>
          <w:t>roy.kamol.@knights.ucf.edu</w:t>
        </w:r>
      </w:hyperlink>
    </w:p>
    <w:p w14:paraId="58C9849F" w14:textId="77777777" w:rsidR="006B5FC6" w:rsidRDefault="006B5FC6" w:rsidP="006B5FC6">
      <w:pPr>
        <w:jc w:val="left"/>
        <w:rPr>
          <w:rFonts w:eastAsia="Calibri" w:cs="Times New Roman"/>
        </w:rPr>
      </w:pPr>
    </w:p>
    <w:p w14:paraId="3F2902DA" w14:textId="6ADE0B8D" w:rsidR="006E45E4" w:rsidRDefault="006E45E4" w:rsidP="00DC6410">
      <w:pPr>
        <w:jc w:val="left"/>
        <w:rPr>
          <w:rFonts w:eastAsia="Calibri" w:cs="Times New Roman"/>
          <w:color w:val="0000FF"/>
          <w:u w:val="single"/>
        </w:rPr>
      </w:pPr>
    </w:p>
    <w:p w14:paraId="636E05C0" w14:textId="213532E0" w:rsidR="00DC6410" w:rsidRDefault="00DC6410" w:rsidP="00DC6410">
      <w:pPr>
        <w:jc w:val="left"/>
        <w:rPr>
          <w:rFonts w:eastAsia="Calibri" w:cs="Times New Roman"/>
          <w:color w:val="0000FF"/>
          <w:u w:val="single"/>
        </w:rPr>
      </w:pPr>
    </w:p>
    <w:p w14:paraId="1A2FC052" w14:textId="6AF7C0FF" w:rsidR="006E45E4" w:rsidRDefault="006E45E4" w:rsidP="006E45E4">
      <w:pPr>
        <w:jc w:val="left"/>
        <w:rPr>
          <w:rFonts w:eastAsia="Calibri" w:cs="Times New Roman"/>
          <w:color w:val="000000"/>
        </w:rPr>
      </w:pPr>
    </w:p>
    <w:p w14:paraId="3DB3D69F" w14:textId="373D5F77" w:rsidR="004A7E1D" w:rsidRDefault="004A7E1D" w:rsidP="006E45E4">
      <w:pPr>
        <w:jc w:val="left"/>
        <w:rPr>
          <w:rFonts w:eastAsia="Calibri" w:cs="Times New Roman"/>
          <w:color w:val="000000"/>
        </w:rPr>
      </w:pPr>
    </w:p>
    <w:p w14:paraId="48841991" w14:textId="0ED5B881" w:rsidR="004A7E1D" w:rsidRDefault="004A7E1D" w:rsidP="006E45E4">
      <w:pPr>
        <w:jc w:val="left"/>
        <w:rPr>
          <w:rFonts w:eastAsia="Calibri" w:cs="Times New Roman"/>
          <w:color w:val="000000"/>
        </w:rPr>
      </w:pPr>
    </w:p>
    <w:p w14:paraId="3813E4C3" w14:textId="6E3BD3A5" w:rsidR="004A7E1D" w:rsidRDefault="004A7E1D" w:rsidP="006E45E4">
      <w:pPr>
        <w:jc w:val="left"/>
        <w:rPr>
          <w:rFonts w:eastAsia="Calibri" w:cs="Times New Roman"/>
          <w:color w:val="000000"/>
        </w:rPr>
      </w:pPr>
    </w:p>
    <w:p w14:paraId="083353BC" w14:textId="34201143" w:rsidR="004A7E1D" w:rsidRDefault="004A7E1D" w:rsidP="006E45E4">
      <w:pPr>
        <w:jc w:val="left"/>
        <w:rPr>
          <w:rFonts w:eastAsia="Calibri" w:cs="Times New Roman"/>
          <w:color w:val="000000"/>
        </w:rPr>
      </w:pPr>
    </w:p>
    <w:p w14:paraId="4D43197F" w14:textId="2235F508" w:rsidR="004A7E1D" w:rsidRDefault="004A7E1D" w:rsidP="006E45E4">
      <w:pPr>
        <w:jc w:val="left"/>
        <w:rPr>
          <w:rFonts w:eastAsia="Calibri" w:cs="Times New Roman"/>
          <w:color w:val="000000"/>
        </w:rPr>
      </w:pPr>
    </w:p>
    <w:p w14:paraId="0B05E9DC" w14:textId="7CE94801" w:rsidR="004A7E1D" w:rsidRDefault="004A7E1D" w:rsidP="006E45E4">
      <w:pPr>
        <w:jc w:val="left"/>
        <w:rPr>
          <w:rFonts w:eastAsia="Calibri" w:cs="Times New Roman"/>
          <w:color w:val="000000"/>
        </w:rPr>
      </w:pPr>
    </w:p>
    <w:p w14:paraId="284026A0" w14:textId="77777777" w:rsidR="004A7E1D" w:rsidRDefault="004A7E1D" w:rsidP="006E45E4">
      <w:pPr>
        <w:jc w:val="left"/>
        <w:rPr>
          <w:rFonts w:eastAsia="Calibri" w:cs="Times New Roman"/>
          <w:color w:val="000000"/>
        </w:rPr>
      </w:pPr>
    </w:p>
    <w:p w14:paraId="039157A6" w14:textId="77777777" w:rsidR="006E45E4" w:rsidRPr="003F3AEE" w:rsidRDefault="006E45E4" w:rsidP="006E45E4">
      <w:pPr>
        <w:jc w:val="left"/>
        <w:rPr>
          <w:rFonts w:eastAsia="Calibri" w:cs="Times New Roman"/>
          <w:color w:val="000000"/>
        </w:rPr>
      </w:pPr>
    </w:p>
    <w:p w14:paraId="79DC1AC5" w14:textId="7D495377" w:rsidR="006E45E4" w:rsidRDefault="006E45E4" w:rsidP="006E45E4">
      <w:pPr>
        <w:pBdr>
          <w:top w:val="single" w:sz="4" w:space="1" w:color="auto"/>
        </w:pBdr>
        <w:jc w:val="left"/>
        <w:rPr>
          <w:rFonts w:eastAsia="Times New Roman" w:cs="Times New Roman"/>
          <w:szCs w:val="24"/>
        </w:rPr>
      </w:pPr>
      <w:r w:rsidRPr="003F3AEE">
        <w:rPr>
          <w:rFonts w:eastAsia="Times New Roman" w:cs="Times New Roman"/>
          <w:szCs w:val="24"/>
        </w:rPr>
        <w:t>*Corresponding author</w:t>
      </w:r>
    </w:p>
    <w:p w14:paraId="4A9DB0FE" w14:textId="77777777" w:rsidR="004607BE" w:rsidRDefault="004607BE" w:rsidP="00B66C53">
      <w:pPr>
        <w:pStyle w:val="Heading1"/>
        <w:ind w:left="432"/>
        <w:sectPr w:rsidR="004607BE" w:rsidSect="00492680">
          <w:headerReference w:type="default" r:id="rId13"/>
          <w:footerReference w:type="default" r:id="rId14"/>
          <w:footerReference w:type="first" r:id="rId15"/>
          <w:type w:val="continuous"/>
          <w:pgSz w:w="11906" w:h="16838" w:code="9"/>
          <w:pgMar w:top="1440" w:right="1440" w:bottom="1440" w:left="1440" w:header="720" w:footer="720" w:gutter="0"/>
          <w:cols w:space="708"/>
          <w:titlePg/>
          <w:docGrid w:linePitch="360"/>
        </w:sectPr>
      </w:pPr>
    </w:p>
    <w:p w14:paraId="06A9589E" w14:textId="7EB6EC8C" w:rsidR="00776F6A" w:rsidRDefault="00776F6A" w:rsidP="008409D0">
      <w:pPr>
        <w:pStyle w:val="Heading1"/>
        <w:ind w:left="432" w:hanging="432"/>
      </w:pPr>
      <w:r>
        <w:lastRenderedPageBreak/>
        <w:t>ABSTRACT</w:t>
      </w:r>
    </w:p>
    <w:p w14:paraId="26E2CC61" w14:textId="7BE76B71" w:rsidR="001F00C2" w:rsidRPr="00105B3C" w:rsidRDefault="00EF585B" w:rsidP="001F00C2">
      <w:pPr>
        <w:rPr>
          <w:rFonts w:cs="Times New Roman"/>
          <w:lang w:val="en-US"/>
        </w:rPr>
      </w:pPr>
      <w:r>
        <w:rPr>
          <w:rFonts w:eastAsiaTheme="minorEastAsia"/>
          <w:color w:val="000000" w:themeColor="text1"/>
          <w:szCs w:val="24"/>
        </w:rPr>
        <w:t>Evacuation b</w:t>
      </w:r>
      <w:r w:rsidR="00600D9B" w:rsidRPr="005900F1">
        <w:rPr>
          <w:rFonts w:eastAsiaTheme="minorEastAsia"/>
          <w:color w:val="000000" w:themeColor="text1"/>
          <w:szCs w:val="24"/>
        </w:rPr>
        <w:t xml:space="preserve">ehavior models estimated </w:t>
      </w:r>
      <w:r w:rsidR="00DD21D8">
        <w:rPr>
          <w:rFonts w:eastAsiaTheme="minorEastAsia"/>
          <w:color w:val="000000" w:themeColor="text1"/>
          <w:szCs w:val="24"/>
        </w:rPr>
        <w:t>using</w:t>
      </w:r>
      <w:r w:rsidR="00DD21D8" w:rsidRPr="005900F1">
        <w:rPr>
          <w:rFonts w:eastAsiaTheme="minorEastAsia"/>
          <w:color w:val="000000" w:themeColor="text1"/>
          <w:szCs w:val="24"/>
        </w:rPr>
        <w:t xml:space="preserve"> </w:t>
      </w:r>
      <w:r w:rsidR="00600D9B" w:rsidRPr="005900F1">
        <w:rPr>
          <w:rFonts w:eastAsiaTheme="minorEastAsia"/>
          <w:color w:val="000000" w:themeColor="text1"/>
          <w:szCs w:val="24"/>
        </w:rPr>
        <w:t xml:space="preserve">post-disaster surveys </w:t>
      </w:r>
      <w:r w:rsidR="00DD21D8">
        <w:rPr>
          <w:rFonts w:eastAsiaTheme="minorEastAsia"/>
          <w:color w:val="000000" w:themeColor="text1"/>
          <w:szCs w:val="24"/>
        </w:rPr>
        <w:t>are not adequate</w:t>
      </w:r>
      <w:r w:rsidR="00600D9B" w:rsidRPr="005900F1">
        <w:rPr>
          <w:rFonts w:eastAsiaTheme="minorEastAsia"/>
          <w:color w:val="000000" w:themeColor="text1"/>
          <w:szCs w:val="24"/>
        </w:rPr>
        <w:t xml:space="preserve"> to</w:t>
      </w:r>
      <w:r w:rsidR="00A2735B" w:rsidRPr="005900F1">
        <w:rPr>
          <w:rFonts w:eastAsiaTheme="minorEastAsia"/>
          <w:color w:val="000000" w:themeColor="text1"/>
          <w:szCs w:val="24"/>
        </w:rPr>
        <w:t xml:space="preserve"> </w:t>
      </w:r>
      <w:r w:rsidR="00600D9B" w:rsidRPr="005900F1">
        <w:rPr>
          <w:rFonts w:eastAsiaTheme="minorEastAsia"/>
          <w:color w:val="000000" w:themeColor="text1"/>
          <w:szCs w:val="24"/>
        </w:rPr>
        <w:t xml:space="preserve">predict </w:t>
      </w:r>
      <w:r w:rsidR="00DD21D8">
        <w:rPr>
          <w:rFonts w:eastAsiaTheme="minorEastAsia"/>
          <w:color w:val="000000" w:themeColor="text1"/>
          <w:szCs w:val="24"/>
        </w:rPr>
        <w:t xml:space="preserve">real-time </w:t>
      </w:r>
      <w:r w:rsidR="00600D9B" w:rsidRPr="005900F1">
        <w:rPr>
          <w:rFonts w:eastAsiaTheme="minorEastAsia"/>
          <w:color w:val="000000" w:themeColor="text1"/>
          <w:szCs w:val="24"/>
        </w:rPr>
        <w:t xml:space="preserve">dynamic population response as </w:t>
      </w:r>
      <w:r w:rsidR="00DD21D8">
        <w:rPr>
          <w:rFonts w:eastAsiaTheme="minorEastAsia"/>
          <w:color w:val="000000" w:themeColor="text1"/>
          <w:szCs w:val="24"/>
        </w:rPr>
        <w:t xml:space="preserve">a </w:t>
      </w:r>
      <w:r>
        <w:rPr>
          <w:rFonts w:eastAsiaTheme="minorEastAsia"/>
          <w:color w:val="000000" w:themeColor="text1"/>
          <w:szCs w:val="24"/>
        </w:rPr>
        <w:t>hurricane</w:t>
      </w:r>
      <w:r w:rsidR="00D213F9">
        <w:rPr>
          <w:rFonts w:eastAsiaTheme="minorEastAsia"/>
          <w:color w:val="000000" w:themeColor="text1"/>
          <w:szCs w:val="24"/>
        </w:rPr>
        <w:t xml:space="preserve"> unfolds</w:t>
      </w:r>
      <w:r w:rsidR="00600D9B" w:rsidRPr="005900F1">
        <w:rPr>
          <w:rFonts w:eastAsiaTheme="minorEastAsia"/>
          <w:color w:val="000000" w:themeColor="text1"/>
          <w:szCs w:val="24"/>
        </w:rPr>
        <w:t>.</w:t>
      </w:r>
      <w:r w:rsidR="002317BB" w:rsidRPr="005900F1">
        <w:rPr>
          <w:rFonts w:eastAsiaTheme="minorEastAsia"/>
          <w:color w:val="000000" w:themeColor="text1"/>
          <w:szCs w:val="24"/>
        </w:rPr>
        <w:t xml:space="preserve"> With the emergence of ubiquitous technology and devices in recent times, social media data with its higher spatio-temporal coverage </w:t>
      </w:r>
      <w:r>
        <w:rPr>
          <w:rFonts w:eastAsiaTheme="minorEastAsia"/>
          <w:color w:val="000000" w:themeColor="text1"/>
          <w:szCs w:val="24"/>
        </w:rPr>
        <w:t>has become</w:t>
      </w:r>
      <w:r w:rsidR="002317BB" w:rsidRPr="005900F1">
        <w:rPr>
          <w:rFonts w:eastAsiaTheme="minorEastAsia"/>
          <w:color w:val="000000" w:themeColor="text1"/>
          <w:szCs w:val="24"/>
        </w:rPr>
        <w:t xml:space="preserve"> </w:t>
      </w:r>
      <w:r w:rsidR="005900F1" w:rsidRPr="005900F1">
        <w:rPr>
          <w:rFonts w:eastAsiaTheme="minorEastAsia"/>
          <w:color w:val="000000" w:themeColor="text1"/>
          <w:szCs w:val="24"/>
        </w:rPr>
        <w:t>a</w:t>
      </w:r>
      <w:r w:rsidR="002317BB" w:rsidRPr="005900F1">
        <w:rPr>
          <w:rFonts w:eastAsiaTheme="minorEastAsia"/>
          <w:color w:val="000000" w:themeColor="text1"/>
          <w:szCs w:val="24"/>
        </w:rPr>
        <w:t xml:space="preserve"> potential alternative for understanding evacuation behaviour during hurricanes. </w:t>
      </w:r>
      <w:r w:rsidR="005900F1" w:rsidRPr="005900F1">
        <w:rPr>
          <w:rFonts w:eastAsiaTheme="minorEastAsia"/>
          <w:color w:val="000000" w:themeColor="text1"/>
          <w:szCs w:val="24"/>
        </w:rPr>
        <w:t xml:space="preserve">However, these data are </w:t>
      </w:r>
      <w:r w:rsidR="005900F1">
        <w:rPr>
          <w:rFonts w:eastAsiaTheme="minorEastAsia"/>
          <w:color w:val="000000" w:themeColor="text1"/>
          <w:szCs w:val="24"/>
        </w:rPr>
        <w:t xml:space="preserve">often </w:t>
      </w:r>
      <w:r w:rsidR="005900F1" w:rsidRPr="005900F1">
        <w:rPr>
          <w:rFonts w:eastAsiaTheme="minorEastAsia"/>
          <w:color w:val="000000" w:themeColor="text1"/>
          <w:szCs w:val="24"/>
        </w:rPr>
        <w:t>associated with selection bias and population representativeness issues</w:t>
      </w:r>
      <w:r w:rsidR="005900F1">
        <w:rPr>
          <w:rFonts w:eastAsiaTheme="minorEastAsia"/>
          <w:color w:val="000000" w:themeColor="text1"/>
          <w:szCs w:val="24"/>
        </w:rPr>
        <w:t>.</w:t>
      </w:r>
      <w:r w:rsidR="005900F1" w:rsidRPr="005900F1">
        <w:rPr>
          <w:rFonts w:eastAsiaTheme="minorEastAsia"/>
          <w:color w:val="000000" w:themeColor="text1"/>
          <w:szCs w:val="24"/>
        </w:rPr>
        <w:t xml:space="preserve"> </w:t>
      </w:r>
      <w:r w:rsidR="005900F1">
        <w:rPr>
          <w:rFonts w:eastAsiaTheme="minorEastAsia"/>
          <w:color w:val="000000" w:themeColor="text1"/>
          <w:szCs w:val="24"/>
        </w:rPr>
        <w:t xml:space="preserve">To that extent, the current study </w:t>
      </w:r>
      <w:r w:rsidR="005F5008">
        <w:rPr>
          <w:rFonts w:eastAsiaTheme="minorEastAsia"/>
          <w:color w:val="000000" w:themeColor="text1"/>
          <w:szCs w:val="24"/>
        </w:rPr>
        <w:t xml:space="preserve">proposes a novel data fusion algorithm to </w:t>
      </w:r>
      <w:r w:rsidR="005900F1">
        <w:rPr>
          <w:rFonts w:eastAsiaTheme="minorEastAsia"/>
          <w:color w:val="000000" w:themeColor="text1"/>
          <w:szCs w:val="24"/>
        </w:rPr>
        <w:t xml:space="preserve">combine </w:t>
      </w:r>
      <w:r w:rsidR="005900F1" w:rsidRPr="005900F1">
        <w:rPr>
          <w:color w:val="000000" w:themeColor="text1"/>
        </w:rPr>
        <w:t xml:space="preserve">heterogeneous data sources from transportation systems and social media, in a unified framework to </w:t>
      </w:r>
      <w:r w:rsidR="005900F1" w:rsidRPr="005900F1">
        <w:rPr>
          <w:rFonts w:eastAsiaTheme="minorEastAsia"/>
          <w:color w:val="000000" w:themeColor="text1"/>
          <w:szCs w:val="24"/>
        </w:rPr>
        <w:t>understand and predict real-time population response during hurricanes.</w:t>
      </w:r>
      <w:r w:rsidR="005F5008" w:rsidRPr="005F5008">
        <w:t xml:space="preserve"> </w:t>
      </w:r>
      <w:r w:rsidR="005F5008">
        <w:t xml:space="preserve">Specifically, Twitter data </w:t>
      </w:r>
      <w:r w:rsidR="00DD21D8">
        <w:t xml:space="preserve">of 2300 users </w:t>
      </w:r>
      <w:r w:rsidR="005F5008">
        <w:t>are collected for evacuation response during Hurricane Irma and augmented behaviourally</w:t>
      </w:r>
      <w:r w:rsidR="00D12F84">
        <w:t xml:space="preserve"> (</w:t>
      </w:r>
      <w:r w:rsidR="00D12F84">
        <w:rPr>
          <w:rFonts w:cs="Times New Roman"/>
        </w:rPr>
        <w:t>p</w:t>
      </w:r>
      <w:r w:rsidR="00D12F84" w:rsidRPr="006257B2">
        <w:rPr>
          <w:rFonts w:cs="Times New Roman"/>
        </w:rPr>
        <w:t>robabilistic</w:t>
      </w:r>
      <w:r w:rsidR="00D12F84">
        <w:rPr>
          <w:rFonts w:cs="Times New Roman"/>
        </w:rPr>
        <w:t>ally)</w:t>
      </w:r>
      <w:r w:rsidR="005F5008">
        <w:t xml:space="preserve"> with </w:t>
      </w:r>
      <w:r w:rsidR="00DD21D8">
        <w:t xml:space="preserve">a </w:t>
      </w:r>
      <w:r w:rsidR="005F5008">
        <w:rPr>
          <w:rFonts w:cs="Times New Roman"/>
          <w:lang w:val="en-US"/>
        </w:rPr>
        <w:t>representative National Household Travel S</w:t>
      </w:r>
      <w:r w:rsidR="005F5008" w:rsidRPr="0087052B">
        <w:rPr>
          <w:rFonts w:cs="Times New Roman"/>
          <w:lang w:val="en-US"/>
        </w:rPr>
        <w:t xml:space="preserve">urvey </w:t>
      </w:r>
      <w:r w:rsidR="005F5008">
        <w:rPr>
          <w:rFonts w:cs="Times New Roman"/>
          <w:lang w:val="en-US"/>
        </w:rPr>
        <w:t xml:space="preserve">(NHTS) </w:t>
      </w:r>
      <w:r>
        <w:rPr>
          <w:rFonts w:cs="Times New Roman"/>
          <w:lang w:val="en-US"/>
        </w:rPr>
        <w:t>data</w:t>
      </w:r>
      <w:r w:rsidR="00920924">
        <w:rPr>
          <w:rFonts w:cs="Times New Roman"/>
          <w:lang w:val="en-US"/>
        </w:rPr>
        <w:t xml:space="preserve">, thus creating a hybrid dataset to improve the representativeness as well </w:t>
      </w:r>
      <w:r w:rsidR="00920924">
        <w:rPr>
          <w:rFonts w:eastAsiaTheme="minorEastAsia"/>
          <w:color w:val="000000" w:themeColor="text1"/>
          <w:szCs w:val="24"/>
        </w:rPr>
        <w:t xml:space="preserve">as </w:t>
      </w:r>
      <w:r w:rsidR="005900F1">
        <w:rPr>
          <w:lang w:val="en-US"/>
        </w:rPr>
        <w:t>provide a rich set of explanatory variables for understanding</w:t>
      </w:r>
      <w:r w:rsidR="001F00C2">
        <w:rPr>
          <w:lang w:val="en-US"/>
        </w:rPr>
        <w:t xml:space="preserve"> </w:t>
      </w:r>
      <w:r w:rsidR="001A4715">
        <w:rPr>
          <w:lang w:val="en-US"/>
        </w:rPr>
        <w:t xml:space="preserve">the </w:t>
      </w:r>
      <w:r w:rsidR="005900F1">
        <w:rPr>
          <w:lang w:val="en-US"/>
        </w:rPr>
        <w:t xml:space="preserve">evacuation </w:t>
      </w:r>
      <w:r w:rsidR="00C0169E">
        <w:rPr>
          <w:lang w:val="en-US"/>
        </w:rPr>
        <w:t>behavior</w:t>
      </w:r>
      <w:r w:rsidR="005900F1">
        <w:rPr>
          <w:lang w:val="en-US"/>
        </w:rPr>
        <w:t>.</w:t>
      </w:r>
      <w:r w:rsidR="000270E0">
        <w:rPr>
          <w:lang w:val="en-US"/>
        </w:rPr>
        <w:t xml:space="preserve"> </w:t>
      </w:r>
      <w:r w:rsidR="000270E0" w:rsidRPr="0014342B">
        <w:t xml:space="preserve">The fusion </w:t>
      </w:r>
      <w:r w:rsidR="000E7266">
        <w:t>process</w:t>
      </w:r>
      <w:r w:rsidR="000E7266" w:rsidRPr="0014342B">
        <w:t xml:space="preserve"> </w:t>
      </w:r>
      <w:r w:rsidR="000270E0" w:rsidRPr="0014342B">
        <w:t xml:space="preserve">is conducted </w:t>
      </w:r>
      <w:r w:rsidR="000270E0">
        <w:t xml:space="preserve">using a </w:t>
      </w:r>
      <w:r w:rsidR="000270E0" w:rsidRPr="0014342B">
        <w:t>probabilistic matching method based on a set of common attributes</w:t>
      </w:r>
      <w:r w:rsidR="000270E0">
        <w:t xml:space="preserve"> across NHTS and Twitter.</w:t>
      </w:r>
      <w:r>
        <w:t xml:space="preserve"> </w:t>
      </w:r>
      <w:r w:rsidR="000270E0">
        <w:t xml:space="preserve"> </w:t>
      </w:r>
      <w:r w:rsidR="001F00C2">
        <w:t xml:space="preserve">The fused dataset is employed to estimate the evacuation model and a comparison exercise is conducted to evaluate the performance of the model via fusion. </w:t>
      </w:r>
      <w:r w:rsidR="001F00C2">
        <w:rPr>
          <w:rFonts w:cs="Times New Roman"/>
          <w:lang w:val="en-US"/>
        </w:rPr>
        <w:t>T</w:t>
      </w:r>
      <w:r w:rsidR="001F00C2" w:rsidRPr="005276DD">
        <w:rPr>
          <w:rFonts w:cs="Times New Roman"/>
          <w:lang w:val="en-US"/>
        </w:rPr>
        <w:t>he model fit</w:t>
      </w:r>
      <w:r>
        <w:rPr>
          <w:rFonts w:cs="Times New Roman"/>
          <w:lang w:val="en-US"/>
        </w:rPr>
        <w:t>ness</w:t>
      </w:r>
      <w:r w:rsidR="001F00C2" w:rsidRPr="005276DD">
        <w:rPr>
          <w:rFonts w:cs="Times New Roman"/>
          <w:lang w:val="en-US"/>
        </w:rPr>
        <w:t xml:space="preserve"> measures clearly demonstrate the improvement in data fit for the evacuation model through the proposed fusion algorithm</w:t>
      </w:r>
      <w:r w:rsidR="001F00C2">
        <w:rPr>
          <w:rFonts w:cs="Times New Roman"/>
          <w:lang w:val="en-US"/>
        </w:rPr>
        <w:t xml:space="preserve">. </w:t>
      </w:r>
      <w:r w:rsidR="003F32CC">
        <w:rPr>
          <w:rFonts w:cs="Times New Roman"/>
          <w:lang w:val="en-US"/>
        </w:rPr>
        <w:t xml:space="preserve">Further, we conduct a prediction assessment to illustrate the applicability of the proposed fusion technique and the results clearly highlight the </w:t>
      </w:r>
      <w:r w:rsidR="003F32CC" w:rsidRPr="003F32CC">
        <w:rPr>
          <w:rFonts w:cs="Times New Roman"/>
          <w:lang w:val="en-US"/>
        </w:rPr>
        <w:t xml:space="preserve">improvement in the </w:t>
      </w:r>
      <w:r w:rsidR="003F32CC">
        <w:rPr>
          <w:rFonts w:cs="Times New Roman"/>
          <w:lang w:val="en-US"/>
        </w:rPr>
        <w:t xml:space="preserve">evacuation </w:t>
      </w:r>
      <w:r w:rsidR="003F32CC" w:rsidRPr="003F32CC">
        <w:rPr>
          <w:rFonts w:cs="Times New Roman"/>
          <w:lang w:val="en-US"/>
        </w:rPr>
        <w:t>prediction rate</w:t>
      </w:r>
      <w:r w:rsidR="003F32CC">
        <w:rPr>
          <w:rFonts w:cs="Times New Roman"/>
          <w:lang w:val="en-US"/>
        </w:rPr>
        <w:t xml:space="preserve"> </w:t>
      </w:r>
      <w:r w:rsidR="00D67360">
        <w:rPr>
          <w:rFonts w:cs="Times New Roman"/>
          <w:lang w:val="en-US"/>
        </w:rPr>
        <w:t xml:space="preserve">achieved </w:t>
      </w:r>
      <w:r w:rsidR="003F32CC">
        <w:rPr>
          <w:rFonts w:cs="Times New Roman"/>
          <w:lang w:val="en-US"/>
        </w:rPr>
        <w:t xml:space="preserve">through the </w:t>
      </w:r>
      <w:r w:rsidR="00D67360">
        <w:rPr>
          <w:rFonts w:cs="Times New Roman"/>
          <w:lang w:val="en-US"/>
        </w:rPr>
        <w:t>fused models</w:t>
      </w:r>
      <w:r w:rsidR="003F32CC">
        <w:rPr>
          <w:rFonts w:cs="Times New Roman"/>
          <w:lang w:val="en-US"/>
        </w:rPr>
        <w:t xml:space="preserve">. </w:t>
      </w:r>
      <w:r w:rsidR="001F00C2">
        <w:t>The proposed data-driven methods will enhance our ability to predict time-dependent evacuation demand for better hurricane response operations such as targeted warning dissemination and improved evacuation traffic management, allowing emergency plans to be more</w:t>
      </w:r>
      <w:r w:rsidR="00D213F9">
        <w:t xml:space="preserve"> </w:t>
      </w:r>
      <w:r w:rsidR="001F00C2">
        <w:t>adaptive.</w:t>
      </w:r>
    </w:p>
    <w:p w14:paraId="085BF9D7" w14:textId="65C773D6" w:rsidR="000270E0" w:rsidRDefault="000270E0" w:rsidP="00870795"/>
    <w:p w14:paraId="2719548C" w14:textId="665725F9" w:rsidR="004A0DCC" w:rsidRDefault="00B75DD4" w:rsidP="00776F6A">
      <w:pPr>
        <w:rPr>
          <w:rFonts w:eastAsiaTheme="minorEastAsia"/>
          <w:szCs w:val="24"/>
        </w:rPr>
      </w:pPr>
      <w:r w:rsidRPr="000C798B">
        <w:rPr>
          <w:i/>
        </w:rPr>
        <w:t>Keywords:</w:t>
      </w:r>
      <w:r>
        <w:t xml:space="preserve"> </w:t>
      </w:r>
      <w:r w:rsidR="00D12F84">
        <w:t xml:space="preserve">Hurricane, Evacuation, Twitter, NHTS, </w:t>
      </w:r>
      <w:r w:rsidR="00AC1644">
        <w:t>Data fusion</w:t>
      </w:r>
      <w:r w:rsidR="00D12F84">
        <w:t>, P</w:t>
      </w:r>
      <w:r w:rsidR="00D12F84" w:rsidRPr="0014342B">
        <w:t>robabilistic matching</w:t>
      </w:r>
    </w:p>
    <w:p w14:paraId="7344897B" w14:textId="150FCEEC" w:rsidR="00502E92" w:rsidRDefault="00502E92" w:rsidP="00776F6A">
      <w:pPr>
        <w:rPr>
          <w:rFonts w:eastAsia="Calibri" w:cs="Times New Roman"/>
          <w:szCs w:val="24"/>
        </w:rPr>
      </w:pPr>
    </w:p>
    <w:p w14:paraId="1A81F3E0" w14:textId="06759E70" w:rsidR="00016485" w:rsidRDefault="00016485" w:rsidP="00776F6A">
      <w:pPr>
        <w:rPr>
          <w:rFonts w:eastAsia="Calibri" w:cs="Times New Roman"/>
          <w:szCs w:val="24"/>
        </w:rPr>
      </w:pPr>
    </w:p>
    <w:p w14:paraId="694BDBCB" w14:textId="1E3BE1ED" w:rsidR="00016485" w:rsidRDefault="00016485" w:rsidP="00776F6A">
      <w:pPr>
        <w:rPr>
          <w:rFonts w:eastAsia="Calibri" w:cs="Times New Roman"/>
          <w:szCs w:val="24"/>
        </w:rPr>
      </w:pPr>
    </w:p>
    <w:p w14:paraId="7A56F924" w14:textId="75A0D52F" w:rsidR="00016485" w:rsidRDefault="00016485" w:rsidP="00776F6A">
      <w:pPr>
        <w:rPr>
          <w:rFonts w:eastAsia="Calibri" w:cs="Times New Roman"/>
          <w:szCs w:val="24"/>
        </w:rPr>
      </w:pPr>
    </w:p>
    <w:p w14:paraId="361F56B3" w14:textId="6B4DD6C9" w:rsidR="00016485" w:rsidRDefault="00016485" w:rsidP="00776F6A">
      <w:pPr>
        <w:rPr>
          <w:rFonts w:eastAsia="Calibri" w:cs="Times New Roman"/>
          <w:szCs w:val="24"/>
        </w:rPr>
      </w:pPr>
    </w:p>
    <w:p w14:paraId="2435BAFB" w14:textId="3C5300A2" w:rsidR="00016485" w:rsidRDefault="00016485" w:rsidP="00776F6A">
      <w:pPr>
        <w:rPr>
          <w:rFonts w:eastAsia="Calibri" w:cs="Times New Roman"/>
          <w:szCs w:val="24"/>
        </w:rPr>
      </w:pPr>
    </w:p>
    <w:p w14:paraId="574C0B56" w14:textId="1B5BBCD5" w:rsidR="00016485" w:rsidRDefault="00016485" w:rsidP="00776F6A">
      <w:pPr>
        <w:rPr>
          <w:rFonts w:eastAsia="Calibri" w:cs="Times New Roman"/>
          <w:szCs w:val="24"/>
        </w:rPr>
      </w:pPr>
    </w:p>
    <w:p w14:paraId="29680202" w14:textId="1621DD46" w:rsidR="00016485" w:rsidRDefault="00016485" w:rsidP="00776F6A">
      <w:pPr>
        <w:rPr>
          <w:rFonts w:eastAsia="Calibri" w:cs="Times New Roman"/>
          <w:szCs w:val="24"/>
        </w:rPr>
      </w:pPr>
    </w:p>
    <w:p w14:paraId="2C32720A" w14:textId="264DB889" w:rsidR="00016485" w:rsidRDefault="00016485" w:rsidP="00776F6A">
      <w:pPr>
        <w:rPr>
          <w:rFonts w:eastAsia="Calibri" w:cs="Times New Roman"/>
          <w:szCs w:val="24"/>
        </w:rPr>
      </w:pPr>
    </w:p>
    <w:p w14:paraId="0EAD1D84" w14:textId="2251F7D8" w:rsidR="00016485" w:rsidRDefault="00016485" w:rsidP="00776F6A">
      <w:pPr>
        <w:rPr>
          <w:rFonts w:eastAsia="Calibri" w:cs="Times New Roman"/>
          <w:szCs w:val="24"/>
        </w:rPr>
      </w:pPr>
    </w:p>
    <w:p w14:paraId="3D9DD75C" w14:textId="6B5BBF9B" w:rsidR="00016485" w:rsidRDefault="00016485" w:rsidP="00776F6A">
      <w:pPr>
        <w:rPr>
          <w:rFonts w:eastAsia="Calibri" w:cs="Times New Roman"/>
          <w:szCs w:val="24"/>
        </w:rPr>
      </w:pPr>
    </w:p>
    <w:p w14:paraId="39D29FAF" w14:textId="6044D882" w:rsidR="00016485" w:rsidRDefault="00016485" w:rsidP="00776F6A">
      <w:pPr>
        <w:rPr>
          <w:rFonts w:eastAsia="Calibri" w:cs="Times New Roman"/>
          <w:szCs w:val="24"/>
        </w:rPr>
      </w:pPr>
    </w:p>
    <w:p w14:paraId="4C32EE8F" w14:textId="58F6BD0A" w:rsidR="00016485" w:rsidRDefault="00016485" w:rsidP="00776F6A">
      <w:pPr>
        <w:rPr>
          <w:rFonts w:eastAsia="Calibri" w:cs="Times New Roman"/>
          <w:szCs w:val="24"/>
        </w:rPr>
      </w:pPr>
    </w:p>
    <w:p w14:paraId="0CBF015A" w14:textId="16A38F92" w:rsidR="00016485" w:rsidRDefault="00016485" w:rsidP="00776F6A">
      <w:pPr>
        <w:rPr>
          <w:rFonts w:eastAsia="Calibri" w:cs="Times New Roman"/>
          <w:szCs w:val="24"/>
        </w:rPr>
      </w:pPr>
    </w:p>
    <w:p w14:paraId="1BC79E85" w14:textId="54191CEC" w:rsidR="00016485" w:rsidRDefault="00016485" w:rsidP="00776F6A">
      <w:pPr>
        <w:rPr>
          <w:rFonts w:eastAsia="Calibri" w:cs="Times New Roman"/>
          <w:szCs w:val="24"/>
        </w:rPr>
      </w:pPr>
    </w:p>
    <w:p w14:paraId="627763F2" w14:textId="19422F6E" w:rsidR="00016485" w:rsidRDefault="00016485" w:rsidP="00776F6A">
      <w:pPr>
        <w:rPr>
          <w:rFonts w:eastAsia="Calibri" w:cs="Times New Roman"/>
          <w:szCs w:val="24"/>
        </w:rPr>
      </w:pPr>
    </w:p>
    <w:p w14:paraId="1B2253BF" w14:textId="0EF3967D" w:rsidR="00016485" w:rsidRDefault="00016485" w:rsidP="00776F6A">
      <w:pPr>
        <w:rPr>
          <w:rFonts w:eastAsia="Calibri" w:cs="Times New Roman"/>
          <w:szCs w:val="24"/>
        </w:rPr>
      </w:pPr>
    </w:p>
    <w:p w14:paraId="31E0F38E" w14:textId="1DEC66A1" w:rsidR="00016485" w:rsidRDefault="00016485" w:rsidP="00776F6A">
      <w:pPr>
        <w:rPr>
          <w:rFonts w:eastAsia="Calibri" w:cs="Times New Roman"/>
          <w:szCs w:val="24"/>
        </w:rPr>
      </w:pPr>
    </w:p>
    <w:p w14:paraId="1129F260" w14:textId="11441615" w:rsidR="00016485" w:rsidRDefault="00016485" w:rsidP="00776F6A">
      <w:pPr>
        <w:rPr>
          <w:rFonts w:eastAsia="Calibri" w:cs="Times New Roman"/>
          <w:szCs w:val="24"/>
        </w:rPr>
      </w:pPr>
    </w:p>
    <w:p w14:paraId="0B68683D" w14:textId="3F73A70E" w:rsidR="00016485" w:rsidRDefault="00016485" w:rsidP="00776F6A">
      <w:pPr>
        <w:rPr>
          <w:rFonts w:eastAsia="Calibri" w:cs="Times New Roman"/>
          <w:szCs w:val="24"/>
        </w:rPr>
      </w:pPr>
    </w:p>
    <w:p w14:paraId="52DC9515" w14:textId="73502E07" w:rsidR="00016485" w:rsidRDefault="00016485" w:rsidP="00776F6A">
      <w:pPr>
        <w:rPr>
          <w:rFonts w:eastAsia="Calibri" w:cs="Times New Roman"/>
          <w:szCs w:val="24"/>
        </w:rPr>
      </w:pPr>
    </w:p>
    <w:p w14:paraId="6602B5DB" w14:textId="11078161" w:rsidR="00016485" w:rsidRDefault="00016485" w:rsidP="00776F6A">
      <w:pPr>
        <w:rPr>
          <w:rFonts w:eastAsia="Calibri" w:cs="Times New Roman"/>
          <w:szCs w:val="24"/>
        </w:rPr>
      </w:pPr>
    </w:p>
    <w:p w14:paraId="67FB3283" w14:textId="2ACDC859" w:rsidR="00016485" w:rsidRDefault="00016485" w:rsidP="00776F6A">
      <w:pPr>
        <w:rPr>
          <w:rFonts w:eastAsia="Calibri" w:cs="Times New Roman"/>
          <w:szCs w:val="24"/>
        </w:rPr>
      </w:pPr>
    </w:p>
    <w:p w14:paraId="338BC25E" w14:textId="13AC674B" w:rsidR="00016485" w:rsidRDefault="00016485" w:rsidP="00776F6A">
      <w:pPr>
        <w:rPr>
          <w:rFonts w:eastAsia="Calibri" w:cs="Times New Roman"/>
          <w:szCs w:val="24"/>
        </w:rPr>
      </w:pPr>
    </w:p>
    <w:p w14:paraId="5803653D" w14:textId="154FA975" w:rsidR="00016485" w:rsidRDefault="00016485" w:rsidP="00776F6A">
      <w:pPr>
        <w:rPr>
          <w:rFonts w:eastAsia="Calibri" w:cs="Times New Roman"/>
          <w:szCs w:val="24"/>
        </w:rPr>
      </w:pPr>
    </w:p>
    <w:p w14:paraId="2C24AE3E" w14:textId="163D57F8" w:rsidR="00016485" w:rsidRDefault="00016485" w:rsidP="00776F6A">
      <w:pPr>
        <w:rPr>
          <w:rFonts w:eastAsia="Calibri" w:cs="Times New Roman"/>
          <w:szCs w:val="24"/>
        </w:rPr>
      </w:pPr>
    </w:p>
    <w:p w14:paraId="27AF7EC6" w14:textId="77777777" w:rsidR="001A7EE9" w:rsidRDefault="001A7EE9" w:rsidP="00BC4F27">
      <w:pPr>
        <w:pStyle w:val="Heading1"/>
        <w:sectPr w:rsidR="001A7EE9" w:rsidSect="00492680">
          <w:headerReference w:type="first" r:id="rId16"/>
          <w:type w:val="continuous"/>
          <w:pgSz w:w="11906" w:h="16838" w:code="9"/>
          <w:pgMar w:top="1440" w:right="1440" w:bottom="1440" w:left="1440" w:header="720" w:footer="720" w:gutter="0"/>
          <w:cols w:space="708"/>
          <w:titlePg/>
          <w:docGrid w:linePitch="360"/>
        </w:sectPr>
      </w:pPr>
    </w:p>
    <w:p w14:paraId="2DDD408F" w14:textId="4A83E78A" w:rsidR="00AB0F0E" w:rsidRDefault="00CC0088" w:rsidP="00BC4F27">
      <w:pPr>
        <w:pStyle w:val="Heading1"/>
      </w:pPr>
      <w:r>
        <w:t xml:space="preserve">1 </w:t>
      </w:r>
      <w:r w:rsidR="00AA1F0A">
        <w:t>BACKGROUND</w:t>
      </w:r>
    </w:p>
    <w:p w14:paraId="64991C16" w14:textId="753D4F04" w:rsidR="008732E5" w:rsidRDefault="00E2118D" w:rsidP="008732E5">
      <w:pPr>
        <w:rPr>
          <w:color w:val="000000" w:themeColor="text1"/>
          <w:lang w:val="en-US"/>
        </w:rPr>
      </w:pPr>
      <w:r w:rsidRPr="008732E5">
        <w:rPr>
          <w:color w:val="000000" w:themeColor="text1"/>
          <w:lang w:val="en-US"/>
        </w:rPr>
        <w:t xml:space="preserve">In recent years, </w:t>
      </w:r>
      <w:r w:rsidR="00E35E9D">
        <w:rPr>
          <w:color w:val="000000" w:themeColor="text1"/>
          <w:lang w:val="en-US"/>
        </w:rPr>
        <w:t>H</w:t>
      </w:r>
      <w:r w:rsidRPr="008732E5">
        <w:rPr>
          <w:color w:val="000000" w:themeColor="text1"/>
          <w:lang w:val="en-US"/>
        </w:rPr>
        <w:t>urricanes Harvey, Irma, Maria, Michael, and Florence have disrupted the lives of millions of people in the United States</w:t>
      </w:r>
      <w:r w:rsidR="004667FD">
        <w:rPr>
          <w:color w:val="000000" w:themeColor="text1"/>
          <w:lang w:val="en-US"/>
        </w:rPr>
        <w:t xml:space="preserve"> </w:t>
      </w:r>
      <w:r w:rsidR="004667FD">
        <w:rPr>
          <w:color w:val="000000" w:themeColor="text1"/>
          <w:lang w:val="en-US"/>
        </w:rPr>
        <w:fldChar w:fldCharType="begin" w:fldLock="1"/>
      </w:r>
      <w:r w:rsidR="00586617">
        <w:rPr>
          <w:color w:val="000000" w:themeColor="text1"/>
          <w:lang w:val="en-US"/>
        </w:rPr>
        <w:instrText>ADDIN CSL_CITATION {"citationItems":[{"id":"ITEM-1","itemData":{"DOI":"10.1007/s11069-015-1814-7","ISSN":"15730840","abstract":"Greater urbanization does not only mean higher concentrations of population and economic activities, but also increasing complexity and infrastructure interdependencies in the delivery of critical urban services such as energy, water, transport and communication. This paper reviews the current literature in these areas and identifies critical research and development challenges from the perspective—and for the benefit—of key stakeholders, considering their primary decision goals and context. From this vantage point, the critical evaluation framework is extended to include a classification of disruptions and extreme events and an overview of infrastructure modeling approaches and broader socioeconomic impacts assessment methods. Mapping the range of modeling and assessment methods against different decision contexts, critical gaps in knowledge and tools are identified to support the latter. Deep uncertainties characterize the challenge as each major component in the information and decision-making chain—from the frequency and intensity of a disruptive event, to assessing the first-order and immediate impacts of an infrastructure failure, to estimating the nature, extent and impact of cascading failures—multiplies the uncertainties. The emerging research challenges to deal with these interdependencies and uncertainties are discussed.","author":[{"dropping-particle":"","family":"Hasan","given":"Samiul","non-dropping-particle":"","parse-names":false,"suffix":""},{"dropping-particle":"","family":"Foliente","given":"Greg","non-dropping-particle":"","parse-names":false,"suffix":""}],"container-title":"Natural Hazards","id":"ITEM-1","issue":"3","issued":{"date-parts":[["2015","9","27"]]},"page":"2143-2168","publisher":"Kluwer Academic Publishers","title":"Modeling infrastructure system interdependencies and socioeconomic impacts of failure in extreme events: emerging R&amp;D challenges","type":"article-journal","volume":"78"},"uris":["http://www.mendeley.com/documents/?uuid=cc6e7ab1-44d6-38c2-bfd1-3a7fd0e6649c"]}],"mendeley":{"formattedCitation":"(Hasan and Foliente, 2015)","plainTextFormattedCitation":"(Hasan and Foliente, 2015)","previouslyFormattedCitation":"(Hasan and Foliente, 2015)"},"properties":{"noteIndex":0},"schema":"https://github.com/citation-style-language/schema/raw/master/csl-citation.json"}</w:instrText>
      </w:r>
      <w:r w:rsidR="004667FD">
        <w:rPr>
          <w:color w:val="000000" w:themeColor="text1"/>
          <w:lang w:val="en-US"/>
        </w:rPr>
        <w:fldChar w:fldCharType="separate"/>
      </w:r>
      <w:r w:rsidR="002D286E" w:rsidRPr="002D286E">
        <w:rPr>
          <w:noProof/>
          <w:color w:val="000000" w:themeColor="text1"/>
          <w:lang w:val="en-US"/>
        </w:rPr>
        <w:t>(Hasan and Foliente, 2015)</w:t>
      </w:r>
      <w:r w:rsidR="004667FD">
        <w:rPr>
          <w:color w:val="000000" w:themeColor="text1"/>
          <w:lang w:val="en-US"/>
        </w:rPr>
        <w:fldChar w:fldCharType="end"/>
      </w:r>
      <w:r w:rsidRPr="008732E5">
        <w:rPr>
          <w:color w:val="000000" w:themeColor="text1"/>
          <w:lang w:val="en-US"/>
        </w:rPr>
        <w:t xml:space="preserve">. </w:t>
      </w:r>
      <w:r w:rsidR="00B413EA">
        <w:rPr>
          <w:color w:val="000000" w:themeColor="text1"/>
          <w:lang w:val="en-US"/>
        </w:rPr>
        <w:t xml:space="preserve">For instance, </w:t>
      </w:r>
      <w:r w:rsidR="00E35E9D">
        <w:rPr>
          <w:color w:val="000000" w:themeColor="text1"/>
          <w:lang w:val="en-US"/>
        </w:rPr>
        <w:t>H</w:t>
      </w:r>
      <w:r w:rsidR="00B413EA">
        <w:rPr>
          <w:color w:val="000000" w:themeColor="text1"/>
          <w:lang w:val="en-US"/>
        </w:rPr>
        <w:t>urricane Irma, o</w:t>
      </w:r>
      <w:r w:rsidR="00B413EA" w:rsidRPr="00B413EA">
        <w:rPr>
          <w:color w:val="000000" w:themeColor="text1"/>
          <w:lang w:val="en-US"/>
        </w:rPr>
        <w:t xml:space="preserve">ne of the deadliest </w:t>
      </w:r>
      <w:r w:rsidR="00B413EA">
        <w:rPr>
          <w:color w:val="000000" w:themeColor="text1"/>
          <w:lang w:val="en-US"/>
        </w:rPr>
        <w:t>h</w:t>
      </w:r>
      <w:r w:rsidR="00B413EA" w:rsidRPr="00B413EA">
        <w:rPr>
          <w:color w:val="000000" w:themeColor="text1"/>
          <w:lang w:val="en-US"/>
        </w:rPr>
        <w:t>urricane events</w:t>
      </w:r>
      <w:r w:rsidR="00B413EA">
        <w:rPr>
          <w:color w:val="000000" w:themeColor="text1"/>
          <w:lang w:val="en-US"/>
        </w:rPr>
        <w:t xml:space="preserve"> in recent times</w:t>
      </w:r>
      <w:r w:rsidR="00E35E9D">
        <w:rPr>
          <w:color w:val="000000" w:themeColor="text1"/>
          <w:lang w:val="en-US"/>
        </w:rPr>
        <w:t>,</w:t>
      </w:r>
      <w:r w:rsidR="00B413EA">
        <w:rPr>
          <w:color w:val="000000" w:themeColor="text1"/>
          <w:lang w:val="en-US"/>
        </w:rPr>
        <w:t xml:space="preserve"> </w:t>
      </w:r>
      <w:r w:rsidR="00283E1D">
        <w:rPr>
          <w:color w:val="000000" w:themeColor="text1"/>
          <w:lang w:val="en-US"/>
        </w:rPr>
        <w:t xml:space="preserve">tore through Florida resulting in 87 fatalities (7 direct and 80 indirect) and </w:t>
      </w:r>
      <w:r w:rsidR="00283E1D" w:rsidRPr="00B413EA">
        <w:rPr>
          <w:color w:val="000000" w:themeColor="text1"/>
          <w:lang w:val="en-US"/>
        </w:rPr>
        <w:t>$50 billion in economic damages</w:t>
      </w:r>
      <w:r w:rsidR="004667FD">
        <w:rPr>
          <w:color w:val="000000" w:themeColor="text1"/>
          <w:lang w:val="en-US"/>
        </w:rPr>
        <w:t xml:space="preserve"> </w:t>
      </w:r>
      <w:r w:rsidR="004667FD">
        <w:rPr>
          <w:color w:val="000000" w:themeColor="text1"/>
          <w:lang w:val="en-US"/>
        </w:rPr>
        <w:fldChar w:fldCharType="begin" w:fldLock="1"/>
      </w:r>
      <w:r w:rsidR="009B7CFC">
        <w:rPr>
          <w:color w:val="000000" w:themeColor="text1"/>
          <w:lang w:val="en-US"/>
        </w:rPr>
        <w:instrText>ADDIN CSL_CITATION {"citationItems":[{"id":"ITEM-1","itemData":{"URL":"https://hurricanedamage.com/blog/damages-cost-hurricane-irma/","accessed":{"date-parts":[["2022","7","20"]]},"author":[{"dropping-particle":"","family":"Kanner &amp; Pintalgua 2018","given":"","non-dropping-particle":"","parse-names":false,"suffix":""}],"id":"ITEM-1","issued":{"date-parts":[["0"]]},"title":"The Lasting Damages of Hurricane Irma | Kanner &amp; Pintaluga","type":"webpage"},"uris":["http://www.mendeley.com/documents/?uuid=0f6e1d04-00e8-38ca-9853-f986ab639405"]}],"mendeley":{"formattedCitation":"(Kanner &amp; Pintalgua 2018, n.d.)","manualFormatting":"(Kanner &amp; Pintalgua 2018)","plainTextFormattedCitation":"(Kanner &amp; Pintalgua 2018, n.d.)","previouslyFormattedCitation":"(Kanner &amp; Pintalgua 2018, n.d.)"},"properties":{"noteIndex":0},"schema":"https://github.com/citation-style-language/schema/raw/master/csl-citation.json"}</w:instrText>
      </w:r>
      <w:r w:rsidR="004667FD">
        <w:rPr>
          <w:color w:val="000000" w:themeColor="text1"/>
          <w:lang w:val="en-US"/>
        </w:rPr>
        <w:fldChar w:fldCharType="separate"/>
      </w:r>
      <w:r w:rsidR="009B7CFC" w:rsidRPr="009B7CFC">
        <w:rPr>
          <w:noProof/>
          <w:color w:val="000000" w:themeColor="text1"/>
          <w:lang w:val="en-US"/>
        </w:rPr>
        <w:t>(Kanner &amp; Pintalgua 2018)</w:t>
      </w:r>
      <w:r w:rsidR="004667FD">
        <w:rPr>
          <w:color w:val="000000" w:themeColor="text1"/>
          <w:lang w:val="en-US"/>
        </w:rPr>
        <w:fldChar w:fldCharType="end"/>
      </w:r>
      <w:r w:rsidR="00283E1D" w:rsidRPr="00B413EA">
        <w:rPr>
          <w:color w:val="000000" w:themeColor="text1"/>
          <w:lang w:val="en-US"/>
        </w:rPr>
        <w:t>.</w:t>
      </w:r>
      <w:r w:rsidR="00283E1D" w:rsidRPr="00283E1D">
        <w:rPr>
          <w:color w:val="000000" w:themeColor="text1"/>
          <w:lang w:val="en-US"/>
        </w:rPr>
        <w:t xml:space="preserve"> </w:t>
      </w:r>
      <w:r w:rsidR="00283E1D" w:rsidRPr="008732E5">
        <w:rPr>
          <w:color w:val="000000" w:themeColor="text1"/>
          <w:lang w:val="en-US"/>
        </w:rPr>
        <w:t>A</w:t>
      </w:r>
      <w:r w:rsidR="00E94880">
        <w:rPr>
          <w:color w:val="000000" w:themeColor="text1"/>
          <w:lang w:val="en-US"/>
        </w:rPr>
        <w:t xml:space="preserve">n </w:t>
      </w:r>
      <w:r w:rsidR="0023581F">
        <w:rPr>
          <w:color w:val="000000" w:themeColor="text1"/>
          <w:lang w:val="en-US"/>
        </w:rPr>
        <w:t>important</w:t>
      </w:r>
      <w:r w:rsidR="0023581F" w:rsidRPr="008732E5">
        <w:rPr>
          <w:color w:val="000000" w:themeColor="text1"/>
          <w:lang w:val="en-US"/>
        </w:rPr>
        <w:t xml:space="preserve"> mechanism</w:t>
      </w:r>
      <w:r w:rsidR="00283E1D" w:rsidRPr="008732E5">
        <w:rPr>
          <w:color w:val="000000" w:themeColor="text1"/>
          <w:lang w:val="en-US"/>
        </w:rPr>
        <w:t xml:space="preserve"> to avoid catastrophic losses due to a hurricane requires an effective evacuation plan and its execution. </w:t>
      </w:r>
      <w:r w:rsidR="00283E1D">
        <w:rPr>
          <w:color w:val="000000" w:themeColor="text1"/>
          <w:lang w:val="en-US"/>
        </w:rPr>
        <w:t>However,</w:t>
      </w:r>
      <w:r w:rsidR="00283E1D" w:rsidRPr="008732E5">
        <w:rPr>
          <w:color w:val="000000" w:themeColor="text1"/>
          <w:lang w:val="en-US"/>
        </w:rPr>
        <w:t xml:space="preserve"> planning a hurricane evacuation requires the knowledge of many interdependent processes including hurricane dynamics, </w:t>
      </w:r>
      <w:r w:rsidR="00E35E9D">
        <w:rPr>
          <w:color w:val="000000" w:themeColor="text1"/>
          <w:lang w:val="en-US"/>
        </w:rPr>
        <w:t xml:space="preserve">traffic </w:t>
      </w:r>
      <w:r w:rsidR="00283E1D" w:rsidRPr="008732E5">
        <w:rPr>
          <w:color w:val="000000" w:themeColor="text1"/>
          <w:lang w:val="en-US"/>
        </w:rPr>
        <w:t>flows in transportation networks, emergency services, and population response to warnings</w:t>
      </w:r>
      <w:r w:rsidR="00A21E5D">
        <w:rPr>
          <w:color w:val="000000" w:themeColor="text1"/>
          <w:lang w:val="en-US"/>
        </w:rPr>
        <w:t xml:space="preserve"> </w:t>
      </w:r>
      <w:r w:rsidR="00A21E5D">
        <w:rPr>
          <w:color w:val="000000" w:themeColor="text1"/>
          <w:lang w:val="en-US"/>
        </w:rPr>
        <w:fldChar w:fldCharType="begin" w:fldLock="1"/>
      </w:r>
      <w:r w:rsidR="00586617">
        <w:rPr>
          <w:color w:val="000000" w:themeColor="text1"/>
          <w:lang w:val="en-US"/>
        </w:rPr>
        <w:instrText>ADDIN CSL_CITATION {"citationItems":[{"id":"ITEM-1","itemData":{"DOI":"10.1016/j.trc.2012.11.005","ISSN":"0968090X","abstract":"This paper presents a review of highway-based evacuation modeling and simulation and its evolution over the past decade. The review includes the major components of roadway transportation planning and operations, including the current state of modeling in the forecasting of evacuation travel demand, distribution and assignment of evacuation demand to regional road networks to reach destinations, assignment of evacuees to various modes of transportation, and evaluation and testing of alternative management strategies to increase capacity of evacuation networks or manage demand. Although this discussion does not cover recent work in other modes used in evacuation such as air, rail, and pedestrian, this paper does highlight recent interdisciplinary modeling work in evacuation to help bridge the gap between the behavioral sciences and engineering and the application of emerging techniques for the verification, validation, and calibration of models. The manuscript also calls attention to special considerations and logistical difficulties, which have received limited attention to date. In addition to these concerns, the following future directions are discussed: further interdisciplinary efforts, including incorporating the medical community; using new technologies for communication of warnings and traffic condition information, data collection, and increased modeling resolution and confidence; using real-time information; and further model refinements and validation. © 2012 Elsevier Ltd.","author":[{"dropping-particle":"","family":"Murray-Tuite","given":"Pamela","non-dropping-particle":"","parse-names":false,"suffix":""},{"dropping-particle":"","family":"Wolshon","given":"Brian","non-dropping-particle":"","parse-names":false,"suffix":""}],"container-title":"Transportation Research Part C: Emerging Technologies","id":"ITEM-1","issued":{"date-parts":[["2013"]]},"page":"25-45","title":"Evacuation transportation modeling: An overview of research, development, and practice","type":"article-journal","volume":"27"},"uris":["http://www.mendeley.com/documents/?uuid=8746b8d8-d9c0-490b-8813-2b8e9a799da0"]},{"id":"ITEM-2","itemData":{"ISSN":"0280-7270","abstract":"This paper directly models individual and household hurricane evacuation behavior using ethnographic decision tree analysis. This approach uses a set of iterative processes to inductively derive a general decision model from specific individual decision models. To elicit the model described here, below the authors and several graduate students interviewed Miami residents who had been in South Florida during both Hurricanes Andrew in 1992 and Erin in 1995. The resulting model of hurricane evacuation decision processes was then tested with interview data collected from a separate random sample of 954 South Florida residents drawn from areas that were evacuation zones and areas immediately adjacent to them at the time of Hurricane Andrew. The model captures the complexity and messiness of real-life decision-making by including criteria showing how people are constrained by their perceptions of the hurricane, the safety features of their homes, the time they have available to prepare for the hurricane, their age, and the reactions of other family members who are also deciding whether or not to evacuate. By showing the richness of the decision process as well as its messiness, results taken from this model can better inform emergency managers who need to know how people will react to the approach of a hurricane.","author":[{"dropping-particle":"","family":"Gladwin","given":"CH","non-dropping-particle":"","parse-names":false,"suffix":""},{"dropping-particle":"","family":"Gladwin","given":"Hugh","non-dropping-particle":"","parse-names":false,"suffix":""},{"dropping-particle":"","family":"Peacock","given":"Walter Gillis","non-dropping-particle":"","parse-names":false,"suffix":""}],"container-title":"International journal of mass emergencies and disasters","id":"ITEM-2","issue":"2","issued":{"date-parts":[["2001"]]},"page":"117-143","publisher":"International Sociological Association, International Research Committee on~…","title":"Modeling Hurricane Evacuation Decisions with Ethnographic Methods","type":"article-journal","volume":"19"},"uris":["http://www.mendeley.com/documents/?uuid=ea923d04-f767-454d-9375-cfd992dec1a0"]},{"id":"ITEM-3","itemData":{"DOI":"10.4324/9781849771542","ISBN":"9781849771542","ISSN":"15276988","author":[{"dropping-particle":"","family":"Dow","given":"Kirstin","non-dropping-particle":"","parse-names":false,"suffix":""},{"dropping-particle":"","family":"Cutter","given":"Susan L.","non-dropping-particle":"","parse-names":false,"suffix":""}],"container-title":"Hazards, Vulnerability and Environmental Justice","id":"ITEM-3","issued":{"date-parts":[["2012"]]},"page":"385-397","publisher":"Routledge","title":"Emerging hurricane evacuation issues: Hurricane Floyd and South Carolina","type":"chapter"},"uris":["http://www.mendeley.com/documents/?uuid=59f384b7-5b64-42ea-8236-679a625a8ef0"]},{"id":"ITEM-4","itemData":{"abstract":"Researchers have examined a wide range of factors that affect evacuation decisions after people hear hurricane forecasts and other information. This review of the literature focuses on three broad areas of research that often overlap: warning, risk perception, and evacuation research. Whereas it is challenging to demarcate the literature along these lines, we believe each of these areas represents important dimensions of evacuation decision making. The literature on warning focuses to varying degrees on warning as a social process, rather than a simple result of hearing official warnings. Warnings by themselves do not motivate evacuation-people must perceive risk. The extensive literature on objective and subjective processes in risk perception has to be evaluated. The review concludes with a focus on some important work in modeling evacuation and evacuation decision-making. Finally, we present recommendations for future research that draws on the strength of earlier work while focusing more directly on risk, the information included in hurricane forecasts, and the timing of those forecasts.","author":[{"dropping-particle":"","family":"Dash","given":"Nicole","non-dropping-particle":"","parse-names":false,"suffix":""},{"dropping-particle":"","family":"Gladwin","given":"Hugh","non-dropping-particle":"","parse-names":false,"suffix":""}],"container-title":"Natural Hazards Review","id":"ITEM-4","issue":"3","issued":{"date-parts":[["2007"]]},"page":"69-77","title":"Evacuation Decision Making and Behavioral Responses: Individual and Household Cite this paper Social science research needs for t he hurricane forecast and warning syst em Hugh Gladwin Household Decision Making and Evacuat ion in Response t o Hurricane Li","type":"article-journal","volume":"8"},"uris":["http://www.mendeley.com/documents/?uuid=19b5c6d0-cd23-43ae-a11d-c82b272876fc"]}],"mendeley":{"formattedCitation":"(Dash and Gladwin, 2007; Dow and Cutter, 2012; Gladwin et al., 2001; Murray-Tuite and Wolshon, 2013)","plainTextFormattedCitation":"(Dash and Gladwin, 2007; Dow and Cutter, 2012; Gladwin et al., 2001; Murray-Tuite and Wolshon, 2013)","previouslyFormattedCitation":"(Dash and Gladwin, 2007; Dow and Cutter, 2012; Gladwin et al., 2001; Murray-Tuite and Wolshon, 2013)"},"properties":{"noteIndex":0},"schema":"https://github.com/citation-style-language/schema/raw/master/csl-citation.json"}</w:instrText>
      </w:r>
      <w:r w:rsidR="00A21E5D">
        <w:rPr>
          <w:color w:val="000000" w:themeColor="text1"/>
          <w:lang w:val="en-US"/>
        </w:rPr>
        <w:fldChar w:fldCharType="separate"/>
      </w:r>
      <w:r w:rsidR="002D286E" w:rsidRPr="002D286E">
        <w:rPr>
          <w:noProof/>
          <w:color w:val="000000" w:themeColor="text1"/>
          <w:lang w:val="en-US"/>
        </w:rPr>
        <w:t>(Dash and Gladwin, 2007; Gladwin et al., 2001; Murray-Tuite and Wolshon, 2013)</w:t>
      </w:r>
      <w:r w:rsidR="00A21E5D">
        <w:rPr>
          <w:color w:val="000000" w:themeColor="text1"/>
          <w:lang w:val="en-US"/>
        </w:rPr>
        <w:fldChar w:fldCharType="end"/>
      </w:r>
      <w:r w:rsidR="00283E1D" w:rsidRPr="008732E5">
        <w:rPr>
          <w:color w:val="000000" w:themeColor="text1"/>
          <w:lang w:val="en-US"/>
        </w:rPr>
        <w:t>.</w:t>
      </w:r>
      <w:r w:rsidR="00872F4E">
        <w:rPr>
          <w:color w:val="000000" w:themeColor="text1"/>
          <w:lang w:val="en-US"/>
        </w:rPr>
        <w:t xml:space="preserve"> </w:t>
      </w:r>
      <w:r w:rsidR="008732E5" w:rsidRPr="008732E5">
        <w:rPr>
          <w:color w:val="000000" w:themeColor="text1"/>
          <w:lang w:val="en-US"/>
        </w:rPr>
        <w:t>Researchers have studied population response by mainly modeling household decisions on: whether or not to evacuate</w:t>
      </w:r>
      <w:r w:rsidR="00376A7B">
        <w:rPr>
          <w:color w:val="000000" w:themeColor="text1"/>
          <w:lang w:val="en-US"/>
        </w:rPr>
        <w:t xml:space="preserve"> </w:t>
      </w:r>
      <w:r w:rsidR="00376A7B">
        <w:rPr>
          <w:color w:val="000000" w:themeColor="text1"/>
          <w:lang w:val="en-US"/>
        </w:rPr>
        <w:fldChar w:fldCharType="begin" w:fldLock="1"/>
      </w:r>
      <w:r w:rsidR="00586617">
        <w:rPr>
          <w:color w:val="000000" w:themeColor="text1"/>
          <w:lang w:val="en-US"/>
        </w:rPr>
        <w:instrText>ADDIN CSL_CITATION {"citationItems":[{"id":"ITEM-1","itemData":{"author":[{"dropping-particle":"","family":"Hasan","given":"Samiul","non-dropping-particle":"","parse-names":false,"suffix":""}],"id":"ITEM-1","issued":{"date-parts":[["2010"]]},"page":"341-348","title":"A Behavioral Model to Understand Household Level Hurricane Evacuation Decision Making","type":"article-journal","volume":"137"},"uris":["http://www.mendeley.com/documents/?uuid=f5ee4885-64f0-4ed5-a23f-c454094b0cda"]},{"id":"ITEM-2","itemData":{"DOI":"10.1111/j.1559-1816.2007.00191.x","ISSN":"00219029","abstract":"This study compared respondents' hurricane evacuation expectations with their actual behavior 2 years later during Hurricane Lili. Respondents were found to have accurate expectations about their information sources, evacuation transportation modes, number of vehicles taken, and evacuation shelter types. They also had generally accurate expectations about the time it would take them to implement some, but not all, evacuation preparation tasks. These results extend contemporary attitude-behavior models by demonstrating a significant degree of correspondence between behavioral expectations and much later behavior under quite stressful conditions and suggest emergency planners can use many, but not all, aspects of coastal residents' evacuation expectations as a satisfactory basis for evacuation planning. © 2007 Blackwell Publishing, Inc.","author":[{"dropping-particle":"","family":"Kang","given":"Jung Eun","non-dropping-particle":"","parse-names":false,"suffix":""},{"dropping-particle":"","family":"Lindell","given":"Michael K.","non-dropping-particle":"","parse-names":false,"suffix":""},{"dropping-particle":"","family":"Prater","given":"Carla S.","non-dropping-particle":"","parse-names":false,"suffix":""}],"container-title":"Journal of Applied Social Psychology","id":"ITEM-2","issue":"4","issued":{"date-parts":[["2007","4","1"]]},"page":"887-903","publisher":"John Wiley &amp; Sons, Ltd","title":"Hurricane evacuation expectations and actual behavior in Hurricane Lili","type":"article-journal","volume":"37"},"uris":["http://www.mendeley.com/documents/?uuid=77332aac-9d0a-308c-9fd3-3e1bb49741b3"]},{"id":"ITEM-3","itemData":{"ISSN":"0280-7270","abstract":"This paper directly models individual and household hurricane evacuation behavior using ethnographic decision tree analysis. This approach uses a set of iterative processes to inductively derive a general decision model from specific individual decision models. To elicit the model described here, below the authors and several graduate students interviewed Miami residents who had been in South Florida during both Hurricanes Andrew in 1992 and Erin in 1995. The resulting model of hurricane evacuation decision processes was then tested with interview data collected from a separate random sample of 954 South Florida residents drawn from areas that were evacuation zones and areas immediately adjacent to them at the time of Hurricane Andrew. The model captures the complexity and messiness of real-life decision-making by including criteria showing how people are constrained by their perceptions of the hurricane, the safety features of their homes, the time they have available to prepare for the hurricane, their age, and the reactions of other family members who are also deciding whether or not to evacuate. By showing the richness of the decision process as well as its messiness, results taken from this model can better inform emergency managers who need to know how people will react to the approach of a hurricane.","author":[{"dropping-particle":"","family":"Gladwin","given":"CH","non-dropping-particle":"","parse-names":false,"suffix":""},{"dropping-particle":"","family":"Gladwin","given":"Hugh","non-dropping-particle":"","parse-names":false,"suffix":""},{"dropping-particle":"","family":"Peacock","given":"Walter Gillis","non-dropping-particle":"","parse-names":false,"suffix":""}],"container-title":"International journal of mass emergencies and disasters","id":"ITEM-3","issue":"2","issued":{"date-parts":[["2001"]]},"page":"117-143","publisher":"International Sociological Association, International Research Committee on~…","title":"Modeling Hurricane Evacuation Decisions with Ethnographic Methods","type":"article-journal","volume":"19"},"uris":["http://www.mendeley.com/documents/?uuid=ea923d04-f767-454d-9375-cfd992dec1a0"]}],"mendeley":{"formattedCitation":"(Gladwin et al., 2001; Hasan, 2010; Kang et al., 2007)","plainTextFormattedCitation":"(Gladwin et al., 2001; Hasan, 2010; Kang et al., 2007)","previouslyFormattedCitation":"(Gladwin et al., 2001; Hasan, 2010; Kang et al., 2007)"},"properties":{"noteIndex":0},"schema":"https://github.com/citation-style-language/schema/raw/master/csl-citation.json"}</w:instrText>
      </w:r>
      <w:r w:rsidR="00376A7B">
        <w:rPr>
          <w:color w:val="000000" w:themeColor="text1"/>
          <w:lang w:val="en-US"/>
        </w:rPr>
        <w:fldChar w:fldCharType="separate"/>
      </w:r>
      <w:r w:rsidR="002D286E" w:rsidRPr="002D286E">
        <w:rPr>
          <w:noProof/>
          <w:color w:val="000000" w:themeColor="text1"/>
          <w:lang w:val="en-US"/>
        </w:rPr>
        <w:t>(Gladwin et al., 2001; Hasan, 2010; Kang et al., 2007)</w:t>
      </w:r>
      <w:r w:rsidR="00376A7B">
        <w:rPr>
          <w:color w:val="000000" w:themeColor="text1"/>
          <w:lang w:val="en-US"/>
        </w:rPr>
        <w:fldChar w:fldCharType="end"/>
      </w:r>
      <w:r w:rsidR="008732E5" w:rsidRPr="008732E5">
        <w:rPr>
          <w:color w:val="000000" w:themeColor="text1"/>
          <w:lang w:val="en-US"/>
        </w:rPr>
        <w:t>, time of evacuation</w:t>
      </w:r>
      <w:r w:rsidR="009E506A">
        <w:rPr>
          <w:color w:val="000000" w:themeColor="text1"/>
          <w:lang w:val="en-US"/>
        </w:rPr>
        <w:t xml:space="preserve"> </w:t>
      </w:r>
      <w:r w:rsidR="009E506A">
        <w:rPr>
          <w:color w:val="000000" w:themeColor="text1"/>
          <w:lang w:val="en-US"/>
        </w:rPr>
        <w:fldChar w:fldCharType="begin" w:fldLock="1"/>
      </w:r>
      <w:r w:rsidR="00586617">
        <w:rPr>
          <w:color w:val="000000" w:themeColor="text1"/>
          <w:lang w:val="en-US"/>
        </w:rPr>
        <w:instrText>ADDIN CSL_CITATION {"citationItems":[{"id":"ITEM-1","itemData":{"DOI":"10.1016/j.tra.2007.06.014","ISSN":"09658564","abstract":"This article describes a simple, rapid method for calculating evacuation time estimates (ETEs) that is compatible with research findings about evacuees' behavior in hurricanes. This revision of an earlier version of the empirically based large scale evacuation time estimate method (EMBLEM) uses empirical data derived from behavioral surveys and allows local emergency managers to calculate ETEs by specifying four evacuation route system parameters, 16 behavioral parameters, and five evacuation scope/timing parameters. EMBLEM2 is implemented within a menu-driven evacuation management decision support system (EMDSS) that local emergency managers can use to calculate ETEs and conduct sensitivity analyses to examine the effects of plausible variation in the parameters. In addition, they can run EMDSS in real time (less than 10 min of run time) to recalculate ETEs while monitoring an approaching hurricane. The article provides an example using EMDSS to calculate ETEs for San Patricio County Texas and discusses directions for further improvements of the model. © 2007 Elsevier Ltd. All rights reserved.","author":[{"dropping-particle":"","family":"Lindell","given":"Michael K.","non-dropping-particle":"","parse-names":false,"suffix":""}],"container-title":"Transportation Research Part A: Policy and Practice","id":"ITEM-1","issue":"1","issued":{"date-parts":[["2008","1","1"]]},"page":"140-154","publisher":"Pergamon","title":"EMBLEM2: An empirically based large scale evacuation time estimate model","type":"article-journal","volume":"42"},"uris":["http://www.mendeley.com/documents/?uuid=0effb1e6-75f7-362a-bdcb-e803ae32bc2e"]},{"id":"ITEM-2","itemData":{"DOI":"10.1016/j.trc.2011.06.005","ISSN":"0968090X","abstract":"The goal of this paper is to develop a random-parameter hazard-based model to understand hurricane evacuation timing by individual households. The choice of departure time during disasters is a complex dynamic process and depends on the risk that the hazard represents, the characteristics of the household and the built environment features. However, the risk responses are heterogeneous across the households; this unobserved heterogeneity is captured through random parameters in the model. The model is estimated with data from Hurricane Ivan including households from Alabama, Louisiana, Florida and Mississippi. It is found that the variables related to household location, destination characteristics, socio-economic characteristics, evacuation notice and household decision making are key determinants of the departure time. As such the developed model provides some fundamental inferences about hurricane evacuation timing behavior. © 2011 Elsevier Ltd.","author":[{"dropping-particle":"","family":"Hasan","given":"Samiul","non-dropping-particle":"","parse-names":false,"suffix":""},{"dropping-particle":"","family":"Mesa-Arango","given":"Rodrigo","non-dropping-particle":"","parse-names":false,"suffix":""},{"dropping-particle":"","family":"Ukkusuri","given":"Satish","non-dropping-particle":"","parse-names":false,"suffix":""}],"container-title":"Transportation Research Part C: Emerging Technologies","id":"ITEM-2","issued":{"date-parts":[["2013","2","1"]]},"page":"108-116","publisher":"Pergamon","title":"A random-parameter hazard-based model to understand household evacuation timing behavior","type":"article-journal","volume":"27"},"uris":["http://www.mendeley.com/documents/?uuid=08d20e3d-aab7-31a4-8feb-ff23f280cf67"]}],"mendeley":{"formattedCitation":"(Hasan et al., 2013; Lindell, 2008)","plainTextFormattedCitation":"(Hasan et al., 2013; Lindell, 2008)","previouslyFormattedCitation":"(Hasan et al., 2013; Lindell, 2008)"},"properties":{"noteIndex":0},"schema":"https://github.com/citation-style-language/schema/raw/master/csl-citation.json"}</w:instrText>
      </w:r>
      <w:r w:rsidR="009E506A">
        <w:rPr>
          <w:color w:val="000000" w:themeColor="text1"/>
          <w:lang w:val="en-US"/>
        </w:rPr>
        <w:fldChar w:fldCharType="separate"/>
      </w:r>
      <w:r w:rsidR="002D286E" w:rsidRPr="002D286E">
        <w:rPr>
          <w:noProof/>
          <w:color w:val="000000" w:themeColor="text1"/>
          <w:lang w:val="en-US"/>
        </w:rPr>
        <w:t>(Hasan et al., 2013; Lindell, 2008)</w:t>
      </w:r>
      <w:r w:rsidR="009E506A">
        <w:rPr>
          <w:color w:val="000000" w:themeColor="text1"/>
          <w:lang w:val="en-US"/>
        </w:rPr>
        <w:fldChar w:fldCharType="end"/>
      </w:r>
      <w:r w:rsidR="008732E5" w:rsidRPr="008732E5">
        <w:rPr>
          <w:color w:val="000000" w:themeColor="text1"/>
          <w:lang w:val="en-US"/>
        </w:rPr>
        <w:t>, and choice of destination and routes</w:t>
      </w:r>
      <w:r w:rsidR="009E506A">
        <w:rPr>
          <w:color w:val="000000" w:themeColor="text1"/>
          <w:lang w:val="en-US"/>
        </w:rPr>
        <w:t xml:space="preserve"> </w:t>
      </w:r>
      <w:r w:rsidR="009E506A">
        <w:rPr>
          <w:color w:val="000000" w:themeColor="text1"/>
          <w:lang w:val="en-US"/>
        </w:rPr>
        <w:fldChar w:fldCharType="begin" w:fldLock="1"/>
      </w:r>
      <w:r w:rsidR="002D286E">
        <w:rPr>
          <w:color w:val="000000" w:themeColor="text1"/>
          <w:lang w:val="en-US"/>
        </w:rPr>
        <w:instrText>ADDIN CSL_CITATION {"citationItems":[{"id":"ITEM-1","itemData":{"DOI":"10.3141/2532-18","ISSN":"03611981","abstract":"Evacuation is a typical recourse to prevent loss of life if a high storm surge occurs, especially in hurricane-prone regions. Bridges are the key locations of bottlenecks. Because of the specific geographic shape and roadway network of Miami Beach, Florida, residents need to evacuate over one of the six major bridges or causeways: MacArthur Causeway, Venetian Causeway, Julia Tuttle Causeway, John F. Kennedy Causeway, Broad Causeway, and Haulover Bridge. A mixed logit model is presented to identify the determining factors for evacuees from Miami Beach in selecting one of these bridges during a major hurricane. The model was developed by using data obtained from a survey that included a hypothetical Category 4 (major) hurricane scenario to reveal the most likely plans for evacuees from this area. The estimation findings suggest that the preference over a given bridge involves a complex interaction of variables, such as distance to reach the evacuation destination, evacuation-specific characteristics (evacuation day, time, mode, and destination), and evacuee-specific characteristics (gender, race, evacuation experience, and living experience). The normally distributed random parameters in the model account for the existence of unobserved heterogeneity across different observations. The findings of this study will help emergency officials and policy makers to develop efficient operational measures and better evacuation plans for a major hurricane by determining different fractions of people taking each of the six bridges.","author":[{"dropping-particle":"","family":"Sadri","given":"Arif Mohaimin","non-dropping-particle":"","parse-names":false,"suffix":""},{"dropping-particle":"V.","family":"Ukkusuri","given":"Satish","non-dropping-particle":"","parse-names":false,"suffix":""},{"dropping-particle":"","family":"Murray-Tuite","given":"Pamela","non-dropping-particle":"","parse-names":false,"suffix":""},{"dropping-particle":"","family":"Gladwin","given":"Hugh","non-dropping-particle":"","parse-names":false,"suffix":""}],"container-title":"Transportation Research Record","id":"ITEM-1","issued":{"date-parts":[["2015"]]},"page":"164-173","title":"Hurricane evacuation route choice of major bridges in Miami Beach, Florida","type":"article-journal","volume":"2532"},"uris":["http://www.mendeley.com/documents/?uuid=d1180784-57aa-4555-ae2d-da95c2dee1ff"]},{"id":"ITEM-2","itemData":{"DOI":"10.1061/(asce)nh.1527-6996.0000083","ISSN":"1527-6988","abstract":"Hurricanes are costly natural disasters periodically faced by households in coastal and, to some extent, inland areas. Public agencies must understand household behavior to develop evacuation plans that align with evacuee choices and behavior. This paper presents a previously unknown household-level hurricane evacuation destination type choice model. The discrete choice of destination type is modeled using a nested logit model. Although previous literature considers only houses of friends and relatives and hotels for modeling purposes, this paper incorporates public shelters, churches, and an aggregated destination type denoted other. This research found that the variables influencing this choice include hurricane position at evacuation time, household geographic location, race, income, preparation time, changes in evacuation plans, previous experiences with major hurricanes, household members working during the evacuation, and evacuation notices. The findings of this paper are useful to understand the competition among destination types and how the characteristics of the demand can be used to develop evacuation strategies, such as increasing and/or decreasing use of public shelters, and measuring the effect of evacuation notices in areas with high accessibility to hotels. © 2013 American Society of Civil Engineers.","author":[{"dropping-particle":"","family":"Mesa-Arango","given":"Rodrigo","non-dropping-particle":"","parse-names":false,"suffix":""},{"dropping-particle":"","family":"Hasan","given":"Samiul","non-dropping-particle":"","parse-names":false,"suffix":""},{"dropping-particle":"V.","family":"Ukkusuri","given":"Satish","non-dropping-particle":"","parse-names":false,"suffix":""},{"dropping-particle":"","family":"Murray-Tuite","given":"Pamela","non-dropping-particle":"","parse-names":false,"suffix":""}],"container-title":"Natural Hazards Review","id":"ITEM-2","issue":"1","issued":{"date-parts":[["2013"]]},"page":"11-20","title":"Household-Level Model for Hurricane Evacuation Destination Type Choice Using Hurricane Ivan Data","type":"article-journal","volume":"14"},"uris":["http://www.mendeley.com/documents/?uuid=b7b2f14d-96f6-4ab0-987a-4443a79e9903"]}],"mendeley":{"formattedCitation":"(Mesa-Arango et al., 2013; Sadri et al., 2015)","plainTextFormattedCitation":"(Mesa-Arango et al., 2013; Sadri et al., 2015)","previouslyFormattedCitation":"(Mesa-Arango et al., 2013; Sadri et al., 2015)"},"properties":{"noteIndex":0},"schema":"https://github.com/citation-style-language/schema/raw/master/csl-citation.json"}</w:instrText>
      </w:r>
      <w:r w:rsidR="009E506A">
        <w:rPr>
          <w:color w:val="000000" w:themeColor="text1"/>
          <w:lang w:val="en-US"/>
        </w:rPr>
        <w:fldChar w:fldCharType="separate"/>
      </w:r>
      <w:r w:rsidR="008170D9" w:rsidRPr="008170D9">
        <w:rPr>
          <w:noProof/>
          <w:color w:val="000000" w:themeColor="text1"/>
          <w:lang w:val="en-US"/>
        </w:rPr>
        <w:t>(Mesa-Arango et al., 2013; Sadri et al., 2015)</w:t>
      </w:r>
      <w:r w:rsidR="009E506A">
        <w:rPr>
          <w:color w:val="000000" w:themeColor="text1"/>
          <w:lang w:val="en-US"/>
        </w:rPr>
        <w:fldChar w:fldCharType="end"/>
      </w:r>
      <w:r w:rsidR="008732E5" w:rsidRPr="008732E5">
        <w:rPr>
          <w:color w:val="000000" w:themeColor="text1"/>
          <w:lang w:val="en-US"/>
        </w:rPr>
        <w:t>. Earlier research has indicated that these decisions depend on many unobserved factors including a household’s risk perception, hurricane awareness, reliance on information sources, and socio-economic characteristics. However, evacuation decision making is a complex, dynamic process that also depends on various time-dependent factors such as hurricane strength and projected trajectory, state of the infrastructure (such as traffic congestion), evacuation warning from local agencies, and traffic prediction</w:t>
      </w:r>
      <w:r w:rsidR="009E506A">
        <w:rPr>
          <w:color w:val="000000" w:themeColor="text1"/>
          <w:lang w:val="en-US"/>
        </w:rPr>
        <w:t xml:space="preserve"> </w:t>
      </w:r>
      <w:r w:rsidR="009E506A">
        <w:rPr>
          <w:color w:val="000000" w:themeColor="text1"/>
          <w:lang w:val="en-US"/>
        </w:rPr>
        <w:fldChar w:fldCharType="begin" w:fldLock="1"/>
      </w:r>
      <w:r w:rsidR="002D286E">
        <w:rPr>
          <w:color w:val="000000" w:themeColor="text1"/>
          <w:lang w:val="en-US"/>
        </w:rPr>
        <w:instrText>ADDIN CSL_CITATION {"citationItems":[{"id":"ITEM-1","itemData":{"DOI":"10.1111/risa.12990","ISSN":"15396924","PMID":"29601643","abstract":"This article introduces a new integrated scenario-based evacuation (ISE) framework to support hurricane evacuation decision making. It explicitly captures the dynamics, uncertainty, and human–natural system interactions that are fundamental to the challenge of hurricane evacuation, but have not been fully captured in previous formal evacuation models. The hazard is represented with an ensemble of probabilistic scenarios, population behavior with a dynamic decision model, and traffic with a dynamic user equilibrium model. The components are integrated in a multistage stochastic programming model that minimizes risk and travel times to provide a tree of evacuation order recommendations and an evaluation of the risk and travel time performance for that solution. The ISE framework recommendations offer an advance in the state of the art because they: (1) are based on an integrated hazard assessment (designed to ultimately include inland flooding), (2) explicitly balance the sometimes competing objectives of minimizing risk and minimizing travel time, (3) offer a well-hedged solution that is robust under the range of ways the hurricane might evolve, and (4) leverage the substantial value of increasing information (or decreasing degree of uncertainty) over the course of a hurricane event. A case study for Hurricane Isabel (2003) in eastern North Carolina is presented to demonstrate how the framework is applied, the type of results it can provide, and how it compares to available methods of a single scenario deterministic analysis and a two-stage stochastic program.","author":[{"dropping-particle":"","family":"Davidson","given":"Rachel A.","non-dropping-particle":"","parse-names":false,"suffix":""},{"dropping-particle":"","family":"Nozick","given":"Linda K.","non-dropping-particle":"","parse-names":false,"suffix":""},{"dropping-particle":"","family":"Wachtendorf","given":"Tricia","non-dropping-particle":"","parse-names":false,"suffix":""},{"dropping-particle":"","family":"Blanton","given":"Brian","non-dropping-particle":"","parse-names":false,"suffix":""},{"dropping-particle":"","family":"Colle","given":"Brian","non-dropping-particle":"","parse-names":false,"suffix":""},{"dropping-particle":"","family":"Kolar","given":"Randall L.","non-dropping-particle":"","parse-names":false,"suffix":""},{"dropping-particle":"","family":"DeYoung","given":"Sarah","non-dropping-particle":"","parse-names":false,"suffix":""},{"dropping-particle":"","family":"Dresback","given":"Kendra M.","non-dropping-particle":"","parse-names":false,"suffix":""},{"dropping-particle":"","family":"Yi","given":"Wenqi","non-dropping-particle":"","parse-names":false,"suffix":""},{"dropping-particle":"","family":"Yang","given":"Kun","non-dropping-particle":"","parse-names":false,"suffix":""},{"dropping-particle":"","family":"Leonardo","given":"Nicholas","non-dropping-particle":"","parse-names":false,"suffix":""}],"container-title":"Risk Analysis","id":"ITEM-1","issue":"1","issued":{"date-parts":[["2020","1","1"]]},"page":"97-116","publisher":"John Wiley &amp; Sons, Ltd","title":"An Integrated Scenario Ensemble-Based Framework for Hurricane Evacuation Modeling: Part 1—Decision Support System","type":"article-journal","volume":"40"},"uris":["http://www.mendeley.com/documents/?uuid=3aa7db19-b373-31d6-aa33-bcf74efaff79"]}],"mendeley":{"formattedCitation":"(Davidson et al., 2020)","plainTextFormattedCitation":"(Davidson et al., 2020)","previouslyFormattedCitation":"(Davidson et al., 2020)"},"properties":{"noteIndex":0},"schema":"https://github.com/citation-style-language/schema/raw/master/csl-citation.json"}</w:instrText>
      </w:r>
      <w:r w:rsidR="009E506A">
        <w:rPr>
          <w:color w:val="000000" w:themeColor="text1"/>
          <w:lang w:val="en-US"/>
        </w:rPr>
        <w:fldChar w:fldCharType="separate"/>
      </w:r>
      <w:r w:rsidR="008170D9" w:rsidRPr="008170D9">
        <w:rPr>
          <w:noProof/>
          <w:color w:val="000000" w:themeColor="text1"/>
          <w:lang w:val="en-US"/>
        </w:rPr>
        <w:t>(Davidson et al., 2020)</w:t>
      </w:r>
      <w:r w:rsidR="009E506A">
        <w:rPr>
          <w:color w:val="000000" w:themeColor="text1"/>
          <w:lang w:val="en-US"/>
        </w:rPr>
        <w:fldChar w:fldCharType="end"/>
      </w:r>
      <w:r w:rsidR="008732E5" w:rsidRPr="008732E5">
        <w:rPr>
          <w:color w:val="000000" w:themeColor="text1"/>
          <w:lang w:val="en-US"/>
        </w:rPr>
        <w:t>. Thus, modeling evacuation decision process</w:t>
      </w:r>
      <w:r w:rsidR="0028193B">
        <w:rPr>
          <w:color w:val="000000" w:themeColor="text1"/>
          <w:lang w:val="en-US"/>
        </w:rPr>
        <w:t>es</w:t>
      </w:r>
      <w:r w:rsidR="008732E5" w:rsidRPr="008732E5">
        <w:rPr>
          <w:color w:val="000000" w:themeColor="text1"/>
          <w:lang w:val="en-US"/>
        </w:rPr>
        <w:t xml:space="preserve"> must consider dynamics and situational contexts related to the process.</w:t>
      </w:r>
    </w:p>
    <w:p w14:paraId="7EBCA4A0" w14:textId="6D3E3D96" w:rsidR="00E2118D" w:rsidRDefault="00E2118D" w:rsidP="005E4F8D">
      <w:pPr>
        <w:ind w:firstLine="720"/>
        <w:rPr>
          <w:lang w:val="en-US"/>
        </w:rPr>
      </w:pPr>
      <w:r>
        <w:rPr>
          <w:lang w:val="en-US"/>
        </w:rPr>
        <w:t xml:space="preserve">Most of our </w:t>
      </w:r>
      <w:r w:rsidR="0028193B">
        <w:rPr>
          <w:lang w:val="en-US"/>
        </w:rPr>
        <w:t xml:space="preserve">current </w:t>
      </w:r>
      <w:r>
        <w:rPr>
          <w:lang w:val="en-US"/>
        </w:rPr>
        <w:t xml:space="preserve">knowledge of </w:t>
      </w:r>
      <w:r w:rsidR="00BC0138">
        <w:rPr>
          <w:lang w:val="en-US"/>
        </w:rPr>
        <w:t xml:space="preserve">hurricane evacuation </w:t>
      </w:r>
      <w:r>
        <w:rPr>
          <w:lang w:val="en-US"/>
        </w:rPr>
        <w:t xml:space="preserve">behavior comes from </w:t>
      </w:r>
      <w:r w:rsidRPr="00E2118D">
        <w:rPr>
          <w:lang w:val="en-US"/>
        </w:rPr>
        <w:t>post-disaster surveys</w:t>
      </w:r>
      <w:r>
        <w:rPr>
          <w:lang w:val="en-US"/>
        </w:rPr>
        <w:t xml:space="preserve">. </w:t>
      </w:r>
      <w:r w:rsidR="00DB0121">
        <w:rPr>
          <w:lang w:val="en-US"/>
        </w:rPr>
        <w:t xml:space="preserve">Specifically, </w:t>
      </w:r>
      <w:r w:rsidR="00DB0121" w:rsidRPr="00DB0121">
        <w:rPr>
          <w:lang w:val="en-US"/>
        </w:rPr>
        <w:t>researchers have developed behavioral models based on</w:t>
      </w:r>
      <w:r w:rsidR="00DB0121">
        <w:rPr>
          <w:lang w:val="en-US"/>
        </w:rPr>
        <w:t xml:space="preserve"> </w:t>
      </w:r>
      <w:r w:rsidR="00DB0121" w:rsidRPr="00DB0121">
        <w:rPr>
          <w:lang w:val="en-US"/>
        </w:rPr>
        <w:t>post-disaster surveys</w:t>
      </w:r>
      <w:r w:rsidR="00DB0121">
        <w:rPr>
          <w:lang w:val="en-US"/>
        </w:rPr>
        <w:t xml:space="preserve"> to predict household evacuation decision</w:t>
      </w:r>
      <w:r w:rsidR="00E35E9D">
        <w:rPr>
          <w:lang w:val="en-US"/>
        </w:rPr>
        <w:t>s</w:t>
      </w:r>
      <w:r w:rsidR="00A13382">
        <w:rPr>
          <w:lang w:val="en-US"/>
        </w:rPr>
        <w:t xml:space="preserve"> ( see </w:t>
      </w:r>
      <w:r w:rsidR="00A13382">
        <w:rPr>
          <w:lang w:val="en-US"/>
        </w:rPr>
        <w:fldChar w:fldCharType="begin" w:fldLock="1"/>
      </w:r>
      <w:r w:rsidR="002D286E">
        <w:rPr>
          <w:lang w:val="en-US"/>
        </w:rPr>
        <w:instrText>ADDIN CSL_CITATION {"citationItems":[{"id":"ITEM-1","itemData":{"DOI":"10.1016/j.tra.2007.06.014","ISSN":"09658564","abstract":"This article describes a simple, rapid method for calculating evacuation time estimates (ETEs) that is compatible with research findings about evacuees' behavior in hurricanes. This revision of an earlier version of the empirically based large scale evacuation time estimate method (EMBLEM) uses empirical data derived from behavioral surveys and allows local emergency managers to calculate ETEs by specifying four evacuation route system parameters, 16 behavioral parameters, and five evacuation scope/timing parameters. EMBLEM2 is implemented within a menu-driven evacuation management decision support system (EMDSS) that local emergency managers can use to calculate ETEs and conduct sensitivity analyses to examine the effects of plausible variation in the parameters. In addition, they can run EMDSS in real time (less than 10 min of run time) to recalculate ETEs while monitoring an approaching hurricane. The article provides an example using EMDSS to calculate ETEs for San Patricio County Texas and discusses directions for further improvements of the model. © 2007 Elsevier Ltd. All rights reserved.","author":[{"dropping-particle":"","family":"Lindell","given":"Michael K.","non-dropping-particle":"","parse-names":false,"suffix":""}],"container-title":"Transportation Research Part A: Policy and Practice","id":"ITEM-1","issue":"1","issued":{"date-parts":[["2008","1","1"]]},"page":"140-154","publisher":"Pergamon","title":"EMBLEM2: An empirically based large scale evacuation time estimate model","type":"article-journal","volume":"42"},"uris":["http://www.mendeley.com/documents/?uuid=0effb1e6-75f7-362a-bdcb-e803ae32bc2e"]},{"id":"ITEM-2","itemData":{"DOI":"10.1007/s11116-016-9722-6","ISSN":"15729435","abstract":"With the increasing number of hurricanes in the last decade, efficient and timely evacuation remains a significant concern. Households’ decisions to evacuate/stay and selection of departure time are complex phenomena. This study identifies the different factors that influence the decision making process, and if a household decides to evacuate, what affects the timing of the execution of that decision. While developing a random parameters binary logit model of the evacuate/stay decision, several factors, such as, socio-economic characteristics, actions by authority, and geographic location, have been considered along with the dynamic nature of the hurricane itself. In addition, taking the landfall as a base, how the evacuation timing varies, considering both the time-of-day and hours before landfall, has been analyzed rigorously. Influential factors in the joint model include the relative time until the hurricane’s landfall, height of the coastal flooding, and approaching speed of the hurricane; household’s geographic location (state); having more than one child in the household, vehicle ownership, and level of education; and type of evacuation notice received (voluntary or mandatory). Two time intervals from 30 to 42 h and 42 to 66 h before landfall resulted in random parameters, reflecting mixed effects on the likelihood to evacuate/stay. Possible sources of the unobserved heterogeneity captured by the random parameters include the respondents’ risk perception or other unobserved physiological and psychological factors associated with how respondents comprehend a hurricane threat. Thus, the model serves the purpose of estimating evacuation decision and timing simultaneously using the data of Hurricane Ivan.","author":[{"dropping-particle":"","family":"Sarwar","given":"Md Tawfiq","non-dropping-particle":"","parse-names":false,"suffix":""},{"dropping-particle":"","family":"Anastasopoulos","given":"Panagiotis Ch","non-dropping-particle":"","parse-names":false,"suffix":""},{"dropping-particle":"V.","family":"Ukkusuri","given":"Satish","non-dropping-particle":"","parse-names":false,"suffix":""},{"dropping-particle":"","family":"Murray-Tuite","given":"Pamela","non-dropping-particle":"","parse-names":false,"suffix":""},{"dropping-particle":"","family":"Mannering","given":"Fred L.","non-dropping-particle":"","parse-names":false,"suffix":""}],"container-title":"Transportation","id":"ITEM-2","issue":"1","issued":{"date-parts":[["2018","1","1"]]},"page":"51-70","publisher":"Springer New York LLC","title":"A statistical analysis of the dynamics of household hurricane-evacuation decisions","type":"article-journal","volume":"45"},"uris":["http://www.mendeley.com/documents/?uuid=7a86211e-28b9-3107-9179-0378f1932a7b"]},{"id":"ITEM-3","itemData":{"DOI":"10.1371/journal.pone.0181701","ISBN":"1111111111","ISSN":"19326203","PMID":"28753667","abstract":"Hurricane Matthew was the deadliest Atlantic storm since Katrina in 2005 and prompted one of the largest recent hurricane evacuations along the Southeastern coast of the United States. The storm and its projected landfall triggered a massive social media reaction. Using Twitter data, this paper examines the spatiotemporal variability in social media response and develops a novel approach to leverage geotagged tweets to assess the evacuation responses of residents. The approach involves the retrieval of tweets from the Twitter Stream, the creation and filtering of different datasets, and the statistical and spatial processing and treatment to extract, plot and map the results. As expected, peak Twitter response was reached during the pre-impact and preparedness phase, and decreased abruptly after the passage of the storm. A comparison between two time periods - pre-evacuation (October 2th-4th) and post-evacuation (October 7th-9th) - indicates that 54% of Twitter users moved away from the coast to a safer location, with observed differences by state on the timing of the evacuation. A specific sub-state analysis of South Carolina illustrated overall compliance with evacuation orders and detailed information on the timing of departure from the coast as well as the destination location. These findings advance the use of big data and citizen-as-sensor approaches for public safety issues, providing an effective and near real-time alternative for measuring compliance with evacuation orders.","author":[{"dropping-particle":"","family":"Martín","given":"Yago","non-dropping-particle":"","parse-names":false,"suffix":""},{"dropping-particle":"","family":"Li","given":"Zhenlong","non-dropping-particle":"","parse-names":false,"suffix":""},{"dropping-particle":"","family":"Cutter","given":"Susan L.","non-dropping-particle":"","parse-names":false,"suffix":""}],"container-title":"PLoS ONE","id":"ITEM-3","issue":"7","issued":{"date-parts":[["2017","7","1"]]},"page":"e0181701","publisher":"Public Library of Science","title":"Leveraging Twitter to gauge evacuation compliance: Spatiotemporal analysis of Hurricane Matthew","type":"article-journal","volume":"12"},"uris":["http://www.mendeley.com/documents/?uuid=148d4595-4042-3226-9f9d-b9c3a5fbfcdf"]}],"mendeley":{"formattedCitation":"(Lindell, 2008; Martín et al., 2017; Sarwar et al., 2018)","plainTextFormattedCitation":"(Lindell, 2008; Martín et al., 2017; Sarwar et al., 2018)","previouslyFormattedCitation":"(Lindell, 2008; Martín et al., 2017; Sarwar et al., 2018)"},"properties":{"noteIndex":0},"schema":"https://github.com/citation-style-language/schema/raw/master/csl-citation.json"}</w:instrText>
      </w:r>
      <w:r w:rsidR="00A13382">
        <w:rPr>
          <w:lang w:val="en-US"/>
        </w:rPr>
        <w:fldChar w:fldCharType="separate"/>
      </w:r>
      <w:r w:rsidR="008170D9" w:rsidRPr="008170D9">
        <w:rPr>
          <w:noProof/>
          <w:lang w:val="en-US"/>
        </w:rPr>
        <w:t>(Lindell, 2008; Martín et al., 2017; Sarwar et al., 2018)</w:t>
      </w:r>
      <w:r w:rsidR="00A13382">
        <w:rPr>
          <w:lang w:val="en-US"/>
        </w:rPr>
        <w:fldChar w:fldCharType="end"/>
      </w:r>
      <w:r w:rsidR="00A13382">
        <w:rPr>
          <w:lang w:val="en-US"/>
        </w:rPr>
        <w:t xml:space="preserve"> for details)</w:t>
      </w:r>
      <w:r w:rsidR="00DB0121">
        <w:rPr>
          <w:lang w:val="en-US"/>
        </w:rPr>
        <w:t xml:space="preserve">. </w:t>
      </w:r>
      <w:r w:rsidR="00DB0121" w:rsidRPr="00DB0121">
        <w:rPr>
          <w:lang w:val="en-US"/>
        </w:rPr>
        <w:t xml:space="preserve">These frameworks </w:t>
      </w:r>
      <w:r w:rsidR="00DB0121">
        <w:rPr>
          <w:lang w:val="en-US"/>
        </w:rPr>
        <w:t>were</w:t>
      </w:r>
      <w:r w:rsidR="00DB0121" w:rsidRPr="00DB0121">
        <w:rPr>
          <w:lang w:val="en-US"/>
        </w:rPr>
        <w:t xml:space="preserve"> used to model a household’s decision-making</w:t>
      </w:r>
      <w:r w:rsidR="00DB0121">
        <w:rPr>
          <w:lang w:val="en-US"/>
        </w:rPr>
        <w:t xml:space="preserve"> </w:t>
      </w:r>
      <w:r w:rsidR="00DB0121" w:rsidRPr="00DB0121">
        <w:rPr>
          <w:lang w:val="en-US"/>
        </w:rPr>
        <w:t>process in the presence of an extreme event i.e., they provide a</w:t>
      </w:r>
      <w:r w:rsidR="00164BD9">
        <w:rPr>
          <w:lang w:val="en-US"/>
        </w:rPr>
        <w:t>n understanding of reported</w:t>
      </w:r>
      <w:r w:rsidR="00DB0121" w:rsidRPr="00DB0121">
        <w:rPr>
          <w:lang w:val="en-US"/>
        </w:rPr>
        <w:t xml:space="preserve"> behavior due to the</w:t>
      </w:r>
      <w:r w:rsidR="00DB0121">
        <w:rPr>
          <w:lang w:val="en-US"/>
        </w:rPr>
        <w:t xml:space="preserve"> </w:t>
      </w:r>
      <w:r w:rsidR="00DB0121" w:rsidRPr="00DB0121">
        <w:rPr>
          <w:lang w:val="en-US"/>
        </w:rPr>
        <w:t xml:space="preserve">event. </w:t>
      </w:r>
      <w:r w:rsidR="00DB0121">
        <w:rPr>
          <w:lang w:val="en-US"/>
        </w:rPr>
        <w:t xml:space="preserve">For instance, current approaches to estimate hurricane evacuation demand rely on travel demand models estimating origin to destination flows. </w:t>
      </w:r>
      <w:r w:rsidR="00E3335F">
        <w:rPr>
          <w:lang w:val="en-US"/>
        </w:rPr>
        <w:t xml:space="preserve">While such an understanding is quite useful, it is still inadequate to </w:t>
      </w:r>
      <w:r w:rsidR="00E3335F" w:rsidRPr="00E2118D">
        <w:rPr>
          <w:lang w:val="en-US"/>
        </w:rPr>
        <w:t>predict population behavior as a hurricane unfolds in real time</w:t>
      </w:r>
      <w:r w:rsidR="00E3335F">
        <w:rPr>
          <w:lang w:val="en-US"/>
        </w:rPr>
        <w:t xml:space="preserve">. </w:t>
      </w:r>
      <w:r w:rsidR="00DB0121" w:rsidRPr="00DB0121">
        <w:rPr>
          <w:lang w:val="en-US"/>
        </w:rPr>
        <w:t>Furthermore, studies based on post-event surveys have limited transferability across different hurricane contexts and regions</w:t>
      </w:r>
      <w:r w:rsidR="005E4F8D">
        <w:rPr>
          <w:lang w:val="en-US"/>
        </w:rPr>
        <w:t xml:space="preserve"> </w:t>
      </w:r>
      <w:r w:rsidR="005E4F8D">
        <w:rPr>
          <w:lang w:val="en-US"/>
        </w:rPr>
        <w:fldChar w:fldCharType="begin" w:fldLock="1"/>
      </w:r>
      <w:r w:rsidR="00586617">
        <w:rPr>
          <w:lang w:val="en-US"/>
        </w:rPr>
        <w:instrText>ADDIN CSL_CITATION {"citationItems":[{"id":"ITEM-1","itemData":{"DOI":"10.1061/(ASCE)TE.1943-5436.0000365","ISSN":"0733947X","abstract":"Inferences on hurricane evacuation behavior are usually drawn through developing empirical models. These models are estimated using data that are specific to a given hurricane context. One important issue, therefore, is whether such models are applicable to different hurricane contexts. This paper investigates this transferability issue of evacuation choice models across different hurricanes. Initially, we estimate three separate models of the binary decision to evacuate or not, using data sets from three hurricanes (Andrew, Ivan, and Katrina) that occurred at different periods. Then a joint model is estimated combining these three evacuation data sources. When estimating the model jointly, the differences among the scale parameters of the data sets are specifically accounted for. The results from joint and separate models are then statistically tested to evaluate whether evacuation decision model parameters are transferable across different hurricane contexts. The result from the statistical test suggests that the parameters of the evacuation choice models are transferable over different hurricane contexts in similar regions, an important implication for policymakers and emergency preparedness agencies. © 2012 American Society of Civil Engineers.","author":[{"dropping-particle":"","family":"Hasan","given":"S.","non-dropping-particle":"","parse-names":false,"suffix":""},{"dropping-particle":"","family":"Mesa-Arango","given":"R.","non-dropping-particle":"","parse-names":false,"suffix":""},{"dropping-particle":"","family":"Ukkusuri","given":"S.","non-dropping-particle":"","parse-names":false,"suffix":""},{"dropping-particle":"","family":"Murray-Tuite","given":"P.","non-dropping-particle":"","parse-names":false,"suffix":""}],"container-title":"Journal of Transportation Engineering","id":"ITEM-1","issue":"5","issued":{"date-parts":[["2012"]]},"page":"548-556","title":"Transferability of Hurricane Evacuation Choice Model: Joint Model Estimation Combining Multiple Data Sources","type":"article-journal","volume":"138"},"uris":["http://www.mendeley.com/documents/?uuid=61b53d33-3e7d-428d-93d2-954dfdbdfad7"]},{"id":"ITEM-2","itemData":{"DOI":"10.1371/journal.pone.0181701","ISBN":"1111111111","ISSN":"19326203","PMID":"28753667","abstract":"Hurricane Matthew was the deadliest Atlantic storm since Katrina in 2005 and prompted one of the largest recent hurricane evacuations along the Southeastern coast of the United States. The storm and its projected landfall triggered a massive social media reaction. Using Twitter data, this paper examines the spatiotemporal variability in social media response and develops a novel approach to leverage geotagged tweets to assess the evacuation responses of residents. The approach involves the retrieval of tweets from the Twitter Stream, the creation and filtering of different datasets, and the statistical and spatial processing and treatment to extract, plot and map the results. As expected, peak Twitter response was reached during the pre-impact and preparedness phase, and decreased abruptly after the passage of the storm. A comparison between two time periods - pre-evacuation (October 2th-4th) and post-evacuation (October 7th-9th) - indicates that 54% of Twitter users moved away from the coast to a safer location, with observed differences by state on the timing of the evacuation. A specific sub-state analysis of South Carolina illustrated overall compliance with evacuation orders and detailed information on the timing of departure from the coast as well as the destination location. These findings advance the use of big data and citizen-as-sensor approaches for public safety issues, providing an effective and near real-time alternative for measuring compliance with evacuation orders.","author":[{"dropping-particle":"","family":"Martín","given":"Yago","non-dropping-particle":"","parse-names":false,"suffix":""},{"dropping-particle":"","family":"Li","given":"Zhenlong","non-dropping-particle":"","parse-names":false,"suffix":""},{"dropping-particle":"","family":"Cutter","given":"Susan L.","non-dropping-particle":"","parse-names":false,"suffix":""}],"container-title":"PLoS ONE","id":"ITEM-2","issue":"7","issued":{"date-parts":[["2017","7","1"]]},"page":"e0181701","publisher":"Public Library of Science","title":"Leveraging Twitter to gauge evacuation compliance: Spatiotemporal analysis of Hurricane Matthew","type":"article-journal","volume":"12"},"uris":["http://www.mendeley.com/documents/?uuid=148d4595-4042-3226-9f9d-b9c3a5fbfcdf"]}],"mendeley":{"formattedCitation":"(Hasan et al., 2012; Martín et al., 2017)","plainTextFormattedCitation":"(Hasan et al., 2012; Martín et al., 2017)","previouslyFormattedCitation":"(Hasan et al., 2012; Martín et al., 2017)"},"properties":{"noteIndex":0},"schema":"https://github.com/citation-style-language/schema/raw/master/csl-citation.json"}</w:instrText>
      </w:r>
      <w:r w:rsidR="005E4F8D">
        <w:rPr>
          <w:lang w:val="en-US"/>
        </w:rPr>
        <w:fldChar w:fldCharType="separate"/>
      </w:r>
      <w:r w:rsidR="002D286E" w:rsidRPr="002D286E">
        <w:rPr>
          <w:noProof/>
          <w:lang w:val="en-US"/>
        </w:rPr>
        <w:t>(Hasan et al., 2012; Martín et al., 2017)</w:t>
      </w:r>
      <w:r w:rsidR="005E4F8D">
        <w:rPr>
          <w:lang w:val="en-US"/>
        </w:rPr>
        <w:fldChar w:fldCharType="end"/>
      </w:r>
      <w:r w:rsidR="005E4F8D">
        <w:rPr>
          <w:lang w:val="en-US"/>
        </w:rPr>
        <w:t xml:space="preserve">. </w:t>
      </w:r>
      <w:r w:rsidR="00C32966">
        <w:rPr>
          <w:lang w:val="en-US"/>
        </w:rPr>
        <w:t>Further</w:t>
      </w:r>
      <w:r w:rsidR="00DB0121" w:rsidRPr="00DB0121">
        <w:rPr>
          <w:lang w:val="en-US"/>
        </w:rPr>
        <w:t>, behavioral models estimated over post-disaster surveys may not be adequate to predict dynamic population response as a disaster happens in real-time</w:t>
      </w:r>
      <w:r w:rsidR="00DB0121">
        <w:rPr>
          <w:lang w:val="en-US"/>
        </w:rPr>
        <w:t xml:space="preserve">. </w:t>
      </w:r>
      <w:r w:rsidR="00C32966">
        <w:rPr>
          <w:lang w:val="en-US"/>
        </w:rPr>
        <w:t xml:space="preserve">Real-time prediction </w:t>
      </w:r>
      <w:r w:rsidR="00E35E9D">
        <w:rPr>
          <w:lang w:val="en-US"/>
        </w:rPr>
        <w:t>of evacuation behavior is</w:t>
      </w:r>
      <w:r w:rsidR="00C32966">
        <w:rPr>
          <w:lang w:val="en-US"/>
        </w:rPr>
        <w:t xml:space="preserve"> very critical in disaster events. For example, </w:t>
      </w:r>
      <w:r>
        <w:rPr>
          <w:lang w:val="en-US"/>
        </w:rPr>
        <w:t xml:space="preserve">weather agencies warned about </w:t>
      </w:r>
      <w:r w:rsidR="00E35E9D">
        <w:rPr>
          <w:lang w:val="en-US"/>
        </w:rPr>
        <w:t>H</w:t>
      </w:r>
      <w:r>
        <w:rPr>
          <w:lang w:val="en-US"/>
        </w:rPr>
        <w:t xml:space="preserve">urricane Irma well before its </w:t>
      </w:r>
      <w:proofErr w:type="gramStart"/>
      <w:r>
        <w:rPr>
          <w:lang w:val="en-US"/>
        </w:rPr>
        <w:t>landfall</w:t>
      </w:r>
      <w:proofErr w:type="gramEnd"/>
      <w:r>
        <w:rPr>
          <w:lang w:val="en-US"/>
        </w:rPr>
        <w:t xml:space="preserve"> </w:t>
      </w:r>
      <w:r w:rsidR="00C32966">
        <w:rPr>
          <w:lang w:val="en-US"/>
        </w:rPr>
        <w:t xml:space="preserve">providing </w:t>
      </w:r>
      <w:r>
        <w:rPr>
          <w:lang w:val="en-US"/>
        </w:rPr>
        <w:t xml:space="preserve">enough time </w:t>
      </w:r>
      <w:r w:rsidR="00C32966">
        <w:rPr>
          <w:lang w:val="en-US"/>
        </w:rPr>
        <w:t>for</w:t>
      </w:r>
      <w:r>
        <w:rPr>
          <w:lang w:val="en-US"/>
        </w:rPr>
        <w:t xml:space="preserve"> Florida residents to decide whether to evacuate or not. In addition, close to landfall, several counties in Florida issued mandatory evacuation orders. Under such scenarios, typical demand estimates will not accurately capture the traffic due to the proactive decisions made by residents. At the same time, transportation agencies cannot assume full compliance from a region under a mandatory evacuation order. Many residents may not have access to information, may be unable to evacuate, </w:t>
      </w:r>
      <w:r w:rsidR="00CF22AE">
        <w:rPr>
          <w:lang w:val="en-US"/>
        </w:rPr>
        <w:t xml:space="preserve">or evacuate very late </w:t>
      </w:r>
      <w:r>
        <w:rPr>
          <w:lang w:val="en-US"/>
        </w:rPr>
        <w:t>or may simply decide not to follow the evacuation orders. Thus, to prepare and respond in a timely manner, agencies should monitor and predict population response in real-time.</w:t>
      </w:r>
    </w:p>
    <w:p w14:paraId="3AEBF7E4" w14:textId="23BE29CC" w:rsidR="00DB0087" w:rsidRPr="00E2118D" w:rsidRDefault="006331D7" w:rsidP="004967A9">
      <w:pPr>
        <w:ind w:firstLine="720"/>
        <w:rPr>
          <w:lang w:val="en-US"/>
        </w:rPr>
      </w:pPr>
      <w:r>
        <w:rPr>
          <w:lang w:val="en-US"/>
        </w:rPr>
        <w:t>To that extent</w:t>
      </w:r>
      <w:r w:rsidR="00DB0087">
        <w:rPr>
          <w:lang w:val="en-US"/>
        </w:rPr>
        <w:t>, social media data has attracted significant interest</w:t>
      </w:r>
      <w:r w:rsidR="00E35E9D">
        <w:rPr>
          <w:lang w:val="en-US"/>
        </w:rPr>
        <w:t>s</w:t>
      </w:r>
      <w:r>
        <w:rPr>
          <w:lang w:val="en-US"/>
        </w:rPr>
        <w:t xml:space="preserve"> in recent times</w:t>
      </w:r>
      <w:r w:rsidR="00DB0087">
        <w:rPr>
          <w:lang w:val="en-US"/>
        </w:rPr>
        <w:t xml:space="preserve"> for modeling human behavior</w:t>
      </w:r>
      <w:r w:rsidR="006E1DAF">
        <w:rPr>
          <w:lang w:val="en-US"/>
        </w:rPr>
        <w:t xml:space="preserve"> </w:t>
      </w:r>
      <w:r w:rsidR="006E1DAF">
        <w:rPr>
          <w:lang w:val="en-US"/>
        </w:rPr>
        <w:fldChar w:fldCharType="begin" w:fldLock="1"/>
      </w:r>
      <w:r w:rsidR="002D286E">
        <w:rPr>
          <w:lang w:val="en-US"/>
        </w:rPr>
        <w:instrText>ADDIN CSL_CITATION {"citationItems":[{"id":"ITEM-1","itemData":{"DOI":"10.1140/epjds/s13688-016-0092-2","ISSN":"21931127","abstract":"Predicting human mobility flows at different spatial scales is challenged by the heterogeneity of individual trajectories and the multi-scale nature of transportation networks. As vast amounts of digital traces of human behaviour become available, an opportunity arises to improve mobility models by integrating into them proxy data on mobility collected by a variety of digital platforms and location-aware services. Here we propose a hybrid model of human mobility that integrates a large-scale publicly available dataset from a popular photo-sharing system with the classical gravity model, under a stacked regression procedure. We validate the performance and generalizability of our approach using two ground-truth datasets on air travel and daily commuting in the United States: using two different cross-validation schemes we show that the hybrid model affords enhanced mobility prediction at both spatial scales.","author":[{"dropping-particle":"","family":"Beiró","given":"Mariano G.","non-dropping-particle":"","parse-names":false,"suffix":""},{"dropping-particle":"","family":"Panisson","given":"André","non-dropping-particle":"","parse-names":false,"suffix":""},{"dropping-particle":"","family":"Tizzoni","given":"Michele","non-dropping-particle":"","parse-names":false,"suffix":""},{"dropping-particle":"","family":"Cattuto","given":"Ciro","non-dropping-particle":"","parse-names":false,"suffix":""}],"container-title":"EPJ Data Science","id":"ITEM-1","issue":"1","issued":{"date-parts":[["2016"]]},"publisher":"Beiró et al.","title":"Predicting human mobility through the assimilation of social media traces into mobility models","type":"article-journal","volume":"5"},"uris":["http://www.mendeley.com/documents/?uuid=4bee9b2d-57e8-4f0d-9c1b-d73454e84014"]},{"id":"ITEM-2","itemData":{"DOI":"10.1140/epjds/s13688-019-0196-6","ISSN":"21931127","abstract":"Mobility is one of the fundamental requirements of human life with significant societal impacts including productivity, economy, social wellbeing, adaptation to a changing climate, and so on. Although human movements follow specific patterns during normal periods, there are limited studies on how such patterns change due to extreme events. To quantify the impacts of an extreme event to human movements, we introduce the concept of mobility resilience which is defined as the ability of a mobility system to manage shocks and return to a steady state in response to an extreme event. We present a method to detect extreme events from geo-located movement data and to measure mobility resilience and transient loss of resilience due to those events. Applying this method, we measure resilience metrics from geo-located social media data for multiple types of disasters occurred all over the world. Quantifying mobility resilience may help us to assess the higher-order socio-economic impacts of extreme events and guide policies towards developing resilient infrastructures as well as a nation’s overall disaster resilience strategies.","author":[{"dropping-particle":"","family":"Roy","given":"Kamol Chandra","non-dropping-particle":"","parse-names":false,"suffix":""},{"dropping-particle":"","family":"Cebrian","given":"Manuel","non-dropping-particle":"","parse-names":false,"suffix":""},{"dropping-particle":"","family":"Hasan","given":"Samiul","non-dropping-particle":"","parse-names":false,"suffix":""}],"container-title":"EPJ Data Science","id":"ITEM-2","issue":"1","issued":{"date-parts":[["2019"]]},"publisher":"The Author(s)","title":"Quantifying human mobility resilience to extreme events using geo-located social media data","type":"article-journal","volume":"8"},"uris":["http://www.mendeley.com/documents/?uuid=ef073f88-b9d8-419e-bea1-ba70131aaf1c"]},{"id":"ITEM-3","itemData":{"DOI":"10.1109/ITSC.2016.7795686","ISBN":"9781509018895","abstract":"Travel time is one of the key concerns among travelers before starting a trip and also an important indicator of traffic conditions. However, travel time acquisition is time delayed and the pattern of travel time is usually irregular. In this paper, we explore a deep learning model, the LSTM neural network model, for travel time prediction. By employing the travel time data provided by Highways England, we construct 66 series prediction LSTM neural networks for the 66 links in the data set. Through model training and validation, we obtain the optimal structure within the setting range for each link. Then we predict multi-step ahead travel times for each link on the test set. Evaluation results show that the 1-step ahead travel time prediction error is relatively small, the median of mean relative error for the 66 links in the experiments is 7.0% on the test set. Deep learning models considering sequence relation are promising in traffic series data prediction.","author":[{"dropping-particle":"","family":"Duan","given":"Yanjie","non-dropping-particle":"","parse-names":false,"suffix":""},{"dropping-particle":"","family":"Lv","given":"Yisheng","non-dropping-particle":"","parse-names":false,"suffix":""},{"dropping-particle":"","family":"Wang","given":"Fei Yue","non-dropping-particle":"","parse-names":false,"suffix":""}],"container-title":"IEEE Conference on Intelligent Transportation Systems, Proceedings, ITSC","id":"ITEM-3","issued":{"date-parts":[["2016","12","22"]]},"page":"1053-1058","publisher":"Institute of Electrical and Electronics Engineers Inc.","title":"Travel time prediction with LSTM neural network","type":"article-journal"},"uris":["http://www.mendeley.com/documents/?uuid=a391bc8e-e388-326c-ab08-f8a68717d05f"]}],"mendeley":{"formattedCitation":"(Beiró et al., 2016; Duan et al., 2016; Roy et al., 2019)","plainTextFormattedCitation":"(Beiró et al., 2016; Duan et al., 2016; Roy et al., 2019)","previouslyFormattedCitation":"(Beiró et al., 2016; Duan et al., 2016; Roy et al., 2019)"},"properties":{"noteIndex":0},"schema":"https://github.com/citation-style-language/schema/raw/master/csl-citation.json"}</w:instrText>
      </w:r>
      <w:r w:rsidR="006E1DAF">
        <w:rPr>
          <w:lang w:val="en-US"/>
        </w:rPr>
        <w:fldChar w:fldCharType="separate"/>
      </w:r>
      <w:r w:rsidR="008170D9" w:rsidRPr="008170D9">
        <w:rPr>
          <w:noProof/>
          <w:lang w:val="en-US"/>
        </w:rPr>
        <w:t>(Beiró et al., 2016; Duan et al., 2016; Roy et al., 2019)</w:t>
      </w:r>
      <w:r w:rsidR="006E1DAF">
        <w:rPr>
          <w:lang w:val="en-US"/>
        </w:rPr>
        <w:fldChar w:fldCharType="end"/>
      </w:r>
      <w:r w:rsidR="00DB0087">
        <w:rPr>
          <w:lang w:val="en-US"/>
        </w:rPr>
        <w:t xml:space="preserve">. </w:t>
      </w:r>
      <w:r w:rsidR="004967A9" w:rsidRPr="004967A9">
        <w:rPr>
          <w:lang w:val="en-US"/>
        </w:rPr>
        <w:t>With better insights from real-time data, disaster management tools/practices can make</w:t>
      </w:r>
      <w:r w:rsidR="004967A9">
        <w:rPr>
          <w:lang w:val="en-US"/>
        </w:rPr>
        <w:t xml:space="preserve"> </w:t>
      </w:r>
      <w:r w:rsidR="004967A9" w:rsidRPr="004967A9">
        <w:rPr>
          <w:lang w:val="en-US"/>
        </w:rPr>
        <w:t>better and quicker decisions. Advanced data science methods, predicting trends and patterns,</w:t>
      </w:r>
      <w:r w:rsidR="004967A9">
        <w:rPr>
          <w:lang w:val="en-US"/>
        </w:rPr>
        <w:t xml:space="preserve"> </w:t>
      </w:r>
      <w:r w:rsidR="004B5F76">
        <w:rPr>
          <w:lang w:val="en-US"/>
        </w:rPr>
        <w:t>have the potential to</w:t>
      </w:r>
      <w:r w:rsidR="004967A9" w:rsidRPr="004967A9">
        <w:rPr>
          <w:lang w:val="en-US"/>
        </w:rPr>
        <w:t xml:space="preserve"> enhance evacuation decision support systems</w:t>
      </w:r>
      <w:r w:rsidR="004967A9">
        <w:rPr>
          <w:lang w:val="en-US"/>
        </w:rPr>
        <w:t xml:space="preserve">. </w:t>
      </w:r>
      <w:r w:rsidR="00DB0087">
        <w:rPr>
          <w:lang w:val="en-US"/>
        </w:rPr>
        <w:t xml:space="preserve">While at first it may seem that online social </w:t>
      </w:r>
      <w:r w:rsidR="00DB0087">
        <w:rPr>
          <w:lang w:val="en-US"/>
        </w:rPr>
        <w:lastRenderedPageBreak/>
        <w:t xml:space="preserve">media data would not be available before and during a crisis event due to infrastructure damage/disruptions, numerous prior </w:t>
      </w:r>
      <w:r w:rsidR="00E7651B">
        <w:rPr>
          <w:lang w:val="en-US"/>
        </w:rPr>
        <w:t>studies</w:t>
      </w:r>
      <w:r w:rsidR="00586A9B">
        <w:rPr>
          <w:lang w:val="en-US"/>
        </w:rPr>
        <w:t xml:space="preserve"> </w:t>
      </w:r>
      <w:r w:rsidR="00586A9B">
        <w:rPr>
          <w:lang w:val="en-US"/>
        </w:rPr>
        <w:fldChar w:fldCharType="begin" w:fldLock="1"/>
      </w:r>
      <w:r w:rsidR="002174AD">
        <w:rPr>
          <w:lang w:val="en-US"/>
        </w:rPr>
        <w:instrText>ADDIN CSL_CITATION {"citationItems":[{"id":"ITEM-1","itemData":{"DOI":"10.1371/journal.pone.0167267","ISSN":"19326203","PMID":"27907061","abstract":"Networks can evolve even on a short-term basis. This phenomenon is well understood by network scientists, but receive little attention in empirical literature involving real-world networks. On one hand, this is due to the deceitfully fixed topology of some networks such as many physical infrastructures, whose evolution is often deemed unlikely to occur in short term; on the other hand, the lack of data prohibits scientists from studying subjects such as social networks that seem likely to evolve on a short-term basis. We show that both networks-the infrastructure network and social network-are able to demonstrate evolutionary dynamics at the system level even in the short-term, characterized by shifting between different phases as predicted in network science. We develop a methodology of tracking the evolutionary dynamics of the two networks by incorporating flows and the microstructure of networks such as motifs. This approach is applied to the human interaction network and two transportation networks (subway and taxi) in the context of Hurricane Sandy, using publically available Twitter data and transportation data. Our result shows that significant changes in the system-level structure of networks can be detected on a continuous basis. This result provides a promising channel for real-time tracking in the future.","author":[{"dropping-particle":"","family":"Guan","given":"Xiangyang","non-dropping-particle":"","parse-names":false,"suffix":""},{"dropping-particle":"","family":"Chen","given":"Cynthia","non-dropping-particle":"","parse-names":false,"suffix":""},{"dropping-particle":"","family":"Work","given":"Dan","non-dropping-particle":"","parse-names":false,"suffix":""}],"container-title":"PLoS ONE","id":"ITEM-1","issue":"12","issued":{"date-parts":[["2016","12","1"]]},"page":"e0167267","publisher":"Public Library of Science","title":"Tracking the evolution of infrastructure systems and mass responses using publically available data","type":"article-journal","volume":"11"},"uris":["http://www.mendeley.com/documents/?uuid=46d2b3ea-1144-31ef-8441-b81515977d07"]},{"id":"ITEM-2","itemData":{"DOI":"10.1371/journal.pone.0181701","ISBN":"1111111111","ISSN":"19326203","PMID":"28753667","abstract":"Hurricane Matthew was the deadliest Atlantic storm since Katrina in 2005 and prompted one of the largest recent hurricane evacuations along the Southeastern coast of the United States. The storm and its projected landfall triggered a massive social media reaction. Using Twitter data, this paper examines the spatiotemporal variability in social media response and develops a novel approach to leverage geotagged tweets to assess the evacuation responses of residents. The approach involves the retrieval of tweets from the Twitter Stream, the creation and filtering of different datasets, and the statistical and spatial processing and treatment to extract, plot and map the results. As expected, peak Twitter response was reached during the pre-impact and preparedness phase, and decreased abruptly after the passage of the storm. A comparison between two time periods - pre-evacuation (October 2th-4th) and post-evacuation (October 7th-9th) - indicates that 54% of Twitter users moved away from the coast to a safer location, with observed differences by state on the timing of the evacuation. A specific sub-state analysis of South Carolina illustrated overall compliance with evacuation orders and detailed information on the timing of departure from the coast as well as the destination location. These findings advance the use of big data and citizen-as-sensor approaches for public safety issues, providing an effective and near real-time alternative for measuring compliance with evacuation orders.","author":[{"dropping-particle":"","family":"Martín","given":"Yago","non-dropping-particle":"","parse-names":false,"suffix":""},{"dropping-particle":"","family":"Li","given":"Zhenlong","non-dropping-particle":"","parse-names":false,"suffix":""},{"dropping-particle":"","family":"Cutter","given":"Susan L.","non-dropping-particle":"","parse-names":false,"suffix":""}],"container-title":"PLoS ONE","id":"ITEM-2","issue":"7","issued":{"date-parts":[["2017","7","1"]]},"page":"e0181701","publisher":"Public Library of Science","title":"Leveraging Twitter to gauge evacuation compliance: Spatiotemporal analysis of Hurricane Matthew","type":"article-journal","volume":"12"},"uris":["http://www.mendeley.com/documents/?uuid=148d4595-4042-3226-9f9d-b9c3a5fbfcdf"]}],"mendeley":{"formattedCitation":"(Guan et al., 2016; Martín et al., 2017)","plainTextFormattedCitation":"(Guan et al., 2016; Martín et al., 2017)","previouslyFormattedCitation":"(Guan et al., 2016; Martín et al., 2017)"},"properties":{"noteIndex":0},"schema":"https://github.com/citation-style-language/schema/raw/master/csl-citation.json"}</w:instrText>
      </w:r>
      <w:r w:rsidR="00586A9B">
        <w:rPr>
          <w:lang w:val="en-US"/>
        </w:rPr>
        <w:fldChar w:fldCharType="separate"/>
      </w:r>
      <w:r w:rsidR="00586A9B" w:rsidRPr="00586A9B">
        <w:rPr>
          <w:noProof/>
          <w:lang w:val="en-US"/>
        </w:rPr>
        <w:t>(Guan et al., 2016; Martín et al., 2017)</w:t>
      </w:r>
      <w:r w:rsidR="00586A9B">
        <w:rPr>
          <w:lang w:val="en-US"/>
        </w:rPr>
        <w:fldChar w:fldCharType="end"/>
      </w:r>
      <w:r w:rsidR="00DB0087">
        <w:rPr>
          <w:lang w:val="en-US"/>
        </w:rPr>
        <w:t xml:space="preserve"> provide evidence that social media platform</w:t>
      </w:r>
      <w:r w:rsidR="00B33020">
        <w:rPr>
          <w:lang w:val="en-US"/>
        </w:rPr>
        <w:t>s</w:t>
      </w:r>
      <w:r w:rsidR="00DB0087">
        <w:rPr>
          <w:lang w:val="en-US"/>
        </w:rPr>
        <w:t xml:space="preserve"> </w:t>
      </w:r>
      <w:r w:rsidR="00B33020">
        <w:rPr>
          <w:lang w:val="en-US"/>
        </w:rPr>
        <w:t>are</w:t>
      </w:r>
      <w:r w:rsidR="00DB0087">
        <w:rPr>
          <w:lang w:val="en-US"/>
        </w:rPr>
        <w:t xml:space="preserve"> a vital source of information during disasters, particularly in the US. Researchers have been using social media data for analyzing disaster response from various perspectives</w:t>
      </w:r>
      <w:r w:rsidR="00F04954">
        <w:rPr>
          <w:lang w:val="en-US"/>
        </w:rPr>
        <w:t xml:space="preserve"> </w:t>
      </w:r>
      <w:r w:rsidR="00F04954">
        <w:rPr>
          <w:lang w:val="en-US"/>
        </w:rPr>
        <w:fldChar w:fldCharType="begin" w:fldLock="1"/>
      </w:r>
      <w:r w:rsidR="00586617">
        <w:rPr>
          <w:lang w:val="en-US"/>
        </w:rPr>
        <w:instrText>ADDIN CSL_CITATION {"citationItems":[{"id":"ITEM-1","itemData":{"author":[{"dropping-particle":"","family":"Roy","given":"Kamol Chandra","non-dropping-particle":"","parse-names":false,"suffix":""}],"id":"ITEM-1","issued":{"date-parts":[["2021"]]},"page":"1-35","title":"Version of Record: https://www.sciencedirect.com/science/article/pii/S0968090X21000139","type":"article-journal"},"uris":["http://www.mendeley.com/documents/?uuid=917043ee-fe40-464e-b255-e845b5fe52eb"]},{"id":"ITEM-2","itemData":{"DOI":"10.1145/3184558.3191619","ISBN":"9781450356404","abstract":"Hurricane evacuation is a complex process and a better understanding of the evacuation behavior of the coastal residents could be helpful in planning better evacuation policy. Traditionally, various aspects of the household evacuation decisions have been determined by post-evacuation questionnaire surveys, which are usually time-consuming and expensive. Increased activity of users on social media, especially during emergencies, along with the geo-tagging of the posts, provides an opportunity to gain insights into user's decision-making process, as well as to gauge public opinion and activities using the social media data as a supplement to the traditional survey data. This paper leverages the geo-tagged Tweets posted in the New York City (NYC) in wake of Hurricane Sandy to understand the evacuation behavior of the residents. Based on the geo-tagged Tweet locations, we classify the NYC Twitter users into one of the three categories: outside evacuation zone, evacuees, and non-evacuees and examine the types of Tweets posted by each group during different phases of the hurricane. We establish a strong link between the social connectivity with the decision of the users to evacuate or stay. We analyze the geo-tagged Tweets to understand evacuation and return time and evacuation location patterns of evacuees. The analysis presented in this paper could be useful for authorities to plan a better evacuation campaign to minimize the risk to the life of the residents of the emergency hit areas.","author":[{"dropping-particle":"","family":"Kumar","given":"Dheeraj","non-dropping-particle":"","parse-names":false,"suffix":""},{"dropping-particle":"V.","family":"Ukkusuri","given":"Satish","non-dropping-particle":"","parse-names":false,"suffix":""}],"container-title":"The Web Conference 2018 - Companion of the World Wide Web Conference, WWW 2018","id":"ITEM-2","issued":{"date-parts":[["2018"]]},"page":"1613-1620","title":"Utilizing Geo-tagged Tweets to Understand Evacuation Dynamics during Emergencies: A case study of Hurricane Sandy","type":"article-journal"},"uris":["http://www.mendeley.com/documents/?uuid=6a9a8c33-5563-45a7-9ab0-5c948041e573"]},{"id":"ITEM-3","itemData":{"author":[{"dropping-particle":"","family":"Lazer","given":"David","non-dropping-particle":"","parse-names":false,"suffix":""},{"dropping-particle":"","family":"Pentland","given":"Alex","non-dropping-particle":"","parse-names":false,"suffix":""},{"dropping-particle":"","family":"Adamic","given":"Lada","non-dropping-particle":"","parse-names":false,"suffix":""},{"dropping-particle":"","family":"Aral","given":"Sinan","non-dropping-particle":"","parse-names":false,"suffix":""},{"dropping-particle":"","family":"Barabási","given":"Albert-lászló","non-dropping-particle":"","parse-names":false,"suffix":""},{"dropping-particle":"","family":"Brewer","given":"Devon","non-dropping-particle":"","parse-names":false,"suffix":""},{"dropping-particle":"","family":"Christakis","given":"Nicholas","non-dropping-particle":"","parse-names":false,"suffix":""},{"dropping-particle":"","family":"Contractor","given":"Noshir","non-dropping-particle":"","parse-names":false,"suffix":""},{"dropping-particle":"","family":"Fowler","given":"James","non-dropping-particle":"","parse-names":false,"suffix":""},{"dropping-particle":"","family":"Gutmann","given":"Myron","non-dropping-particle":"","parse-names":false,"suffix":""},{"dropping-particle":"","family":"Jebara","given":"Tony","non-dropping-particle":"","parse-names":false,"suffix":""},{"dropping-particle":"","family":"King","given":"Gary","non-dropping-particle":"","parse-names":false,"suffix":""},{"dropping-particle":"","family":"Macy","given":"Michael","non-dropping-particle":"","parse-names":false,"suffix":""},{"dropping-particle":"","family":"Roy","given":"Deb","non-dropping-particle":"","parse-names":false,"suffix":""},{"dropping-particle":"Van","family":"Alstyne","given":"Marshall","non-dropping-particle":"","parse-names":false,"suffix":""}],"id":"ITEM-3","issue":"February","issued":{"date-parts":[["2009"]]},"page":"721-724","title":"Computational Social Science","type":"article-journal","volume":"323"},"uris":["http://www.mendeley.com/documents/?uuid=eff477dc-75c4-4d29-ad3e-df3f83706036"]},{"id":"ITEM-4","itemData":{"DOI":"10.1371/journal.pone.0167267","ISSN":"19326203","PMID":"27907061","abstract":"Networks can evolve even on a short-term basis. This phenomenon is well understood by network scientists, but receive little attention in empirical literature involving real-world networks. On one hand, this is due to the deceitfully fixed topology of some networks such as many physical infrastructures, whose evolution is often deemed unlikely to occur in short term; on the other hand, the lack of data prohibits scientists from studying subjects such as social networks that seem likely to evolve on a short-term basis. We show that both networks-the infrastructure network and social network-are able to demonstrate evolutionary dynamics at the system level even in the short-term, characterized by shifting between different phases as predicted in network science. We develop a methodology of tracking the evolutionary dynamics of the two networks by incorporating flows and the microstructure of networks such as motifs. This approach is applied to the human interaction network and two transportation networks (subway and taxi) in the context of Hurricane Sandy, using publically available Twitter data and transportation data. Our result shows that significant changes in the system-level structure of networks can be detected on a continuous basis. This result provides a promising channel for real-time tracking in the future.","author":[{"dropping-particle":"","family":"Guan","given":"Xiangyang","non-dropping-particle":"","parse-names":false,"suffix":""},{"dropping-particle":"","family":"Chen","given":"Cynthia","non-dropping-particle":"","parse-names":false,"suffix":""},{"dropping-particle":"","family":"Work","given":"Dan","non-dropping-particle":"","parse-names":false,"suffix":""}],"container-title":"PLoS ONE","id":"ITEM-4","issue":"12","issued":{"date-parts":[["2016","12","1"]]},"page":"e0167267","publisher":"Public Library of Science","title":"Tracking the evolution of infrastructure systems and mass responses using publically available data","type":"article-journal","volume":"11"},"uris":["http://www.mendeley.com/documents/?uuid=46d2b3ea-1144-31ef-8441-b81515977d07"]},{"id":"ITEM-5","itemData":{"DOI":"10.1371/journal.pone.0181701","ISBN":"1111111111","ISSN":"19326203","PMID":"28753667","abstract":"Hurricane Matthew was the deadliest Atlantic storm since Katrina in 2005 and prompted one of the largest recent hurricane evacuations along the Southeastern coast of the United States. The storm and its projected landfall triggered a massive social media reaction. Using Twitter data, this paper examines the spatiotemporal variability in social media response and develops a novel approach to leverage geotagged tweets to assess the evacuation responses of residents. The approach involves the retrieval of tweets from the Twitter Stream, the creation and filtering of different datasets, and the statistical and spatial processing and treatment to extract, plot and map the results. As expected, peak Twitter response was reached during the pre-impact and preparedness phase, and decreased abruptly after the passage of the storm. A comparison between two time periods - pre-evacuation (October 2th-4th) and post-evacuation (October 7th-9th) - indicates that 54% of Twitter users moved away from the coast to a safer location, with observed differences by state on the timing of the evacuation. A specific sub-state analysis of South Carolina illustrated overall compliance with evacuation orders and detailed information on the timing of departure from the coast as well as the destination location. These findings advance the use of big data and citizen-as-sensor approaches for public safety issues, providing an effective and near real-time alternative for measuring compliance with evacuation orders.","author":[{"dropping-particle":"","family":"Martín","given":"Yago","non-dropping-particle":"","parse-names":false,"suffix":""},{"dropping-particle":"","family":"Li","given":"Zhenlong","non-dropping-particle":"","parse-names":false,"suffix":""},{"dropping-particle":"","family":"Cutter","given":"Susan L.","non-dropping-particle":"","parse-names":false,"suffix":""}],"container-title":"PLoS ONE","id":"ITEM-5","issue":"7","issued":{"date-parts":[["2017","7","1"]]},"page":"e0181701","publisher":"Public Library of Science","title":"Leveraging Twitter to gauge evacuation compliance: Spatiotemporal analysis of Hurricane Matthew","type":"article-journal","volume":"12"},"uris":["http://www.mendeley.com/documents/?uuid=148d4595-4042-3226-9f9d-b9c3a5fbfcdf"]}],"mendeley":{"formattedCitation":"(Guan et al., 2016; Kumar and Ukkusuri, 2018; Lazer et al., 2009; Martín et al., 2017; Roy, 2021)","plainTextFormattedCitation":"(Guan et al., 2016; Kumar and Ukkusuri, 2018; Lazer et al., 2009; Martín et al., 2017; Roy, 2021)","previouslyFormattedCitation":"(Guan et al., 2016; Kumar and Ukkusuri, 2018; Lazer et al., 2009; Martín et al., 2017; Roy, 2021)"},"properties":{"noteIndex":0},"schema":"https://github.com/citation-style-language/schema/raw/master/csl-citation.json"}</w:instrText>
      </w:r>
      <w:r w:rsidR="00F04954">
        <w:rPr>
          <w:lang w:val="en-US"/>
        </w:rPr>
        <w:fldChar w:fldCharType="separate"/>
      </w:r>
      <w:r w:rsidR="002D286E" w:rsidRPr="002D286E">
        <w:rPr>
          <w:noProof/>
          <w:lang w:val="en-US"/>
        </w:rPr>
        <w:t>(Guan et al., 2016; Kumar and Ukkusuri, 2018; Lazer et al., 2009; Martín et al., 2017)</w:t>
      </w:r>
      <w:r w:rsidR="00F04954">
        <w:rPr>
          <w:lang w:val="en-US"/>
        </w:rPr>
        <w:fldChar w:fldCharType="end"/>
      </w:r>
      <w:r w:rsidR="00DB0087">
        <w:rPr>
          <w:lang w:val="en-US"/>
        </w:rPr>
        <w:t xml:space="preserve">. </w:t>
      </w:r>
      <w:r w:rsidR="008F277D">
        <w:rPr>
          <w:lang w:val="en-US"/>
        </w:rPr>
        <w:t>For instance, u</w:t>
      </w:r>
      <w:r w:rsidR="00DB0087">
        <w:rPr>
          <w:lang w:val="en-US"/>
        </w:rPr>
        <w:t xml:space="preserve">sing Twitter and New York City subway and </w:t>
      </w:r>
      <w:r w:rsidR="00397D8B">
        <w:rPr>
          <w:lang w:val="en-US"/>
        </w:rPr>
        <w:t>taxicab</w:t>
      </w:r>
      <w:r w:rsidR="00DB0087">
        <w:rPr>
          <w:lang w:val="en-US"/>
        </w:rPr>
        <w:t xml:space="preserve"> data, dynamics of population response has been analyzed during </w:t>
      </w:r>
      <w:r w:rsidR="00E35E9D">
        <w:rPr>
          <w:lang w:val="en-US"/>
        </w:rPr>
        <w:t>H</w:t>
      </w:r>
      <w:r w:rsidR="00DB0087">
        <w:rPr>
          <w:lang w:val="en-US"/>
        </w:rPr>
        <w:t xml:space="preserve">urricane Sandy </w:t>
      </w:r>
      <w:r w:rsidR="004E341A">
        <w:rPr>
          <w:lang w:val="en-US"/>
        </w:rPr>
        <w:fldChar w:fldCharType="begin" w:fldLock="1"/>
      </w:r>
      <w:r w:rsidR="002D286E">
        <w:rPr>
          <w:lang w:val="en-US"/>
        </w:rPr>
        <w:instrText>ADDIN CSL_CITATION {"citationItems":[{"id":"ITEM-1","itemData":{"DOI":"10.1371/journal.pone.0167267","ISSN":"19326203","PMID":"27907061","abstract":"Networks can evolve even on a short-term basis. This phenomenon is well understood by network scientists, but receive little attention in empirical literature involving real-world networks. On one hand, this is due to the deceitfully fixed topology of some networks such as many physical infrastructures, whose evolution is often deemed unlikely to occur in short term; on the other hand, the lack of data prohibits scientists from studying subjects such as social networks that seem likely to evolve on a short-term basis. We show that both networks-the infrastructure network and social network-are able to demonstrate evolutionary dynamics at the system level even in the short-term, characterized by shifting between different phases as predicted in network science. We develop a methodology of tracking the evolutionary dynamics of the two networks by incorporating flows and the microstructure of networks such as motifs. This approach is applied to the human interaction network and two transportation networks (subway and taxi) in the context of Hurricane Sandy, using publically available Twitter data and transportation data. Our result shows that significant changes in the system-level structure of networks can be detected on a continuous basis. This result provides a promising channel for real-time tracking in the future.","author":[{"dropping-particle":"","family":"Guan","given":"Xiangyang","non-dropping-particle":"","parse-names":false,"suffix":""},{"dropping-particle":"","family":"Chen","given":"Cynthia","non-dropping-particle":"","parse-names":false,"suffix":""},{"dropping-particle":"","family":"Work","given":"Dan","non-dropping-particle":"","parse-names":false,"suffix":""}],"container-title":"PLoS ONE","id":"ITEM-1","issue":"12","issued":{"date-parts":[["2016","12","1"]]},"page":"e0167267","publisher":"Public Library of Science","title":"Tracking the evolution of infrastructure systems and mass responses using publically available data","type":"article-journal","volume":"11"},"uris":["http://www.mendeley.com/documents/?uuid=46d2b3ea-1144-31ef-8441-b81515977d07"]}],"mendeley":{"formattedCitation":"(Guan et al., 2016)","plainTextFormattedCitation":"(Guan et al., 2016)","previouslyFormattedCitation":"(Guan et al., 2016)"},"properties":{"noteIndex":0},"schema":"https://github.com/citation-style-language/schema/raw/master/csl-citation.json"}</w:instrText>
      </w:r>
      <w:r w:rsidR="004E341A">
        <w:rPr>
          <w:lang w:val="en-US"/>
        </w:rPr>
        <w:fldChar w:fldCharType="separate"/>
      </w:r>
      <w:r w:rsidR="008170D9" w:rsidRPr="008170D9">
        <w:rPr>
          <w:noProof/>
          <w:lang w:val="en-US"/>
        </w:rPr>
        <w:t>(Guan et al., 2016)</w:t>
      </w:r>
      <w:r w:rsidR="004E341A">
        <w:rPr>
          <w:lang w:val="en-US"/>
        </w:rPr>
        <w:fldChar w:fldCharType="end"/>
      </w:r>
      <w:r w:rsidR="00DB0087">
        <w:rPr>
          <w:lang w:val="en-US"/>
        </w:rPr>
        <w:t>. A recent study</w:t>
      </w:r>
      <w:r w:rsidR="00D25334">
        <w:rPr>
          <w:lang w:val="en-US"/>
        </w:rPr>
        <w:t xml:space="preserve"> by Martin and his colleagues</w:t>
      </w:r>
      <w:r w:rsidR="00DB0087">
        <w:rPr>
          <w:lang w:val="en-US"/>
        </w:rPr>
        <w:t xml:space="preserve"> </w:t>
      </w:r>
      <w:r w:rsidR="004E341A">
        <w:rPr>
          <w:lang w:val="en-US"/>
        </w:rPr>
        <w:fldChar w:fldCharType="begin" w:fldLock="1"/>
      </w:r>
      <w:r w:rsidR="002D286E">
        <w:rPr>
          <w:lang w:val="en-US"/>
        </w:rPr>
        <w:instrText>ADDIN CSL_CITATION {"citationItems":[{"id":"ITEM-1","itemData":{"DOI":"10.1371/journal.pone.0181701","ISBN":"1111111111","ISSN":"19326203","PMID":"28753667","abstract":"Hurricane Matthew was the deadliest Atlantic storm since Katrina in 2005 and prompted one of the largest recent hurricane evacuations along the Southeastern coast of the United States. The storm and its projected landfall triggered a massive social media reaction. Using Twitter data, this paper examines the spatiotemporal variability in social media response and develops a novel approach to leverage geotagged tweets to assess the evacuation responses of residents. The approach involves the retrieval of tweets from the Twitter Stream, the creation and filtering of different datasets, and the statistical and spatial processing and treatment to extract, plot and map the results. As expected, peak Twitter response was reached during the pre-impact and preparedness phase, and decreased abruptly after the passage of the storm. A comparison between two time periods - pre-evacuation (October 2th-4th) and post-evacuation (October 7th-9th) - indicates that 54% of Twitter users moved away from the coast to a safer location, with observed differences by state on the timing of the evacuation. A specific sub-state analysis of South Carolina illustrated overall compliance with evacuation orders and detailed information on the timing of departure from the coast as well as the destination location. These findings advance the use of big data and citizen-as-sensor approaches for public safety issues, providing an effective and near real-time alternative for measuring compliance with evacuation orders.","author":[{"dropping-particle":"","family":"Martín","given":"Yago","non-dropping-particle":"","parse-names":false,"suffix":""},{"dropping-particle":"","family":"Li","given":"Zhenlong","non-dropping-particle":"","parse-names":false,"suffix":""},{"dropping-particle":"","family":"Cutter","given":"Susan L.","non-dropping-particle":"","parse-names":false,"suffix":""}],"container-title":"PLoS ONE","id":"ITEM-1","issue":"7","issued":{"date-parts":[["2017","7","1"]]},"page":"e0181701","publisher":"Public Library of Science","title":"Leveraging Twitter to gauge evacuation compliance: Spatiotemporal analysis of Hurricane Matthew","type":"article-journal","volume":"12"},"uris":["http://www.mendeley.com/documents/?uuid=148d4595-4042-3226-9f9d-b9c3a5fbfcdf"]}],"mendeley":{"formattedCitation":"(Martín et al., 2017)","plainTextFormattedCitation":"(Martín et al., 2017)","previouslyFormattedCitation":"(Martín et al., 2017)"},"properties":{"noteIndex":0},"schema":"https://github.com/citation-style-language/schema/raw/master/csl-citation.json"}</w:instrText>
      </w:r>
      <w:r w:rsidR="004E341A">
        <w:rPr>
          <w:lang w:val="en-US"/>
        </w:rPr>
        <w:fldChar w:fldCharType="separate"/>
      </w:r>
      <w:r w:rsidR="008170D9" w:rsidRPr="008170D9">
        <w:rPr>
          <w:noProof/>
          <w:lang w:val="en-US"/>
        </w:rPr>
        <w:t>(Martín et al., 2017)</w:t>
      </w:r>
      <w:r w:rsidR="004E341A">
        <w:rPr>
          <w:lang w:val="en-US"/>
        </w:rPr>
        <w:fldChar w:fldCharType="end"/>
      </w:r>
      <w:r w:rsidR="004E341A">
        <w:rPr>
          <w:lang w:val="en-US"/>
        </w:rPr>
        <w:t xml:space="preserve"> </w:t>
      </w:r>
      <w:r w:rsidR="00DB0087">
        <w:rPr>
          <w:lang w:val="en-US"/>
        </w:rPr>
        <w:t xml:space="preserve">has estimated evacuation compliance behavior during </w:t>
      </w:r>
      <w:r w:rsidR="008F111E">
        <w:rPr>
          <w:lang w:val="en-US"/>
        </w:rPr>
        <w:t>H</w:t>
      </w:r>
      <w:r w:rsidR="00DB0087">
        <w:rPr>
          <w:lang w:val="en-US"/>
        </w:rPr>
        <w:t xml:space="preserve">urricane Matthew. </w:t>
      </w:r>
      <w:r w:rsidR="00DB0087" w:rsidRPr="006A1B2A">
        <w:rPr>
          <w:lang w:val="en-US"/>
        </w:rPr>
        <w:t xml:space="preserve">However, social media data analysis often faces </w:t>
      </w:r>
      <w:r w:rsidR="0087052B" w:rsidRPr="006A1B2A">
        <w:rPr>
          <w:lang w:val="en-US"/>
        </w:rPr>
        <w:t xml:space="preserve">several issues </w:t>
      </w:r>
      <w:r w:rsidR="00715102">
        <w:rPr>
          <w:lang w:val="en-US"/>
        </w:rPr>
        <w:t>such as</w:t>
      </w:r>
      <w:r w:rsidR="00715102" w:rsidRPr="006A1B2A">
        <w:rPr>
          <w:lang w:val="en-US"/>
        </w:rPr>
        <w:t xml:space="preserve"> </w:t>
      </w:r>
      <w:r w:rsidR="00DB0087" w:rsidRPr="006A1B2A">
        <w:rPr>
          <w:lang w:val="en-US"/>
        </w:rPr>
        <w:t>limited sample size, representativeness, and geo-tagged information</w:t>
      </w:r>
      <w:r w:rsidR="007946FF">
        <w:rPr>
          <w:lang w:val="en-US"/>
        </w:rPr>
        <w:t xml:space="preserve"> </w:t>
      </w:r>
      <w:r w:rsidR="007946FF">
        <w:rPr>
          <w:lang w:val="en-US"/>
        </w:rPr>
        <w:fldChar w:fldCharType="begin" w:fldLock="1"/>
      </w:r>
      <w:r w:rsidR="00586617">
        <w:rPr>
          <w:lang w:val="en-US"/>
        </w:rPr>
        <w:instrText>ADDIN CSL_CITATION {"citationItems":[{"id":"ITEM-1","itemData":{"DOI":"10.1016/j.trc.2021.102976","ISSN":"0968090X","abstract":"Evacuations play a critical role in saving human lives during hurricanes. But individual evacuation decision-making is a complex dynamic process, often studied using post-hurricane survey data. Alternatively, ubiquitous use of social media generates a massive amount of data that can be used to predict evacuation behavior in real time. In this paper, we present a method to infer individual evacuation behaviors (e.g., evacuation decision, timing, destination) from social media data. We develop an input output hidden Markov model (IO-HMM) to infer evacuation decisions from user tweets. To extract the underlying evacuation context from tweets, we first estimate a word2vec model from a corpus of more than 100 million tweets collected over four major hurricanes. Using input variables such as evacuation context, time to landfall, type of evacuation order, and the distance from home, the proposed model infers what activities are made by individuals, when they decide to evacuate, and where they evacuate to. To validate our results, we have created a labeled dataset from 38,256 tweets posted between September 2, 2017 and September 19, 2017 by 2,571 users from Florida during hurricane Irma. Our findings show that the proposed IO-HMM method can be useful for inferring evacuation behavior in real time from social media data. Since traditional surveys are infrequent, costly, and often performed at a post-hurricane period, the proposed approach can be very useful for predicting evacuation demand as a hurricane unfolds in real time.","author":[{"dropping-particle":"","family":"Roy","given":"Kamol Chandra","non-dropping-particle":"","parse-names":false,"suffix":""},{"dropping-particle":"","family":"Hasan","given":"Samiul","non-dropping-particle":"","parse-names":false,"suffix":""}],"container-title":"Transportation Research Part C: Emerging Technologies","id":"ITEM-1","issued":{"date-parts":[["2021","2","1"]]},"page":"102976","publisher":"Pergamon","title":"Modeling the dynamics of hurricane evacuation decisions from twitter data: An input output hidden markov modeling approach","type":"article-journal","volume":"123"},"uris":["http://www.mendeley.com/documents/?uuid=99c477c3-806f-302c-a063-af5c5df41fea"]},{"id":"ITEM-2","itemData":{"DOI":"10.1016/j.trc.2021.103339","ISSN":"0968090X","abstract":"In recent times, hurricanes Matthew, Harvey, and Irma have disrupted the lives of millions of people across multiple states in the United States. Under hurricane evacuation, efficient traffic operations can maximize the use of transportation infrastructure, reducing evacuation time and stress due to massive congestion. Evacuation traffic prediction is critical to plan for effective traffic management strategies. However, due to the complex and dynamic nature of evacuation participation, predicting evacuation traffic demand long ahead of the actual evacuation is a very challenging task. Real-time information from various sources can significantly help us reliably predict evacuation demand. In this study, we use traffic sensor and Twitter data during hurricanes Matthew and Irma to predict traffic demand during evacuation for a longer forecasting horizon (greater than 1 h). We present a machine learning approach using Long-Short Term Memory Neural Networks (LSTM-NN), trained over real-world traffic data during hurricane evacuation (hurricanes Irma and Matthew) using different combinations of input features and forecast horizons. We compare our prediction results against a baseline prediction and existing machine learning models. Results show that the proposed model can predict traffic demand during evacuation well up to 24 h ahead. The proposed LSTM-NN model can significantly benefit future evacuation traffic management.","author":[{"dropping-particle":"","family":"Roy","given":"Kamol Chandra","non-dropping-particle":"","parse-names":false,"suffix":""},{"dropping-particle":"","family":"Hasan","given":"Samiul","non-dropping-particle":"","parse-names":false,"suffix":""},{"dropping-particle":"","family":"Culotta","given":"Aron","non-dropping-particle":"","parse-names":false,"suffix":""},{"dropping-particle":"","family":"Eluru","given":"Naveen","non-dropping-particle":"","parse-names":false,"suffix":""}],"container-title":"Transportation Research Part C: Emerging Technologies","id":"ITEM-2","issued":{"date-parts":[["2021","10","1"]]},"page":"103339","publisher":"Pergamon","title":"Predicting traffic demand during hurricane evacuation using Real-time data from transportation systems and social media","type":"article-journal","volume":"131"},"uris":["http://www.mendeley.com/documents/?uuid=9930b595-8efa-31e1-86cd-010163213f44"]},{"id":"ITEM-3","itemData":{"DOI":"10.1609/icwsm.v16i1.19320","ISSN":"2162-3449","abstract":"Evacuations have a significant impact on saving human lives during hurricanes. However, as a complex dynamic process, it is typically difficult to know individual evacuation decisions in real-time. Since a large amount of information is continuously posted through social media platforms, we can use them to understand individual evacuation behavior. In this paper, we collect tweets during Hurricane Irma in 2017 and train a text classifier in an active learning way to distinguish tweets expressing positive evacuation decisions from both negative and irrelevant ones. Additionally, we perform a demographic analysis and content clustering to investigate the potential causes and correlates of evacuation decisions. The results can be used to help inform planning strategies of emergency response agencies.","author":[{"dropping-particle":"","family":"Li","given":"Xintian","non-dropping-particle":"","parse-names":false,"suffix":""},{"dropping-particle":"","family":"Hasan","given":"Samiul","non-dropping-particle":"","parse-names":false,"suffix":""},{"dropping-particle":"","family":"Culotta","given":"Aron","non-dropping-particle":"","parse-names":false,"suffix":""}],"container-title":"Proceedings of the International AAAI Conference on Web and Social Media","id":"ITEM-3","issued":{"date-parts":[["2022"]]},"page":"618-627","title":"Identifying Hurricane Evacuation Intent on Twitter","type":"paper-conference","volume":"16"},"uris":["http://www.mendeley.com/documents/?uuid=c3288040-da2b-4db9-8365-52e5055c9fea"]},{"id":"ITEM-4","itemData":{"DOI":"10.3389/fdata.2019.00013","ISSN":"2624909X","abstract":"Social data in digital form—including user-generated content, expressed or implicit relations between people, and behavioral traces—are at the core of popular applications and platforms, driving the research agenda of many researchers. The promises of social data are many, including understanding “what the world thinks” about a social issue, brand, celebrity, or other entity, as well as enabling better decision-making in a variety of fields including public policy, healthcare, and economics. Many academics and practitioners have warned against the naïve usage of social data. There are biases and inaccuracies occurring at the source of the data, but also introduced during processing. There are methodological limitations and pitfalls, as well as ethical boundaries and unexpected consequences that are often overlooked. This paper recognizes the rigor with which these issues are addressed by different researchers varies across a wide range. We identify a variety of menaces in the practices around social data use, and organize them in a framework that helps to identify them. “For your own sanity, you have to remember that not all problems can be solved. Not all problems can be solved, but all problems can be illuminated.” –Ursula Franklin1.","author":[{"dropping-particle":"","family":"Olteanu","given":"Alexandra","non-dropping-particle":"","parse-names":false,"suffix":""},{"dropping-particle":"","family":"Castillo","given":"Carlos","non-dropping-particle":"","parse-names":false,"suffix":""},{"dropping-particle":"","family":"Diaz","given":"Fernando","non-dropping-particle":"","parse-names":false,"suffix":""},{"dropping-particle":"","family":"Kıcıman","given":"Emre","non-dropping-particle":"","parse-names":false,"suffix":""}],"container-title":"Frontiers in Big Data","id":"ITEM-4","issued":{"date-parts":[["2019","7","11"]]},"page":"13","publisher":"Frontiers Media S.A.","title":"Social Data: Biases, Methodological Pitfalls, and Ethical Boundaries","type":"article-journal","volume":"2"},"uris":["http://www.mendeley.com/documents/?uuid=201f3883-8043-3366-9b1e-017befd59ac6"]}],"mendeley":{"formattedCitation":"(Li et al., 2022; Olteanu et al., 2019; Roy et al., 2021; Roy and Hasan, 2021)","plainTextFormattedCitation":"(Li et al., 2022; Olteanu et al., 2019; Roy et al., 2021; Roy and Hasan, 2021)","previouslyFormattedCitation":"(Li et al., 2022; Olteanu et al., 2019; Roy et al., 2021; Roy and Hasan, 2021)"},"properties":{"noteIndex":0},"schema":"https://github.com/citation-style-language/schema/raw/master/csl-citation.json"}</w:instrText>
      </w:r>
      <w:r w:rsidR="007946FF">
        <w:rPr>
          <w:lang w:val="en-US"/>
        </w:rPr>
        <w:fldChar w:fldCharType="separate"/>
      </w:r>
      <w:r w:rsidR="002D286E" w:rsidRPr="002D286E">
        <w:rPr>
          <w:noProof/>
          <w:lang w:val="en-US"/>
        </w:rPr>
        <w:t>(Li et al., 2022; Olteanu et al., 2019; Roy et al., 2021; Roy and Hasan, 2021)</w:t>
      </w:r>
      <w:r w:rsidR="007946FF">
        <w:rPr>
          <w:lang w:val="en-US"/>
        </w:rPr>
        <w:fldChar w:fldCharType="end"/>
      </w:r>
      <w:r w:rsidR="00DB0087" w:rsidRPr="006A1B2A">
        <w:rPr>
          <w:lang w:val="en-US"/>
        </w:rPr>
        <w:t>. For instance, Twitter’s p</w:t>
      </w:r>
      <w:r w:rsidR="00DB0087">
        <w:rPr>
          <w:lang w:val="en-US"/>
        </w:rPr>
        <w:t>ublic API does not provide all the tweets posted in the platform; purchasing the data can provide a larger sample size. In addition, errors might be introduced in the aggregate estimates due to the lack of sample representativeness and the selection biases present in the data.</w:t>
      </w:r>
      <w:r w:rsidR="00397D8B">
        <w:rPr>
          <w:lang w:val="en-US"/>
        </w:rPr>
        <w:t xml:space="preserve"> </w:t>
      </w:r>
      <w:r w:rsidR="00397D8B" w:rsidRPr="00397D8B">
        <w:rPr>
          <w:lang w:val="en-US"/>
        </w:rPr>
        <w:t>Individuals across different age and ethnicity categories are</w:t>
      </w:r>
      <w:r w:rsidR="00397D8B">
        <w:rPr>
          <w:lang w:val="en-US"/>
        </w:rPr>
        <w:t xml:space="preserve"> </w:t>
      </w:r>
      <w:r w:rsidR="00397D8B" w:rsidRPr="00397D8B">
        <w:rPr>
          <w:lang w:val="en-US"/>
        </w:rPr>
        <w:t xml:space="preserve">less likely to use the same social media platforms and maintain </w:t>
      </w:r>
      <w:r w:rsidR="00456D9B">
        <w:rPr>
          <w:lang w:val="en-US"/>
        </w:rPr>
        <w:t>s</w:t>
      </w:r>
      <w:r w:rsidR="00456D9B" w:rsidRPr="00397D8B">
        <w:rPr>
          <w:lang w:val="en-US"/>
        </w:rPr>
        <w:t>imilar</w:t>
      </w:r>
      <w:r w:rsidR="00397D8B" w:rsidRPr="00397D8B">
        <w:rPr>
          <w:lang w:val="en-US"/>
        </w:rPr>
        <w:t xml:space="preserve"> levels of activities. Thus,</w:t>
      </w:r>
      <w:r w:rsidR="00397D8B">
        <w:rPr>
          <w:lang w:val="en-US"/>
        </w:rPr>
        <w:t xml:space="preserve"> </w:t>
      </w:r>
      <w:r w:rsidR="00397D8B" w:rsidRPr="00397D8B">
        <w:rPr>
          <w:lang w:val="en-US"/>
        </w:rPr>
        <w:t xml:space="preserve">drawing data from social media is likely to result in </w:t>
      </w:r>
      <w:r w:rsidR="00715102">
        <w:rPr>
          <w:lang w:val="en-US"/>
        </w:rPr>
        <w:t>a sample that potentially is biased</w:t>
      </w:r>
      <w:r w:rsidR="00397D8B" w:rsidRPr="00397D8B">
        <w:rPr>
          <w:lang w:val="en-US"/>
        </w:rPr>
        <w:t>. This is particularly</w:t>
      </w:r>
      <w:r w:rsidR="00397D8B">
        <w:rPr>
          <w:lang w:val="en-US"/>
        </w:rPr>
        <w:t xml:space="preserve"> </w:t>
      </w:r>
      <w:r w:rsidR="00397D8B" w:rsidRPr="00397D8B">
        <w:rPr>
          <w:lang w:val="en-US"/>
        </w:rPr>
        <w:t xml:space="preserve">problematic in </w:t>
      </w:r>
      <w:r w:rsidR="00933A5A">
        <w:rPr>
          <w:lang w:val="en-US"/>
        </w:rPr>
        <w:t>understanding population behavior</w:t>
      </w:r>
      <w:r w:rsidR="00397D8B" w:rsidRPr="00397D8B">
        <w:rPr>
          <w:lang w:val="en-US"/>
        </w:rPr>
        <w:t xml:space="preserve"> </w:t>
      </w:r>
      <w:r w:rsidR="00397D8B">
        <w:rPr>
          <w:lang w:val="en-US"/>
        </w:rPr>
        <w:t xml:space="preserve">as </w:t>
      </w:r>
      <w:r w:rsidR="00397D8B" w:rsidRPr="00397D8B">
        <w:rPr>
          <w:lang w:val="en-US"/>
        </w:rPr>
        <w:t>we do not want emergency management decisions to be made that</w:t>
      </w:r>
      <w:r w:rsidR="00397D8B">
        <w:rPr>
          <w:lang w:val="en-US"/>
        </w:rPr>
        <w:t xml:space="preserve"> </w:t>
      </w:r>
      <w:r w:rsidR="00397D8B" w:rsidRPr="00397D8B">
        <w:rPr>
          <w:lang w:val="en-US"/>
        </w:rPr>
        <w:t>are not reflective of the diverse individuals involved in an unfolding crisis. To draw inferences on</w:t>
      </w:r>
      <w:r w:rsidR="00397D8B">
        <w:rPr>
          <w:lang w:val="en-US"/>
        </w:rPr>
        <w:t xml:space="preserve"> </w:t>
      </w:r>
      <w:r w:rsidR="00397D8B" w:rsidRPr="00397D8B">
        <w:rPr>
          <w:lang w:val="en-US"/>
        </w:rPr>
        <w:t>aggregate impact of individual decisions, a representative population is essential.</w:t>
      </w:r>
    </w:p>
    <w:p w14:paraId="316A4A76" w14:textId="6CECB809" w:rsidR="004B5D93" w:rsidRDefault="0031333D" w:rsidP="00FC2223">
      <w:pPr>
        <w:ind w:firstLine="720"/>
        <w:rPr>
          <w:lang w:val="en-US"/>
        </w:rPr>
      </w:pPr>
      <w:r>
        <w:rPr>
          <w:rFonts w:cs="Times New Roman"/>
          <w:lang w:val="en-US"/>
        </w:rPr>
        <w:t xml:space="preserve">In our current study, we address the potential bias in social media data by </w:t>
      </w:r>
      <w:r w:rsidR="000066AB">
        <w:rPr>
          <w:rFonts w:cs="Times New Roman"/>
          <w:lang w:val="en-US"/>
        </w:rPr>
        <w:t>combining</w:t>
      </w:r>
      <w:r>
        <w:rPr>
          <w:rFonts w:cs="Times New Roman"/>
          <w:lang w:val="en-US"/>
        </w:rPr>
        <w:t xml:space="preserve"> the data with a representative </w:t>
      </w:r>
      <w:r w:rsidR="000066AB">
        <w:rPr>
          <w:rFonts w:cs="Times New Roman"/>
          <w:lang w:val="en-US"/>
        </w:rPr>
        <w:t xml:space="preserve">dataset. Specifically, </w:t>
      </w:r>
      <w:r w:rsidR="00E16305">
        <w:rPr>
          <w:rFonts w:cs="Times New Roman"/>
          <w:lang w:val="en-US"/>
        </w:rPr>
        <w:t>w</w:t>
      </w:r>
      <w:r w:rsidR="0087052B" w:rsidRPr="0087052B">
        <w:rPr>
          <w:rFonts w:cs="Times New Roman"/>
          <w:lang w:val="en-US"/>
        </w:rPr>
        <w:t>e propose an innovative information fusion approach to relate social media users to</w:t>
      </w:r>
      <w:r w:rsidR="0087052B">
        <w:rPr>
          <w:rFonts w:cs="Times New Roman"/>
          <w:lang w:val="en-US"/>
        </w:rPr>
        <w:t xml:space="preserve"> </w:t>
      </w:r>
      <w:r w:rsidR="000066AB">
        <w:rPr>
          <w:rFonts w:cs="Times New Roman"/>
          <w:lang w:val="en-US"/>
        </w:rPr>
        <w:t xml:space="preserve">representative </w:t>
      </w:r>
      <w:r w:rsidR="0087052B" w:rsidRPr="0087052B">
        <w:rPr>
          <w:rFonts w:cs="Times New Roman"/>
          <w:lang w:val="en-US"/>
        </w:rPr>
        <w:t>survey respondents</w:t>
      </w:r>
      <w:r w:rsidR="00063376">
        <w:rPr>
          <w:rFonts w:cs="Times New Roman"/>
          <w:lang w:val="en-US"/>
        </w:rPr>
        <w:t xml:space="preserve">. The fusion </w:t>
      </w:r>
      <w:r w:rsidR="00E94880">
        <w:rPr>
          <w:rFonts w:cs="Times New Roman"/>
          <w:lang w:val="en-US"/>
        </w:rPr>
        <w:t>analysis</w:t>
      </w:r>
      <w:r w:rsidR="000E7266">
        <w:rPr>
          <w:rFonts w:cs="Times New Roman"/>
          <w:lang w:val="en-US"/>
        </w:rPr>
        <w:t xml:space="preserve"> </w:t>
      </w:r>
      <w:r w:rsidR="00063376">
        <w:rPr>
          <w:rFonts w:cs="Times New Roman"/>
          <w:lang w:val="en-US"/>
        </w:rPr>
        <w:t xml:space="preserve">is </w:t>
      </w:r>
      <w:r w:rsidR="007D0FE0">
        <w:rPr>
          <w:rFonts w:cs="Times New Roman"/>
          <w:lang w:val="en-US"/>
        </w:rPr>
        <w:t xml:space="preserve">conducted </w:t>
      </w:r>
      <w:r w:rsidR="0087052B" w:rsidRPr="0087052B">
        <w:rPr>
          <w:rFonts w:cs="Times New Roman"/>
          <w:lang w:val="en-US"/>
        </w:rPr>
        <w:t xml:space="preserve">based on </w:t>
      </w:r>
      <w:r w:rsidR="007D0FE0">
        <w:rPr>
          <w:rFonts w:cs="Times New Roman"/>
          <w:lang w:val="en-US"/>
        </w:rPr>
        <w:t xml:space="preserve">a set of </w:t>
      </w:r>
      <w:r w:rsidR="0087052B" w:rsidRPr="0087052B">
        <w:rPr>
          <w:rFonts w:cs="Times New Roman"/>
          <w:lang w:val="en-US"/>
        </w:rPr>
        <w:t xml:space="preserve">common attributes </w:t>
      </w:r>
      <w:r w:rsidR="007D0FE0">
        <w:rPr>
          <w:rFonts w:cs="Times New Roman"/>
          <w:lang w:val="en-US"/>
        </w:rPr>
        <w:t xml:space="preserve">and </w:t>
      </w:r>
      <w:r w:rsidR="0087052B" w:rsidRPr="0087052B">
        <w:rPr>
          <w:rFonts w:cs="Times New Roman"/>
          <w:lang w:val="en-US"/>
        </w:rPr>
        <w:t>a probabilistic matching</w:t>
      </w:r>
      <w:r w:rsidR="0087052B">
        <w:rPr>
          <w:rFonts w:cs="Times New Roman"/>
          <w:lang w:val="en-US"/>
        </w:rPr>
        <w:t xml:space="preserve"> </w:t>
      </w:r>
      <w:r w:rsidR="0087052B" w:rsidRPr="0087052B">
        <w:rPr>
          <w:rFonts w:cs="Times New Roman"/>
          <w:lang w:val="en-US"/>
        </w:rPr>
        <w:t xml:space="preserve">method. This </w:t>
      </w:r>
      <w:r w:rsidR="007D0FE0">
        <w:rPr>
          <w:rFonts w:cs="Times New Roman"/>
          <w:lang w:val="en-US"/>
        </w:rPr>
        <w:t xml:space="preserve">unique </w:t>
      </w:r>
      <w:r w:rsidR="0087052B" w:rsidRPr="0087052B">
        <w:rPr>
          <w:rFonts w:cs="Times New Roman"/>
          <w:lang w:val="en-US"/>
        </w:rPr>
        <w:t xml:space="preserve">approach will </w:t>
      </w:r>
      <w:r w:rsidR="00796EFC">
        <w:rPr>
          <w:rFonts w:cs="Times New Roman"/>
          <w:lang w:val="en-US"/>
        </w:rPr>
        <w:t xml:space="preserve">generate a fused dataset </w:t>
      </w:r>
      <w:r w:rsidR="003E3C1F">
        <w:rPr>
          <w:rFonts w:cs="Times New Roman"/>
          <w:lang w:val="en-US"/>
        </w:rPr>
        <w:t>allowing</w:t>
      </w:r>
      <w:r w:rsidR="0087052B" w:rsidRPr="0087052B">
        <w:rPr>
          <w:rFonts w:cs="Times New Roman"/>
          <w:lang w:val="en-US"/>
        </w:rPr>
        <w:t xml:space="preserve"> us to tag social media users with appropriate weights </w:t>
      </w:r>
      <w:r w:rsidR="00796EFC">
        <w:rPr>
          <w:rFonts w:cs="Times New Roman"/>
          <w:lang w:val="en-US"/>
        </w:rPr>
        <w:t xml:space="preserve">(from representative dataset) </w:t>
      </w:r>
      <w:r w:rsidR="0087052B" w:rsidRPr="0087052B">
        <w:rPr>
          <w:rFonts w:cs="Times New Roman"/>
          <w:lang w:val="en-US"/>
        </w:rPr>
        <w:t>that can</w:t>
      </w:r>
      <w:r w:rsidR="0087052B">
        <w:rPr>
          <w:rFonts w:cs="Times New Roman"/>
          <w:lang w:val="en-US"/>
        </w:rPr>
        <w:t xml:space="preserve"> </w:t>
      </w:r>
      <w:r w:rsidR="0087052B" w:rsidRPr="0087052B">
        <w:rPr>
          <w:rFonts w:cs="Times New Roman"/>
          <w:lang w:val="en-US"/>
        </w:rPr>
        <w:t xml:space="preserve">be employed to estimate population-level demand from social media </w:t>
      </w:r>
      <w:r w:rsidR="0087052B">
        <w:rPr>
          <w:rFonts w:cs="Times New Roman"/>
          <w:lang w:val="en-US"/>
        </w:rPr>
        <w:t>platforms</w:t>
      </w:r>
      <w:r w:rsidR="0087052B" w:rsidRPr="0087052B">
        <w:rPr>
          <w:rFonts w:cs="Times New Roman"/>
          <w:lang w:val="en-US"/>
        </w:rPr>
        <w:t>.</w:t>
      </w:r>
      <w:r w:rsidR="00DC5969" w:rsidRPr="00DC5969">
        <w:t xml:space="preserve"> </w:t>
      </w:r>
      <w:r w:rsidR="004A1B28">
        <w:t xml:space="preserve">The process begins with acquiring </w:t>
      </w:r>
      <w:r w:rsidR="00DC5969">
        <w:t>the real time evacuation decision</w:t>
      </w:r>
      <w:r w:rsidR="00F106CA">
        <w:t>s</w:t>
      </w:r>
      <w:r w:rsidR="00DC5969">
        <w:t xml:space="preserve"> from </w:t>
      </w:r>
      <w:r w:rsidR="00F106CA">
        <w:t>a</w:t>
      </w:r>
      <w:r w:rsidR="00DC5969">
        <w:t xml:space="preserve"> social media platform</w:t>
      </w:r>
      <w:r w:rsidR="004A1B28">
        <w:t xml:space="preserve">. The social media data is </w:t>
      </w:r>
      <w:r w:rsidR="00DC5969">
        <w:t>augment</w:t>
      </w:r>
      <w:r w:rsidR="004A1B28">
        <w:t>ed</w:t>
      </w:r>
      <w:r w:rsidR="00DC5969">
        <w:t xml:space="preserve"> </w:t>
      </w:r>
      <w:r w:rsidR="004A1B28">
        <w:t xml:space="preserve">with a </w:t>
      </w:r>
      <w:r w:rsidR="00574CC3">
        <w:t xml:space="preserve">nationally representative </w:t>
      </w:r>
      <w:r w:rsidR="00DC5969">
        <w:t xml:space="preserve">survey </w:t>
      </w:r>
      <w:r w:rsidR="004A1B28">
        <w:t xml:space="preserve">data. </w:t>
      </w:r>
      <w:r w:rsidR="001F6002">
        <w:t xml:space="preserve">Each representative survey record is tagged to </w:t>
      </w:r>
      <w:r w:rsidR="00DC5969">
        <w:t xml:space="preserve">multiple social media user based on their </w:t>
      </w:r>
      <w:r w:rsidR="00615319">
        <w:t xml:space="preserve">attribute </w:t>
      </w:r>
      <w:r w:rsidR="00DC5969">
        <w:t xml:space="preserve">similarity. </w:t>
      </w:r>
      <w:r w:rsidR="00DC5969">
        <w:rPr>
          <w:lang w:val="en-US"/>
        </w:rPr>
        <w:t xml:space="preserve">By matching social media users to respondents in </w:t>
      </w:r>
      <w:r w:rsidR="00574CC3">
        <w:rPr>
          <w:lang w:val="en-US"/>
        </w:rPr>
        <w:t xml:space="preserve">national </w:t>
      </w:r>
      <w:r w:rsidR="00DC5969">
        <w:rPr>
          <w:lang w:val="en-US"/>
        </w:rPr>
        <w:t>surveys, we can accomplish two goals: (1) reweight the social media sample to be more representative; and (2) augment the user attributes inferred from social media data with the attributes from the survey dataset</w:t>
      </w:r>
      <w:r w:rsidR="00615319">
        <w:rPr>
          <w:lang w:val="en-US"/>
        </w:rPr>
        <w:t xml:space="preserve">. Thus, the process will improve data representation as well as provide a rich set of explanatory variables for understanding evacuation decision process. </w:t>
      </w:r>
    </w:p>
    <w:p w14:paraId="0CF3A8DE" w14:textId="0F657A37" w:rsidR="002D0D70" w:rsidRDefault="00953E8D" w:rsidP="00FC2223">
      <w:pPr>
        <w:ind w:firstLine="720"/>
      </w:pPr>
      <w:r>
        <w:t xml:space="preserve">For the current analysis, we collect Twitter data during </w:t>
      </w:r>
      <w:r w:rsidR="00F106CA">
        <w:t>H</w:t>
      </w:r>
      <w:r>
        <w:t xml:space="preserve">urricane Irma for the evacuation response and </w:t>
      </w:r>
      <w:r w:rsidR="00615319">
        <w:t>employ the</w:t>
      </w:r>
      <w:r w:rsidR="00E16305">
        <w:t xml:space="preserve"> </w:t>
      </w:r>
      <w:r w:rsidR="00574CC3">
        <w:rPr>
          <w:rFonts w:cs="Times New Roman"/>
          <w:lang w:val="en-US"/>
        </w:rPr>
        <w:t>n</w:t>
      </w:r>
      <w:r>
        <w:rPr>
          <w:rFonts w:cs="Times New Roman"/>
          <w:lang w:val="en-US"/>
        </w:rPr>
        <w:t>ational household travel survey</w:t>
      </w:r>
      <w:r w:rsidR="00574CC3">
        <w:rPr>
          <w:rFonts w:cs="Times New Roman"/>
          <w:lang w:val="en-US"/>
        </w:rPr>
        <w:t xml:space="preserve"> (NHTS)</w:t>
      </w:r>
      <w:r>
        <w:rPr>
          <w:rFonts w:cs="Times New Roman"/>
          <w:lang w:val="en-US"/>
        </w:rPr>
        <w:t xml:space="preserve"> data administered by Federal Highway Administration (FHWA) </w:t>
      </w:r>
      <w:r w:rsidR="00615319">
        <w:rPr>
          <w:rFonts w:cs="Times New Roman"/>
          <w:lang w:val="en-US"/>
        </w:rPr>
        <w:t>for the representative dataset.</w:t>
      </w:r>
      <w:r w:rsidR="002D0D70">
        <w:t xml:space="preserve"> Using our proposed fusion algorithm, we merge the </w:t>
      </w:r>
      <w:r w:rsidR="006E278F">
        <w:t>NHTS,</w:t>
      </w:r>
      <w:r w:rsidR="002D0D70">
        <w:t xml:space="preserve"> and Twitter dataset</w:t>
      </w:r>
      <w:r w:rsidR="00574CC3">
        <w:t>s</w:t>
      </w:r>
      <w:r w:rsidR="002D0D70">
        <w:t xml:space="preserve"> </w:t>
      </w:r>
      <w:r w:rsidR="002F643C">
        <w:t xml:space="preserve">based on behavioural similarity </w:t>
      </w:r>
      <w:r w:rsidR="002D0D70">
        <w:t xml:space="preserve">to create a hybrid fused dataset that provides real time evacuation information as well as </w:t>
      </w:r>
      <w:r w:rsidR="00574CC3">
        <w:t xml:space="preserve">outcomes that are </w:t>
      </w:r>
      <w:r w:rsidR="002F643C">
        <w:t xml:space="preserve">representative of the real population. </w:t>
      </w:r>
    </w:p>
    <w:p w14:paraId="1856B75A" w14:textId="3A62499B" w:rsidR="00953E8D" w:rsidRDefault="00953E8D" w:rsidP="00953E8D">
      <w:pPr>
        <w:ind w:firstLine="720"/>
        <w:rPr>
          <w:rFonts w:cs="Times New Roman"/>
          <w:lang w:val="en-US"/>
        </w:rPr>
      </w:pPr>
      <w:r w:rsidRPr="00953E8D">
        <w:rPr>
          <w:rFonts w:cs="Times New Roman"/>
          <w:lang w:val="en-US"/>
        </w:rPr>
        <w:t xml:space="preserve">The rest of the paper is organized as follows: Section 2 provides </w:t>
      </w:r>
      <w:r w:rsidR="0063527D">
        <w:rPr>
          <w:rFonts w:cs="Times New Roman"/>
          <w:lang w:val="en-US"/>
        </w:rPr>
        <w:t>an overview of data fusion approaches in transportation while describing</w:t>
      </w:r>
      <w:r w:rsidRPr="00953E8D">
        <w:rPr>
          <w:rFonts w:cs="Times New Roman"/>
          <w:lang w:val="en-US"/>
        </w:rPr>
        <w:t xml:space="preserve"> the </w:t>
      </w:r>
      <w:r w:rsidR="0063527D">
        <w:rPr>
          <w:rFonts w:cs="Times New Roman"/>
          <w:lang w:val="en-US"/>
        </w:rPr>
        <w:t xml:space="preserve">proposed </w:t>
      </w:r>
      <w:r w:rsidRPr="00953E8D">
        <w:rPr>
          <w:rFonts w:cs="Times New Roman"/>
          <w:lang w:val="en-US"/>
        </w:rPr>
        <w:t>research approach</w:t>
      </w:r>
      <w:r w:rsidR="00F1708C">
        <w:rPr>
          <w:rFonts w:cs="Times New Roman"/>
          <w:lang w:val="en-US"/>
        </w:rPr>
        <w:t xml:space="preserve">. </w:t>
      </w:r>
      <w:r w:rsidR="0023581F" w:rsidRPr="00953E8D">
        <w:rPr>
          <w:rFonts w:cs="Times New Roman"/>
          <w:lang w:val="en-US"/>
        </w:rPr>
        <w:t xml:space="preserve">The modeling framework of the current study is outlined in section </w:t>
      </w:r>
      <w:r w:rsidR="0023581F">
        <w:rPr>
          <w:rFonts w:cs="Times New Roman"/>
          <w:lang w:val="en-US"/>
        </w:rPr>
        <w:t>3</w:t>
      </w:r>
      <w:r w:rsidR="0023581F" w:rsidRPr="00953E8D">
        <w:rPr>
          <w:rFonts w:cs="Times New Roman"/>
          <w:lang w:val="en-US"/>
        </w:rPr>
        <w:t xml:space="preserve">. </w:t>
      </w:r>
      <w:r w:rsidR="00F1708C">
        <w:rPr>
          <w:rFonts w:cs="Times New Roman"/>
          <w:lang w:val="en-US"/>
        </w:rPr>
        <w:t>T</w:t>
      </w:r>
      <w:r w:rsidRPr="00953E8D">
        <w:rPr>
          <w:rFonts w:cs="Times New Roman"/>
          <w:lang w:val="en-US"/>
        </w:rPr>
        <w:t xml:space="preserve">he experimental setup of the fusion algorithm is summarized in section </w:t>
      </w:r>
      <w:r w:rsidR="0023581F">
        <w:rPr>
          <w:rFonts w:cs="Times New Roman"/>
          <w:lang w:val="en-US"/>
        </w:rPr>
        <w:t>4</w:t>
      </w:r>
      <w:r w:rsidRPr="00953E8D">
        <w:rPr>
          <w:rFonts w:cs="Times New Roman"/>
          <w:lang w:val="en-US"/>
        </w:rPr>
        <w:t>. Section 5 describes the model findings</w:t>
      </w:r>
      <w:r w:rsidR="006056B5">
        <w:rPr>
          <w:rFonts w:cs="Times New Roman"/>
          <w:lang w:val="en-US"/>
        </w:rPr>
        <w:t xml:space="preserve"> (results and prediction assessment)</w:t>
      </w:r>
      <w:r w:rsidRPr="00953E8D">
        <w:rPr>
          <w:rFonts w:cs="Times New Roman"/>
          <w:lang w:val="en-US"/>
        </w:rPr>
        <w:t xml:space="preserve"> and finally, concluding thoughts are presented in section 6.</w:t>
      </w:r>
      <w:r>
        <w:rPr>
          <w:rFonts w:cs="Times New Roman"/>
          <w:lang w:val="en-US"/>
        </w:rPr>
        <w:t xml:space="preserve"> </w:t>
      </w:r>
    </w:p>
    <w:p w14:paraId="61114FB2" w14:textId="77777777" w:rsidR="00DC5969" w:rsidRDefault="00DC5969" w:rsidP="00E71154">
      <w:pPr>
        <w:ind w:firstLine="720"/>
        <w:rPr>
          <w:rFonts w:cs="Times New Roman"/>
          <w:highlight w:val="yellow"/>
          <w:lang w:val="en-US"/>
        </w:rPr>
      </w:pPr>
    </w:p>
    <w:p w14:paraId="4A623C58" w14:textId="77559BB1" w:rsidR="00A31B1C" w:rsidRDefault="00D428B5" w:rsidP="00A31B1C">
      <w:pPr>
        <w:pStyle w:val="Heading1"/>
      </w:pPr>
      <w:r>
        <w:lastRenderedPageBreak/>
        <w:t xml:space="preserve">2 </w:t>
      </w:r>
      <w:r w:rsidR="00B11417">
        <w:t>RESEARCH APPROACH</w:t>
      </w:r>
    </w:p>
    <w:p w14:paraId="576C8659" w14:textId="1C9B9374" w:rsidR="00391F85" w:rsidRDefault="00EF36E7" w:rsidP="00EF36E7">
      <w:pPr>
        <w:rPr>
          <w:rFonts w:cs="Times New Roman"/>
          <w:szCs w:val="24"/>
          <w:lang w:val="en-US"/>
        </w:rPr>
      </w:pPr>
      <w:bookmarkStart w:id="0" w:name="_Hlk160057602"/>
      <w:r w:rsidRPr="001810F6">
        <w:rPr>
          <w:rFonts w:cs="Times New Roman"/>
          <w:szCs w:val="24"/>
          <w:lang w:val="en-US"/>
        </w:rPr>
        <w:t xml:space="preserve">Data fusion has been widely researched and </w:t>
      </w:r>
      <w:r w:rsidR="000543F4">
        <w:rPr>
          <w:rFonts w:cs="Times New Roman"/>
          <w:szCs w:val="24"/>
          <w:lang w:val="en-US"/>
        </w:rPr>
        <w:t>employed</w:t>
      </w:r>
      <w:r w:rsidRPr="001810F6">
        <w:rPr>
          <w:rFonts w:cs="Times New Roman"/>
          <w:szCs w:val="24"/>
          <w:lang w:val="en-US"/>
        </w:rPr>
        <w:t xml:space="preserve"> in various fields including </w:t>
      </w:r>
      <w:r w:rsidR="00383D0F">
        <w:rPr>
          <w:rFonts w:cs="Times New Roman"/>
          <w:szCs w:val="24"/>
          <w:lang w:val="en-US"/>
        </w:rPr>
        <w:t xml:space="preserve">transportation, </w:t>
      </w:r>
      <w:r w:rsidRPr="001810F6">
        <w:rPr>
          <w:rFonts w:cs="Times New Roman"/>
          <w:szCs w:val="24"/>
          <w:lang w:val="en-US"/>
        </w:rPr>
        <w:t xml:space="preserve">statistics, business analysis, chemical engineering, </w:t>
      </w:r>
      <w:r w:rsidR="00383D0F">
        <w:rPr>
          <w:rFonts w:cs="Times New Roman"/>
          <w:szCs w:val="24"/>
          <w:lang w:val="en-US"/>
        </w:rPr>
        <w:t xml:space="preserve">and </w:t>
      </w:r>
      <w:r w:rsidRPr="001810F6">
        <w:rPr>
          <w:rFonts w:cs="Times New Roman"/>
          <w:szCs w:val="24"/>
          <w:lang w:val="en-US"/>
        </w:rPr>
        <w:t xml:space="preserve">navigation industry </w:t>
      </w:r>
      <w:r w:rsidRPr="001810F6">
        <w:rPr>
          <w:rFonts w:cs="Times New Roman"/>
          <w:szCs w:val="24"/>
          <w:lang w:val="en-US"/>
        </w:rPr>
        <w:fldChar w:fldCharType="begin" w:fldLock="1"/>
      </w:r>
      <w:r>
        <w:rPr>
          <w:rFonts w:cs="Times New Roman"/>
          <w:szCs w:val="24"/>
          <w:lang w:val="en-US"/>
        </w:rPr>
        <w:instrText>ADDIN CSL_CITATION {"citationItems":[{"id":"ITEM-1","itemData":{"URL":"https://www.sciencedirect.com/topics/computer-science/data-fusion","accessed":{"date-parts":[["2021","7","24"]]},"id":"ITEM-1","issued":{"date-parts":[["0"]]},"title":"Data Fusion - an overview | ScienceDirect Topics","type":"webpage"},"uris":["http://www.mendeley.com/documents/?uuid=b4452ecb-6056-306a-be91-4ca701f5245b"]}],"mendeley":{"formattedCitation":"(“Data Fusion - an overview | ScienceDirect Topics,” n.d.)","manualFormatting":"(Data Fusion, 2022)","plainTextFormattedCitation":"(“Data Fusion - an overview | ScienceDirect Topics,” n.d.)","previouslyFormattedCitation":"&lt;sup&gt;1&lt;/sup&gt;"},"properties":{"noteIndex":0},"schema":"https://github.com/citation-style-language/schema/raw/master/csl-citation.json"}</w:instrText>
      </w:r>
      <w:r w:rsidRPr="001810F6">
        <w:rPr>
          <w:rFonts w:cs="Times New Roman"/>
          <w:szCs w:val="24"/>
          <w:lang w:val="en-US"/>
        </w:rPr>
        <w:fldChar w:fldCharType="separate"/>
      </w:r>
      <w:r w:rsidRPr="002F16A5">
        <w:rPr>
          <w:rFonts w:cs="Times New Roman"/>
          <w:noProof/>
          <w:szCs w:val="24"/>
          <w:lang w:val="en-US"/>
        </w:rPr>
        <w:t>(Data Fusion</w:t>
      </w:r>
      <w:r>
        <w:rPr>
          <w:rFonts w:cs="Times New Roman"/>
          <w:noProof/>
          <w:szCs w:val="24"/>
          <w:lang w:val="en-US"/>
        </w:rPr>
        <w:t>, 2022</w:t>
      </w:r>
      <w:r w:rsidRPr="002F16A5">
        <w:rPr>
          <w:rFonts w:cs="Times New Roman"/>
          <w:noProof/>
          <w:szCs w:val="24"/>
          <w:lang w:val="en-US"/>
        </w:rPr>
        <w:t>)</w:t>
      </w:r>
      <w:r w:rsidRPr="001810F6">
        <w:rPr>
          <w:rFonts w:cs="Times New Roman"/>
          <w:szCs w:val="24"/>
          <w:lang w:val="en-US"/>
        </w:rPr>
        <w:fldChar w:fldCharType="end"/>
      </w:r>
      <w:r w:rsidRPr="001810F6">
        <w:rPr>
          <w:rFonts w:cs="Times New Roman"/>
          <w:szCs w:val="24"/>
          <w:lang w:val="en-US"/>
        </w:rPr>
        <w:t>. There is a large body of literature devoted to applying data fusion technique</w:t>
      </w:r>
      <w:r w:rsidR="00383D0F">
        <w:rPr>
          <w:rFonts w:cs="Times New Roman"/>
          <w:szCs w:val="24"/>
          <w:lang w:val="en-US"/>
        </w:rPr>
        <w:t>s</w:t>
      </w:r>
      <w:r w:rsidRPr="001810F6">
        <w:rPr>
          <w:rFonts w:cs="Times New Roman"/>
          <w:szCs w:val="24"/>
          <w:lang w:val="en-US"/>
        </w:rPr>
        <w:t xml:space="preserve"> within different sectors of transportation field including travel demand</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{"citationItems":[{"id":"ITEM-1","itemData":{"DOI":"10.1016/j.trpro.2015.06.012","ISSN":"23521465","abstract":"A new convex optimization framework is developed for the route flow estimation problem from the fusion of vehicle count and cellular network data. The issue of highly underdetermined link flow based methods in transportation networks is investigated, then solved using the proposed concept of cellpaths for cellular network data. With this data-driven approach, our proposed approach is versatile: it is compatible with other data sources, and it is model agnostic and thus compatible with user equilibrium, system- optimum, Stackelberg concepts, and other models. Using a dimensionality reduction scheme, we design a projected gradient algorithm suitable for the proposed route flow estimation problem. The algorithm solves a block isotonic regression problem in the projection step in linear time. The accuracy, computational efficiency, and versatility of the proposed approach are validated on the I-210 corridor near Los Angeles, where we achieve 90% route flow accuracy with 1033 traffic sensors and 1000 cellular towers covering a large network of highways and arterials with more than 20,000 links. In contrast to long-term land use planning applications, we demonstrate the first system to our knowledge that can produce route-level flow estimates suitable for short time horizon prediction and control applications in traffic management. Our system is open source and available for validation and extension.","author":[{"dropping-particle":"","family":"Wu","given":"Cathy","non-dropping-particle":"","parse-names":false,"suffix":""},{"dropping-particle":"","family":"Thai","given":"Jérôme","non-dropping-particle":"","parse-names":false,"suffix":""},{"dropping-particle":"","family":"Yadlowsky","given":"Steve","non-dropping-particle":"","parse-names":false,"suffix":""},{"dropping-particle":"","family":"Pozdnoukhov","given":"Alexei","non-dropping-particle":"","parse-names":false,"suffix":""},{"dropping-particle":"","family":"Bayen","given":"Alexandre","non-dropping-particle":"","parse-names":false,"suffix":""}],"container-title":"Transportation Research Procedia","id":"ITEM-1","issued":{"date-parts":[["2015"]]},"page":"212-232","title":"Cellpath: Fusion of Cellular and Traffic Sensor Data for Route Flow Estimation via Convex Optimization","type":"article-journal","volume":"7"},"uris":["http://www.mendeley.com/documents/?uuid=7d7c650a-f543-3710-a1ba-b71b98dab4be"]},{"id":"ITEM-2","itemData":{"DOI":"10.1145/2525314.2525343","ISBN":"9781450325219","abstract":"The advances in mobile computing and social networking services enable people to probe the dynamics of a city. In this paper, we address the problem of detecting and describing traffic anomalies using crowd sensing with two forms of data, human mobility and social media. Traffic anomalies are caused by accidents, control, protests, sport events, celebrations, disasters and other events. Unlike existing traffic-anomaly-detection methods, we identify anomalies according to drivers' routing behavior on an urban road network. Here, a detected anomaly is represented by a sub-graph of a road network where drivers' routing behaviors significantly differ from their original patterns. We then try to describe the detected anomaly by mining representative terms from the social media that people posted when the anomaly happened. The system for detecting such traffic anomalies can benefit both drivers and transportation authorities, e.g., by notifying drivers approaching an anomaly and suggesting alternative routes, as well as supporting traffic jam diagnosis and dispersal. We evaluate our system with a GPS trajectory dataset generated by over 30,000 taxicabs over a period of 3 months in Beijing, and a dataset of tweets collected from WeiBo, a Twitter-like social site in China. The results demonstrate the effectiveness and efficiency of our system. © 2013 ACM.","author":[{"dropping-particle":"","family":"Pan","given":"Bei","non-dropping-particle":"","parse-names":false,"suffix":""},{"dropping-particle":"","family":"Zheng","given":"Yu","non-dropping-particle":"","parse-names":false,"suffix":""},{"dropping-particle":"","family":"Wilkie","given":"David","non-dropping-particle":"","parse-names":false,"suffix":""},{"dropping-particle":"","family":"Shahabi","given":"Cyrus","non-dropping-particle":"","parse-names":false,"suffix":""}],"container-title":"GIS: Proceedings of the ACM International Symposium on Advances in Geographic Information Systems","id":"ITEM-2","issued":{"date-parts":[["2013"]]},"page":"334-343","title":"Crowd sensing of traffic anomalies based on human mobility and social media","type":"article-journal"},"uris":["http://www.mendeley.com/documents/?uuid=e93c0ce1-1308-39b2-b682-ce4a19366b9e"]},{"id":"ITEM-3","itemData":{"ISBN":"9783800730841","ISSN":"21974403","abstract":"Detection of traffic congestion is an important issue both for the transportation research community and everyday life of the motorists. A new type of information is needed for a more efficient use of road networks. Remote sensing sensors installed on aircrafts or satellites enable data collection for various traffic applications over large areas, especially areas not covered with other, e.g. terrestrial sensors, or difficult accessible areas. Synthetic aperture radar (SAR) systems seem to be very promising due to their all-weather capability. We approach the traffic congestion detection problem with a two-channel SAR sensor flying in along-track (ATI) the motorway by combining various techniques: look processing, channel balancing, coherent change detection, e.g. displaced phase center array (DPCA), image processing and incorporation of a priori information such as traffic model and road network. The potential of the proposed method is demonstrated with airborne E-SAR data collected during several campaigns over highways in Germany. Method application for future tight formation of space satellites is discussed.","author":[{"dropping-particle":"","family":"Palubinskas","given":"Gintautas","non-dropping-particle":"","parse-names":false,"suffix":""},{"dropping-particle":"","family":"Runge","given":"Hartmut","non-dropping-particle":"","parse-names":false,"suffix":""}],"container-title":"Proceedings of the European Conference on Synthetic Aperture Radar, EUSAR","id":"ITEM-3","issued":{"date-parts":[["2008"]]},"page":"6-11","title":"Detection of traffic congestion in SAR imagery","type":"article-journal","volume":"1-4"},"uris":["http://www.mendeley.com/documents/?uuid=b1a8c52e-13ce-391c-9ec4-986314879b71"]},{"id":"ITEM-4","itemData":{"DOI":"10.1016/j.trpro.2018.12.211","ISSN":"23521465","abstract":"OD matrices that describe mobility patterns provide major input to most transport analysis models. Since OD matrices are not yet directly observable, they are usually estimated indirectly. Data from new sources such as mobile phone records and GPS traces from mobile apps are emerging alternatives that allow for cheaper and timely estimates. However, they are still hindered by weaknesses that must be studied for use as input to transportation models. This paper presents a case study using mobility data from mobile phone records, with the goal of establishing a methodology for validating the obtained OD matrices and generating the appropriate input for traffic assignment models. Spatial and temporal consistency of OD data elaborated from mobile records has been proved to be useful for transportation modelling needs.","author":[{"dropping-particle":"","family":"Montero","given":"L.","non-dropping-particle":"","parse-names":false,"suffix":""},{"dropping-particle":"","family":"Ros-Roca","given":"X.","non-dropping-particle":"","parse-names":false,"suffix":""},{"dropping-particle":"","family":"Herranz","given":"R.","non-dropping-particle":"","parse-names":false,"suffix":""},{"dropping-particle":"","family":"Barceló","given":"J.","non-dropping-particle":"","parse-names":false,"suffix":""}],"container-title":"Transportation Research Procedia","id":"ITEM-4","issued":{"date-parts":[["2019","1","1"]]},"page":"417-424","publisher":"Elsevier","title":"Fusing mobile phone data with other data sources to generate input OD matrices for transport models","type":"article-journal","volume":"37"},"uris":["http://www.mendeley.com/documents/?uuid=c14c547d-ea13-3652-9ffd-06c8ed1f7130"]},{"id":"ITEM-5","itemData":{"DOI":"10.1016/j.trc.2014.01.002","ISSN":"0968090X","abstract":"In this research, we propose a methodology to develop OD matrices using mobile phone Call Detail Records (CDR) and limited traffic counts. CDR, which consist of time stamped tower locations with caller IDs, are analyzed first and trips occurring within certain time windows are used to generate tower-to-tower transient OD matrices for different time periods. These are then associated with corresponding nodes of the traffic network and converted to node-to-node transient OD matrices. The actual OD matrices are derived by scaling up these node-to-node transient OD matrices. An optimization based approach, in conjunction with a microscopic traffic simulation platform, is used to determine the scaling factors that result best matches with the observed traffic counts. The methodology is demonstrated using CDR from 2.87 million users of Dhaka, Bangladesh over a month and traffic counts from 13 key locations over 3. days of that month. The applicability of the methodology is supported by a validation study. © 2014 Elsevier Ltd.","author":[{"dropping-particle":"","family":"Iqbal","given":"Md Shahadat","non-dropping-particle":"","parse-names":false,"suffix":""},{"dropping-particle":"","family":"Choudhury","given":"Charisma F.","non-dropping-particle":"","parse-names":false,"suffix":""},{"dropping-particle":"","family":"Wang","given":"Pu","non-dropping-particle":"","parse-names":false,"suffix":""},{"dropping-particle":"","family":"González","given":"Marta C.","non-dropping-particle":"","parse-names":false,"suffix":""}],"container-title":"Transportation Research Part C: Emerging Technologies","id":"ITEM-5","issued":{"date-parts":[["2014","3","1"]]},"page":"63-74","publisher":"Pergamon","title":"Development of origin-destination matrices using mobile phone call data","type":"article-journal","volume":"40"},"uris":["http://www.mendeley.com/documents/?uuid=ce3ce7e3-857d-3e97-9ec1-c3af45f32ad0"]},{"id":"ITEM-6","itemData":{"DOI":"10.1016/j.trc.2018.09.016","ISSN":"0968090X","abstract":"Even though a variety of human mobility models have been recently developed, models that can capture real-time human mobility of urban populations in a sustainable and economical manner are still lacking. Here, we propose a novel human mobility model that combines the advantages of mobile phone signaling data (i.e., comprehensive penetration in a population) and urban transportation data (i.e., continuous collection and high accuracy). Using the proposed human mobility model, travel demands during each 1-h time window were estimated for the city of Shenzhen, China. Significantly, the estimated travel demands not only preserved the distribution of travel demands, but also captured real-time bursts of mobility fluxes during large crowding events. Finally, based on the proposed human mobility model, a predictive model is deployed to predict crowd gatherings that usually cause severe traffic jams.","author":[{"dropping-particle":"","family":"Huang","given":"Zhiren","non-dropping-particle":"","parse-names":false,"suffix":""},{"dropping-particle":"","family":"Ling","given":"Ximan","non-dropping-particle":"","parse-names":false,"suffix":""},{"dropping-particle":"","family":"Wang","given":"Pu","non-dropping-particle":"","parse-names":false,"suffix":""},{"dropping-particle":"","family":"Zhang","given":"Fan","non-dropping-particle":"","parse-names":false,"suffix":""},{"dropping-particle":"","family":"Mao","given":"Yingping","non-dropping-particle":"","parse-names":false,"suffix":""},{"dropping-particle":"","family":"Lin","given":"Tao","non-dropping-particle":"","parse-names":false,"suffix":""},{"dropping-particle":"","family":"Wang","given":"Fei Yue","non-dropping-particle":"","parse-names":false,"suffix":""}],"container-title":"Transportation Research Part C: Emerging Technologies","id":"ITEM-6","issued":{"date-parts":[["2018","11","1"]]},"page":"251-269","publisher":"Pergamon","title":"Modeling real-time human mobility based on mobile phone and transportation data fusion","type":"article-journal","volume":"96"},"uris":["http://www.mendeley.com/documents/?uuid=171b55ea-dae3-3408-82d6-dcb5d5e882c7"]},{"id":"ITEM-7","itemData":{"DOI":"10.1016/j.trc.2017.12.003","ISSN":"0968090X","abstract":"Passively-generated mobile phone data is emerging as a potential data source for transportation research and applications. Despite the large amount of studies based on the mobile phone data, only a few have reported the properties of such data, and documented how they have processed the data. In this paper, we describe two types of common mobile phone data: Call Details Record (CDR) data and sightings data, and propose a data processing framework and the associated algorithms to address two key issues associated with the sightings data: locational uncertainty and oscillation. We show the effectiveness of our proposed methods in addressing these two issues compared to the state of art algorithms in the field. We also demonstrate that without proper processing applied to the data, the statistical regularity of human mobility patterns—a key, significant trait identified for human mobility—is over-estimated. We hope this study will stimulate more studies in examining the properties of such data and developing methods to address them. Though not as glamorous as those directly deriving insights on mobility patterns (such as statistical regularity), understanding properties of such data and developing methods to address them is a fundamental research topic on which important insights are derived on mobility patterns.","author":[{"dropping-particle":"","family":"Wang","given":"Feilong","non-dropping-particle":"","parse-names":false,"suffix":""},{"dropping-particle":"","family":"Chen","given":"Cynthia","non-dropping-particle":"","parse-names":false,"suffix":""}],"container-title":"Transportation Research Part C: Emerging Technologies","id":"ITEM-7","issued":{"date-parts":[["2018","2","1"]]},"page":"58-74","publisher":"Pergamon","title":"On data processing required to derive mobility patterns from passively-generated mobile phone data","type":"article-journal","volume":"87"},"uris":["http://www.mendeley.com/documents/?uuid=9eb22a87-ebd7-38c3-a86e-0e2de0b77f9a"]}],"mendeley":{"formattedCitation":"(Huang et al., 2018; Iqbal et al., 2014; Montero et al., 2019; Palubinskas and Runge, 2008; Pan et al., 2013; Wang and Chen, 2018; Wu et al., 2015)","plainTextFormattedCitation":"(Huang et al., 2018; Iqbal et al., 2014; Montero et al., 2019; Palubinskas and Runge, 2008; Pan et al., 2013; Wang and Chen, 2018; Wu et al., 2015)","previouslyFormattedCitation":"&lt;sup&gt;2–8&lt;/sup&gt;"},"properties":{"noteIndex":0},"schema":"https://github.com/citation-style-language/schema/raw/master/csl-citation.json"}</w:instrText>
      </w:r>
      <w:r>
        <w:rPr>
          <w:rFonts w:cs="Times New Roman"/>
          <w:szCs w:val="24"/>
          <w:lang w:val="en-US"/>
        </w:rPr>
        <w:fldChar w:fldCharType="separate"/>
      </w:r>
      <w:r w:rsidRPr="002F16A5">
        <w:rPr>
          <w:rFonts w:cs="Times New Roman"/>
          <w:noProof/>
          <w:szCs w:val="24"/>
          <w:lang w:val="en-US"/>
        </w:rPr>
        <w:t>(Huang et al., 2018; Iqbal et al., 2014; Montero et al., 2019; Palubinskas and Runge, 2008; Pan et al., 2013; Wang and Chen, 2018; Wu et al., 2015)</w:t>
      </w:r>
      <w:r>
        <w:rPr>
          <w:rFonts w:cs="Times New Roman"/>
          <w:szCs w:val="24"/>
          <w:lang w:val="en-US"/>
        </w:rPr>
        <w:fldChar w:fldCharType="end"/>
      </w:r>
      <w:r w:rsidRPr="001810F6">
        <w:rPr>
          <w:rFonts w:cs="Times New Roman"/>
          <w:szCs w:val="24"/>
          <w:lang w:val="en-US"/>
        </w:rPr>
        <w:t>, mobility pattern</w:t>
      </w:r>
      <w:r w:rsidR="00383D0F">
        <w:rPr>
          <w:rFonts w:cs="Times New Roman"/>
          <w:szCs w:val="24"/>
          <w:lang w:val="en-US"/>
        </w:rPr>
        <w:t xml:space="preserve"> analysis</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{"citationItems":[{"id":"ITEM-1","itemData":{"DOI":"10.1155/2020/5321385","ISSN":"20423195","abstract":"A key issue to understand urban system is to characterize the activity dynamics in a city - when, where, what, and how activities happen in a city. To better understand the urban activity dynamics, city-wide and multiday activity participation sequence data, namely, activity chain as well as suitable spatiotemporal models, are needed. The commonly used household travel survey data in activity analysis suffers from limited sample size and temporal coverage. The emergence of large-scale spatiotemporal data in urban areas, such as mobile phone data, provides a new opportunity to infer urban activities and the underlying dynamics. However, the challenge is the absence of labeled activity information in mobile phone data. Consequently, how to fuse the useful information in household survey data and mobile phone data to build city-wide, multiday, and all-time activity chains becomes an important research question. Moreover, the multidimension structure of the activity data (e.g., location, start time, duration, type) makes the extraction of spatiotemporal activity patterns another difficult problem. In this study, the authors first introduce an activity chain inference model based on tensor decomposition to infer the missing activity labels in large-scale and multiday activity data, and then develop a spatiotemporal event clustering model based on DBSCAN, called STE-DBSCAN, to identify the spatiotemporal activity patterns. The proposed approaches achieved good accuracy and produced patterns with a high level of interpretability.","author":[{"dropping-particle":"","family":"Yang","given":"Chao","non-dropping-particle":"","parse-names":false,"suffix":""},{"dropping-particle":"","family":"Zhang","given":"Yuliang","non-dropping-particle":"","parse-names":false,"suffix":""},{"dropping-particle":"","family":"Zhan","given":"Xianyuan","non-dropping-particle":"","parse-names":false,"suffix":""},{"dropping-particle":"V.","family":"Ukkusuri","given":"Satish","non-dropping-particle":"","parse-names":false,"suffix":""},{"dropping-particle":"","family":"Chen","given":"Yifan","non-dropping-particle":"","parse-names":false,"suffix":""}],"container-title":"Journal of Advanced Transportation","id":"ITEM-1","issued":{"date-parts":[["2020"]]},"publisher":"Hindawi Limited","title":"Fusing Mobile Phone and Travel Survey Data to Model Urban Activity Dynamics","type":"article-journal","volume":"2020"},"uris":["http://www.mendeley.com/documents/?uuid=25e55dee-c0b2-308e-8fa6-3ed7a3c40d1d"]}],"mendeley":{"formattedCitation":"(Yang et al., 2020)","plainTextFormattedCitation":"(Yang et al., 2020)","previouslyFormattedCitation":"&lt;sup&gt;9&lt;/sup&gt;"},"properties":{"noteIndex":0},"schema":"https://github.com/citation-style-language/schema/raw/master/csl-citation.json"}</w:instrText>
      </w:r>
      <w:r>
        <w:rPr>
          <w:rFonts w:cs="Times New Roman"/>
          <w:szCs w:val="24"/>
          <w:lang w:val="en-US"/>
        </w:rPr>
        <w:fldChar w:fldCharType="separate"/>
      </w:r>
      <w:r w:rsidRPr="002F16A5">
        <w:rPr>
          <w:rFonts w:cs="Times New Roman"/>
          <w:noProof/>
          <w:szCs w:val="24"/>
          <w:lang w:val="en-US"/>
        </w:rPr>
        <w:t>(Yang et al., 2020)</w:t>
      </w:r>
      <w:r>
        <w:rPr>
          <w:rFonts w:cs="Times New Roman"/>
          <w:szCs w:val="24"/>
          <w:lang w:val="en-US"/>
        </w:rPr>
        <w:fldChar w:fldCharType="end"/>
      </w:r>
      <w:r w:rsidRPr="001810F6">
        <w:rPr>
          <w:rFonts w:cs="Times New Roman"/>
          <w:szCs w:val="24"/>
          <w:lang w:val="en-US"/>
        </w:rPr>
        <w:t>, ride sourcing</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{"citationItems":[{"id":"ITEM-1","itemData":{"DOI":"10.1016/j.scs.2020.102499","ISSN":"22106707","abstract":"Ridesourcing service has been playing an increasingly important role in urban travel, which it can be regard as a promising path towards urban sustainability because of its nature of “sharing”. This paper investigated the travel behavior of ridesourcing users, by considering pick-up and drop-off locations fusing Didi ridesourcing data and online Point of Interest (POI) data based on the Latent Dirichlet Allocation (LDA) model. A case study was conducted in Chengdu, an Asian city. Firstly, the study area was tessellated with hexagons and then clustered into five hexagon types based on POI data. Then researchers analyzed information on spatial distribution of POI data in five hexagon types and temporal distribution of boarding and alighting ridership for five hexagon types. The validation results indicated that the expression “Nine to Ten” represents the mode of life for people in Chengdu. Ridesourcing is not yet being used as a commuter tool for most people. LDA model results also verified that many people work overtime in the evenings and especially on Saturday, even though Chengdu is often thought of as a “slow city”. The study will be useful for practitioners and government to implement effective policies about multi-modal transportation.","author":[{"dropping-particle":"","family":"Bi","given":"Hui","non-dropping-particle":"","parse-names":false,"suffix":""},{"dropping-particle":"","family":"Ye","given":"Zhirui","non-dropping-particle":"","parse-names":false,"suffix":""}],"container-title":"Sustainable Cities and Society","id":"ITEM-1","issued":{"date-parts":[["2021","1","1"]]},"page":"102499","publisher":"Elsevier","title":"Exploring ridesourcing trip patterns by fusing multi-source data: A big data approach","type":"article-journal","volume":"64"},"uris":["http://www.mendeley.com/documents/?uuid=1ffafa10-0c06-3992-9e57-5801f7476a42"]}],"mendeley":{"formattedCitation":"(Bi and Ye, 2021)","plainTextFormattedCitation":"(Bi and Ye, 2021)","previouslyFormattedCitation":"&lt;sup&gt;10&lt;/sup&gt;"},"properties":{"noteIndex":0},"schema":"https://github.com/citation-style-language/schema/raw/master/csl-citation.json"}</w:instrText>
      </w:r>
      <w:r>
        <w:rPr>
          <w:rFonts w:cs="Times New Roman"/>
          <w:szCs w:val="24"/>
          <w:lang w:val="en-US"/>
        </w:rPr>
        <w:fldChar w:fldCharType="separate"/>
      </w:r>
      <w:r w:rsidRPr="002F16A5">
        <w:rPr>
          <w:rFonts w:cs="Times New Roman"/>
          <w:noProof/>
          <w:szCs w:val="24"/>
          <w:lang w:val="en-US"/>
        </w:rPr>
        <w:t>(Bi and Ye, 2021)</w:t>
      </w:r>
      <w:r>
        <w:rPr>
          <w:rFonts w:cs="Times New Roman"/>
          <w:szCs w:val="24"/>
          <w:lang w:val="en-US"/>
        </w:rPr>
        <w:fldChar w:fldCharType="end"/>
      </w:r>
      <w:r w:rsidRPr="001810F6">
        <w:rPr>
          <w:rFonts w:cs="Times New Roman"/>
          <w:szCs w:val="24"/>
          <w:lang w:val="en-US"/>
        </w:rPr>
        <w:t>, freight movement</w:t>
      </w:r>
      <w:r w:rsidR="00520CC2">
        <w:rPr>
          <w:rFonts w:cs="Times New Roman"/>
          <w:szCs w:val="24"/>
          <w:lang w:val="en-US"/>
        </w:rPr>
        <w:t xml:space="preserve"> modeling</w:t>
      </w:r>
      <w:r w:rsidRPr="001810F6">
        <w:rPr>
          <w:rFonts w:cs="Times New Roman"/>
          <w:szCs w:val="24"/>
          <w:lang w:val="en-US"/>
        </w:rPr>
        <w:t xml:space="preserve"> </w:t>
      </w:r>
      <w:r w:rsidRPr="001810F6">
        <w:rPr>
          <w:rFonts w:cs="Times New Roman"/>
          <w:szCs w:val="24"/>
        </w:rPr>
        <w:fldChar w:fldCharType="begin" w:fldLock="1"/>
      </w:r>
      <w:r>
        <w:rPr>
          <w:rFonts w:cs="Times New Roman"/>
          <w:szCs w:val="24"/>
        </w:rPr>
        <w:instrText>ADDIN CSL_CITATION {"citationItems":[{"id":"ITEM-1","itemData":{"abstract":"In the past, regional transportation planners primarily focused on passenger traffic demand and forecast modeling. Many metropolitan areas were unable to include freight in regional planning due to lacking of data. With the growing freight movement and its significant impact on regional and national economy, many planning agencies are investing more resources on integrating freight into transportation planning and using freight models to better support transportation decision making. Data is critical to derive parameters and support analysis processes in developing a model. However, freight data acquisition, due to the proprietary nature of data, has been an ongoing challenge. Existing public freight data is insufficient to support advanced freight modeling. Collecting additional data or identifying new data sources is essential to support effective freight modeling and planning. The FHWA has established a partnership with the American Transportation Research Institute (ATRI) to measure truck travel speed on freight-significant corridors since 2002. This paper explores the feasibility of generating truck performance measures that can be fed to freight models. As an example, 12-month of private truck GPS data from ATRI and traffic data from state DOTs were utilized to study trucking activity, level of congestion, and travel time reliability along the I94/90 corridor between the Twin Cities and Chicago. The data analysis methodology demonstrated the capability of using truck GPS data to generate performance measures for potential applications such as measuring truck travel time reliability, evaluating impact of congestion on cost of freight, identifying truck stop or parking facility needs, and studying the impact of traffic volume with respect to speed gap difference between passenger vehicles and trucks. Resulting performance indices can thereafter be utilized to support freight modeling, planning and decision making.","author":[{"dropping-particle":"","family":"Liao","given":"Chen-Fu","non-dropping-particle":"","parse-names":false,"suffix":""}],"id":"ITEM-1","issued":{"date-parts":[["2016"]]},"title":"Fusing Public and Private Truck Data to Support Regional Freight Planning and Modeling Traffic Information for People with Vision Impairment View project Fusing Public and Private Truck Data to Support Regional Freight Planning and Modeling","type":"article-journal"},"uris":["http://www.mendeley.com/documents/?uuid=5a6d1f4b-8f14-39a7-8d06-ced0e7260e9a"]},{"id":"ITEM-2","itemData":{"DOI":"10.1061/jtepbs.0000294","ISSN":"2473-2907","abstract":"© 2019 American Society of Civil Engineers. A major hurdle in freight demand modeling has always been the lack of adequate data on freight movements for different industry sectors for planning applications. Both Freight Analysis Framework (FAF) and Transearch (TS) databases contain annualized commodity flow data. However, the representations of commodity flows in the two databases are inherently different. FAF flows represent estimated transportation network flows, whereas TS flows represent production-consumption commodity flows. This study aims to develop a fused database from FAF and TS to determine transportation network flows at a fine spatial resolution (county level) while accommodating production and consumption behavioral trends (provided by TS). To this end, a joint econometric model framework embedded within a network flow approach and grounded in a maximum-likelihood technique is formulated to estimate county-level commodity flows. The algorithm is implemented for the commodity flow information from 2012 FAF data and 2011 TS databases to generate transportation network flows for 67 counties in Florida. The proposed approach may be able to circumvent the need to purchase expensive TS databases in the future.","author":[{"dropping-particle":"","family":"Momtaz","given":"Salah Uddin","non-dropping-particle":"","parse-names":false,"suffix":""},{"dropping-particle":"","family":"Eluru","given":"Naveen","non-dropping-particle":"","parse-names":false,"suffix":""},{"dropping-particle":"","family":"Anowar","given":"Sabreena","non-dropping-particle":"","parse-names":false,"suffix":""},{"dropping-particle":"","family":"Keya","given":"Nowreen","non-dropping-particle":"","parse-names":false,"suffix":""},{"dropping-particle":"","family":"Dey","given":"Bibhas Kumar","non-dropping-particle":"","parse-names":false,"suffix":""},{"dropping-particle":"","family":"Pinjari","given":"Abdul","non-dropping-particle":"","parse-names":false,"suffix":""},{"dropping-particle":"","family":"Tabatabaee","given":"S. Frank","non-dropping-particle":"","parse-names":false,"suffix":""}],"container-title":"Journal of Transportation Engineering, Part A: Systems","id":"ITEM-2","issue":"2","issued":{"date-parts":[["2020"]]},"page":"04019070","title":"Fusing Freight Analysis Framework and Transearch Data: Econometric Data Fusion Approach with Application to Florida","type":"article-journal","volume":"146"},"uris":["http://www.mendeley.com/documents/?uuid=6d0c7e5e-5b32-38ad-9d34-f716d258b175"]},{"id":"ITEM-3","itemData":{"DOI":"10.1016/j.tre.2020.101890","ISSN":"13665545","abstract":"Knowledge of spatial distributions of weight-categorized truck flows in a region is critical to the understanding of movements of empty or partially-loaded trucks and devising appropriate strategies to reduce empty or partially-loaded truck flows and improve truck utilization efficiency in the region. However, such disaggregated information cannot be directly obtained from existing data sources and models. In this paper, we propose a compact model for estimating weight-categorized truck origin–destination (OD) flows and link-level truck counts by fusing several freight datasets. The proposed model minimizes the squared errors between the estimated and observed truck OD flows and link volumes considering the flow conservation of trucks and commodity weights. To illustrate a real-world application of this model, a case study is conducted to estimate the spatial distribution of empty or partially-loaded truck flows into, within, and out of the State of Florida. With the case study results, high production- and attraction-zones of empty or partially-loaded truck trips are also identified. Such results can potentially inform freight planning and policy decisions to learn spatial patterns of empty or partially-loaded backhauling truck flows and devise countermeasures to reduce such flows and improve freight transportation efficiency. This is particularly relevant to a terminal state such as Florida that has large volumes of back-hauling truck flow.","author":[{"dropping-particle":"","family":"Zhao","given":"Dongfang","non-dropping-particle":"","parse-names":false,"suffix":""},{"dropping-particle":"","family":"Balusu","given":"Suryaprasanna Kumar","non-dropping-particle":"","parse-names":false,"suffix":""},{"dropping-particle":"","family":"Sheela","given":"Parvathy Vinod","non-dropping-particle":"","parse-names":false,"suffix":""},{"dropping-particle":"","family":"Li","given":"Xiaopeng","non-dropping-particle":"","parse-names":false,"suffix":""},{"dropping-particle":"","family":"Pinjari","given":"Abdul Rawoof","non-dropping-particle":"","parse-names":false,"suffix":""},{"dropping-particle":"","family":"Eluru","given":"Naveen","non-dropping-particle":"","parse-names":false,"suffix":""}],"container-title":"Transportation Research Part E: Logistics and Transportation Review","id":"ITEM-3","issued":{"date-parts":[["2020","4","1"]]},"page":"101890","publisher":"Pergamon","title":"Weight-categorized truck flow estimation: A data-fusion approach and a Florida case study","type":"article-journal","volume":"136"},"uris":["http://www.mendeley.com/documents/?uuid=0cf7f9b6-2e6c-3c44-a7a9-a9382ecf494e"]}],"mendeley":{"formattedCitation":"(Liao, 2016; Momtaz et al., 2020; Zhao et al., 2020)","plainTextFormattedCitation":"(Liao, 2016; Momtaz et al., 2020; Zhao et al., 2020)","previouslyFormattedCitation":"&lt;sup&gt;11–13&lt;/sup&gt;"},"properties":{"noteIndex":0},"schema":"https://github.com/citation-style-language/schema/raw/master/csl-citation.json"}</w:instrText>
      </w:r>
      <w:r w:rsidRPr="001810F6">
        <w:rPr>
          <w:rFonts w:cs="Times New Roman"/>
          <w:szCs w:val="24"/>
        </w:rPr>
        <w:fldChar w:fldCharType="separate"/>
      </w:r>
      <w:r w:rsidRPr="002F16A5">
        <w:rPr>
          <w:rFonts w:cs="Times New Roman"/>
          <w:noProof/>
          <w:szCs w:val="24"/>
        </w:rPr>
        <w:t>(Liao, 2016; Momtaz et al., 2020; Zhao et al., 2020)</w:t>
      </w:r>
      <w:r w:rsidRPr="001810F6">
        <w:rPr>
          <w:rFonts w:cs="Times New Roman"/>
          <w:szCs w:val="24"/>
        </w:rPr>
        <w:fldChar w:fldCharType="end"/>
      </w:r>
      <w:r w:rsidRPr="001810F6">
        <w:rPr>
          <w:rFonts w:cs="Times New Roman"/>
          <w:szCs w:val="24"/>
          <w:lang w:val="en-US"/>
        </w:rPr>
        <w:t xml:space="preserve"> and safety </w:t>
      </w:r>
      <w:r w:rsidRPr="001810F6">
        <w:rPr>
          <w:rFonts w:cs="Times New Roman"/>
          <w:szCs w:val="24"/>
        </w:rPr>
        <w:fldChar w:fldCharType="begin" w:fldLock="1"/>
      </w:r>
      <w:r>
        <w:rPr>
          <w:rFonts w:cs="Times New Roman"/>
          <w:szCs w:val="24"/>
        </w:rPr>
        <w:instrText>ADDIN CSL_CITATION {"citationItems":[{"id":"ITEM-1","itemData":{"DOI":"10.1016/j.aap.2015.08.009","ISSN":"00014575","PMID":"26342892","abstract":"Fatality Analysis Reporting System (FARS) and Generalized Estimates System (GES) data are most commonly used datasets to examine motor vehicle occupant injury severity in the United States (US). The FARS dataset focuses exclusively on fatal crashes, but provides detailed information on the continuum of fatality (a spectrum ranging from a death occurring within thirty days of the crash up to instantaneous death). While such data is beneficial for understanding fatal crashes, it inherently excludes crashes without fatalities. Hence, the exogenous factors identified as critical in contributing (or reducing) to fatality in the FARS data might possibly offer different effects on non-fatal crash severity levels when a truly random sample of crashes is considered. The GES data fills this gap by compiling data on a sample of roadway crashes involving all possible severity consequences providing a more representative sample of traffic crashes in the US. FARS data provides a continuous timeline of the fatal occurrences from the time to crash - as opposed to considering all fatalities to be the same. This allows an analysis of the survival time of victims before their death. The GES, on the other hand, does not offer such detailed information except identifying who died in the crash. The challenge in obtaining representative estimates for the crash population is the lack of readily available \"appropriate\" data that contains information available in both GES and FARS datasets. One way to address this issue is to replace the fatal crashes in the GES data with fatal crashes from FARS data thus augmenting the GES data sample with a very refined categorization of fatal crashes. The sample thus formed, if statistically valid, will provide us with a reasonable representation of the crash population. This paper focuses on developing a framework for pooling of data from FARS and GES data. The validation of the pooled sample against the original GES sample (unpooled sample) is carried out through two methods: (1) univariate sample comparison and (2) econometric model parameter estimate comparison. The validation exercise indicates that parameter estimates obtained using the pooled data model closely resemble the parameter estimates obtained using the unpooled data. After we confirm that the differences in model estimates obtained using the pooled and unpooled data are within an acceptable margin, we also simultaneously examine the whole spectrum of injury severity on an ele…","author":[{"dropping-particle":"","family":"Yasmin","given":"Shamsunnahar","non-dropping-particle":"","parse-names":false,"suffix":""},{"dropping-particle":"","family":"Eluru","given":"Naveen","non-dropping-particle":"","parse-names":false,"suffix":""},{"dropping-particle":"","family":"Pinjari","given":"Abdul R.","non-dropping-particle":"","parse-names":false,"suffix":""}],"container-title":"Accident Analysis and Prevention","id":"ITEM-1","issued":{"date-parts":[["2015","11","1"]]},"page":"112-127","publisher":"Pergamon","title":"Pooling data from fatality analysis reporting system (FARS) and generalized estimates system (GES) to explore the continuum of injury severity spectrum","type":"article-journal","volume":"84"},"uris":["http://www.mendeley.com/documents/?uuid=69cea4eb-287a-3213-b230-ebc5f2e06f05"]},{"id":"ITEM-2","itemData":{"DOI":"10.1016/j.aap.2021.105971","ISSN":"00014575","PMID":"33508696","abstract":"Most existing efforts to assess safety performance require sufficient crash data, which generally takes a few years to collect and suffers from certain limitations (such as long data collection time, under-reporting issue and so on). Alternatively, the surrogate safety measure (SSMs) based approach that can assess traffic safety by capturing the more frequent “near-crash” situations have been developed, but it is criticized for the potential sampling and measurement errors. This study proposes a new safety performance measure—Risk Status (RS), by fusing crash data and SSMs. Real-world connected vehicle data collected in the Safety Pilot Model Deployment (SPMD) project in Ann Arbor, Michigan is used to extract SSMs. With RS treated as a latent variable, a structural equation model with conditional autoregressive spatial effect and corridor-level random parameters is developed to model the interrelationship among RS, crash frequency, risk identified by SSMs, and contributing factors. The modeling results confirm the proposed interrelationship and the necessity to account for both spatial autocorrelation and unobserved heterogeneity. RS can integrate both crash frequency and SSMs together while controlling for observed and unobserved factors. RS is found to be a more reliable criterion for safety assessment in an implementation case of hotspot identification.","author":[{"dropping-particle":"","family":"Yang","given":"Di","non-dropping-particle":"","parse-names":false,"suffix":""},{"dropping-particle":"","family":"Xie","given":"Kun","non-dropping-particle":"","parse-names":false,"suffix":""},{"dropping-particle":"","family":"Ozbay","given":"Kaan","non-dropping-particle":"","parse-names":false,"suffix":""},{"dropping-particle":"","family":"Yang","given":"Hong","non-dropping-particle":"","parse-names":false,"suffix":""}],"container-title":"Accident Analysis and Prevention","id":"ITEM-2","issued":{"date-parts":[["2021","3","1"]]},"page":"105971","publisher":"Pergamon","title":"Fusing crash data and surrogate safety measures for safety assessment: Development of a structural equation model with conditional autoregressive spatial effect and random parameters","type":"article-journal","volume":"152"},"uris":["http://www.mendeley.com/documents/?uuid=e4a999e9-3dc1-3d58-b409-1c7e30f11852"]}],"mendeley":{"formattedCitation":"(Yang et al., 2021; Yasmin et al., 2015)","plainTextFormattedCitation":"(Yang et al., 2021; Yasmin et al., 2015)","previouslyFormattedCitation":"&lt;sup&gt;14,15&lt;/sup&gt;"},"properties":{"noteIndex":0},"schema":"https://github.com/citation-style-language/schema/raw/master/csl-citation.json"}</w:instrText>
      </w:r>
      <w:r w:rsidRPr="001810F6">
        <w:rPr>
          <w:rFonts w:cs="Times New Roman"/>
          <w:szCs w:val="24"/>
        </w:rPr>
        <w:fldChar w:fldCharType="separate"/>
      </w:r>
      <w:r w:rsidRPr="002F16A5">
        <w:rPr>
          <w:rFonts w:cs="Times New Roman"/>
          <w:noProof/>
          <w:szCs w:val="24"/>
        </w:rPr>
        <w:t>(Yang et al., 2021; Yasmin et al., 2015)</w:t>
      </w:r>
      <w:r w:rsidRPr="001810F6">
        <w:rPr>
          <w:rFonts w:cs="Times New Roman"/>
          <w:szCs w:val="24"/>
        </w:rPr>
        <w:fldChar w:fldCharType="end"/>
      </w:r>
      <w:r w:rsidR="003638DA">
        <w:rPr>
          <w:rFonts w:cs="Times New Roman"/>
          <w:szCs w:val="24"/>
        </w:rPr>
        <w:t xml:space="preserve">. These research efforts </w:t>
      </w:r>
      <w:r w:rsidRPr="001810F6">
        <w:rPr>
          <w:rFonts w:cs="Times New Roman"/>
          <w:szCs w:val="24"/>
          <w:lang w:val="en-US"/>
        </w:rPr>
        <w:t>focus on improving the quality of the data</w:t>
      </w:r>
      <w:r>
        <w:rPr>
          <w:rFonts w:cs="Times New Roman"/>
          <w:szCs w:val="24"/>
          <w:lang w:val="en-US"/>
        </w:rPr>
        <w:t xml:space="preserve"> </w:t>
      </w:r>
      <w:r w:rsidR="003638DA">
        <w:rPr>
          <w:rFonts w:cs="Times New Roman"/>
          <w:szCs w:val="24"/>
          <w:lang w:val="en-US"/>
        </w:rPr>
        <w:t>available for analysis</w:t>
      </w:r>
      <w:r w:rsidRPr="001810F6">
        <w:rPr>
          <w:rFonts w:cs="Times New Roman"/>
          <w:szCs w:val="24"/>
          <w:lang w:val="en-US"/>
        </w:rPr>
        <w:t xml:space="preserve">. </w:t>
      </w:r>
    </w:p>
    <w:p w14:paraId="0A086F38" w14:textId="37402891" w:rsidR="00EF36E7" w:rsidRDefault="004C2151">
      <w:pPr>
        <w:ind w:firstLine="720"/>
        <w:rPr>
          <w:rFonts w:cs="Times New Roman"/>
          <w:color w:val="2E2E2E"/>
          <w:szCs w:val="24"/>
        </w:rPr>
      </w:pPr>
      <w:bookmarkStart w:id="1" w:name="_Hlk160057621"/>
      <w:bookmarkEnd w:id="0"/>
      <w:r>
        <w:rPr>
          <w:rFonts w:cs="Times New Roman"/>
          <w:szCs w:val="24"/>
          <w:lang w:val="en-US"/>
        </w:rPr>
        <w:t xml:space="preserve">Recently, </w:t>
      </w:r>
      <w:r w:rsidR="00EF36E7">
        <w:rPr>
          <w:rFonts w:cs="Times New Roman"/>
          <w:szCs w:val="24"/>
          <w:lang w:val="en-US"/>
        </w:rPr>
        <w:t>in the travel demand modeling sector, mobile phone data is combined with other data sources including transportation data (</w:t>
      </w:r>
      <w:r w:rsidR="00391F85">
        <w:rPr>
          <w:rFonts w:cs="Times New Roman"/>
          <w:szCs w:val="24"/>
          <w:lang w:val="en-US"/>
        </w:rPr>
        <w:t>such as</w:t>
      </w:r>
      <w:r w:rsidR="00EF36E7">
        <w:rPr>
          <w:rFonts w:cs="Times New Roman"/>
          <w:szCs w:val="24"/>
          <w:lang w:val="en-US"/>
        </w:rPr>
        <w:t xml:space="preserve"> global positioning system, GPS) </w:t>
      </w:r>
      <w:r w:rsidR="00EF36E7">
        <w:rPr>
          <w:rFonts w:cs="Times New Roman"/>
          <w:szCs w:val="24"/>
          <w:lang w:val="en-US"/>
        </w:rPr>
        <w:fldChar w:fldCharType="begin" w:fldLock="1"/>
      </w:r>
      <w:r w:rsidR="00EF36E7">
        <w:rPr>
          <w:rFonts w:cs="Times New Roman"/>
          <w:szCs w:val="24"/>
          <w:lang w:val="en-US"/>
        </w:rPr>
        <w:instrText>ADDIN CSL_CITATION {"citationItems":[{"id":"ITEM-1","itemData":{"DOI":"10.1016/j.trc.2018.09.016","ISSN":"0968090X","abstract":"Even though a variety of human mobility models have been recently developed, models that can capture real-time human mobility of urban populations in a sustainable and economical manner are still lacking. Here, we propose a novel human mobility model that combines the advantages of mobile phone signaling data (i.e., comprehensive penetration in a population) and urban transportation data (i.e., continuous collection and high accuracy). Using the proposed human mobility model, travel demands during each 1-h time window were estimated for the city of Shenzhen, China. Significantly, the estimated travel demands not only preserved the distribution of travel demands, but also captured real-time bursts of mobility fluxes during large crowding events. Finally, based on the proposed human mobility model, a predictive model is deployed to predict crowd gatherings that usually cause severe traffic jams.","author":[{"dropping-particle":"","family":"Huang","given":"Zhiren","non-dropping-particle":"","parse-names":false,"suffix":""},{"dropping-particle":"","family":"Ling","given":"Ximan","non-dropping-particle":"","parse-names":false,"suffix":""},{"dropping-particle":"","family":"Wang","given":"Pu","non-dropping-particle":"","parse-names":false,"suffix":""},{"dropping-particle":"","family":"Zhang","given":"Fan","non-dropping-particle":"","parse-names":false,"suffix":""},{"dropping-particle":"","family":"Mao","given":"Yingping","non-dropping-particle":"","parse-names":false,"suffix":""},{"dropping-particle":"","family":"Lin","given":"Tao","non-dropping-particle":"","parse-names":false,"suffix":""},{"dropping-particle":"","family":"Wang","given":"Fei Yue","non-dropping-particle":"","parse-names":false,"suffix":""}],"container-title":"Transportation Research Part C: Emerging Technologies","id":"ITEM-1","issued":{"date-parts":[["2018","11","1"]]},"page":"251-269","publisher":"Pergamon","title":"Modeling real-time human mobility based on mobile phone and transportation data fusion","type":"article-journal","volume":"96"},"uris":["http://www.mendeley.com/documents/?uuid=171b55ea-dae3-3408-82d6-dcb5d5e882c7"]}],"mendeley":{"formattedCitation":"(Huang et al., 2018)","plainTextFormattedCitation":"(Huang et al., 2018)","previouslyFormattedCitation":"&lt;sup&gt;7&lt;/sup&gt;"},"properties":{"noteIndex":0},"schema":"https://github.com/citation-style-language/schema/raw/master/csl-citation.json"}</w:instrText>
      </w:r>
      <w:r w:rsidR="00EF36E7">
        <w:rPr>
          <w:rFonts w:cs="Times New Roman"/>
          <w:szCs w:val="24"/>
          <w:lang w:val="en-US"/>
        </w:rPr>
        <w:fldChar w:fldCharType="separate"/>
      </w:r>
      <w:r w:rsidR="00EF36E7" w:rsidRPr="002F16A5">
        <w:rPr>
          <w:rFonts w:cs="Times New Roman"/>
          <w:noProof/>
          <w:szCs w:val="24"/>
          <w:lang w:val="en-US"/>
        </w:rPr>
        <w:t>(Huang et al., 2018)</w:t>
      </w:r>
      <w:r w:rsidR="00EF36E7">
        <w:rPr>
          <w:rFonts w:cs="Times New Roman"/>
          <w:szCs w:val="24"/>
          <w:lang w:val="en-US"/>
        </w:rPr>
        <w:fldChar w:fldCharType="end"/>
      </w:r>
      <w:r w:rsidR="00EF36E7">
        <w:rPr>
          <w:rFonts w:cs="Times New Roman"/>
          <w:szCs w:val="24"/>
          <w:lang w:val="en-US"/>
        </w:rPr>
        <w:t xml:space="preserve">, traffic count data </w:t>
      </w:r>
      <w:r w:rsidR="00EF36E7">
        <w:rPr>
          <w:rFonts w:cs="Times New Roman"/>
          <w:szCs w:val="24"/>
          <w:lang w:val="en-US"/>
        </w:rPr>
        <w:fldChar w:fldCharType="begin" w:fldLock="1"/>
      </w:r>
      <w:r w:rsidR="00EF36E7">
        <w:rPr>
          <w:rFonts w:cs="Times New Roman"/>
          <w:szCs w:val="24"/>
          <w:lang w:val="en-US"/>
        </w:rPr>
        <w:instrText>ADDIN CSL_CITATION {"citationItems":[{"id":"ITEM-1","itemData":{"DOI":"10.1016/j.trc.2014.01.002","ISSN":"0968090X","abstract":"In this research, we propose a methodology to develop OD matrices using mobile phone Call Detail Records (CDR) and limited traffic counts. CDR, which consist of time stamped tower locations with caller IDs, are analyzed first and trips occurring within certain time windows are used to generate tower-to-tower transient OD matrices for different time periods. These are then associated with corresponding nodes of the traffic network and converted to node-to-node transient OD matrices. The actual OD matrices are derived by scaling up these node-to-node transient OD matrices. An optimization based approach, in conjunction with a microscopic traffic simulation platform, is used to determine the scaling factors that result best matches with the observed traffic counts. The methodology is demonstrated using CDR from 2.87 million users of Dhaka, Bangladesh over a month and traffic counts from 13 key locations over 3. days of that month. The applicability of the methodology is supported by a validation study. © 2014 Elsevier Ltd.","author":[{"dropping-particle":"","family":"Iqbal","given":"Md Shahadat","non-dropping-particle":"","parse-names":false,"suffix":""},{"dropping-particle":"","family":"Choudhury","given":"Charisma F.","non-dropping-particle":"","parse-names":false,"suffix":""},{"dropping-particle":"","family":"Wang","given":"Pu","non-dropping-particle":"","parse-names":false,"suffix":""},{"dropping-particle":"","family":"González","given":"Marta C.","non-dropping-particle":"","parse-names":false,"suffix":""}],"container-title":"Transportation Research Part C: Emerging Technologies","id":"ITEM-1","issued":{"date-parts":[["2014","3","1"]]},"page":"63-74","publisher":"Pergamon","title":"Development of origin-destination matrices using mobile phone call data","type":"article-journal","volume":"40"},"uris":["http://www.mendeley.com/documents/?uuid=ce3ce7e3-857d-3e97-9ec1-c3af45f32ad0"]}],"mendeley":{"formattedCitation":"(Iqbal et al., 2014)","plainTextFormattedCitation":"(Iqbal et al., 2014)","previouslyFormattedCitation":"&lt;sup&gt;6&lt;/sup&gt;"},"properties":{"noteIndex":0},"schema":"https://github.com/citation-style-language/schema/raw/master/csl-citation.json"}</w:instrText>
      </w:r>
      <w:r w:rsidR="00EF36E7">
        <w:rPr>
          <w:rFonts w:cs="Times New Roman"/>
          <w:szCs w:val="24"/>
          <w:lang w:val="en-US"/>
        </w:rPr>
        <w:fldChar w:fldCharType="separate"/>
      </w:r>
      <w:r w:rsidR="00EF36E7" w:rsidRPr="002F16A5">
        <w:rPr>
          <w:rFonts w:cs="Times New Roman"/>
          <w:noProof/>
          <w:szCs w:val="24"/>
          <w:lang w:val="en-US"/>
        </w:rPr>
        <w:t>(Iqbal et al., 2014)</w:t>
      </w:r>
      <w:r w:rsidR="00EF36E7">
        <w:rPr>
          <w:rFonts w:cs="Times New Roman"/>
          <w:szCs w:val="24"/>
          <w:lang w:val="en-US"/>
        </w:rPr>
        <w:fldChar w:fldCharType="end"/>
      </w:r>
      <w:r w:rsidR="00EF36E7">
        <w:rPr>
          <w:rFonts w:cs="Times New Roman"/>
          <w:szCs w:val="24"/>
          <w:lang w:val="en-US"/>
        </w:rPr>
        <w:t xml:space="preserve">, traffic sensor data </w:t>
      </w:r>
      <w:r w:rsidR="00EF36E7">
        <w:rPr>
          <w:rFonts w:cs="Times New Roman"/>
          <w:szCs w:val="24"/>
          <w:lang w:val="en-US"/>
        </w:rPr>
        <w:fldChar w:fldCharType="begin" w:fldLock="1"/>
      </w:r>
      <w:r w:rsidR="00EF36E7">
        <w:rPr>
          <w:rFonts w:cs="Times New Roman"/>
          <w:szCs w:val="24"/>
          <w:lang w:val="en-US"/>
        </w:rPr>
        <w:instrText>ADDIN CSL_CITATION {"citationItems":[{"id":"ITEM-1","itemData":{"DOI":"10.1016/j.trpro.2015.06.012","ISSN":"23521465","abstract":"A new convex optimization framework is developed for the route flow estimation problem from the fusion of vehicle count and cellular network data. The issue of highly underdetermined link flow based methods in transportation networks is investigated, then solved using the proposed concept of cellpaths for cellular network data. With this data-driven approach, our proposed approach is versatile: it is compatible with other data sources, and it is model agnostic and thus compatible with user equilibrium, system- optimum, Stackelberg concepts, and other models. Using a dimensionality reduction scheme, we design a projected gradient algorithm suitable for the proposed route flow estimation problem. The algorithm solves a block isotonic regression problem in the projection step in linear time. The accuracy, computational efficiency, and versatility of the proposed approach are validated on the I-210 corridor near Los Angeles, where we achieve 90% route flow accuracy with 1033 traffic sensors and 1000 cellular towers covering a large network of highways and arterials with more than 20,000 links. In contrast to long-term land use planning applications, we demonstrate the first system to our knowledge that can produce route-level flow estimates suitable for short time horizon prediction and control applications in traffic management. Our system is open source and available for validation and extension.","author":[{"dropping-particle":"","family":"Wu","given":"Cathy","non-dropping-particle":"","parse-names":false,"suffix":""},{"dropping-particle":"","family":"Thai","given":"Jérôme","non-dropping-particle":"","parse-names":false,"suffix":""},{"dropping-particle":"","family":"Yadlowsky","given":"Steve","non-dropping-particle":"","parse-names":false,"suffix":""},{"dropping-particle":"","family":"Pozdnoukhov","given":"Alexei","non-dropping-particle":"","parse-names":false,"suffix":""},{"dropping-particle":"","family":"Bayen","given":"Alexandre","non-dropping-particle":"","parse-names":false,"suffix":""}],"container-title":"Transportation Research Procedia","id":"ITEM-1","issued":{"date-parts":[["2015"]]},"page":"212-232","title":"Cellpath: Fusion of Cellular and Traffic Sensor Data for Route Flow Estimation via Convex Optimization","type":"article-journal","volume":"7"},"uris":["http://www.mendeley.com/documents/?uuid=7d7c650a-f543-3710-a1ba-b71b98dab4be"]}],"mendeley":{"formattedCitation":"(Wu et al., 2015)","plainTextFormattedCitation":"(Wu et al., 2015)","previouslyFormattedCitation":"&lt;sup&gt;2&lt;/sup&gt;"},"properties":{"noteIndex":0},"schema":"https://github.com/citation-style-language/schema/raw/master/csl-citation.json"}</w:instrText>
      </w:r>
      <w:r w:rsidR="00EF36E7">
        <w:rPr>
          <w:rFonts w:cs="Times New Roman"/>
          <w:szCs w:val="24"/>
          <w:lang w:val="en-US"/>
        </w:rPr>
        <w:fldChar w:fldCharType="separate"/>
      </w:r>
      <w:r w:rsidR="00EF36E7" w:rsidRPr="002F16A5">
        <w:rPr>
          <w:rFonts w:cs="Times New Roman"/>
          <w:noProof/>
          <w:szCs w:val="24"/>
          <w:lang w:val="en-US"/>
        </w:rPr>
        <w:t>(Wu et al., 2015)</w:t>
      </w:r>
      <w:r w:rsidR="00EF36E7">
        <w:rPr>
          <w:rFonts w:cs="Times New Roman"/>
          <w:szCs w:val="24"/>
          <w:lang w:val="en-US"/>
        </w:rPr>
        <w:fldChar w:fldCharType="end"/>
      </w:r>
      <w:r w:rsidR="00EF36E7">
        <w:rPr>
          <w:rFonts w:cs="Times New Roman"/>
          <w:szCs w:val="24"/>
          <w:lang w:val="en-US"/>
        </w:rPr>
        <w:t xml:space="preserve"> or sighting data </w:t>
      </w:r>
      <w:r w:rsidR="00EF36E7">
        <w:rPr>
          <w:rFonts w:cs="Times New Roman"/>
          <w:szCs w:val="24"/>
          <w:lang w:val="en-US"/>
        </w:rPr>
        <w:fldChar w:fldCharType="begin" w:fldLock="1"/>
      </w:r>
      <w:r w:rsidR="00EF36E7">
        <w:rPr>
          <w:rFonts w:cs="Times New Roman"/>
          <w:szCs w:val="24"/>
          <w:lang w:val="en-US"/>
        </w:rPr>
        <w:instrText>ADDIN CSL_CITATION {"citationItems":[{"id":"ITEM-1","itemData":{"DOI":"10.1016/j.trc.2017.12.003","ISSN":"0968090X","abstract":"Passively-generated mobile phone data is emerging as a potential data source for transportation research and applications. Despite the large amount of studies based on the mobile phone data, only a few have reported the properties of such data, and documented how they have processed the data. In this paper, we describe two types of common mobile phone data: Call Details Record (CDR) data and sightings data, and propose a data processing framework and the associated algorithms to address two key issues associated with the sightings data: locational uncertainty and oscillation. We show the effectiveness of our proposed methods in addressing these two issues compared to the state of art algorithms in the field. We also demonstrate that without proper processing applied to the data, the statistical regularity of human mobility patterns—a key, significant trait identified for human mobility—is over-estimated. We hope this study will stimulate more studies in examining the properties of such data and developing methods to address them. Though not as glamorous as those directly deriving insights on mobility patterns (such as statistical regularity), understanding properties of such data and developing methods to address them is a fundamental research topic on which important insights are derived on mobility patterns.","author":[{"dropping-particle":"","family":"Wang","given":"Feilong","non-dropping-particle":"","parse-names":false,"suffix":""},{"dropping-particle":"","family":"Chen","given":"Cynthia","non-dropping-particle":"","parse-names":false,"suffix":""}],"container-title":"Transportation Research Part C: Emerging Technologies","id":"ITEM-1","issued":{"date-parts":[["2018","2","1"]]},"page":"58-74","publisher":"Pergamon","title":"On data processing required to derive mobility patterns from passively-generated mobile phone data","type":"article-journal","volume":"87"},"uris":["http://www.mendeley.com/documents/?uuid=9eb22a87-ebd7-38c3-a86e-0e2de0b77f9a"]}],"mendeley":{"formattedCitation":"(Wang and Chen, 2018)","plainTextFormattedCitation":"(Wang and Chen, 2018)","previouslyFormattedCitation":"&lt;sup&gt;8&lt;/sup&gt;"},"properties":{"noteIndex":0},"schema":"https://github.com/citation-style-language/schema/raw/master/csl-citation.json"}</w:instrText>
      </w:r>
      <w:r w:rsidR="00EF36E7">
        <w:rPr>
          <w:rFonts w:cs="Times New Roman"/>
          <w:szCs w:val="24"/>
          <w:lang w:val="en-US"/>
        </w:rPr>
        <w:fldChar w:fldCharType="separate"/>
      </w:r>
      <w:r w:rsidR="00EF36E7" w:rsidRPr="002F16A5">
        <w:rPr>
          <w:rFonts w:cs="Times New Roman"/>
          <w:noProof/>
          <w:szCs w:val="24"/>
          <w:lang w:val="en-US"/>
        </w:rPr>
        <w:t>(Wang and Chen, 2018)</w:t>
      </w:r>
      <w:r w:rsidR="00EF36E7">
        <w:rPr>
          <w:rFonts w:cs="Times New Roman"/>
          <w:szCs w:val="24"/>
          <w:lang w:val="en-US"/>
        </w:rPr>
        <w:fldChar w:fldCharType="end"/>
      </w:r>
      <w:r w:rsidR="00EF36E7">
        <w:rPr>
          <w:rFonts w:cs="Times New Roman"/>
          <w:szCs w:val="24"/>
          <w:lang w:val="en-US"/>
        </w:rPr>
        <w:t xml:space="preserve"> to estimate the origin-destination matrices more effectively. </w:t>
      </w:r>
      <w:r w:rsidR="00EF36E7">
        <w:rPr>
          <w:rFonts w:cs="Times New Roman"/>
          <w:szCs w:val="24"/>
          <w:lang w:val="en-US"/>
        </w:rPr>
        <w:fldChar w:fldCharType="begin" w:fldLock="1"/>
      </w:r>
      <w:r w:rsidR="00EF36E7">
        <w:rPr>
          <w:rFonts w:cs="Times New Roman"/>
          <w:szCs w:val="24"/>
          <w:lang w:val="en-US"/>
        </w:rPr>
        <w:instrText>ADDIN CSL_CITATION {"citationItems":[{"id":"ITEM-1","itemData":{"DOI":"10.1145/2525314.2525343","ISBN":"9781450325219","abstract":"The advances in mobile computing and social networking services enable people to probe the dynamics of a city. In this paper, we address the problem of detecting and describing traffic anomalies using crowd sensing with two forms of data, human mobility and social media. Traffic anomalies are caused by accidents, control, protests, sport events, celebrations, disasters and other events. Unlike existing traffic-anomaly-detection methods, we identify anomalies according to drivers' routing behavior on an urban road network. Here, a detected anomaly is represented by a sub-graph of a road network where drivers' routing behaviors significantly differ from their original patterns. We then try to describe the detected anomaly by mining representative terms from the social media that people posted when the anomaly happened. The system for detecting such traffic anomalies can benefit both drivers and transportation authorities, e.g., by notifying drivers approaching an anomaly and suggesting alternative routes, as well as supporting traffic jam diagnosis and dispersal. We evaluate our system with a GPS trajectory dataset generated by over 30,000 taxicabs over a period of 3 months in Beijing, and a dataset of tweets collected from WeiBo, a Twitter-like social site in China. The results demonstrate the effectiveness and efficiency of our system. © 2013 ACM.","author":[{"dropping-particle":"","family":"Pan","given":"Bei","non-dropping-particle":"","parse-names":false,"suffix":""},{"dropping-particle":"","family":"Zheng","given":"Yu","non-dropping-particle":"","parse-names":false,"suffix":""},{"dropping-particle":"","family":"Wilkie","given":"David","non-dropping-particle":"","parse-names":false,"suffix":""},{"dropping-particle":"","family":"Shahabi","given":"Cyrus","non-dropping-particle":"","parse-names":false,"suffix":""}],"container-title":"GIS: Proceedings of the ACM International Symposium on Advances in Geographic Information Systems","id":"ITEM-1","issued":{"date-parts":[["2013"]]},"page":"334-343","title":"Crowd sensing of traffic anomalies based on human mobility and social media","type":"article-journal"},"uris":["http://www.mendeley.com/documents/?uuid=e93c0ce1-1308-39b2-b682-ce4a19366b9e"]}],"mendeley":{"formattedCitation":"(Pan et al., 2013)","plainTextFormattedCitation":"(Pan et al., 2013)","previouslyFormattedCitation":"&lt;sup&gt;3&lt;/sup&gt;"},"properties":{"noteIndex":0},"schema":"https://github.com/citation-style-language/schema/raw/master/csl-citation.json"}</w:instrText>
      </w:r>
      <w:r w:rsidR="00EF36E7">
        <w:rPr>
          <w:rFonts w:cs="Times New Roman"/>
          <w:szCs w:val="24"/>
          <w:lang w:val="en-US"/>
        </w:rPr>
        <w:fldChar w:fldCharType="separate"/>
      </w:r>
      <w:r w:rsidR="00EF36E7" w:rsidRPr="002F16A5">
        <w:rPr>
          <w:rFonts w:cs="Times New Roman"/>
          <w:noProof/>
          <w:szCs w:val="24"/>
          <w:lang w:val="en-US"/>
        </w:rPr>
        <w:t>Pan et al., 2013</w:t>
      </w:r>
      <w:r w:rsidR="00EF36E7">
        <w:rPr>
          <w:rFonts w:cs="Times New Roman"/>
          <w:szCs w:val="24"/>
          <w:lang w:val="en-US"/>
        </w:rPr>
        <w:fldChar w:fldCharType="end"/>
      </w:r>
      <w:r w:rsidR="00EF36E7">
        <w:rPr>
          <w:rFonts w:cs="Times New Roman"/>
          <w:szCs w:val="24"/>
          <w:lang w:val="en-US"/>
        </w:rPr>
        <w:t xml:space="preserve"> linked social media data with GPS data to create a complete picture of the real time traffic anomalies to </w:t>
      </w:r>
      <w:r w:rsidR="00391F85">
        <w:rPr>
          <w:rFonts w:cs="Times New Roman"/>
          <w:szCs w:val="24"/>
          <w:lang w:val="en-US"/>
        </w:rPr>
        <w:t>offer alternative route guidance to drivers during</w:t>
      </w:r>
      <w:r w:rsidR="00EF36E7">
        <w:rPr>
          <w:rFonts w:cs="Times New Roman"/>
          <w:szCs w:val="24"/>
          <w:lang w:val="en-US"/>
        </w:rPr>
        <w:t xml:space="preserve"> congest</w:t>
      </w:r>
      <w:r w:rsidR="00391F85">
        <w:rPr>
          <w:rFonts w:cs="Times New Roman"/>
          <w:szCs w:val="24"/>
          <w:lang w:val="en-US"/>
        </w:rPr>
        <w:t>ed time periods</w:t>
      </w:r>
      <w:r w:rsidR="00EF36E7">
        <w:rPr>
          <w:rFonts w:cs="Times New Roman"/>
          <w:szCs w:val="24"/>
          <w:lang w:val="en-US"/>
        </w:rPr>
        <w:t xml:space="preserve">. </w:t>
      </w:r>
      <w:proofErr w:type="spellStart"/>
      <w:r w:rsidR="00EF36E7" w:rsidRPr="00523E25">
        <w:rPr>
          <w:rFonts w:cs="Times New Roman"/>
          <w:szCs w:val="24"/>
          <w:lang w:val="en-US"/>
        </w:rPr>
        <w:t>Palubinskas</w:t>
      </w:r>
      <w:proofErr w:type="spellEnd"/>
      <w:r w:rsidR="00EF36E7">
        <w:rPr>
          <w:rFonts w:cs="Times New Roman"/>
          <w:szCs w:val="24"/>
          <w:lang w:val="en-US"/>
        </w:rPr>
        <w:t xml:space="preserve"> et al. </w:t>
      </w:r>
      <w:r w:rsidR="00EF36E7">
        <w:rPr>
          <w:rFonts w:cs="Times New Roman"/>
          <w:szCs w:val="24"/>
          <w:lang w:val="en-US"/>
        </w:rPr>
        <w:fldChar w:fldCharType="begin" w:fldLock="1"/>
      </w:r>
      <w:r w:rsidR="00EF36E7">
        <w:rPr>
          <w:rFonts w:cs="Times New Roman"/>
          <w:szCs w:val="24"/>
          <w:lang w:val="en-US"/>
        </w:rPr>
        <w:instrText>ADDIN CSL_CITATION {"citationItems":[{"id":"ITEM-1","itemData":{"ISBN":"9783800730841","ISSN":"21974403","abstract":"Detection of traffic congestion is an important issue both for the transportation research community and everyday life of the motorists. A new type of information is needed for a more efficient use of road networks. Remote sensing sensors installed on aircrafts or satellites enable data collection for various traffic applications over large areas, especially areas not covered with other, e.g. terrestrial sensors, or difficult accessible areas. Synthetic aperture radar (SAR) systems seem to be very promising due to their all-weather capability. We approach the traffic congestion detection problem with a two-channel SAR sensor flying in along-track (ATI) the motorway by combining various techniques: look processing, channel balancing, coherent change detection, e.g. displaced phase center array (DPCA), image processing and incorporation of a priori information such as traffic model and road network. The potential of the proposed method is demonstrated with airborne E-SAR data collected during several campaigns over highways in Germany. Method application for future tight formation of space satellites is discussed.","author":[{"dropping-particle":"","family":"Palubinskas","given":"Gintautas","non-dropping-particle":"","parse-names":false,"suffix":""},{"dropping-particle":"","family":"Runge","given":"Hartmut","non-dropping-particle":"","parse-names":false,"suffix":""}],"container-title":"Proceedings of the European Conference on Synthetic Aperture Radar, EUSAR","id":"ITEM-1","issued":{"date-parts":[["2008"]]},"page":"6-11","title":"Detection of traffic congestion in SAR imagery","type":"article-journal","volume":"1-4"},"uris":["http://www.mendeley.com/documents/?uuid=b1a8c52e-13ce-391c-9ec4-986314879b71"]}],"mendeley":{"formattedCitation":"(Palubinskas and Runge, 2008)","plainTextFormattedCitation":"(Palubinskas and Runge, 2008)","previouslyFormattedCitation":"&lt;sup&gt;4&lt;/sup&gt;"},"properties":{"noteIndex":0},"schema":"https://github.com/citation-style-language/schema/raw/master/csl-citation.json"}</w:instrText>
      </w:r>
      <w:r w:rsidR="00EF36E7">
        <w:rPr>
          <w:rFonts w:cs="Times New Roman"/>
          <w:szCs w:val="24"/>
          <w:lang w:val="en-US"/>
        </w:rPr>
        <w:fldChar w:fldCharType="separate"/>
      </w:r>
      <w:r w:rsidR="00EF36E7" w:rsidRPr="002F16A5">
        <w:rPr>
          <w:rFonts w:cs="Times New Roman"/>
          <w:noProof/>
          <w:szCs w:val="24"/>
          <w:lang w:val="en-US"/>
        </w:rPr>
        <w:t>(Palubinskas and Runge, 2008)</w:t>
      </w:r>
      <w:r w:rsidR="00EF36E7">
        <w:rPr>
          <w:rFonts w:cs="Times New Roman"/>
          <w:szCs w:val="24"/>
          <w:lang w:val="en-US"/>
        </w:rPr>
        <w:fldChar w:fldCharType="end"/>
      </w:r>
      <w:r w:rsidR="00EF36E7">
        <w:rPr>
          <w:rFonts w:cs="Times New Roman"/>
          <w:szCs w:val="24"/>
          <w:lang w:val="en-US"/>
        </w:rPr>
        <w:t xml:space="preserve"> focused on fusing remote sensing data with roadway geographic file to </w:t>
      </w:r>
      <w:r w:rsidR="00391F85">
        <w:rPr>
          <w:rFonts w:cs="Times New Roman"/>
          <w:szCs w:val="24"/>
          <w:lang w:val="en-US"/>
        </w:rPr>
        <w:t>improve our</w:t>
      </w:r>
      <w:r w:rsidR="00EF36E7">
        <w:rPr>
          <w:rFonts w:cs="Times New Roman"/>
          <w:szCs w:val="24"/>
          <w:lang w:val="en-US"/>
        </w:rPr>
        <w:t xml:space="preserve"> understanding of traffic congestion. In Yang et al., </w:t>
      </w:r>
      <w:r w:rsidR="00EF36E7">
        <w:rPr>
          <w:rFonts w:cs="Times New Roman"/>
          <w:szCs w:val="24"/>
          <w:lang w:val="en-US"/>
        </w:rPr>
        <w:fldChar w:fldCharType="begin" w:fldLock="1"/>
      </w:r>
      <w:r w:rsidR="00EF36E7">
        <w:rPr>
          <w:rFonts w:cs="Times New Roman"/>
          <w:szCs w:val="24"/>
          <w:lang w:val="en-US"/>
        </w:rPr>
        <w:instrText>ADDIN CSL_CITATION {"citationItems":[{"id":"ITEM-1","itemData":{"DOI":"10.1155/2020/5321385","ISSN":"20423195","abstract":"A key issue to understand urban system is to characterize the activity dynamics in a city - when, where, what, and how activities happen in a city. To better understand the urban activity dynamics, city-wide and multiday activity participation sequence data, namely, activity chain as well as suitable spatiotemporal models, are needed. The commonly used household travel survey data in activity analysis suffers from limited sample size and temporal coverage. The emergence of large-scale spatiotemporal data in urban areas, such as mobile phone data, provides a new opportunity to infer urban activities and the underlying dynamics. However, the challenge is the absence of labeled activity information in mobile phone data. Consequently, how to fuse the useful information in household survey data and mobile phone data to build city-wide, multiday, and all-time activity chains becomes an important research question. Moreover, the multidimension structure of the activity data (e.g., location, start time, duration, type) makes the extraction of spatiotemporal activity patterns another difficult problem. In this study, the authors first introduce an activity chain inference model based on tensor decomposition to infer the missing activity labels in large-scale and multiday activity data, and then develop a spatiotemporal event clustering model based on DBSCAN, called STE-DBSCAN, to identify the spatiotemporal activity patterns. The proposed approaches achieved good accuracy and produced patterns with a high level of interpretability.","author":[{"dropping-particle":"","family":"Yang","given":"Chao","non-dropping-particle":"","parse-names":false,"suffix":""},{"dropping-particle":"","family":"Zhang","given":"Yuliang","non-dropping-particle":"","parse-names":false,"suffix":""},{"dropping-particle":"","family":"Zhan","given":"Xianyuan","non-dropping-particle":"","parse-names":false,"suffix":""},{"dropping-particle":"V.","family":"Ukkusuri","given":"Satish","non-dropping-particle":"","parse-names":false,"suffix":""},{"dropping-particle":"","family":"Chen","given":"Yifan","non-dropping-particle":"","parse-names":false,"suffix":""}],"container-title":"Journal of Advanced Transportation","id":"ITEM-1","issued":{"date-parts":[["2020"]]},"publisher":"Hindawi Limited","title":"Fusing Mobile Phone and Travel Survey Data to Model Urban Activity Dynamics","type":"article-journal","volume":"2020"},"uris":["http://www.mendeley.com/documents/?uuid=25e55dee-c0b2-308e-8fa6-3ed7a3c40d1d"]}],"mendeley":{"formattedCitation":"(Yang et al., 2020)","plainTextFormattedCitation":"(Yang et al., 2020)","previouslyFormattedCitation":"&lt;sup&gt;9&lt;/sup&gt;"},"properties":{"noteIndex":0},"schema":"https://github.com/citation-style-language/schema/raw/master/csl-citation.json"}</w:instrText>
      </w:r>
      <w:r w:rsidR="00EF36E7">
        <w:rPr>
          <w:rFonts w:cs="Times New Roman"/>
          <w:szCs w:val="24"/>
          <w:lang w:val="en-US"/>
        </w:rPr>
        <w:fldChar w:fldCharType="separate"/>
      </w:r>
      <w:r w:rsidR="00EF36E7" w:rsidRPr="002F16A5">
        <w:rPr>
          <w:rFonts w:cs="Times New Roman"/>
          <w:noProof/>
          <w:szCs w:val="24"/>
          <w:lang w:val="en-US"/>
        </w:rPr>
        <w:t>(Yang et al., 2020)</w:t>
      </w:r>
      <w:r w:rsidR="00EF36E7">
        <w:rPr>
          <w:rFonts w:cs="Times New Roman"/>
          <w:szCs w:val="24"/>
          <w:lang w:val="en-US"/>
        </w:rPr>
        <w:fldChar w:fldCharType="end"/>
      </w:r>
      <w:r w:rsidR="00EF36E7">
        <w:rPr>
          <w:rFonts w:cs="Times New Roman"/>
          <w:szCs w:val="24"/>
          <w:lang w:val="en-US"/>
        </w:rPr>
        <w:t xml:space="preserve">, the authors </w:t>
      </w:r>
      <w:r w:rsidR="00E94880">
        <w:rPr>
          <w:rFonts w:cs="Times New Roman"/>
          <w:szCs w:val="24"/>
          <w:lang w:val="en-US"/>
        </w:rPr>
        <w:t xml:space="preserve">identified potential </w:t>
      </w:r>
      <w:r w:rsidR="00EF36E7">
        <w:rPr>
          <w:rFonts w:cs="Times New Roman"/>
          <w:lang w:val="en-US"/>
        </w:rPr>
        <w:t xml:space="preserve">underreporting of </w:t>
      </w:r>
      <w:r w:rsidR="00E94880">
        <w:rPr>
          <w:rFonts w:cs="Times New Roman"/>
          <w:lang w:val="en-US"/>
        </w:rPr>
        <w:t xml:space="preserve">non-major </w:t>
      </w:r>
      <w:r w:rsidR="00EF36E7">
        <w:rPr>
          <w:rFonts w:cs="Times New Roman"/>
          <w:lang w:val="en-US"/>
        </w:rPr>
        <w:t xml:space="preserve">activities by </w:t>
      </w:r>
      <w:r w:rsidR="00E94880">
        <w:rPr>
          <w:rFonts w:cs="Times New Roman"/>
          <w:lang w:val="en-US"/>
        </w:rPr>
        <w:t>survey</w:t>
      </w:r>
      <w:r w:rsidR="00EF36E7">
        <w:rPr>
          <w:rFonts w:cs="Times New Roman"/>
          <w:lang w:val="en-US"/>
        </w:rPr>
        <w:t xml:space="preserve"> respondent</w:t>
      </w:r>
      <w:r w:rsidR="00E94880">
        <w:rPr>
          <w:rFonts w:cs="Times New Roman"/>
          <w:lang w:val="en-US"/>
        </w:rPr>
        <w:t>s</w:t>
      </w:r>
      <w:r w:rsidR="00EF36E7">
        <w:rPr>
          <w:rFonts w:cs="Times New Roman"/>
          <w:lang w:val="en-US"/>
        </w:rPr>
        <w:t xml:space="preserve"> </w:t>
      </w:r>
      <w:r w:rsidR="00EF36E7">
        <w:rPr>
          <w:rFonts w:cs="Times New Roman"/>
          <w:lang w:val="en-US"/>
        </w:rPr>
        <w:fldChar w:fldCharType="begin" w:fldLock="1"/>
      </w:r>
      <w:r w:rsidR="00EF36E7">
        <w:rPr>
          <w:rFonts w:cs="Times New Roman"/>
          <w:lang w:val="en-US"/>
        </w:rPr>
        <w:instrText>ADDIN CSL_CITATION {"citationItems":[{"id":"ITEM-1","itemData":{"DOI":"10.1016/j.trc.2008.11.004","ISSN":"0968090X","abstract":"In the past few decades, travel patterns have become more complex and policy makers demand more detailed information. As a result, conventional data collection methods seem no longer adequate to satisfy all data needs. Travel researchers around the world are currently experimenting with different Global Positioning System (GPS)-based data collection methods. An overview of the literature shows the potential of these methods, especially when algorithms that include spatial data are used to derive trip characteristics from the GPS logs. This article presents an innovative method that combines GPS logs, Geographic Information System (GIS) technology and an interactive web-based validation application. In particular, this approach concentrates on the issue of deriving and validating trip purposes and travel modes, as well as allowing for reliable multi-day data collection. In 2007, this method was used in practice in a large-scale study conducted in the Netherlands. In total, 1104 respondents successfully participated in the one-week survey. The project demonstrated that GPS-based methods now provide reliable multi-day data. In comparison with data from the Dutch Travel Survey, travel mode and trip purpose shares were almost equal while more trips per tour were recorded, which indicates the ability of collecting trips that are missed by paper diary methods. © 2008 Elsevier Ltd. All rights reserved.","author":[{"dropping-particle":"","family":"Bohte","given":"Wendy","non-dropping-particle":"","parse-names":false,"suffix":""},{"dropping-particle":"","family":"Maat","given":"Kees","non-dropping-particle":"","parse-names":false,"suffix":""}],"container-title":"Transportation Research Part C: Emerging Technologies","id":"ITEM-1","issue":"3","issued":{"date-parts":[["2009","6","1"]]},"page":"285-297","publisher":"Pergamon","title":"Deriving and validating trip purposes and travel modes for multi-day GPS-based travel surveys: A large-scale application in the Netherlands","type":"article-journal","volume":"17"},"uris":["http://www.mendeley.com/documents/?uuid=a8b24b1c-0c1a-388f-9efd-95a5ceb9f866"]}],"mendeley":{"formattedCitation":"(Bohte and Maat, 2009)","plainTextFormattedCitation":"(Bohte and Maat, 2009)","previouslyFormattedCitation":"&lt;sup&gt;16&lt;/sup&gt;"},"properties":{"noteIndex":0},"schema":"https://github.com/citation-style-language/schema/raw/master/csl-citation.json"}</w:instrText>
      </w:r>
      <w:r w:rsidR="00EF36E7">
        <w:rPr>
          <w:rFonts w:cs="Times New Roman"/>
          <w:lang w:val="en-US"/>
        </w:rPr>
        <w:fldChar w:fldCharType="separate"/>
      </w:r>
      <w:r w:rsidR="00EF36E7" w:rsidRPr="002F16A5">
        <w:rPr>
          <w:rFonts w:cs="Times New Roman"/>
          <w:noProof/>
          <w:lang w:val="en-US"/>
        </w:rPr>
        <w:t>(</w:t>
      </w:r>
      <w:r w:rsidR="00E94880">
        <w:rPr>
          <w:rFonts w:cs="Times New Roman"/>
          <w:noProof/>
          <w:lang w:val="en-US"/>
        </w:rPr>
        <w:t xml:space="preserve">as highlighted in </w:t>
      </w:r>
      <w:r w:rsidR="00EF36E7" w:rsidRPr="002F16A5">
        <w:rPr>
          <w:rFonts w:cs="Times New Roman"/>
          <w:noProof/>
          <w:lang w:val="en-US"/>
        </w:rPr>
        <w:t>Bohte and Maat, 2009)</w:t>
      </w:r>
      <w:r w:rsidR="00EF36E7">
        <w:rPr>
          <w:rFonts w:cs="Times New Roman"/>
          <w:lang w:val="en-US"/>
        </w:rPr>
        <w:fldChar w:fldCharType="end"/>
      </w:r>
      <w:r w:rsidR="00EF36E7">
        <w:rPr>
          <w:rFonts w:cs="Times New Roman"/>
          <w:lang w:val="en-US"/>
        </w:rPr>
        <w:t xml:space="preserve">. </w:t>
      </w:r>
      <w:r w:rsidR="00E94880">
        <w:rPr>
          <w:rFonts w:cs="Times New Roman"/>
          <w:lang w:val="en-US"/>
        </w:rPr>
        <w:t>T</w:t>
      </w:r>
      <w:r w:rsidR="00EF36E7">
        <w:rPr>
          <w:rFonts w:cs="Times New Roman"/>
          <w:lang w:val="en-US"/>
        </w:rPr>
        <w:t xml:space="preserve">he authors fused </w:t>
      </w:r>
      <w:r w:rsidR="004E4AFA">
        <w:rPr>
          <w:rFonts w:cs="Times New Roman"/>
          <w:lang w:val="en-US"/>
        </w:rPr>
        <w:t xml:space="preserve">the </w:t>
      </w:r>
      <w:r w:rsidR="00EF36E7">
        <w:rPr>
          <w:rFonts w:cs="Times New Roman"/>
          <w:lang w:val="en-US"/>
        </w:rPr>
        <w:t xml:space="preserve">travel survey data to </w:t>
      </w:r>
      <w:r w:rsidR="004E4AFA">
        <w:rPr>
          <w:rFonts w:cs="Times New Roman"/>
          <w:lang w:val="en-US"/>
        </w:rPr>
        <w:t xml:space="preserve">mobile phone data to </w:t>
      </w:r>
      <w:r w:rsidR="00EF36E7">
        <w:rPr>
          <w:rFonts w:cs="Times New Roman"/>
          <w:lang w:val="en-US"/>
        </w:rPr>
        <w:t xml:space="preserve">achieve </w:t>
      </w:r>
      <w:r w:rsidR="004E4AFA">
        <w:rPr>
          <w:rFonts w:cs="Times New Roman"/>
          <w:lang w:val="en-US"/>
        </w:rPr>
        <w:t xml:space="preserve">improved </w:t>
      </w:r>
      <w:r w:rsidR="00EF36E7">
        <w:rPr>
          <w:rFonts w:cs="Times New Roman"/>
          <w:lang w:val="en-US"/>
        </w:rPr>
        <w:t xml:space="preserve">accuracy in predicting activity patterns. </w:t>
      </w:r>
      <w:r w:rsidR="00EF36E7">
        <w:rPr>
          <w:rFonts w:cs="Times New Roman"/>
          <w:szCs w:val="24"/>
          <w:lang w:val="en-US"/>
        </w:rPr>
        <w:fldChar w:fldCharType="begin" w:fldLock="1"/>
      </w:r>
      <w:r w:rsidR="00EF36E7">
        <w:rPr>
          <w:rFonts w:cs="Times New Roman"/>
          <w:szCs w:val="24"/>
          <w:lang w:val="en-US"/>
        </w:rPr>
        <w:instrText>ADDIN CSL_CITATION {"citationItems":[{"id":"ITEM-1","itemData":{"DOI":"10.1016/j.scs.2020.102499","ISSN":"22106707","abstract":"Ridesourcing service has been playing an increasingly important role in urban travel, which it can be regard as a promising path towards urban sustainability because of its nature of “sharing”. This paper investigated the travel behavior of ridesourcing users, by considering pick-up and drop-off locations fusing Didi ridesourcing data and online Point of Interest (POI) data based on the Latent Dirichlet Allocation (LDA) model. A case study was conducted in Chengdu, an Asian city. Firstly, the study area was tessellated with hexagons and then clustered into five hexagon types based on POI data. Then researchers analyzed information on spatial distribution of POI data in five hexagon types and temporal distribution of boarding and alighting ridership for five hexagon types. The validation results indicated that the expression “Nine to Ten” represents the mode of life for people in Chengdu. Ridesourcing is not yet being used as a commuter tool for most people. LDA model results also verified that many people work overtime in the evenings and especially on Saturday, even though Chengdu is often thought of as a “slow city”. The study will be useful for practitioners and government to implement effective policies about multi-modal transportation.","author":[{"dropping-particle":"","family":"Bi","given":"Hui","non-dropping-particle":"","parse-names":false,"suffix":""},{"dropping-particle":"","family":"Ye","given":"Zhirui","non-dropping-particle":"","parse-names":false,"suffix":""}],"container-title":"Sustainable Cities and Society","id":"ITEM-1","issued":{"date-parts":[["2021","1","1"]]},"page":"102499","publisher":"Elsevier","title":"Exploring ridesourcing trip patterns by fusing multi-source data: A big data approach","type":"article-journal","volume":"64"},"uris":["http://www.mendeley.com/documents/?uuid=1ffafa10-0c06-3992-9e57-5801f7476a42"]}],"mendeley":{"formattedCitation":"(Bi and Ye, 2021)","plainTextFormattedCitation":"(Bi and Ye, 2021)","previouslyFormattedCitation":"&lt;sup&gt;10&lt;/sup&gt;"},"properties":{"noteIndex":0},"schema":"https://github.com/citation-style-language/schema/raw/master/csl-citation.json"}</w:instrText>
      </w:r>
      <w:r w:rsidR="00EF36E7">
        <w:rPr>
          <w:rFonts w:cs="Times New Roman"/>
          <w:szCs w:val="24"/>
          <w:lang w:val="en-US"/>
        </w:rPr>
        <w:fldChar w:fldCharType="separate"/>
      </w:r>
      <w:r w:rsidR="00EF36E7" w:rsidRPr="002F16A5">
        <w:rPr>
          <w:rFonts w:cs="Times New Roman"/>
          <w:noProof/>
          <w:szCs w:val="24"/>
          <w:lang w:val="en-US"/>
        </w:rPr>
        <w:t>Bi and Ye, 2021</w:t>
      </w:r>
      <w:r w:rsidR="00EF36E7">
        <w:rPr>
          <w:rFonts w:cs="Times New Roman"/>
          <w:szCs w:val="24"/>
          <w:lang w:val="en-US"/>
        </w:rPr>
        <w:fldChar w:fldCharType="end"/>
      </w:r>
      <w:r w:rsidR="00EF36E7">
        <w:rPr>
          <w:rFonts w:cs="Times New Roman"/>
          <w:szCs w:val="24"/>
          <w:lang w:val="en-US"/>
        </w:rPr>
        <w:t xml:space="preserve"> </w:t>
      </w:r>
      <w:r w:rsidR="00EF36E7" w:rsidRPr="001810F6">
        <w:rPr>
          <w:rFonts w:cs="Times New Roman"/>
          <w:szCs w:val="24"/>
          <w:lang w:val="en-US"/>
        </w:rPr>
        <w:t>combine</w:t>
      </w:r>
      <w:r w:rsidR="00EF36E7">
        <w:rPr>
          <w:rFonts w:cs="Times New Roman"/>
          <w:szCs w:val="24"/>
          <w:lang w:val="en-US"/>
        </w:rPr>
        <w:t>d</w:t>
      </w:r>
      <w:r w:rsidR="00EF36E7" w:rsidRPr="001810F6">
        <w:rPr>
          <w:rFonts w:cs="Times New Roman"/>
          <w:szCs w:val="24"/>
          <w:lang w:val="en-US"/>
        </w:rPr>
        <w:t xml:space="preserve"> ride sourcing trip data with the point of interests (POIs) data through a data driven approach </w:t>
      </w:r>
      <w:r w:rsidR="00BA421A">
        <w:rPr>
          <w:rFonts w:cs="Times New Roman"/>
          <w:szCs w:val="24"/>
          <w:lang w:val="en-US"/>
        </w:rPr>
        <w:t>labeled</w:t>
      </w:r>
      <w:r w:rsidR="00EF36E7" w:rsidRPr="001810F6">
        <w:rPr>
          <w:rFonts w:cs="Times New Roman"/>
          <w:szCs w:val="24"/>
          <w:lang w:val="en-US"/>
        </w:rPr>
        <w:t xml:space="preserve"> </w:t>
      </w:r>
      <w:r w:rsidR="00EF36E7" w:rsidRPr="001810F6">
        <w:rPr>
          <w:rFonts w:cs="Times New Roman"/>
          <w:color w:val="2E2E2E"/>
          <w:szCs w:val="24"/>
        </w:rPr>
        <w:t xml:space="preserve">Latent Dirichlet Allocation (LDA) model to </w:t>
      </w:r>
      <w:r w:rsidR="00EF36E7">
        <w:rPr>
          <w:rFonts w:cs="Times New Roman"/>
          <w:color w:val="2E2E2E"/>
          <w:szCs w:val="24"/>
        </w:rPr>
        <w:t>examine</w:t>
      </w:r>
      <w:r w:rsidR="00EF36E7" w:rsidRPr="001810F6">
        <w:rPr>
          <w:rFonts w:cs="Times New Roman"/>
          <w:color w:val="2E2E2E"/>
          <w:szCs w:val="24"/>
        </w:rPr>
        <w:t xml:space="preserve"> the behaviour of the </w:t>
      </w:r>
      <w:r w:rsidR="00EF36E7">
        <w:rPr>
          <w:rFonts w:cs="Times New Roman"/>
          <w:szCs w:val="24"/>
          <w:lang w:val="en-US"/>
        </w:rPr>
        <w:t>shared mobility</w:t>
      </w:r>
      <w:r w:rsidR="00EF36E7" w:rsidRPr="001810F6">
        <w:rPr>
          <w:rFonts w:cs="Times New Roman"/>
          <w:szCs w:val="24"/>
          <w:lang w:val="en-US"/>
        </w:rPr>
        <w:t xml:space="preserve"> </w:t>
      </w:r>
      <w:r w:rsidR="00EF36E7" w:rsidRPr="001810F6">
        <w:rPr>
          <w:rFonts w:cs="Times New Roman"/>
          <w:color w:val="2E2E2E"/>
          <w:szCs w:val="24"/>
        </w:rPr>
        <w:t xml:space="preserve">user. </w:t>
      </w:r>
      <w:r w:rsidR="00EF36E7">
        <w:rPr>
          <w:rFonts w:cs="Times New Roman"/>
          <w:color w:val="2E2E2E"/>
          <w:szCs w:val="24"/>
        </w:rPr>
        <w:fldChar w:fldCharType="begin" w:fldLock="1"/>
      </w:r>
      <w:r w:rsidR="00EF36E7">
        <w:rPr>
          <w:rFonts w:cs="Times New Roman"/>
          <w:color w:val="2E2E2E"/>
          <w:szCs w:val="24"/>
        </w:rPr>
        <w:instrText>ADDIN CSL_CITATION {"citationItems":[{"id":"ITEM-1","itemData":{"DOI":"10.1061/jtepbs.0000294","ISSN":"2473-2907","abstract":"© 2019 American Society of Civil Engineers. A major hurdle in freight demand modeling has always been the lack of adequate data on freight movements for different industry sectors for planning applications. Both Freight Analysis Framework (FAF) and Transearch (TS) databases contain annualized commodity flow data. However, the representations of commodity flows in the two databases are inherently different. FAF flows represent estimated transportation network flows, whereas TS flows represent production-consumption commodity flows. This study aims to develop a fused database from FAF and TS to determine transportation network flows at a fine spatial resolution (county level) while accommodating production and consumption behavioral trends (provided by TS). To this end, a joint econometric model framework embedded within a network flow approach and grounded in a maximum-likelihood technique is formulated to estimate county-level commodity flows. The algorithm is implemented for the commodity flow information from 2012 FAF data and 2011 TS databases to generate transportation network flows for 67 counties in Florida. The proposed approach may be able to circumvent the need to purchase expensive TS databases in the future.","author":[{"dropping-particle":"","family":"Momtaz","given":"Salah Uddin","non-dropping-particle":"","parse-names":false,"suffix":""},{"dropping-particle":"","family":"Eluru","given":"Naveen","non-dropping-particle":"","parse-names":false,"suffix":""},{"dropping-particle":"","family":"Anowar","given":"Sabreena","non-dropping-particle":"","parse-names":false,"suffix":""},{"dropping-particle":"","family":"Keya","given":"Nowreen","non-dropping-particle":"","parse-names":false,"suffix":""},{"dropping-particle":"","family":"Dey","given":"Bibhas Kumar","non-dropping-particle":"","parse-names":false,"suffix":""},{"dropping-particle":"","family":"Pinjari","given":"Abdul","non-dropping-particle":"","parse-names":false,"suffix":""},{"dropping-particle":"","family":"Tabatabaee","given":"S. Frank","non-dropping-particle":"","parse-names":false,"suffix":""}],"container-title":"Journal of Transportation Engineering, Part A: Systems","id":"ITEM-1","issue":"2","issued":{"date-parts":[["2020"]]},"page":"04019070","title":"Fusing Freight Analysis Framework and Transearch Data: Econometric Data Fusion Approach with Application to Florida","type":"article-journal","volume":"146"},"uris":["http://www.mendeley.com/documents/?uuid=6d0c7e5e-5b32-38ad-9d34-f716d258b175"]}],"mendeley":{"formattedCitation":"(Momtaz et al., 2020)","plainTextFormattedCitation":"(Momtaz et al., 2020)","previouslyFormattedCitation":"&lt;sup&gt;12&lt;/sup&gt;"},"properties":{"noteIndex":0},"schema":"https://github.com/citation-style-language/schema/raw/master/csl-citation.json"}</w:instrText>
      </w:r>
      <w:r w:rsidR="00EF36E7">
        <w:rPr>
          <w:rFonts w:cs="Times New Roman"/>
          <w:color w:val="2E2E2E"/>
          <w:szCs w:val="24"/>
        </w:rPr>
        <w:fldChar w:fldCharType="separate"/>
      </w:r>
      <w:r w:rsidR="00EF36E7" w:rsidRPr="002F16A5">
        <w:rPr>
          <w:rFonts w:cs="Times New Roman"/>
          <w:noProof/>
          <w:color w:val="2E2E2E"/>
          <w:szCs w:val="24"/>
        </w:rPr>
        <w:t>Momtaz et al., 2020</w:t>
      </w:r>
      <w:r w:rsidR="00EF36E7">
        <w:rPr>
          <w:rFonts w:cs="Times New Roman"/>
          <w:color w:val="2E2E2E"/>
          <w:szCs w:val="24"/>
        </w:rPr>
        <w:fldChar w:fldCharType="end"/>
      </w:r>
      <w:r w:rsidR="00EF36E7">
        <w:rPr>
          <w:rFonts w:cs="Times New Roman"/>
          <w:color w:val="2E2E2E"/>
          <w:szCs w:val="24"/>
        </w:rPr>
        <w:t xml:space="preserve"> </w:t>
      </w:r>
      <w:r w:rsidR="00EF36E7" w:rsidRPr="00502600">
        <w:rPr>
          <w:rFonts w:cs="Times New Roman"/>
          <w:color w:val="2E2E2E"/>
          <w:szCs w:val="24"/>
        </w:rPr>
        <w:t xml:space="preserve">fused </w:t>
      </w:r>
      <w:r w:rsidR="00EF36E7">
        <w:rPr>
          <w:rFonts w:cs="Times New Roman"/>
          <w:color w:val="2E2E2E"/>
          <w:szCs w:val="24"/>
        </w:rPr>
        <w:t xml:space="preserve">two commonly used freight databases </w:t>
      </w:r>
      <w:r w:rsidR="0007091A">
        <w:rPr>
          <w:rFonts w:cs="Times New Roman"/>
          <w:color w:val="2E2E2E"/>
          <w:szCs w:val="24"/>
        </w:rPr>
        <w:t>-</w:t>
      </w:r>
      <w:r w:rsidR="00EF36E7">
        <w:rPr>
          <w:rFonts w:cs="Times New Roman"/>
          <w:color w:val="2E2E2E"/>
          <w:szCs w:val="24"/>
        </w:rPr>
        <w:t xml:space="preserve"> </w:t>
      </w:r>
      <w:r w:rsidR="00EF36E7">
        <w:t>Freight Analysis Framework (</w:t>
      </w:r>
      <w:r w:rsidR="00EF36E7" w:rsidRPr="00502600">
        <w:rPr>
          <w:rFonts w:cs="Times New Roman"/>
          <w:color w:val="2E2E2E"/>
          <w:szCs w:val="24"/>
        </w:rPr>
        <w:t>FAF</w:t>
      </w:r>
      <w:r w:rsidR="00EF36E7">
        <w:rPr>
          <w:rFonts w:cs="Times New Roman"/>
          <w:color w:val="2E2E2E"/>
          <w:szCs w:val="24"/>
        </w:rPr>
        <w:t>)</w:t>
      </w:r>
      <w:r w:rsidR="00EF36E7" w:rsidRPr="00502600">
        <w:rPr>
          <w:rFonts w:cs="Times New Roman"/>
          <w:color w:val="2E2E2E"/>
          <w:szCs w:val="24"/>
        </w:rPr>
        <w:t xml:space="preserve"> and </w:t>
      </w:r>
      <w:r w:rsidR="00EF36E7">
        <w:t>Transearch (</w:t>
      </w:r>
      <w:r w:rsidR="00EF36E7" w:rsidRPr="00502600">
        <w:rPr>
          <w:rFonts w:cs="Times New Roman"/>
          <w:color w:val="2E2E2E"/>
          <w:szCs w:val="24"/>
        </w:rPr>
        <w:t>TS</w:t>
      </w:r>
      <w:r w:rsidR="00EF36E7">
        <w:rPr>
          <w:rFonts w:cs="Times New Roman"/>
          <w:color w:val="2E2E2E"/>
          <w:szCs w:val="24"/>
        </w:rPr>
        <w:t>) data</w:t>
      </w:r>
      <w:r w:rsidR="00EF36E7" w:rsidRPr="00502600">
        <w:rPr>
          <w:rFonts w:cs="Times New Roman"/>
          <w:color w:val="2E2E2E"/>
          <w:szCs w:val="24"/>
        </w:rPr>
        <w:t xml:space="preserve"> </w:t>
      </w:r>
      <w:r w:rsidR="0007091A">
        <w:rPr>
          <w:rFonts w:cs="Times New Roman"/>
          <w:color w:val="2E2E2E"/>
          <w:szCs w:val="24"/>
        </w:rPr>
        <w:t xml:space="preserve">- </w:t>
      </w:r>
      <w:r w:rsidR="00EF36E7" w:rsidRPr="00502600">
        <w:rPr>
          <w:rFonts w:cs="Times New Roman"/>
          <w:color w:val="2E2E2E"/>
          <w:szCs w:val="24"/>
        </w:rPr>
        <w:t>to realize transportation network flows at a fine spatial resolution (county level)</w:t>
      </w:r>
      <w:r w:rsidR="00EF36E7">
        <w:rPr>
          <w:rFonts w:cs="Times New Roman"/>
          <w:color w:val="2E2E2E"/>
          <w:szCs w:val="24"/>
        </w:rPr>
        <w:t xml:space="preserve">. </w:t>
      </w:r>
      <w:r w:rsidR="00EF36E7">
        <w:rPr>
          <w:rFonts w:cs="Times New Roman"/>
          <w:color w:val="2E2E2E"/>
          <w:szCs w:val="24"/>
        </w:rPr>
        <w:fldChar w:fldCharType="begin" w:fldLock="1"/>
      </w:r>
      <w:r w:rsidR="00EF36E7">
        <w:rPr>
          <w:rFonts w:cs="Times New Roman"/>
          <w:color w:val="2E2E2E"/>
          <w:szCs w:val="24"/>
        </w:rPr>
        <w:instrText>ADDIN CSL_CITATION {"citationItems":[{"id":"ITEM-1","itemData":{"DOI":"10.1016/j.aap.2015.08.009","ISSN":"00014575","PMID":"26342892","abstract":"Fatality Analysis Reporting System (FARS) and Generalized Estimates System (GES) data are most commonly used datasets to examine motor vehicle occupant injury severity in the United States (US). The FARS dataset focuses exclusively on fatal crashes, but provides detailed information on the continuum of fatality (a spectrum ranging from a death occurring within thirty days of the crash up to instantaneous death). While such data is beneficial for understanding fatal crashes, it inherently excludes crashes without fatalities. Hence, the exogenous factors identified as critical in contributing (or reducing) to fatality in the FARS data might possibly offer different effects on non-fatal crash severity levels when a truly random sample of crashes is considered. The GES data fills this gap by compiling data on a sample of roadway crashes involving all possible severity consequences providing a more representative sample of traffic crashes in the US. FARS data provides a continuous timeline of the fatal occurrences from the time to crash - as opposed to considering all fatalities to be the same. This allows an analysis of the survival time of victims before their death. The GES, on the other hand, does not offer such detailed information except identifying who died in the crash. The challenge in obtaining representative estimates for the crash population is the lack of readily available \"appropriate\" data that contains information available in both GES and FARS datasets. One way to address this issue is to replace the fatal crashes in the GES data with fatal crashes from FARS data thus augmenting the GES data sample with a very refined categorization of fatal crashes. The sample thus formed, if statistically valid, will provide us with a reasonable representation of the crash population. This paper focuses on developing a framework for pooling of data from FARS and GES data. The validation of the pooled sample against the original GES sample (unpooled sample) is carried out through two methods: (1) univariate sample comparison and (2) econometric model parameter estimate comparison. The validation exercise indicates that parameter estimates obtained using the pooled data model closely resemble the parameter estimates obtained using the unpooled data. After we confirm that the differences in model estimates obtained using the pooled and unpooled data are within an acceptable margin, we also simultaneously examine the whole spectrum of injury severity on an ele…","author":[{"dropping-particle":"","family":"Yasmin","given":"Shamsunnahar","non-dropping-particle":"","parse-names":false,"suffix":""},{"dropping-particle":"","family":"Eluru","given":"Naveen","non-dropping-particle":"","parse-names":false,"suffix":""},{"dropping-particle":"","family":"Pinjari","given":"Abdul R.","non-dropping-particle":"","parse-names":false,"suffix":""}],"container-title":"Accident Analysis and Prevention","id":"ITEM-1","issued":{"date-parts":[["2015","11","1"]]},"page":"112-127","publisher":"Pergamon","title":"Pooling data from fatality analysis reporting system (FARS) and generalized estimates system (GES) to explore the continuum of injury severity spectrum","type":"article-journal","volume":"84"},"uris":["http://www.mendeley.com/documents/?uuid=69cea4eb-287a-3213-b230-ebc5f2e06f05"]}],"mendeley":{"formattedCitation":"(Yasmin et al., 2015)","plainTextFormattedCitation":"(Yasmin et al., 2015)","previouslyFormattedCitation":"&lt;sup&gt;14&lt;/sup&gt;"},"properties":{"noteIndex":0},"schema":"https://github.com/citation-style-language/schema/raw/master/csl-citation.json"}</w:instrText>
      </w:r>
      <w:r w:rsidR="00EF36E7">
        <w:rPr>
          <w:rFonts w:cs="Times New Roman"/>
          <w:color w:val="2E2E2E"/>
          <w:szCs w:val="24"/>
        </w:rPr>
        <w:fldChar w:fldCharType="separate"/>
      </w:r>
      <w:r w:rsidR="00EF36E7" w:rsidRPr="002F16A5">
        <w:rPr>
          <w:rFonts w:cs="Times New Roman"/>
          <w:noProof/>
          <w:color w:val="2E2E2E"/>
          <w:szCs w:val="24"/>
        </w:rPr>
        <w:t>Yasmin et al. 2015</w:t>
      </w:r>
      <w:r w:rsidR="00EF36E7">
        <w:rPr>
          <w:rFonts w:cs="Times New Roman"/>
          <w:color w:val="2E2E2E"/>
          <w:szCs w:val="24"/>
        </w:rPr>
        <w:fldChar w:fldCharType="end"/>
      </w:r>
      <w:r w:rsidR="00EF36E7">
        <w:rPr>
          <w:rFonts w:cs="Times New Roman"/>
          <w:color w:val="2E2E2E"/>
          <w:szCs w:val="24"/>
        </w:rPr>
        <w:t xml:space="preserve"> adopted a data fusion algorithm in crash safety literature merg</w:t>
      </w:r>
      <w:r w:rsidR="0007091A">
        <w:rPr>
          <w:rFonts w:cs="Times New Roman"/>
          <w:color w:val="2E2E2E"/>
          <w:szCs w:val="24"/>
        </w:rPr>
        <w:t xml:space="preserve">ing </w:t>
      </w:r>
      <w:r w:rsidR="00EF36E7">
        <w:rPr>
          <w:rFonts w:cs="Times New Roman"/>
          <w:color w:val="2E2E2E"/>
          <w:szCs w:val="24"/>
        </w:rPr>
        <w:t xml:space="preserve">two crash databases- </w:t>
      </w:r>
      <w:r w:rsidR="00EF36E7" w:rsidRPr="009C1248">
        <w:rPr>
          <w:rFonts w:cs="Times New Roman"/>
          <w:color w:val="2E2E2E"/>
          <w:szCs w:val="24"/>
        </w:rPr>
        <w:t xml:space="preserve">Fatality Analysis Reporting System (FARS) and Generalized Estimates System (GES) </w:t>
      </w:r>
      <w:r w:rsidR="0007091A">
        <w:rPr>
          <w:rFonts w:cs="Times New Roman"/>
          <w:color w:val="2E2E2E"/>
          <w:szCs w:val="24"/>
        </w:rPr>
        <w:t>-</w:t>
      </w:r>
      <w:r w:rsidR="00EF36E7" w:rsidRPr="009C1248">
        <w:rPr>
          <w:rFonts w:cs="Times New Roman"/>
          <w:color w:val="2E2E2E"/>
          <w:szCs w:val="24"/>
        </w:rPr>
        <w:t>to undertake injury severity analysis with a very refined</w:t>
      </w:r>
      <w:r w:rsidR="00EF36E7">
        <w:rPr>
          <w:rFonts w:cs="Times New Roman"/>
          <w:color w:val="2E2E2E"/>
          <w:szCs w:val="24"/>
        </w:rPr>
        <w:t xml:space="preserve"> </w:t>
      </w:r>
      <w:r w:rsidR="00EF36E7" w:rsidRPr="009C1248">
        <w:rPr>
          <w:rFonts w:cs="Times New Roman"/>
          <w:color w:val="2E2E2E"/>
          <w:szCs w:val="24"/>
        </w:rPr>
        <w:t>characterization of fatality along with other injury severity levels</w:t>
      </w:r>
      <w:r w:rsidR="0007091A">
        <w:rPr>
          <w:rFonts w:cs="Times New Roman"/>
          <w:color w:val="2E2E2E"/>
          <w:szCs w:val="24"/>
        </w:rPr>
        <w:t>.</w:t>
      </w:r>
    </w:p>
    <w:p w14:paraId="3312AD58" w14:textId="61A849E3" w:rsidR="00E94880" w:rsidRDefault="00335781">
      <w:pPr>
        <w:ind w:firstLine="720"/>
      </w:pPr>
      <w:bookmarkStart w:id="2" w:name="_Hlk160057636"/>
      <w:bookmarkEnd w:id="1"/>
      <w:r>
        <w:rPr>
          <w:rFonts w:cs="Times New Roman"/>
          <w:szCs w:val="24"/>
          <w:lang w:val="en-US"/>
        </w:rPr>
        <w:t xml:space="preserve">Greaves (2006), a study of particular relevance for our work, </w:t>
      </w:r>
      <w:r w:rsidRPr="00323798">
        <w:t>propose</w:t>
      </w:r>
      <w:r>
        <w:t>s</w:t>
      </w:r>
      <w:r w:rsidRPr="00323798">
        <w:t xml:space="preserve"> a method to simulate travel survey data by blending local sociodemographic information from sources </w:t>
      </w:r>
      <w:r>
        <w:t xml:space="preserve">such as </w:t>
      </w:r>
      <w:r w:rsidRPr="00323798">
        <w:t>a census with probability distributions of activity-travel patterns from other surveys. For example, if a specific percentage of individuals in a certain age group and employment category are identified to engage in work-related trips using public transportation, these patterns are assigned to matching characteristics in the simulated data. This technique creates a synthetic sample of households and individuals to represent the broader population, offering a cost-effective alternative to traditional travel surveys</w:t>
      </w:r>
      <w:r>
        <w:t xml:space="preserve">. </w:t>
      </w:r>
      <w:r w:rsidR="00E963DD" w:rsidRPr="00E963DD">
        <w:t xml:space="preserve">The </w:t>
      </w:r>
      <w:r w:rsidR="0007091A">
        <w:t>discussion above</w:t>
      </w:r>
      <w:r w:rsidR="00E963DD" w:rsidRPr="00E963DD">
        <w:t xml:space="preserve"> review clearly highlights the prevalence of data fusion algorithm across various transportation sectors. </w:t>
      </w:r>
      <w:r w:rsidR="00574CC3">
        <w:t xml:space="preserve"> </w:t>
      </w:r>
    </w:p>
    <w:bookmarkEnd w:id="2"/>
    <w:p w14:paraId="4E3D1DDF" w14:textId="3BDBB02B" w:rsidR="00F23FC6" w:rsidRDefault="00574CC3" w:rsidP="0018157A">
      <w:pPr>
        <w:ind w:firstLine="720"/>
        <w:rPr>
          <w:lang w:val="en-US"/>
        </w:rPr>
      </w:pPr>
      <w:r w:rsidDel="00335781">
        <w:t>T</w:t>
      </w:r>
      <w:r w:rsidR="00CF4D0C" w:rsidDel="00335781">
        <w:t>he current study is geared towards proposing</w:t>
      </w:r>
      <w:r w:rsidR="00CF4D0C" w:rsidRPr="007D53FA" w:rsidDel="00335781">
        <w:t xml:space="preserve"> a behavioral fusion algorithm to combine two different datasets without any common identifier</w:t>
      </w:r>
      <w:r w:rsidR="003770A6" w:rsidDel="00335781">
        <w:rPr>
          <w:rStyle w:val="FootnoteReference"/>
        </w:rPr>
        <w:footnoteReference w:id="1"/>
      </w:r>
      <w:r w:rsidR="00CF4D0C" w:rsidRPr="007D53FA" w:rsidDel="00335781">
        <w:t>.</w:t>
      </w:r>
      <w:r w:rsidR="00CF4D0C" w:rsidDel="00335781">
        <w:t xml:space="preserve"> </w:t>
      </w:r>
      <w:r w:rsidR="004C6C86" w:rsidRPr="00381153">
        <w:t xml:space="preserve">In this section, we will summarize the data fusion technique that is being adopted in the analysis </w:t>
      </w:r>
      <w:r w:rsidR="00D014E8">
        <w:t xml:space="preserve">and </w:t>
      </w:r>
      <w:r w:rsidR="00D061B2">
        <w:t xml:space="preserve">highlight </w:t>
      </w:r>
      <w:r w:rsidR="004C6C86" w:rsidRPr="00381153">
        <w:t>the contribution</w:t>
      </w:r>
      <w:r w:rsidR="00D061B2">
        <w:t>s</w:t>
      </w:r>
      <w:r w:rsidR="004C6C86" w:rsidRPr="00381153">
        <w:t xml:space="preserve"> of the study.</w:t>
      </w:r>
      <w:r w:rsidR="004C6C86">
        <w:t xml:space="preserve"> </w:t>
      </w:r>
      <w:r w:rsidR="00E83838">
        <w:t xml:space="preserve">The current approach is focused on a data fusion </w:t>
      </w:r>
      <w:r w:rsidR="00694D48">
        <w:t>algorithm</w:t>
      </w:r>
      <w:r w:rsidR="00E83838">
        <w:t xml:space="preserve"> that augments NHTS data (source dataset) with social media data (Twitter, donor dataset) with a focus on developing an enriched </w:t>
      </w:r>
      <w:r w:rsidR="00D061B2">
        <w:t xml:space="preserve">dataset for </w:t>
      </w:r>
      <w:r w:rsidR="00E83838">
        <w:t>evacuation prediction model</w:t>
      </w:r>
      <w:r w:rsidR="00D061B2">
        <w:t xml:space="preserve"> development</w:t>
      </w:r>
      <w:r w:rsidR="00E83838">
        <w:t xml:space="preserve">. </w:t>
      </w:r>
      <w:r w:rsidR="00F23FC6" w:rsidRPr="000C20C7">
        <w:rPr>
          <w:lang w:val="en-US"/>
        </w:rPr>
        <w:t>The main motivation behind our matching approach is that NHTS data contains detailed socio-demographics, daily travel patterns and/or time use information and location information.</w:t>
      </w:r>
      <w:r w:rsidR="00F23FC6">
        <w:rPr>
          <w:lang w:val="en-US"/>
        </w:rPr>
        <w:t xml:space="preserve"> </w:t>
      </w:r>
      <w:r w:rsidR="00F23FC6" w:rsidRPr="000C20C7">
        <w:rPr>
          <w:lang w:val="en-US"/>
        </w:rPr>
        <w:t>Thus, if we can</w:t>
      </w:r>
      <w:r w:rsidR="00F23FC6">
        <w:rPr>
          <w:lang w:val="en-US"/>
        </w:rPr>
        <w:t xml:space="preserve"> fi</w:t>
      </w:r>
      <w:r w:rsidR="00F23FC6" w:rsidRPr="000C20C7">
        <w:rPr>
          <w:lang w:val="en-US"/>
        </w:rPr>
        <w:t xml:space="preserve">nd </w:t>
      </w:r>
      <w:r w:rsidR="00F23FC6">
        <w:rPr>
          <w:lang w:val="en-US"/>
        </w:rPr>
        <w:t>Twitter</w:t>
      </w:r>
      <w:r w:rsidR="00F23FC6" w:rsidRPr="000C20C7">
        <w:rPr>
          <w:lang w:val="en-US"/>
        </w:rPr>
        <w:t xml:space="preserve"> </w:t>
      </w:r>
      <w:r w:rsidR="00F23FC6" w:rsidRPr="000C20C7">
        <w:rPr>
          <w:lang w:val="en-US"/>
        </w:rPr>
        <w:lastRenderedPageBreak/>
        <w:t>users that match (de</w:t>
      </w:r>
      <w:r w:rsidR="00F23FC6">
        <w:rPr>
          <w:lang w:val="en-US"/>
        </w:rPr>
        <w:t>fi</w:t>
      </w:r>
      <w:r w:rsidR="00F23FC6" w:rsidRPr="000C20C7">
        <w:rPr>
          <w:lang w:val="en-US"/>
        </w:rPr>
        <w:t xml:space="preserve">ned by matching variables deterministically or </w:t>
      </w:r>
      <w:r w:rsidR="00F23FC6">
        <w:rPr>
          <w:lang w:val="en-US"/>
        </w:rPr>
        <w:t>probabilistically</w:t>
      </w:r>
      <w:r w:rsidR="00F23FC6" w:rsidRPr="000C20C7">
        <w:rPr>
          <w:lang w:val="en-US"/>
        </w:rPr>
        <w:t>) with</w:t>
      </w:r>
      <w:r w:rsidR="00F23FC6">
        <w:rPr>
          <w:lang w:val="en-US"/>
        </w:rPr>
        <w:t xml:space="preserve"> </w:t>
      </w:r>
      <w:r w:rsidR="00F23FC6" w:rsidRPr="000C20C7">
        <w:rPr>
          <w:lang w:val="en-US"/>
        </w:rPr>
        <w:t>these survey respondents, we can create a representative data sample. The fused data set will carry the</w:t>
      </w:r>
      <w:r w:rsidR="00F23FC6">
        <w:rPr>
          <w:lang w:val="en-US"/>
        </w:rPr>
        <w:t xml:space="preserve"> </w:t>
      </w:r>
      <w:r w:rsidR="00F23FC6" w:rsidRPr="000C20C7">
        <w:rPr>
          <w:lang w:val="en-US"/>
        </w:rPr>
        <w:t xml:space="preserve">weights (from NHTS) that can be used to generate population-level estimates from </w:t>
      </w:r>
      <w:r w:rsidR="00F23FC6">
        <w:rPr>
          <w:lang w:val="en-US"/>
        </w:rPr>
        <w:t>twitter</w:t>
      </w:r>
      <w:r w:rsidR="00F23FC6" w:rsidRPr="000C20C7">
        <w:rPr>
          <w:lang w:val="en-US"/>
        </w:rPr>
        <w:t xml:space="preserve"> data</w:t>
      </w:r>
      <w:r w:rsidR="00F23FC6">
        <w:rPr>
          <w:lang w:val="en-US"/>
        </w:rPr>
        <w:t xml:space="preserve"> </w:t>
      </w:r>
      <w:r w:rsidR="00F23FC6" w:rsidRPr="000C20C7">
        <w:rPr>
          <w:lang w:val="en-US"/>
        </w:rPr>
        <w:t xml:space="preserve">by correcting for the selection bias present in </w:t>
      </w:r>
      <w:r w:rsidR="00F23FC6">
        <w:rPr>
          <w:lang w:val="en-US"/>
        </w:rPr>
        <w:t>twitter</w:t>
      </w:r>
      <w:r w:rsidR="00F23FC6" w:rsidRPr="000C20C7">
        <w:rPr>
          <w:lang w:val="en-US"/>
        </w:rPr>
        <w:t xml:space="preserve"> data. Furthermore, the fused dataset will have</w:t>
      </w:r>
      <w:r w:rsidR="00F23FC6">
        <w:rPr>
          <w:lang w:val="en-US"/>
        </w:rPr>
        <w:t xml:space="preserve"> </w:t>
      </w:r>
      <w:r w:rsidR="00F23FC6" w:rsidRPr="000C20C7">
        <w:rPr>
          <w:lang w:val="en-US"/>
        </w:rPr>
        <w:t>additional variables that can enrich the developed models. Thus, by merging real-time Twitter data with</w:t>
      </w:r>
      <w:r w:rsidR="00F23FC6">
        <w:rPr>
          <w:lang w:val="en-US"/>
        </w:rPr>
        <w:t xml:space="preserve"> </w:t>
      </w:r>
      <w:r w:rsidR="00F23FC6" w:rsidRPr="000C20C7">
        <w:rPr>
          <w:lang w:val="en-US"/>
        </w:rPr>
        <w:t>survey data, we can build a model to estimate evacuation responses for Twitter users with population weights</w:t>
      </w:r>
      <w:r w:rsidR="00F23FC6">
        <w:rPr>
          <w:lang w:val="en-US"/>
        </w:rPr>
        <w:t xml:space="preserve"> </w:t>
      </w:r>
      <w:r w:rsidR="00F23FC6" w:rsidRPr="000C20C7">
        <w:rPr>
          <w:lang w:val="en-US"/>
        </w:rPr>
        <w:t>and detailed characteristics available from survey data. This will improve the quality of the evacuation</w:t>
      </w:r>
      <w:r w:rsidR="00F23FC6">
        <w:rPr>
          <w:lang w:val="en-US"/>
        </w:rPr>
        <w:t xml:space="preserve"> </w:t>
      </w:r>
      <w:r w:rsidR="00F23FC6" w:rsidRPr="000C20C7">
        <w:rPr>
          <w:lang w:val="en-US"/>
        </w:rPr>
        <w:t>prediction model.</w:t>
      </w:r>
      <w:r w:rsidR="00E56BC5">
        <w:rPr>
          <w:lang w:val="en-US"/>
        </w:rPr>
        <w:t xml:space="preserve"> </w:t>
      </w:r>
    </w:p>
    <w:p w14:paraId="6B7428E6" w14:textId="5064B11F" w:rsidR="00DD69F6" w:rsidRDefault="008F11FE" w:rsidP="0018157A">
      <w:pPr>
        <w:ind w:firstLine="720"/>
        <w:rPr>
          <w:rFonts w:cs="Times New Roman"/>
          <w:lang w:val="en-US"/>
        </w:rPr>
      </w:pPr>
      <w:r>
        <w:rPr>
          <w:lang w:val="en-US"/>
        </w:rPr>
        <w:t xml:space="preserve">Towards </w:t>
      </w:r>
      <w:r w:rsidR="00E56BC5">
        <w:rPr>
          <w:lang w:val="en-US"/>
        </w:rPr>
        <w:t>implementing this fusion</w:t>
      </w:r>
      <w:r w:rsidR="00E83838">
        <w:rPr>
          <w:lang w:val="en-US"/>
        </w:rPr>
        <w:t xml:space="preserve">, we will collect a large </w:t>
      </w:r>
      <w:r w:rsidR="00F106CA">
        <w:rPr>
          <w:lang w:val="en-US"/>
        </w:rPr>
        <w:t>number</w:t>
      </w:r>
      <w:r w:rsidR="00E83838">
        <w:rPr>
          <w:lang w:val="en-US"/>
        </w:rPr>
        <w:t xml:space="preserve"> of social media users from the target location</w:t>
      </w:r>
      <w:r w:rsidR="00BF1426">
        <w:rPr>
          <w:lang w:val="en-US"/>
        </w:rPr>
        <w:t xml:space="preserve"> (the region affected by </w:t>
      </w:r>
      <w:r w:rsidR="00F106CA">
        <w:rPr>
          <w:lang w:val="en-US"/>
        </w:rPr>
        <w:t>H</w:t>
      </w:r>
      <w:r w:rsidR="00CB3CA3">
        <w:rPr>
          <w:lang w:val="en-US"/>
        </w:rPr>
        <w:t xml:space="preserve">urricane </w:t>
      </w:r>
      <w:r w:rsidR="00BF1426">
        <w:rPr>
          <w:lang w:val="en-US"/>
        </w:rPr>
        <w:t>I</w:t>
      </w:r>
      <w:r w:rsidR="00F106CA">
        <w:rPr>
          <w:lang w:val="en-US"/>
        </w:rPr>
        <w:t>rma</w:t>
      </w:r>
      <w:r w:rsidR="00BF1426">
        <w:rPr>
          <w:lang w:val="en-US"/>
        </w:rPr>
        <w:t>)</w:t>
      </w:r>
      <w:r>
        <w:rPr>
          <w:lang w:val="en-US"/>
        </w:rPr>
        <w:t>. Then</w:t>
      </w:r>
      <w:r w:rsidR="00E83838">
        <w:rPr>
          <w:lang w:val="en-US"/>
        </w:rPr>
        <w:t xml:space="preserve">, we will match each user to </w:t>
      </w:r>
      <w:r w:rsidR="00036927">
        <w:rPr>
          <w:lang w:val="en-US"/>
        </w:rPr>
        <w:t>the NHTS</w:t>
      </w:r>
      <w:r w:rsidR="00E83838">
        <w:rPr>
          <w:lang w:val="en-US"/>
        </w:rPr>
        <w:t xml:space="preserve"> survey respondent. </w:t>
      </w:r>
      <w:r w:rsidR="005533BB">
        <w:rPr>
          <w:lang w:val="en-US"/>
        </w:rPr>
        <w:t>Please note that</w:t>
      </w:r>
      <w:r w:rsidR="005533BB" w:rsidRPr="005533BB">
        <w:rPr>
          <w:lang w:val="en-US"/>
        </w:rPr>
        <w:t xml:space="preserve"> </w:t>
      </w:r>
      <w:r w:rsidR="00C70D82">
        <w:rPr>
          <w:lang w:val="en-US"/>
        </w:rPr>
        <w:t>the objective of the fusion is not</w:t>
      </w:r>
      <w:r w:rsidR="00574CC3">
        <w:rPr>
          <w:lang w:val="en-US"/>
        </w:rPr>
        <w:t xml:space="preserve"> to identify </w:t>
      </w:r>
      <w:r w:rsidR="00F106CA">
        <w:rPr>
          <w:lang w:val="en-US"/>
        </w:rPr>
        <w:t xml:space="preserve">the </w:t>
      </w:r>
      <w:r w:rsidR="005533BB" w:rsidRPr="005533BB">
        <w:rPr>
          <w:lang w:val="en-US"/>
        </w:rPr>
        <w:t>social media users who participated</w:t>
      </w:r>
      <w:r w:rsidR="005533BB">
        <w:rPr>
          <w:lang w:val="en-US"/>
        </w:rPr>
        <w:t xml:space="preserve"> </w:t>
      </w:r>
      <w:r w:rsidR="005533BB" w:rsidRPr="005533BB">
        <w:rPr>
          <w:lang w:val="en-US"/>
        </w:rPr>
        <w:t xml:space="preserve">in the NHTS survey. </w:t>
      </w:r>
      <w:r w:rsidR="00574CC3">
        <w:rPr>
          <w:lang w:val="en-US"/>
        </w:rPr>
        <w:t>T</w:t>
      </w:r>
      <w:r w:rsidR="005533BB" w:rsidRPr="005533BB">
        <w:rPr>
          <w:lang w:val="en-US"/>
        </w:rPr>
        <w:t>he idea</w:t>
      </w:r>
      <w:r w:rsidR="005533BB">
        <w:rPr>
          <w:lang w:val="en-US"/>
        </w:rPr>
        <w:t xml:space="preserve"> </w:t>
      </w:r>
      <w:r w:rsidR="005533BB" w:rsidRPr="005533BB">
        <w:rPr>
          <w:lang w:val="en-US"/>
        </w:rPr>
        <w:t xml:space="preserve">is to </w:t>
      </w:r>
      <w:r w:rsidR="005533BB">
        <w:rPr>
          <w:lang w:val="en-US"/>
        </w:rPr>
        <w:t>fi</w:t>
      </w:r>
      <w:r w:rsidR="005533BB" w:rsidRPr="005533BB">
        <w:rPr>
          <w:lang w:val="en-US"/>
        </w:rPr>
        <w:t>nd users who are similar</w:t>
      </w:r>
      <w:r w:rsidR="005533BB">
        <w:rPr>
          <w:lang w:val="en-US"/>
        </w:rPr>
        <w:t xml:space="preserve"> (</w:t>
      </w:r>
      <w:r w:rsidR="00986829">
        <w:rPr>
          <w:lang w:val="en-US"/>
        </w:rPr>
        <w:t>as determined by their attributes including demographics, and location</w:t>
      </w:r>
      <w:r w:rsidR="005533BB">
        <w:rPr>
          <w:lang w:val="en-US"/>
        </w:rPr>
        <w:t>)</w:t>
      </w:r>
      <w:r w:rsidR="005533BB" w:rsidRPr="005533BB">
        <w:rPr>
          <w:lang w:val="en-US"/>
        </w:rPr>
        <w:t xml:space="preserve"> to a survey respondent. To compute similarity, a number of attributes </w:t>
      </w:r>
      <w:r w:rsidR="00F106CA">
        <w:rPr>
          <w:lang w:val="en-US"/>
        </w:rPr>
        <w:t>have been</w:t>
      </w:r>
      <w:r w:rsidR="005533BB">
        <w:rPr>
          <w:lang w:val="en-US"/>
        </w:rPr>
        <w:t xml:space="preserve"> </w:t>
      </w:r>
      <w:r w:rsidR="005533BB" w:rsidRPr="005533BB">
        <w:rPr>
          <w:lang w:val="en-US"/>
        </w:rPr>
        <w:t xml:space="preserve">inferred </w:t>
      </w:r>
      <w:r w:rsidR="00DD69F6">
        <w:rPr>
          <w:lang w:val="en-US"/>
        </w:rPr>
        <w:t>for</w:t>
      </w:r>
      <w:r w:rsidR="00DD69F6" w:rsidRPr="005533BB">
        <w:rPr>
          <w:lang w:val="en-US"/>
        </w:rPr>
        <w:t xml:space="preserve"> </w:t>
      </w:r>
      <w:r w:rsidR="005533BB" w:rsidRPr="005533BB">
        <w:rPr>
          <w:lang w:val="en-US"/>
        </w:rPr>
        <w:t xml:space="preserve">Twitter users (demographic and behavioral), which </w:t>
      </w:r>
      <w:r w:rsidR="00F106CA">
        <w:rPr>
          <w:lang w:val="en-US"/>
        </w:rPr>
        <w:t xml:space="preserve">are </w:t>
      </w:r>
      <w:r w:rsidR="005533BB">
        <w:rPr>
          <w:lang w:val="en-US"/>
        </w:rPr>
        <w:t xml:space="preserve">probabilistically </w:t>
      </w:r>
      <w:r w:rsidR="00F106CA" w:rsidRPr="005533BB">
        <w:rPr>
          <w:lang w:val="en-US"/>
        </w:rPr>
        <w:t xml:space="preserve">matched </w:t>
      </w:r>
      <w:r w:rsidR="00986829">
        <w:rPr>
          <w:lang w:val="en-US"/>
        </w:rPr>
        <w:t>with the</w:t>
      </w:r>
      <w:r w:rsidR="00986829" w:rsidRPr="005533BB">
        <w:rPr>
          <w:lang w:val="en-US"/>
        </w:rPr>
        <w:t xml:space="preserve"> </w:t>
      </w:r>
      <w:r w:rsidR="005533BB" w:rsidRPr="005533BB">
        <w:rPr>
          <w:lang w:val="en-US"/>
        </w:rPr>
        <w:t>survey respondents.</w:t>
      </w:r>
      <w:r w:rsidR="005533BB">
        <w:rPr>
          <w:lang w:val="en-US"/>
        </w:rPr>
        <w:t xml:space="preserve"> </w:t>
      </w:r>
      <w:r w:rsidR="00552CA9">
        <w:rPr>
          <w:lang w:val="en-US"/>
        </w:rPr>
        <w:t xml:space="preserve">Since twitter user attribute determination may be noisy and only partially observable, we will develop data fusion algorithms that match individuals across these datasets probabilistically. </w:t>
      </w:r>
    </w:p>
    <w:p w14:paraId="20BFA602" w14:textId="75E0B170" w:rsidR="00783CCB" w:rsidRDefault="00036927" w:rsidP="0018157A">
      <w:pPr>
        <w:ind w:firstLine="720"/>
        <w:rPr>
          <w:rFonts w:cs="Times New Roman"/>
          <w:lang w:val="en-US"/>
        </w:rPr>
      </w:pPr>
      <w:r>
        <w:rPr>
          <w:rFonts w:cs="Times New Roman"/>
          <w:lang w:val="en-US"/>
        </w:rPr>
        <w:t xml:space="preserve">In our current analysis, we find several common attributes between Twitter and NHTS datasets including age, gender, ethnicity, income, </w:t>
      </w:r>
      <w:r w:rsidR="0018157A">
        <w:rPr>
          <w:rFonts w:cs="Times New Roman"/>
          <w:lang w:val="en-US"/>
        </w:rPr>
        <w:t>educational attainment</w:t>
      </w:r>
      <w:r w:rsidR="00C70D82">
        <w:rPr>
          <w:rFonts w:cs="Times New Roman"/>
          <w:lang w:val="en-US"/>
        </w:rPr>
        <w:t>,</w:t>
      </w:r>
      <w:r w:rsidR="0018157A">
        <w:rPr>
          <w:rFonts w:cs="Times New Roman"/>
          <w:lang w:val="en-US"/>
        </w:rPr>
        <w:t xml:space="preserve"> and presence of </w:t>
      </w:r>
      <w:r w:rsidR="00986829">
        <w:rPr>
          <w:rFonts w:cs="Times New Roman"/>
          <w:lang w:val="en-US"/>
        </w:rPr>
        <w:t xml:space="preserve">a </w:t>
      </w:r>
      <w:r w:rsidR="004E5306">
        <w:rPr>
          <w:rFonts w:cs="Times New Roman"/>
          <w:lang w:val="en-US"/>
        </w:rPr>
        <w:t>child</w:t>
      </w:r>
      <w:r w:rsidR="0018157A">
        <w:rPr>
          <w:rFonts w:cs="Times New Roman"/>
          <w:lang w:val="en-US"/>
        </w:rPr>
        <w:t xml:space="preserve"> in the house. </w:t>
      </w:r>
      <w:r w:rsidR="00CF492F">
        <w:rPr>
          <w:rFonts w:cs="Times New Roman"/>
          <w:lang w:val="en-US"/>
        </w:rPr>
        <w:t>Initially</w:t>
      </w:r>
      <w:r w:rsidR="00CF492F" w:rsidRPr="00CF492F">
        <w:rPr>
          <w:rFonts w:cs="Times New Roman"/>
          <w:lang w:val="en-US"/>
        </w:rPr>
        <w:t xml:space="preserve"> we </w:t>
      </w:r>
      <w:r w:rsidR="000E6434">
        <w:rPr>
          <w:rFonts w:cs="Times New Roman"/>
          <w:lang w:val="en-US"/>
        </w:rPr>
        <w:t xml:space="preserve">attempted to </w:t>
      </w:r>
      <w:r w:rsidR="00CF492F" w:rsidRPr="00CF492F">
        <w:rPr>
          <w:rFonts w:cs="Times New Roman"/>
          <w:lang w:val="en-US"/>
        </w:rPr>
        <w:t>undertake the fusion using all common attributes.</w:t>
      </w:r>
      <w:r w:rsidR="00AF1279" w:rsidRPr="00AF1279">
        <w:t xml:space="preserve"> </w:t>
      </w:r>
      <w:r w:rsidR="000E6434">
        <w:t>W</w:t>
      </w:r>
      <w:r w:rsidR="00986B0B" w:rsidRPr="00307D35">
        <w:t>hen attempting to match</w:t>
      </w:r>
      <w:r w:rsidR="00986B0B">
        <w:t xml:space="preserve"> the two datasets</w:t>
      </w:r>
      <w:r w:rsidR="00986B0B" w:rsidRPr="00307D35">
        <w:t xml:space="preserve"> based on all </w:t>
      </w:r>
      <w:r w:rsidR="00986B0B">
        <w:t>six</w:t>
      </w:r>
      <w:r w:rsidR="00986B0B" w:rsidRPr="00307D35">
        <w:t xml:space="preserve"> variables, a match was not found for approximately 93% of the records.</w:t>
      </w:r>
      <w:r w:rsidR="00986B0B">
        <w:t xml:space="preserve"> Hence, we employ an approach where we </w:t>
      </w:r>
      <w:r w:rsidR="00250C47">
        <w:t>choose</w:t>
      </w:r>
      <w:r w:rsidR="00986B0B">
        <w:t xml:space="preserve"> a subset of common attributes for </w:t>
      </w:r>
      <w:r w:rsidR="00E413D8">
        <w:t>matching</w:t>
      </w:r>
      <w:r w:rsidR="00986B0B">
        <w:t xml:space="preserve">. </w:t>
      </w:r>
      <w:r w:rsidR="0018157A">
        <w:rPr>
          <w:rFonts w:cs="Times New Roman"/>
          <w:lang w:val="en-US"/>
        </w:rPr>
        <w:t>Th</w:t>
      </w:r>
      <w:r w:rsidR="00694D48">
        <w:rPr>
          <w:rFonts w:cs="Times New Roman"/>
          <w:lang w:val="en-US"/>
        </w:rPr>
        <w:t xml:space="preserve">e fusion process starts with the selection of a sample of these common matching attributes to identify records from the </w:t>
      </w:r>
      <w:r w:rsidR="0018157A">
        <w:rPr>
          <w:rFonts w:cs="Times New Roman"/>
          <w:lang w:val="en-US"/>
        </w:rPr>
        <w:t>twitter</w:t>
      </w:r>
      <w:r w:rsidR="00694D48">
        <w:rPr>
          <w:rFonts w:cs="Times New Roman"/>
          <w:lang w:val="en-US"/>
        </w:rPr>
        <w:t xml:space="preserve"> dataset that are likely candidates for fusion</w:t>
      </w:r>
      <w:r w:rsidR="0018157A">
        <w:rPr>
          <w:rFonts w:cs="Times New Roman"/>
          <w:lang w:val="en-US"/>
        </w:rPr>
        <w:t xml:space="preserve"> </w:t>
      </w:r>
      <w:r w:rsidR="00552CA9">
        <w:rPr>
          <w:rFonts w:cs="Times New Roman"/>
          <w:lang w:val="en-US"/>
        </w:rPr>
        <w:t xml:space="preserve">with </w:t>
      </w:r>
      <w:r w:rsidR="0018157A">
        <w:rPr>
          <w:rFonts w:cs="Times New Roman"/>
          <w:lang w:val="en-US"/>
        </w:rPr>
        <w:t>the NHTS user</w:t>
      </w:r>
      <w:r w:rsidR="00694D48">
        <w:rPr>
          <w:rFonts w:cs="Times New Roman"/>
          <w:lang w:val="en-US"/>
        </w:rPr>
        <w:t>.</w:t>
      </w:r>
      <w:r w:rsidR="00694D48" w:rsidRPr="00694D48">
        <w:rPr>
          <w:rFonts w:cs="Times New Roman"/>
          <w:lang w:val="en-US"/>
        </w:rPr>
        <w:t xml:space="preserve"> </w:t>
      </w:r>
      <w:r w:rsidR="00694D48" w:rsidRPr="00B65400">
        <w:rPr>
          <w:rFonts w:cs="Times New Roman"/>
          <w:lang w:val="en-US"/>
        </w:rPr>
        <w:t xml:space="preserve">For example, </w:t>
      </w:r>
      <w:r w:rsidR="00FA3346">
        <w:rPr>
          <w:rFonts w:cs="Times New Roman"/>
          <w:lang w:val="en-US"/>
        </w:rPr>
        <w:t>let</w:t>
      </w:r>
      <w:r w:rsidR="00986B0B">
        <w:rPr>
          <w:rFonts w:cs="Times New Roman"/>
          <w:lang w:val="en-US"/>
        </w:rPr>
        <w:t xml:space="preserve"> us </w:t>
      </w:r>
      <w:r w:rsidR="00E413D8">
        <w:rPr>
          <w:rFonts w:cs="Times New Roman"/>
          <w:lang w:val="en-US"/>
        </w:rPr>
        <w:t xml:space="preserve">consider </w:t>
      </w:r>
      <w:r w:rsidR="00FA3346">
        <w:rPr>
          <w:rFonts w:cs="Times New Roman"/>
          <w:lang w:val="en-US"/>
        </w:rPr>
        <w:t xml:space="preserve">two attributes: age and gender for matching. </w:t>
      </w:r>
      <w:r w:rsidR="00C52518">
        <w:rPr>
          <w:rFonts w:cs="Times New Roman"/>
          <w:lang w:val="en-US"/>
        </w:rPr>
        <w:t xml:space="preserve">We </w:t>
      </w:r>
      <w:r w:rsidR="00C4263B">
        <w:rPr>
          <w:rFonts w:cs="Times New Roman"/>
          <w:lang w:val="en-US"/>
        </w:rPr>
        <w:t xml:space="preserve">augment each NHTS record </w:t>
      </w:r>
      <w:r w:rsidR="00C52518">
        <w:rPr>
          <w:rFonts w:cs="Times New Roman"/>
          <w:lang w:val="en-US"/>
        </w:rPr>
        <w:t>with multiple user</w:t>
      </w:r>
      <w:r w:rsidR="00B723CF">
        <w:rPr>
          <w:rFonts w:cs="Times New Roman"/>
          <w:lang w:val="en-US"/>
        </w:rPr>
        <w:t>s</w:t>
      </w:r>
      <w:r w:rsidR="00C52518">
        <w:rPr>
          <w:rFonts w:cs="Times New Roman"/>
          <w:lang w:val="en-US"/>
        </w:rPr>
        <w:t xml:space="preserve"> from the twitter data based on similar age and gender. </w:t>
      </w:r>
      <w:r w:rsidR="00C4263B">
        <w:rPr>
          <w:rFonts w:cs="Times New Roman"/>
          <w:lang w:val="en-US"/>
        </w:rPr>
        <w:t xml:space="preserve">The fusion will result in the addition of evacuation data column from Twitter data and several variables from NHTS in the fused dataset. </w:t>
      </w:r>
      <w:r w:rsidR="00783CCB">
        <w:rPr>
          <w:rFonts w:cs="Times New Roman"/>
          <w:lang w:val="en-US"/>
        </w:rPr>
        <w:t xml:space="preserve">Now, it is quite possible that </w:t>
      </w:r>
      <w:r w:rsidR="00783CCB" w:rsidRPr="00B65400">
        <w:rPr>
          <w:rFonts w:cs="Times New Roman"/>
          <w:lang w:val="en-US"/>
        </w:rPr>
        <w:t>that several such matches exist|</w:t>
      </w:r>
      <w:r w:rsidR="00783CCB">
        <w:rPr>
          <w:rFonts w:cs="Times New Roman"/>
          <w:lang w:val="en-US"/>
        </w:rPr>
        <w:t xml:space="preserve"> (say K) and so in this case, the same NHTS user will be duplicated K times. </w:t>
      </w:r>
      <w:r w:rsidR="00783CCB" w:rsidRPr="00783CCB">
        <w:rPr>
          <w:rFonts w:cs="Times New Roman"/>
          <w:lang w:val="en-US"/>
        </w:rPr>
        <w:t xml:space="preserve">The rationale behind this step is that these multiple </w:t>
      </w:r>
      <w:r w:rsidR="00C4263B">
        <w:rPr>
          <w:rFonts w:cs="Times New Roman"/>
          <w:lang w:val="en-US"/>
        </w:rPr>
        <w:t xml:space="preserve">social media records </w:t>
      </w:r>
      <w:r w:rsidR="00783CCB">
        <w:rPr>
          <w:rFonts w:cs="Times New Roman"/>
          <w:lang w:val="en-US"/>
        </w:rPr>
        <w:t xml:space="preserve"> </w:t>
      </w:r>
      <w:r w:rsidR="00783CCB" w:rsidRPr="00783CCB">
        <w:rPr>
          <w:rFonts w:cs="Times New Roman"/>
          <w:lang w:val="en-US"/>
        </w:rPr>
        <w:t xml:space="preserve">will collectively represent an NHTS individual. </w:t>
      </w:r>
      <w:r w:rsidR="00783CCB" w:rsidRPr="00B65400">
        <w:rPr>
          <w:rFonts w:cs="Times New Roman"/>
          <w:lang w:val="en-US"/>
        </w:rPr>
        <w:t xml:space="preserve">Of course, to accommodate for the duplication, we add an additional weight </w:t>
      </w:r>
      <w:r w:rsidR="00783CCB">
        <w:rPr>
          <w:rFonts w:cs="Times New Roman"/>
          <w:lang w:val="en-US"/>
        </w:rPr>
        <w:t>in</w:t>
      </w:r>
      <w:r w:rsidR="00783CCB" w:rsidRPr="00B65400">
        <w:rPr>
          <w:rFonts w:cs="Times New Roman"/>
          <w:lang w:val="en-US"/>
        </w:rPr>
        <w:t xml:space="preserve"> the </w:t>
      </w:r>
      <w:r w:rsidR="00783CCB">
        <w:rPr>
          <w:rFonts w:cs="Times New Roman"/>
          <w:lang w:val="en-US"/>
        </w:rPr>
        <w:t>fused</w:t>
      </w:r>
      <w:r w:rsidR="00783CCB" w:rsidRPr="00B65400">
        <w:rPr>
          <w:rFonts w:cs="Times New Roman"/>
          <w:lang w:val="en-US"/>
        </w:rPr>
        <w:t xml:space="preserve"> data</w:t>
      </w:r>
      <w:r w:rsidR="00783CCB">
        <w:rPr>
          <w:rFonts w:cs="Times New Roman"/>
          <w:lang w:val="en-US"/>
        </w:rPr>
        <w:t xml:space="preserve"> ensuring all the K records represent only 1 record from the NHTS data.</w:t>
      </w:r>
      <w:r w:rsidR="00783CCB" w:rsidRPr="00783CCB">
        <w:rPr>
          <w:rFonts w:cs="Times New Roman"/>
          <w:lang w:val="en-US"/>
        </w:rPr>
        <w:t xml:space="preserve"> </w:t>
      </w:r>
      <w:r w:rsidR="00783CCB">
        <w:rPr>
          <w:rFonts w:cs="Times New Roman"/>
          <w:lang w:val="en-US"/>
        </w:rPr>
        <w:t xml:space="preserve">Now, this weight can be estimated following two approaches: deterministic and probabilistic. In the </w:t>
      </w:r>
      <w:r w:rsidR="00783CCB" w:rsidRPr="00BB17FE">
        <w:rPr>
          <w:rFonts w:cs="Times New Roman"/>
          <w:u w:val="single"/>
          <w:lang w:val="en-US"/>
        </w:rPr>
        <w:t>deterministic approach</w:t>
      </w:r>
      <w:r w:rsidR="00783CCB">
        <w:rPr>
          <w:rFonts w:cs="Times New Roman"/>
          <w:lang w:val="en-US"/>
        </w:rPr>
        <w:t>, all attributes are weighted equally, and all the matching records will have an equal weight (1/K, for K repetitions). This</w:t>
      </w:r>
      <w:r w:rsidR="00783CCB" w:rsidRPr="00BC3342">
        <w:rPr>
          <w:rFonts w:cs="Times New Roman"/>
          <w:lang w:val="en-US"/>
        </w:rPr>
        <w:t xml:space="preserve"> approach will work </w:t>
      </w:r>
      <w:r w:rsidR="00783CCB">
        <w:rPr>
          <w:rFonts w:cs="Times New Roman"/>
          <w:lang w:val="en-US"/>
        </w:rPr>
        <w:t>effic</w:t>
      </w:r>
      <w:r w:rsidR="00783CCB" w:rsidRPr="00BC3342">
        <w:rPr>
          <w:rFonts w:cs="Times New Roman"/>
          <w:lang w:val="en-US"/>
        </w:rPr>
        <w:t>iently with a small set of matching variables. As the number of matching</w:t>
      </w:r>
      <w:r w:rsidR="00783CCB">
        <w:rPr>
          <w:rFonts w:cs="Times New Roman"/>
          <w:lang w:val="en-US"/>
        </w:rPr>
        <w:t xml:space="preserve"> </w:t>
      </w:r>
      <w:r w:rsidR="00783CCB" w:rsidRPr="00BC3342">
        <w:rPr>
          <w:rFonts w:cs="Times New Roman"/>
          <w:lang w:val="en-US"/>
        </w:rPr>
        <w:t>variables increases, the number of potential matches could reduce very quickly.</w:t>
      </w:r>
      <w:r w:rsidR="00783CCB" w:rsidRPr="00783CCB">
        <w:rPr>
          <w:rFonts w:cs="Times New Roman"/>
          <w:lang w:val="en-US"/>
        </w:rPr>
        <w:t xml:space="preserve"> </w:t>
      </w:r>
      <w:r w:rsidR="00783CCB">
        <w:rPr>
          <w:rFonts w:cs="Times New Roman"/>
          <w:lang w:val="en-US"/>
        </w:rPr>
        <w:t xml:space="preserve">Therefore, we propose a probabilistic approach for estimating the weight. </w:t>
      </w:r>
      <w:r w:rsidR="00783CCB" w:rsidRPr="00BC3342">
        <w:rPr>
          <w:rFonts w:cs="Times New Roman"/>
          <w:lang w:val="en-US"/>
        </w:rPr>
        <w:t>In</w:t>
      </w:r>
      <w:r w:rsidR="00783CCB">
        <w:rPr>
          <w:rFonts w:cs="Times New Roman"/>
          <w:lang w:val="en-US"/>
        </w:rPr>
        <w:t xml:space="preserve"> </w:t>
      </w:r>
      <w:r w:rsidR="00783CCB" w:rsidRPr="00BC3342">
        <w:rPr>
          <w:rFonts w:cs="Times New Roman"/>
          <w:lang w:val="en-US"/>
        </w:rPr>
        <w:t xml:space="preserve">the </w:t>
      </w:r>
      <w:r w:rsidR="00783CCB" w:rsidRPr="00BC3342">
        <w:rPr>
          <w:rFonts w:cs="Times New Roman"/>
          <w:u w:val="single"/>
          <w:lang w:val="en-US"/>
        </w:rPr>
        <w:t>probabilistic approach</w:t>
      </w:r>
      <w:r w:rsidR="00783CCB" w:rsidRPr="00BC3342">
        <w:rPr>
          <w:rFonts w:cs="Times New Roman"/>
          <w:lang w:val="en-US"/>
        </w:rPr>
        <w:t>, we relax that all attributes have to be exactly matched thus allowing us to consider</w:t>
      </w:r>
      <w:r w:rsidR="00783CCB">
        <w:rPr>
          <w:rFonts w:cs="Times New Roman"/>
          <w:lang w:val="en-US"/>
        </w:rPr>
        <w:t xml:space="preserve"> </w:t>
      </w:r>
      <w:r w:rsidR="00783CCB" w:rsidRPr="00BC3342">
        <w:rPr>
          <w:rFonts w:cs="Times New Roman"/>
          <w:lang w:val="en-US"/>
        </w:rPr>
        <w:t xml:space="preserve">a larger set of matching variables. </w:t>
      </w:r>
      <w:r w:rsidR="000B782A">
        <w:rPr>
          <w:rFonts w:cs="Times New Roman"/>
          <w:lang w:val="en-US"/>
        </w:rPr>
        <w:t xml:space="preserve">We require exclusive matching on a small number of </w:t>
      </w:r>
      <w:r w:rsidR="00D21C5C">
        <w:rPr>
          <w:rFonts w:cs="Times New Roman"/>
          <w:lang w:val="en-US"/>
        </w:rPr>
        <w:t>attributes,</w:t>
      </w:r>
      <w:r w:rsidR="000B782A">
        <w:rPr>
          <w:rFonts w:cs="Times New Roman"/>
          <w:lang w:val="en-US"/>
        </w:rPr>
        <w:t xml:space="preserve"> and </w:t>
      </w:r>
      <w:r w:rsidR="00C47537">
        <w:rPr>
          <w:rFonts w:cs="Times New Roman"/>
          <w:lang w:val="en-US"/>
        </w:rPr>
        <w:t>w</w:t>
      </w:r>
      <w:r w:rsidR="00783CCB" w:rsidRPr="00BC3342">
        <w:rPr>
          <w:rFonts w:cs="Times New Roman"/>
          <w:lang w:val="en-US"/>
        </w:rPr>
        <w:t xml:space="preserve">e estimate </w:t>
      </w:r>
      <w:r w:rsidR="00783CCB">
        <w:rPr>
          <w:rFonts w:cs="Times New Roman"/>
          <w:lang w:val="en-US"/>
        </w:rPr>
        <w:t>differential</w:t>
      </w:r>
      <w:r w:rsidR="00783CCB" w:rsidRPr="00BC3342">
        <w:rPr>
          <w:rFonts w:cs="Times New Roman"/>
          <w:lang w:val="en-US"/>
        </w:rPr>
        <w:t xml:space="preserve"> weights across records based on what factors</w:t>
      </w:r>
      <w:r w:rsidR="00783CCB">
        <w:rPr>
          <w:rFonts w:cs="Times New Roman"/>
          <w:lang w:val="en-US"/>
        </w:rPr>
        <w:t xml:space="preserve"> </w:t>
      </w:r>
      <w:r w:rsidR="00783CCB" w:rsidRPr="00BC3342">
        <w:rPr>
          <w:rFonts w:cs="Times New Roman"/>
          <w:lang w:val="en-US"/>
        </w:rPr>
        <w:t xml:space="preserve">are </w:t>
      </w:r>
      <w:r w:rsidR="00C47537">
        <w:rPr>
          <w:rFonts w:cs="Times New Roman"/>
          <w:lang w:val="en-US"/>
        </w:rPr>
        <w:t>un</w:t>
      </w:r>
      <w:r w:rsidR="00783CCB" w:rsidRPr="00BC3342">
        <w:rPr>
          <w:rFonts w:cs="Times New Roman"/>
          <w:lang w:val="en-US"/>
        </w:rPr>
        <w:t>matched.</w:t>
      </w:r>
      <w:r w:rsidR="00783CCB">
        <w:rPr>
          <w:rFonts w:cs="Times New Roman"/>
          <w:lang w:val="en-US"/>
        </w:rPr>
        <w:t xml:space="preserve"> Specifically, the weight is parameterized as a function of exogenous variables that is present in both datasets but not being used for fusion. </w:t>
      </w:r>
      <w:r w:rsidR="00783CCB" w:rsidRPr="00B65400">
        <w:rPr>
          <w:rFonts w:cs="Times New Roman"/>
          <w:lang w:val="en-US"/>
        </w:rPr>
        <w:t>Th</w:t>
      </w:r>
      <w:r w:rsidR="00783CCB">
        <w:rPr>
          <w:rFonts w:cs="Times New Roman"/>
          <w:lang w:val="en-US"/>
        </w:rPr>
        <w:t>is</w:t>
      </w:r>
      <w:r w:rsidR="00783CCB" w:rsidRPr="00B65400">
        <w:rPr>
          <w:rFonts w:cs="Times New Roman"/>
          <w:lang w:val="en-US"/>
        </w:rPr>
        <w:t xml:space="preserve"> process translates to estimating the actual value of weight to improve data fit of the </w:t>
      </w:r>
      <w:r w:rsidR="00783CCB">
        <w:rPr>
          <w:rFonts w:cs="Times New Roman"/>
          <w:lang w:val="en-US"/>
        </w:rPr>
        <w:t xml:space="preserve">evacuation choice model </w:t>
      </w:r>
      <w:r w:rsidR="00783CCB" w:rsidRPr="00B65400">
        <w:rPr>
          <w:rFonts w:cs="Times New Roman"/>
          <w:lang w:val="en-US"/>
        </w:rPr>
        <w:t>as opposed to fixing it to (1</w:t>
      </w:r>
      <w:r w:rsidR="00783CCB">
        <w:rPr>
          <w:rFonts w:cs="Times New Roman"/>
          <w:lang w:val="en-US"/>
        </w:rPr>
        <w:t>/</w:t>
      </w:r>
      <w:r w:rsidR="00783CCB" w:rsidRPr="00B65400">
        <w:rPr>
          <w:rFonts w:cs="Times New Roman"/>
          <w:lang w:val="en-US"/>
        </w:rPr>
        <w:t xml:space="preserve">K). The parameters estimated will inform us about the ranking of the various matching factors on their impact on </w:t>
      </w:r>
      <w:r w:rsidR="006A1B2A">
        <w:rPr>
          <w:rFonts w:cs="Times New Roman"/>
          <w:lang w:val="en-US"/>
        </w:rPr>
        <w:t>evacuation</w:t>
      </w:r>
      <w:r w:rsidR="00783CCB" w:rsidRPr="00B65400">
        <w:rPr>
          <w:rFonts w:cs="Times New Roman"/>
          <w:lang w:val="en-US"/>
        </w:rPr>
        <w:t xml:space="preserve"> modeling.</w:t>
      </w:r>
      <w:r w:rsidR="00783CCB">
        <w:rPr>
          <w:rFonts w:cs="Times New Roman"/>
          <w:lang w:val="en-US"/>
        </w:rPr>
        <w:t xml:space="preserve"> </w:t>
      </w:r>
      <w:r w:rsidR="00783CCB" w:rsidRPr="0018157A">
        <w:rPr>
          <w:rFonts w:cs="Times New Roman"/>
          <w:lang w:val="en-US"/>
        </w:rPr>
        <w:t>The reader would note that the exact number of replications (K) will be tested for different values based on evacuation prediction model</w:t>
      </w:r>
      <w:r w:rsidR="00191D26">
        <w:rPr>
          <w:rFonts w:cs="Times New Roman"/>
          <w:lang w:val="en-US"/>
        </w:rPr>
        <w:t xml:space="preserve"> performance</w:t>
      </w:r>
      <w:r w:rsidR="00783CCB" w:rsidRPr="0018157A">
        <w:rPr>
          <w:rFonts w:cs="Times New Roman"/>
          <w:lang w:val="en-US"/>
        </w:rPr>
        <w:t>.</w:t>
      </w:r>
    </w:p>
    <w:p w14:paraId="5B35E63C" w14:textId="3D01B974" w:rsidR="003D4F53" w:rsidRDefault="00296C81" w:rsidP="00783CCB">
      <w:pPr>
        <w:ind w:firstLine="720"/>
        <w:rPr>
          <w:lang w:val="en-US"/>
        </w:rPr>
      </w:pPr>
      <w:r w:rsidRPr="00BD7A44">
        <w:rPr>
          <w:lang w:val="en-US"/>
        </w:rPr>
        <w:lastRenderedPageBreak/>
        <w:t xml:space="preserve">To illustrate the data fusion process, an example is presented in Figure 1. The </w:t>
      </w:r>
      <w:r w:rsidR="0018157A">
        <w:rPr>
          <w:lang w:val="en-US"/>
        </w:rPr>
        <w:t>NHTS</w:t>
      </w:r>
      <w:r w:rsidRPr="00BD7A44">
        <w:rPr>
          <w:lang w:val="en-US"/>
        </w:rPr>
        <w:t xml:space="preserve"> survey data provide</w:t>
      </w:r>
      <w:r w:rsidR="006704CD">
        <w:rPr>
          <w:lang w:val="en-US"/>
        </w:rPr>
        <w:t>s</w:t>
      </w:r>
      <w:r w:rsidRPr="00BD7A44">
        <w:rPr>
          <w:lang w:val="en-US"/>
        </w:rPr>
        <w:t xml:space="preserve"> information for two persons with their age, gender, household size (number of people in their households), household renting status (own/rent)</w:t>
      </w:r>
      <w:r w:rsidR="00DB05AA" w:rsidRPr="00BD7A44">
        <w:rPr>
          <w:lang w:val="en-US"/>
        </w:rPr>
        <w:t xml:space="preserve">, vehicle ownership and their </w:t>
      </w:r>
      <w:r w:rsidR="00F82908">
        <w:rPr>
          <w:lang w:val="en-US"/>
        </w:rPr>
        <w:t>race/</w:t>
      </w:r>
      <w:r w:rsidR="00DB05AA" w:rsidRPr="00BD7A44">
        <w:rPr>
          <w:lang w:val="en-US"/>
        </w:rPr>
        <w:t>ethnicity. The Social media data</w:t>
      </w:r>
      <w:r w:rsidR="00191D26">
        <w:rPr>
          <w:lang w:val="en-US"/>
        </w:rPr>
        <w:t xml:space="preserve"> compiles information on </w:t>
      </w:r>
      <w:r w:rsidR="00DB05AA" w:rsidRPr="00BD7A44">
        <w:rPr>
          <w:lang w:val="en-US"/>
        </w:rPr>
        <w:t>age, gender</w:t>
      </w:r>
      <w:r w:rsidR="00191D26">
        <w:rPr>
          <w:lang w:val="en-US"/>
        </w:rPr>
        <w:t xml:space="preserve">, </w:t>
      </w:r>
      <w:r w:rsidR="00DB05AA" w:rsidRPr="00BD7A44">
        <w:rPr>
          <w:lang w:val="en-US"/>
        </w:rPr>
        <w:t xml:space="preserve"> race</w:t>
      </w:r>
      <w:r w:rsidR="00191D26">
        <w:rPr>
          <w:lang w:val="en-US"/>
        </w:rPr>
        <w:t xml:space="preserve"> and </w:t>
      </w:r>
      <w:r w:rsidR="00DB05AA" w:rsidRPr="00BD7A44">
        <w:rPr>
          <w:lang w:val="en-US"/>
        </w:rPr>
        <w:t>evacuation information (</w:t>
      </w:r>
      <w:r w:rsidR="002262F9">
        <w:rPr>
          <w:lang w:val="en-US"/>
        </w:rPr>
        <w:t xml:space="preserve">Evacuate: </w:t>
      </w:r>
      <w:r w:rsidR="00DB05AA" w:rsidRPr="00BD7A44">
        <w:rPr>
          <w:lang w:val="en-US"/>
        </w:rPr>
        <w:t>Yes/No).</w:t>
      </w:r>
      <w:r w:rsidR="00DB05AA" w:rsidRPr="00BD7A44">
        <w:rPr>
          <w:rFonts w:cs="Times New Roman"/>
          <w:lang w:val="en-US"/>
        </w:rPr>
        <w:t xml:space="preserve"> Now, let’s assume that we matched twitter user to the NHTS respondents based on their age and gender. </w:t>
      </w:r>
      <w:r w:rsidR="00DB05AA" w:rsidRPr="00BD7A44">
        <w:rPr>
          <w:lang w:val="en-US"/>
        </w:rPr>
        <w:t>Based on this, comparing the two datasets, we find 2 matches from Twitter data for Person 1 in the NHTS database.</w:t>
      </w:r>
      <w:r w:rsidR="003D4F53" w:rsidRPr="00BD7A44">
        <w:rPr>
          <w:lang w:val="en-US"/>
        </w:rPr>
        <w:t xml:space="preserve"> </w:t>
      </w:r>
      <w:r w:rsidRPr="00BD7A44">
        <w:rPr>
          <w:lang w:val="en-US"/>
        </w:rPr>
        <w:t>Now, using the matched records</w:t>
      </w:r>
      <w:r w:rsidR="003D4F53" w:rsidRPr="00BD7A44">
        <w:rPr>
          <w:lang w:val="en-US"/>
        </w:rPr>
        <w:t>,</w:t>
      </w:r>
      <w:r w:rsidRPr="00BD7A44">
        <w:rPr>
          <w:lang w:val="en-US"/>
        </w:rPr>
        <w:t xml:space="preserve"> a fused dataset is created with two repetitions of Person 1</w:t>
      </w:r>
      <w:r w:rsidR="003D4F53" w:rsidRPr="00BD7A44">
        <w:rPr>
          <w:lang w:val="en-US"/>
        </w:rPr>
        <w:t xml:space="preserve"> with NHTS data</w:t>
      </w:r>
      <w:r w:rsidRPr="00BD7A44">
        <w:rPr>
          <w:lang w:val="en-US"/>
        </w:rPr>
        <w:t xml:space="preserve"> with the </w:t>
      </w:r>
      <w:r w:rsidR="0018157A">
        <w:rPr>
          <w:lang w:val="en-US"/>
        </w:rPr>
        <w:t>twitter</w:t>
      </w:r>
      <w:r w:rsidRPr="00BD7A44">
        <w:rPr>
          <w:lang w:val="en-US"/>
        </w:rPr>
        <w:t xml:space="preserve"> data columns for Evacuat</w:t>
      </w:r>
      <w:r w:rsidR="0018157A">
        <w:rPr>
          <w:lang w:val="en-US"/>
        </w:rPr>
        <w:t>ion status</w:t>
      </w:r>
      <w:r w:rsidR="003D4F53" w:rsidRPr="00BD7A44">
        <w:rPr>
          <w:lang w:val="en-US"/>
        </w:rPr>
        <w:t xml:space="preserve"> and ethnicity (from twitter)</w:t>
      </w:r>
      <w:r w:rsidRPr="00BD7A44">
        <w:rPr>
          <w:lang w:val="en-US"/>
        </w:rPr>
        <w:t xml:space="preserve">. </w:t>
      </w:r>
      <w:r w:rsidR="00C75006">
        <w:rPr>
          <w:lang w:val="en-US"/>
        </w:rPr>
        <w:t>Here,</w:t>
      </w:r>
      <w:r w:rsidR="00D026B9">
        <w:rPr>
          <w:lang w:val="en-US"/>
        </w:rPr>
        <w:t xml:space="preserve"> additional variables available in the survey data (e.g., car ownership) and missing from the social media data are also transferred to the fused data, thus potentially providing several additional independent variables for model development.</w:t>
      </w:r>
      <w:r w:rsidR="003D4F53" w:rsidRPr="00BD7A44">
        <w:rPr>
          <w:lang w:val="en-US"/>
        </w:rPr>
        <w:t xml:space="preserve"> </w:t>
      </w:r>
      <w:r w:rsidR="003D4F53" w:rsidRPr="00BD7A44">
        <w:rPr>
          <w:rFonts w:cs="Times New Roman"/>
          <w:lang w:val="en-US"/>
        </w:rPr>
        <w:t xml:space="preserve">In the </w:t>
      </w:r>
      <w:r w:rsidR="003D4F53" w:rsidRPr="00BD7A44">
        <w:rPr>
          <w:rFonts w:cs="Times New Roman"/>
          <w:u w:val="single"/>
          <w:lang w:val="en-US"/>
        </w:rPr>
        <w:t>deterministic weight approach</w:t>
      </w:r>
      <w:r w:rsidR="003D4F53" w:rsidRPr="00BD7A44">
        <w:rPr>
          <w:rFonts w:cs="Times New Roman"/>
          <w:lang w:val="en-US"/>
        </w:rPr>
        <w:t xml:space="preserve">, we will use a weight value of 0.5 (1/2) for the </w:t>
      </w:r>
      <w:r w:rsidR="00CE75E2">
        <w:rPr>
          <w:rFonts w:cs="Times New Roman"/>
          <w:lang w:val="en-US"/>
        </w:rPr>
        <w:t>two</w:t>
      </w:r>
      <w:r w:rsidR="003D4F53" w:rsidRPr="00BD7A44">
        <w:rPr>
          <w:rFonts w:cs="Times New Roman"/>
          <w:lang w:val="en-US"/>
        </w:rPr>
        <w:t xml:space="preserve"> repetitions to ensure that the fused data matches with the survey data weights. For the </w:t>
      </w:r>
      <w:r w:rsidR="003D4F53" w:rsidRPr="0018157A">
        <w:rPr>
          <w:rFonts w:cs="Times New Roman"/>
          <w:u w:val="single"/>
          <w:lang w:val="en-US"/>
        </w:rPr>
        <w:t>probabilistic weight method</w:t>
      </w:r>
      <w:r w:rsidR="003D4F53" w:rsidRPr="00BD7A44">
        <w:rPr>
          <w:rFonts w:cs="Times New Roman"/>
          <w:lang w:val="en-US"/>
        </w:rPr>
        <w:t xml:space="preserve">, we first identify the common attributes across these two datasets which are not used for fusion. For the example presented in </w:t>
      </w:r>
      <w:r w:rsidR="00C60CF6">
        <w:rPr>
          <w:rFonts w:cs="Times New Roman"/>
          <w:lang w:val="en-US"/>
        </w:rPr>
        <w:t>F</w:t>
      </w:r>
      <w:r w:rsidR="003D4F53" w:rsidRPr="00BD7A44">
        <w:rPr>
          <w:rFonts w:cs="Times New Roman"/>
          <w:lang w:val="en-US"/>
        </w:rPr>
        <w:t xml:space="preserve">igure 1, </w:t>
      </w:r>
      <w:r w:rsidR="0017043F">
        <w:rPr>
          <w:rFonts w:cs="Times New Roman"/>
          <w:lang w:val="en-US"/>
        </w:rPr>
        <w:t>a</w:t>
      </w:r>
      <w:r w:rsidR="0017043F" w:rsidRPr="00BD7A44">
        <w:rPr>
          <w:rFonts w:cs="Times New Roman"/>
          <w:lang w:val="en-US"/>
        </w:rPr>
        <w:t xml:space="preserve"> </w:t>
      </w:r>
      <w:r w:rsidR="003D4F53" w:rsidRPr="00BD7A44">
        <w:rPr>
          <w:rFonts w:cs="Times New Roman"/>
          <w:lang w:val="en-US"/>
        </w:rPr>
        <w:t xml:space="preserve">common attribute race </w:t>
      </w:r>
      <w:r w:rsidR="0017043F">
        <w:rPr>
          <w:rFonts w:cs="Times New Roman"/>
          <w:lang w:val="en-US"/>
        </w:rPr>
        <w:t xml:space="preserve">is </w:t>
      </w:r>
      <w:r w:rsidR="003D4F53" w:rsidRPr="00BD7A44">
        <w:rPr>
          <w:rFonts w:cs="Times New Roman"/>
          <w:lang w:val="en-US"/>
        </w:rPr>
        <w:t xml:space="preserve">present in both NHTS and Twitter database but </w:t>
      </w:r>
      <w:r w:rsidR="003817F3">
        <w:rPr>
          <w:rFonts w:cs="Times New Roman"/>
          <w:lang w:val="en-US"/>
        </w:rPr>
        <w:t xml:space="preserve">is </w:t>
      </w:r>
      <w:r w:rsidR="003D4F53" w:rsidRPr="00BD7A44">
        <w:rPr>
          <w:rFonts w:cs="Times New Roman"/>
          <w:lang w:val="en-US"/>
        </w:rPr>
        <w:t xml:space="preserve">not used for fusion. </w:t>
      </w:r>
      <w:r w:rsidR="00BD7A44" w:rsidRPr="00BD7A44">
        <w:rPr>
          <w:rFonts w:cs="Times New Roman"/>
          <w:lang w:val="en-US"/>
        </w:rPr>
        <w:t xml:space="preserve">We will compute the similarities in race across the two datasets (if matched then 1 otherwise 0) and use this similarity to parameterize the weight function. </w:t>
      </w:r>
      <w:r w:rsidR="00BD7A44" w:rsidRPr="00BD7A44">
        <w:rPr>
          <w:lang w:val="en-US"/>
        </w:rPr>
        <w:t xml:space="preserve">The hypothesis behind the probabilistic weight variable is </w:t>
      </w:r>
      <w:r w:rsidR="003817F3">
        <w:rPr>
          <w:lang w:val="en-US"/>
        </w:rPr>
        <w:t xml:space="preserve">that </w:t>
      </w:r>
      <w:r w:rsidR="00BD7A44" w:rsidRPr="00BD7A44">
        <w:rPr>
          <w:lang w:val="en-US"/>
        </w:rPr>
        <w:t xml:space="preserve">matched records </w:t>
      </w:r>
      <w:r w:rsidR="00B877A2">
        <w:rPr>
          <w:lang w:val="en-US"/>
        </w:rPr>
        <w:t xml:space="preserve">for variables not considered for matching </w:t>
      </w:r>
      <w:r w:rsidR="00BD7A44" w:rsidRPr="00BD7A44">
        <w:rPr>
          <w:lang w:val="en-US"/>
        </w:rPr>
        <w:t xml:space="preserve">will result in higher weights. </w:t>
      </w:r>
      <w:r w:rsidR="003D4F53" w:rsidRPr="00BD7A44">
        <w:rPr>
          <w:lang w:val="en-US"/>
        </w:rPr>
        <w:t xml:space="preserve">This is represented in the Figure 1 as </w:t>
      </w:r>
      <w:r w:rsidR="00B877A2">
        <w:rPr>
          <w:lang w:val="en-US"/>
        </w:rPr>
        <w:t xml:space="preserve">a </w:t>
      </w:r>
      <w:r w:rsidR="003D4F53" w:rsidRPr="00BD7A44">
        <w:rPr>
          <w:lang w:val="en-US"/>
        </w:rPr>
        <w:t xml:space="preserve">higher weight for </w:t>
      </w:r>
      <w:r w:rsidR="00BD7A44" w:rsidRPr="00BD7A44">
        <w:rPr>
          <w:lang w:val="en-US"/>
        </w:rPr>
        <w:t>first matched</w:t>
      </w:r>
      <w:r w:rsidR="003D4F53" w:rsidRPr="00BD7A44">
        <w:rPr>
          <w:lang w:val="en-US"/>
        </w:rPr>
        <w:t xml:space="preserve"> record. Please note that the numbers provided in Figure 1 are for illustration purposes and will </w:t>
      </w:r>
      <w:r w:rsidR="003817F3">
        <w:rPr>
          <w:lang w:val="en-US"/>
        </w:rPr>
        <w:t xml:space="preserve">actually </w:t>
      </w:r>
      <w:r w:rsidR="003D4F53" w:rsidRPr="00BD7A44">
        <w:rPr>
          <w:lang w:val="en-US"/>
        </w:rPr>
        <w:t xml:space="preserve">be estimated </w:t>
      </w:r>
      <w:r w:rsidR="00FF5AEE">
        <w:rPr>
          <w:lang w:val="en-US"/>
        </w:rPr>
        <w:t xml:space="preserve">on the data </w:t>
      </w:r>
      <w:r w:rsidR="003D4F53" w:rsidRPr="00BD7A44">
        <w:rPr>
          <w:lang w:val="en-US"/>
        </w:rPr>
        <w:t>in our model.</w:t>
      </w:r>
    </w:p>
    <w:p w14:paraId="25C82A66" w14:textId="1A8628A7" w:rsidR="00052F2E" w:rsidRDefault="0041710C" w:rsidP="00052F2E">
      <w:pPr>
        <w:ind w:firstLine="720"/>
        <w:rPr>
          <w:rFonts w:cs="Times New Roman"/>
          <w:lang w:val="en-US"/>
        </w:rPr>
      </w:pPr>
      <w:r w:rsidRPr="00052F2E">
        <w:rPr>
          <w:lang w:val="en-US"/>
        </w:rPr>
        <w:t xml:space="preserve">In summary, the current analysis makes a </w:t>
      </w:r>
      <w:r w:rsidR="000A519E" w:rsidRPr="00052F2E">
        <w:rPr>
          <w:lang w:val="en-US"/>
        </w:rPr>
        <w:t>threefold</w:t>
      </w:r>
      <w:r w:rsidRPr="00052F2E">
        <w:rPr>
          <w:lang w:val="en-US"/>
        </w:rPr>
        <w:t xml:space="preserve"> contribution to the evacuation choice literature. </w:t>
      </w:r>
      <w:r w:rsidRPr="00052F2E">
        <w:rPr>
          <w:u w:val="single"/>
          <w:lang w:val="en-US"/>
        </w:rPr>
        <w:t>First</w:t>
      </w:r>
      <w:r w:rsidRPr="00052F2E">
        <w:rPr>
          <w:lang w:val="en-US"/>
        </w:rPr>
        <w:t xml:space="preserve">, </w:t>
      </w:r>
      <w:r w:rsidR="00AC6DFA" w:rsidRPr="00052F2E">
        <w:rPr>
          <w:lang w:val="en-US"/>
        </w:rPr>
        <w:t xml:space="preserve">we are leveraging large-scale real-time data to predict evacuation demand. </w:t>
      </w:r>
      <w:r w:rsidR="00AC6DFA" w:rsidRPr="00052F2E">
        <w:rPr>
          <w:u w:val="single"/>
          <w:lang w:val="en-US"/>
        </w:rPr>
        <w:t>Second</w:t>
      </w:r>
      <w:r w:rsidR="00AC6DFA" w:rsidRPr="00052F2E">
        <w:rPr>
          <w:lang w:val="en-US"/>
        </w:rPr>
        <w:t xml:space="preserve">, we propose a novel fusion algorithm by combining heterogeneous data sources from transportation systems and social media, in a unified framework providing better information for modeling dynamic population behavior during hurricanes. </w:t>
      </w:r>
      <w:r w:rsidR="00052F2E" w:rsidRPr="00052F2E">
        <w:rPr>
          <w:u w:val="single"/>
          <w:lang w:val="en-US"/>
        </w:rPr>
        <w:t>Third</w:t>
      </w:r>
      <w:r w:rsidR="00052F2E" w:rsidRPr="00052F2E">
        <w:rPr>
          <w:lang w:val="en-US"/>
        </w:rPr>
        <w:t xml:space="preserve">, </w:t>
      </w:r>
      <w:bookmarkStart w:id="3" w:name="_Hlk78653300"/>
      <w:r w:rsidR="00052F2E" w:rsidRPr="00052F2E">
        <w:rPr>
          <w:rFonts w:cs="Times New Roman"/>
          <w:lang w:val="en-US"/>
        </w:rPr>
        <w:t>instead of strictly matching records, we propose a flexible differential weighting method (probabilistic) based on attribute similarity (or dissimilarity) across the common attributes for the two datasets</w:t>
      </w:r>
      <w:bookmarkEnd w:id="3"/>
      <w:r w:rsidR="00052F2E" w:rsidRPr="00052F2E">
        <w:rPr>
          <w:rFonts w:cs="Times New Roman"/>
          <w:lang w:val="en-US"/>
        </w:rPr>
        <w:t>.</w:t>
      </w:r>
      <w:r w:rsidR="00052F2E" w:rsidRPr="00052F2E">
        <w:rPr>
          <w:lang w:val="en-US"/>
        </w:rPr>
        <w:t xml:space="preserve"> </w:t>
      </w:r>
      <w:r w:rsidR="00CB4AEC" w:rsidRPr="00052F2E">
        <w:rPr>
          <w:rFonts w:cs="Times New Roman"/>
          <w:u w:val="single"/>
          <w:lang w:val="en-US"/>
        </w:rPr>
        <w:t>Finally,</w:t>
      </w:r>
      <w:r w:rsidR="00CB4AEC" w:rsidRPr="00052F2E">
        <w:rPr>
          <w:rFonts w:cs="Times New Roman"/>
          <w:lang w:val="en-US"/>
        </w:rPr>
        <w:t xml:space="preserve"> </w:t>
      </w:r>
      <w:r w:rsidR="00052F2E">
        <w:rPr>
          <w:rFonts w:cs="Times New Roman"/>
          <w:lang w:val="en-US"/>
        </w:rPr>
        <w:t xml:space="preserve">extensive testing is conducted with multiple variables, fusion size and weight functions to evaluate the efficacy of the proposed fusion technique. </w:t>
      </w:r>
    </w:p>
    <w:p w14:paraId="0D27D1D0" w14:textId="5D8C67F7" w:rsidR="00CE4196" w:rsidRDefault="00CE4196" w:rsidP="0009538A">
      <w:pPr>
        <w:rPr>
          <w:lang w:val="en-US"/>
        </w:rPr>
        <w:sectPr w:rsidR="00CE4196" w:rsidSect="00492680">
          <w:headerReference w:type="first" r:id="rId17"/>
          <w:type w:val="continuous"/>
          <w:pgSz w:w="11906" w:h="16838" w:code="9"/>
          <w:pgMar w:top="1440" w:right="1440" w:bottom="1440" w:left="1440" w:header="720" w:footer="720" w:gutter="0"/>
          <w:cols w:space="708"/>
          <w:titlePg/>
          <w:docGrid w:linePitch="360"/>
        </w:sectPr>
      </w:pPr>
    </w:p>
    <w:p w14:paraId="1E2A29E6" w14:textId="77777777" w:rsidR="00B75354" w:rsidRDefault="00B75354" w:rsidP="0009538A">
      <w:pPr>
        <w:rPr>
          <w:lang w:val="en-US"/>
        </w:rPr>
      </w:pPr>
      <w:r>
        <w:rPr>
          <w:noProof/>
          <w:lang w:val="en-US"/>
        </w:rPr>
        <w:lastRenderedPageBreak/>
        <w:drawing>
          <wp:inline distT="0" distB="0" distL="0" distR="0" wp14:anchorId="69077096" wp14:editId="657FD633">
            <wp:extent cx="8722573" cy="34747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22573" cy="3474720"/>
                    </a:xfrm>
                    <a:prstGeom prst="rect">
                      <a:avLst/>
                    </a:prstGeom>
                    <a:noFill/>
                  </pic:spPr>
                </pic:pic>
              </a:graphicData>
            </a:graphic>
          </wp:inline>
        </w:drawing>
      </w:r>
    </w:p>
    <w:p w14:paraId="70533FFC" w14:textId="352203FB" w:rsidR="008934D8" w:rsidRDefault="008934D8" w:rsidP="0009538A">
      <w:pPr>
        <w:rPr>
          <w:lang w:val="en-US"/>
        </w:rPr>
        <w:sectPr w:rsidR="008934D8" w:rsidSect="00492680">
          <w:headerReference w:type="first" r:id="rId19"/>
          <w:type w:val="continuous"/>
          <w:pgSz w:w="16838" w:h="11906" w:orient="landscape" w:code="9"/>
          <w:pgMar w:top="1440" w:right="1440" w:bottom="1440" w:left="1440" w:header="720" w:footer="720" w:gutter="0"/>
          <w:cols w:space="708"/>
          <w:titlePg/>
          <w:docGrid w:linePitch="360"/>
        </w:sectPr>
      </w:pPr>
      <w:r>
        <w:t xml:space="preserve">Figure 1: </w:t>
      </w:r>
      <w:r w:rsidR="0033549D">
        <w:t>NHTS and Twitter Data Fusion Illustration</w:t>
      </w:r>
    </w:p>
    <w:p w14:paraId="7AA8E3F9" w14:textId="02C987B9" w:rsidR="00566197" w:rsidRDefault="00343528" w:rsidP="00566197">
      <w:pPr>
        <w:pStyle w:val="Heading1"/>
      </w:pPr>
      <w:r>
        <w:lastRenderedPageBreak/>
        <w:t xml:space="preserve">3 </w:t>
      </w:r>
      <w:r w:rsidR="00566197">
        <w:t>METHODOLOGY</w:t>
      </w:r>
    </w:p>
    <w:p w14:paraId="3C3EB8D3" w14:textId="35BAE672" w:rsidR="00566197" w:rsidRDefault="00566197" w:rsidP="00433CD1">
      <w:r>
        <w:t xml:space="preserve">In this section, we present the methodological framework adopted in the study for analyzing </w:t>
      </w:r>
      <w:r w:rsidR="00B11417">
        <w:t>individual’s</w:t>
      </w:r>
      <w:r>
        <w:t xml:space="preserve"> </w:t>
      </w:r>
      <w:r w:rsidR="00B11417">
        <w:t xml:space="preserve">evacuation </w:t>
      </w:r>
      <w:r w:rsidR="00A27A7D">
        <w:t>decision</w:t>
      </w:r>
      <w:r w:rsidR="00B11417">
        <w:t xml:space="preserve"> during </w:t>
      </w:r>
      <w:r w:rsidR="00A27A7D">
        <w:t>Hurricane Irma</w:t>
      </w:r>
      <w:r>
        <w:t xml:space="preserve">. </w:t>
      </w:r>
      <w:r w:rsidR="00433CD1">
        <w:t xml:space="preserve">The model structure has </w:t>
      </w:r>
      <w:r w:rsidR="00B3106F">
        <w:t xml:space="preserve">a </w:t>
      </w:r>
      <w:r w:rsidR="00E56BC5">
        <w:t xml:space="preserve">decision </w:t>
      </w:r>
      <w:r w:rsidR="00433CD1">
        <w:t>model component</w:t>
      </w:r>
      <w:r w:rsidR="00F305BB">
        <w:t xml:space="preserve"> (evacuate- yes/no)</w:t>
      </w:r>
      <w:r w:rsidR="00A20F5F">
        <w:t xml:space="preserve"> and a weight component</w:t>
      </w:r>
      <w:r w:rsidR="00433CD1">
        <w:t xml:space="preserve">. In the </w:t>
      </w:r>
      <w:r w:rsidR="00E56BC5">
        <w:t xml:space="preserve">decision </w:t>
      </w:r>
      <w:r w:rsidR="00433CD1">
        <w:t xml:space="preserve">model component, </w:t>
      </w:r>
      <w:r w:rsidR="00A20F5F">
        <w:t>a</w:t>
      </w:r>
      <w:r w:rsidR="00433CD1">
        <w:t xml:space="preserve"> </w:t>
      </w:r>
      <w:r w:rsidR="00F305BB">
        <w:t>binary logit</w:t>
      </w:r>
      <w:r w:rsidR="00433CD1">
        <w:t xml:space="preserve"> formulation for the </w:t>
      </w:r>
      <w:r w:rsidR="002C7254">
        <w:t>evacuation</w:t>
      </w:r>
      <w:r w:rsidR="00433CD1">
        <w:t xml:space="preserve"> variable </w:t>
      </w:r>
      <w:r w:rsidR="00F305BB">
        <w:t>is</w:t>
      </w:r>
      <w:r w:rsidR="00433CD1">
        <w:t xml:space="preserve"> considered</w:t>
      </w:r>
      <w:r w:rsidR="00F305BB">
        <w:t xml:space="preserve"> as we have only two alternative</w:t>
      </w:r>
      <w:r w:rsidR="00A27A7D">
        <w:t>s</w:t>
      </w:r>
      <w:r w:rsidR="00F305BB">
        <w:t xml:space="preserve"> in the choice dimension</w:t>
      </w:r>
      <w:r w:rsidR="00433CD1">
        <w:t>. A brief description of the proposed econometric fusion approach is given below.</w:t>
      </w:r>
    </w:p>
    <w:p w14:paraId="5D584E2A" w14:textId="409593EF" w:rsidR="007E5E3C" w:rsidRDefault="00566197" w:rsidP="00566197">
      <w:pPr>
        <w:ind w:firstLine="720"/>
        <w:rPr>
          <w:lang w:val="en-US"/>
        </w:rPr>
      </w:pPr>
      <w:r w:rsidRPr="00BA524C">
        <w:rPr>
          <w:lang w:val="en-US"/>
        </w:rPr>
        <w:t xml:space="preserve">Let us assume that </w:t>
      </w:r>
      <w:r>
        <w:rPr>
          <w:lang w:val="en-US"/>
        </w:rPr>
        <w:t xml:space="preserve">there are </w:t>
      </w:r>
      <m:oMath>
        <m:r>
          <w:rPr>
            <w:rFonts w:ascii="Cambria Math" w:hAnsi="Cambria Math"/>
            <w:lang w:val="en-US"/>
          </w:rPr>
          <m:t>i</m:t>
        </m:r>
      </m:oMath>
      <w:r>
        <w:rPr>
          <w:rFonts w:eastAsiaTheme="minorEastAsia"/>
          <w:lang w:val="en-US"/>
        </w:rPr>
        <w:t xml:space="preserve"> (</w:t>
      </w:r>
      <w:proofErr w:type="gramStart"/>
      <w:r>
        <w:rPr>
          <w:rFonts w:eastAsiaTheme="minorEastAsia"/>
          <w:lang w:val="en-US"/>
        </w:rPr>
        <w:t>1.2,…</w:t>
      </w:r>
      <w:proofErr w:type="gramEnd"/>
      <w:r w:rsidR="00C70D82">
        <w:rPr>
          <w:rFonts w:eastAsiaTheme="minorEastAsia"/>
          <w:lang w:val="en-US"/>
        </w:rPr>
        <w:t>,</w:t>
      </w:r>
      <w:r>
        <w:rPr>
          <w:rFonts w:eastAsiaTheme="minorEastAsia"/>
          <w:lang w:val="en-US"/>
        </w:rPr>
        <w:t>N, N=</w:t>
      </w:r>
      <w:r w:rsidR="00B3106F">
        <w:rPr>
          <w:rFonts w:eastAsiaTheme="minorEastAsia"/>
          <w:lang w:val="en-US"/>
        </w:rPr>
        <w:t>2,246</w:t>
      </w:r>
      <w:r>
        <w:rPr>
          <w:rFonts w:eastAsiaTheme="minorEastAsia"/>
          <w:lang w:val="en-US"/>
        </w:rPr>
        <w:t xml:space="preserve">) </w:t>
      </w:r>
      <w:r w:rsidR="00F305BB">
        <w:rPr>
          <w:rFonts w:eastAsiaTheme="minorEastAsia"/>
          <w:lang w:val="en-US"/>
        </w:rPr>
        <w:t xml:space="preserve">individuals </w:t>
      </w:r>
      <w:r>
        <w:rPr>
          <w:rFonts w:eastAsiaTheme="minorEastAsia"/>
          <w:lang w:val="en-US"/>
        </w:rPr>
        <w:t xml:space="preserve">in </w:t>
      </w:r>
      <w:r w:rsidR="00D16840">
        <w:rPr>
          <w:rFonts w:eastAsiaTheme="minorEastAsia"/>
          <w:lang w:val="en-US"/>
        </w:rPr>
        <w:t xml:space="preserve">the </w:t>
      </w:r>
      <w:r w:rsidR="00F305BB">
        <w:rPr>
          <w:rFonts w:eastAsiaTheme="minorEastAsia"/>
          <w:lang w:val="en-US"/>
        </w:rPr>
        <w:t>NHTS</w:t>
      </w:r>
      <w:r>
        <w:rPr>
          <w:rFonts w:eastAsiaTheme="minorEastAsia"/>
          <w:lang w:val="en-US"/>
        </w:rPr>
        <w:t xml:space="preserve"> survey data</w:t>
      </w:r>
      <w:r w:rsidR="007E5E3C">
        <w:rPr>
          <w:rFonts w:eastAsiaTheme="minorEastAsia"/>
          <w:lang w:val="en-US"/>
        </w:rPr>
        <w:t xml:space="preserve"> </w:t>
      </w:r>
      <w:r>
        <w:rPr>
          <w:rFonts w:eastAsiaTheme="minorEastAsia"/>
          <w:lang w:val="en-US"/>
        </w:rPr>
        <w:t xml:space="preserve">and </w:t>
      </w:r>
      <m:oMath>
        <m:r>
          <w:rPr>
            <w:rFonts w:ascii="Cambria Math" w:hAnsi="Cambria Math"/>
            <w:lang w:val="en-US"/>
          </w:rPr>
          <m:t>K</m:t>
        </m:r>
      </m:oMath>
      <w:r w:rsidRPr="00BA524C">
        <w:rPr>
          <w:lang w:val="en-US"/>
        </w:rPr>
        <w:t xml:space="preserve"> possible matches</w:t>
      </w:r>
      <w:r>
        <w:rPr>
          <w:lang w:val="en-US"/>
        </w:rPr>
        <w:t xml:space="preserve"> </w:t>
      </w:r>
      <w:r w:rsidRPr="00BA524C">
        <w:rPr>
          <w:lang w:val="en-US"/>
        </w:rPr>
        <w:t>from the</w:t>
      </w:r>
      <w:r>
        <w:rPr>
          <w:lang w:val="en-US"/>
        </w:rPr>
        <w:t xml:space="preserve"> </w:t>
      </w:r>
      <w:r w:rsidR="00F305BB">
        <w:rPr>
          <w:lang w:val="en-US"/>
        </w:rPr>
        <w:t>Twitter dataset</w:t>
      </w:r>
      <w:r>
        <w:rPr>
          <w:lang w:val="en-US"/>
        </w:rPr>
        <w:t xml:space="preserve">. </w:t>
      </w:r>
      <w:r w:rsidR="007E5E3C">
        <w:rPr>
          <w:lang w:val="en-US"/>
        </w:rPr>
        <w:t>With this notation, the evacuation propensity component takes the following form:</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0"/>
        <w:gridCol w:w="1346"/>
      </w:tblGrid>
      <w:tr w:rsidR="007E5E3C" w:rsidRPr="00024ABA" w14:paraId="33F549DF" w14:textId="77777777" w:rsidTr="00BB0423">
        <w:trPr>
          <w:trHeight w:val="288"/>
        </w:trPr>
        <w:tc>
          <w:tcPr>
            <w:tcW w:w="4281" w:type="pct"/>
            <w:vAlign w:val="center"/>
          </w:tcPr>
          <w:p w14:paraId="1DD2E01D" w14:textId="7954C9A6" w:rsidR="007E5E3C" w:rsidRPr="007E5E3C" w:rsidRDefault="00000000" w:rsidP="007E5E3C">
            <w:pPr>
              <w:ind w:firstLine="720"/>
              <w:rPr>
                <w:lang w:val="en-US"/>
              </w:rPr>
            </w:pPr>
            <m:oMathPara>
              <m:oMathParaPr>
                <m:jc m:val="left"/>
              </m:oMathParaPr>
              <m:oMath>
                <m:sSubSup>
                  <m:sSubSupPr>
                    <m:ctrlPr>
                      <w:rPr>
                        <w:rFonts w:ascii="Cambria Math" w:hAnsi="Cambria Math"/>
                        <w:i/>
                        <w:sz w:val="24"/>
                        <w:szCs w:val="24"/>
                        <w:lang w:val="en-US"/>
                      </w:rPr>
                    </m:ctrlPr>
                  </m:sSubSupPr>
                  <m:e>
                    <m:r>
                      <w:rPr>
                        <w:rFonts w:ascii="Cambria Math" w:hAnsi="Cambria Math"/>
                        <w:sz w:val="24"/>
                        <w:szCs w:val="24"/>
                        <w:lang w:val="en-US"/>
                      </w:rPr>
                      <m:t>v</m:t>
                    </m:r>
                  </m:e>
                  <m:sub>
                    <m:r>
                      <w:rPr>
                        <w:rFonts w:ascii="Cambria Math" w:hAnsi="Cambria Math"/>
                        <w:sz w:val="24"/>
                        <w:szCs w:val="24"/>
                        <w:lang w:val="en-US"/>
                      </w:rPr>
                      <m:t>ik</m:t>
                    </m:r>
                  </m:sub>
                  <m:sup>
                    <m:r>
                      <w:rPr>
                        <w:rFonts w:ascii="Cambria Math" w:hAnsi="Cambria Math"/>
                        <w:sz w:val="24"/>
                        <w:szCs w:val="24"/>
                        <w:lang w:val="en-US"/>
                      </w:rPr>
                      <m:t>*</m:t>
                    </m:r>
                  </m:sup>
                </m:sSubSup>
                <m:r>
                  <w:rPr>
                    <w:rFonts w:ascii="Cambria Math" w:hAnsi="Cambria Math"/>
                    <w:sz w:val="24"/>
                    <w:szCs w:val="24"/>
                    <w:lang w:val="en-US"/>
                  </w:rPr>
                  <m:t xml:space="preserve">=  </m:t>
                </m:r>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ik</m:t>
                    </m:r>
                  </m:sub>
                </m:sSub>
                <m:r>
                  <w:rPr>
                    <w:rFonts w:ascii="Cambria Math" w:hAnsi="Cambria Math" w:cs="Times New Roman"/>
                    <w:szCs w:val="24"/>
                  </w:rPr>
                  <m:t xml:space="preserve">+ </m:t>
                </m:r>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γ</m:t>
                        </m:r>
                      </m:e>
                      <m:sup>
                        <m:r>
                          <w:rPr>
                            <w:rFonts w:ascii="Cambria Math" w:hAnsi="Cambria Math" w:cs="Times New Roman"/>
                            <w:szCs w:val="24"/>
                          </w:rPr>
                          <m:t>'</m:t>
                        </m:r>
                      </m:sup>
                    </m:sSup>
                    <m:r>
                      <w:rPr>
                        <w:rFonts w:ascii="Cambria Math" w:hAnsi="Cambria Math" w:cs="Times New Roman"/>
                        <w:szCs w:val="24"/>
                      </w:rPr>
                      <m:t>S</m:t>
                    </m:r>
                  </m:e>
                  <m:sub>
                    <m:r>
                      <w:rPr>
                        <w:rFonts w:ascii="Cambria Math" w:hAnsi="Cambria Math" w:cs="Times New Roman"/>
                        <w:szCs w:val="24"/>
                      </w:rPr>
                      <m:t>ik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 xml:space="preserve"> ik</m:t>
                    </m:r>
                  </m:sub>
                </m:sSub>
                <m:r>
                  <w:rPr>
                    <w:rFonts w:ascii="Cambria Math" w:hAnsi="Cambria Math" w:cs="Times New Roman"/>
                    <w:sz w:val="24"/>
                    <w:szCs w:val="28"/>
                  </w:rPr>
                  <m:t xml:space="preserve">, </m:t>
                </m:r>
                <m:sSub>
                  <m:sSubPr>
                    <m:ctrlPr>
                      <w:rPr>
                        <w:rFonts w:ascii="Cambria Math" w:hAnsi="Cambria Math" w:cs="Times New Roman"/>
                        <w:i/>
                        <w:szCs w:val="28"/>
                      </w:rPr>
                    </m:ctrlPr>
                  </m:sSubPr>
                  <m:e>
                    <m:r>
                      <w:rPr>
                        <w:rFonts w:ascii="Cambria Math" w:hAnsi="Cambria Math" w:cs="Times New Roman"/>
                        <w:sz w:val="24"/>
                        <w:szCs w:val="28"/>
                      </w:rPr>
                      <m:t>v</m:t>
                    </m:r>
                  </m:e>
                  <m:sub>
                    <m:r>
                      <w:rPr>
                        <w:rFonts w:ascii="Cambria Math" w:hAnsi="Cambria Math" w:cs="Times New Roman"/>
                        <w:sz w:val="24"/>
                        <w:szCs w:val="28"/>
                      </w:rPr>
                      <m:t>ik</m:t>
                    </m:r>
                  </m:sub>
                </m:sSub>
                <m:r>
                  <w:rPr>
                    <w:rFonts w:ascii="Cambria Math" w:hAnsi="Cambria Math" w:cs="Times New Roman"/>
                    <w:szCs w:val="28"/>
                  </w:rPr>
                  <m:t xml:space="preserve">=1 if </m:t>
                </m:r>
                <m:sSubSup>
                  <m:sSubSupPr>
                    <m:ctrlPr>
                      <w:rPr>
                        <w:rFonts w:ascii="Cambria Math" w:hAnsi="Cambria Math" w:cs="Times New Roman"/>
                        <w:i/>
                        <w:szCs w:val="28"/>
                      </w:rPr>
                    </m:ctrlPr>
                  </m:sSubSupPr>
                  <m:e>
                    <m:r>
                      <w:rPr>
                        <w:rFonts w:ascii="Cambria Math" w:hAnsi="Cambria Math" w:cs="Times New Roman"/>
                        <w:szCs w:val="28"/>
                      </w:rPr>
                      <m:t>v</m:t>
                    </m:r>
                  </m:e>
                  <m:sub>
                    <m:r>
                      <w:rPr>
                        <w:rFonts w:ascii="Cambria Math" w:hAnsi="Cambria Math" w:cs="Times New Roman"/>
                        <w:szCs w:val="28"/>
                      </w:rPr>
                      <m:t>ik</m:t>
                    </m:r>
                  </m:sub>
                  <m:sup>
                    <m:r>
                      <w:rPr>
                        <w:rFonts w:ascii="Cambria Math" w:hAnsi="Cambria Math" w:cs="Times New Roman"/>
                        <w:szCs w:val="28"/>
                      </w:rPr>
                      <m:t>*</m:t>
                    </m:r>
                  </m:sup>
                </m:sSubSup>
                <m:r>
                  <w:rPr>
                    <w:rFonts w:ascii="Cambria Math" w:hAnsi="Cambria Math" w:cs="Times New Roman"/>
                    <w:szCs w:val="28"/>
                  </w:rPr>
                  <m:t>&gt;0;</m:t>
                </m:r>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ik</m:t>
                    </m:r>
                  </m:sub>
                </m:sSub>
                <m:r>
                  <w:rPr>
                    <w:rFonts w:ascii="Cambria Math" w:hAnsi="Cambria Math" w:cs="Times New Roman"/>
                    <w:szCs w:val="28"/>
                  </w:rPr>
                  <m:t>=0 otherwise</m:t>
                </m:r>
              </m:oMath>
            </m:oMathPara>
          </w:p>
        </w:tc>
        <w:tc>
          <w:tcPr>
            <w:tcW w:w="719" w:type="pct"/>
            <w:vAlign w:val="center"/>
          </w:tcPr>
          <w:p w14:paraId="3DEC7946" w14:textId="77777777" w:rsidR="007E5E3C" w:rsidRPr="00024ABA" w:rsidRDefault="007E5E3C" w:rsidP="00BB0423">
            <w:pPr>
              <w:spacing w:before="360" w:after="360"/>
              <w:ind w:left="850"/>
              <w:contextualSpacing/>
              <w:jc w:val="right"/>
              <w:rPr>
                <w:rFonts w:ascii="Times New Roman" w:hAnsi="Times New Roman" w:cs="Times New Roman"/>
                <w:sz w:val="24"/>
                <w:szCs w:val="24"/>
              </w:rPr>
            </w:pPr>
            <w:r w:rsidRPr="00024ABA">
              <w:rPr>
                <w:rFonts w:ascii="Times New Roman" w:hAnsi="Times New Roman" w:cs="Times New Roman"/>
                <w:sz w:val="24"/>
                <w:szCs w:val="24"/>
              </w:rPr>
              <w:t>(1)</w:t>
            </w:r>
          </w:p>
        </w:tc>
      </w:tr>
    </w:tbl>
    <w:p w14:paraId="7B9DC5D5" w14:textId="2B89FD76" w:rsidR="00566197" w:rsidRDefault="005372DD" w:rsidP="00566197">
      <w:pPr>
        <w:rPr>
          <w:rFonts w:eastAsiaTheme="minorEastAsia" w:cs="Times New Roman"/>
          <w:szCs w:val="24"/>
          <w:lang w:val="en-US"/>
        </w:rPr>
      </w:pPr>
      <w:r>
        <w:rPr>
          <w:rFonts w:cs="Times New Roman"/>
          <w:szCs w:val="24"/>
        </w:rPr>
        <w:t xml:space="preserve">where </w:t>
      </w:r>
      <m:oMath>
        <m:sSubSup>
          <m:sSubSupPr>
            <m:ctrlPr>
              <w:rPr>
                <w:rFonts w:ascii="Cambria Math" w:hAnsi="Cambria Math"/>
                <w:i/>
                <w:szCs w:val="24"/>
                <w:lang w:val="en-US"/>
              </w:rPr>
            </m:ctrlPr>
          </m:sSubSupPr>
          <m:e>
            <m:r>
              <w:rPr>
                <w:rFonts w:ascii="Cambria Math" w:hAnsi="Cambria Math"/>
                <w:szCs w:val="24"/>
                <w:lang w:val="en-US"/>
              </w:rPr>
              <m:t>v</m:t>
            </m:r>
          </m:e>
          <m:sub>
            <m:r>
              <w:rPr>
                <w:rFonts w:ascii="Cambria Math" w:hAnsi="Cambria Math"/>
                <w:szCs w:val="24"/>
                <w:lang w:val="en-US"/>
              </w:rPr>
              <m:t>ik</m:t>
            </m:r>
          </m:sub>
          <m:sup>
            <m:r>
              <w:rPr>
                <w:rFonts w:ascii="Cambria Math" w:hAnsi="Cambria Math"/>
                <w:szCs w:val="24"/>
                <w:lang w:val="en-US"/>
              </w:rPr>
              <m:t>*</m:t>
            </m:r>
          </m:sup>
        </m:sSubSup>
      </m:oMath>
      <w:r>
        <w:rPr>
          <w:rFonts w:eastAsiaTheme="minorEastAsia" w:cs="Times New Roman"/>
          <w:szCs w:val="24"/>
          <w:lang w:val="en-US"/>
        </w:rPr>
        <w:t xml:space="preserve"> represents the propensity of the individual </w:t>
      </w:r>
      <m:oMath>
        <m:r>
          <w:rPr>
            <w:rFonts w:ascii="Cambria Math" w:hAnsi="Cambria Math"/>
            <w:lang w:val="en-US"/>
          </w:rPr>
          <m:t>i</m:t>
        </m:r>
      </m:oMath>
      <w:r>
        <w:rPr>
          <w:rFonts w:eastAsiaTheme="minorEastAsia" w:cs="Times New Roman"/>
          <w:lang w:val="en-US"/>
        </w:rPr>
        <w:t xml:space="preserve"> for the </w:t>
      </w:r>
      <m:oMath>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th</m:t>
            </m:r>
          </m:sup>
        </m:sSup>
      </m:oMath>
      <w:r>
        <w:rPr>
          <w:rFonts w:eastAsiaTheme="minorEastAsia" w:cs="Times New Roman"/>
          <w:szCs w:val="24"/>
          <w:lang w:val="en-US"/>
        </w:rPr>
        <w:t xml:space="preserve"> fused record to evacuate during </w:t>
      </w:r>
      <w:r w:rsidR="00C70D82">
        <w:rPr>
          <w:rFonts w:eastAsiaTheme="minorEastAsia" w:cs="Times New Roman"/>
          <w:szCs w:val="24"/>
          <w:lang w:val="en-US"/>
        </w:rPr>
        <w:t>H</w:t>
      </w:r>
      <w:r>
        <w:rPr>
          <w:rFonts w:eastAsiaTheme="minorEastAsia" w:cs="Times New Roman"/>
          <w:szCs w:val="24"/>
          <w:lang w:val="en-US"/>
        </w:rPr>
        <w:t>urricane I</w:t>
      </w:r>
      <w:r w:rsidR="00C70D82">
        <w:rPr>
          <w:rFonts w:eastAsiaTheme="minorEastAsia" w:cs="Times New Roman"/>
          <w:szCs w:val="24"/>
          <w:lang w:val="en-US"/>
        </w:rPr>
        <w:t>rma</w:t>
      </w:r>
      <w:r>
        <w:rPr>
          <w:rFonts w:eastAsiaTheme="minorEastAsia" w:cs="Times New Roman"/>
          <w:szCs w:val="24"/>
          <w:lang w:val="en-US"/>
        </w:rPr>
        <w:t xml:space="preserve">.  </w:t>
      </w:r>
      <m:oMath>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ik</m:t>
            </m:r>
          </m:sub>
        </m:sSub>
      </m:oMath>
      <w:r>
        <w:rPr>
          <w:rFonts w:eastAsiaTheme="minorEastAsia" w:cs="Times New Roman"/>
          <w:szCs w:val="28"/>
        </w:rPr>
        <w:t xml:space="preserve"> is the observed evacuation choice, that is 1 if the person </w:t>
      </w:r>
      <m:oMath>
        <m:r>
          <w:rPr>
            <w:rFonts w:ascii="Cambria Math" w:hAnsi="Cambria Math"/>
            <w:lang w:val="en-US"/>
          </w:rPr>
          <m:t>i</m:t>
        </m:r>
      </m:oMath>
      <w:r>
        <w:rPr>
          <w:rFonts w:eastAsiaTheme="minorEastAsia" w:cs="Times New Roman"/>
          <w:lang w:val="en-US"/>
        </w:rPr>
        <w:t xml:space="preserve"> in NHTS for the </w:t>
      </w:r>
      <m:oMath>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th</m:t>
            </m:r>
          </m:sup>
        </m:sSup>
      </m:oMath>
      <w:r>
        <w:rPr>
          <w:rFonts w:eastAsiaTheme="minorEastAsia" w:cs="Times New Roman"/>
          <w:szCs w:val="24"/>
          <w:lang w:val="en-US"/>
        </w:rPr>
        <w:t xml:space="preserve"> fused record from Twitter</w:t>
      </w:r>
      <w:r w:rsidR="006709C1">
        <w:rPr>
          <w:rFonts w:eastAsiaTheme="minorEastAsia" w:cs="Times New Roman"/>
          <w:szCs w:val="24"/>
          <w:lang w:val="en-US"/>
        </w:rPr>
        <w:t xml:space="preserve"> had evacuate</w:t>
      </w:r>
      <w:r w:rsidR="00E56BC5">
        <w:rPr>
          <w:rFonts w:eastAsiaTheme="minorEastAsia" w:cs="Times New Roman"/>
          <w:szCs w:val="24"/>
          <w:lang w:val="en-US"/>
        </w:rPr>
        <w:t>d</w:t>
      </w:r>
      <w:r w:rsidR="006709C1">
        <w:rPr>
          <w:rFonts w:eastAsiaTheme="minorEastAsia" w:cs="Times New Roman"/>
          <w:szCs w:val="24"/>
          <w:lang w:val="en-US"/>
        </w:rPr>
        <w:t xml:space="preserve"> during the disaster and 0 otherwise.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ik</m:t>
            </m:r>
          </m:sub>
        </m:sSub>
      </m:oMath>
      <w:r w:rsidR="006709C1" w:rsidRPr="00941DD5">
        <w:rPr>
          <w:rFonts w:cs="Times New Roman"/>
          <w:szCs w:val="24"/>
        </w:rPr>
        <w:t xml:space="preserve">is a vector of </w:t>
      </w:r>
      <w:r w:rsidR="006709C1">
        <w:rPr>
          <w:rFonts w:cs="Times New Roman"/>
          <w:szCs w:val="24"/>
        </w:rPr>
        <w:t xml:space="preserve">attributes from the </w:t>
      </w:r>
      <w:r w:rsidR="00D7657B">
        <w:rPr>
          <w:rFonts w:cs="Times New Roman"/>
          <w:szCs w:val="24"/>
        </w:rPr>
        <w:t>NHTS</w:t>
      </w:r>
      <w:r w:rsidR="006709C1">
        <w:rPr>
          <w:rFonts w:cs="Times New Roman"/>
          <w:szCs w:val="24"/>
        </w:rPr>
        <w:t xml:space="preserve"> dataset</w:t>
      </w:r>
      <w:r w:rsidR="006709C1" w:rsidRPr="00941DD5">
        <w:rPr>
          <w:rFonts w:cs="Times New Roman"/>
          <w:szCs w:val="24"/>
        </w:rPr>
        <w:t xml:space="preserve"> </w:t>
      </w:r>
      <w:r w:rsidR="006709C1">
        <w:rPr>
          <w:rFonts w:cs="Times New Roman"/>
          <w:szCs w:val="24"/>
        </w:rPr>
        <w:t>that influence the evacuation choice and</w:t>
      </w:r>
      <w:r w:rsidR="006709C1" w:rsidRPr="00941DD5">
        <w:rPr>
          <w:rFonts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006709C1" w:rsidRPr="00941DD5">
        <w:rPr>
          <w:rFonts w:cs="Times New Roman"/>
          <w:szCs w:val="24"/>
        </w:rPr>
        <w:t xml:space="preserve"> is the </w:t>
      </w:r>
      <w:r w:rsidR="006709C1">
        <w:rPr>
          <w:rFonts w:cs="Times New Roman"/>
          <w:szCs w:val="24"/>
        </w:rPr>
        <w:t xml:space="preserve">corresponding </w:t>
      </w:r>
      <w:r w:rsidR="006709C1" w:rsidRPr="00941DD5">
        <w:rPr>
          <w:rFonts w:cs="Times New Roman"/>
          <w:szCs w:val="24"/>
        </w:rPr>
        <w:t xml:space="preserve">coefficients to be estimated </w:t>
      </w:r>
      <w:r w:rsidR="006709C1">
        <w:rPr>
          <w:rFonts w:cs="Times New Roman"/>
          <w:szCs w:val="24"/>
        </w:rPr>
        <w:t>(including a scalar constant).</w:t>
      </w:r>
      <w:r w:rsidR="006709C1" w:rsidRPr="006709C1">
        <w:rPr>
          <w:rFonts w:ascii="Cambria Math" w:hAnsi="Cambria Math" w:cs="Times New Roman"/>
          <w:i/>
          <w:szCs w:val="24"/>
        </w:rPr>
        <w:t xml:space="preserve">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ik</m:t>
            </m:r>
          </m:sub>
        </m:sSub>
      </m:oMath>
      <w:r w:rsidR="006B7696">
        <w:rPr>
          <w:rFonts w:ascii="Cambria Math" w:eastAsiaTheme="minorEastAsia" w:hAnsi="Cambria Math" w:cs="Times New Roman"/>
          <w:i/>
          <w:szCs w:val="24"/>
        </w:rPr>
        <w:t xml:space="preserve"> </w:t>
      </w:r>
      <w:r w:rsidR="006709C1" w:rsidRPr="00941DD5">
        <w:rPr>
          <w:rFonts w:cs="Times New Roman"/>
          <w:szCs w:val="24"/>
        </w:rPr>
        <w:t xml:space="preserve">is </w:t>
      </w:r>
      <w:r w:rsidR="006709C1">
        <w:rPr>
          <w:rFonts w:cs="Times New Roman"/>
          <w:szCs w:val="24"/>
        </w:rPr>
        <w:t>the</w:t>
      </w:r>
      <w:r w:rsidR="006709C1" w:rsidRPr="00941DD5">
        <w:rPr>
          <w:rFonts w:cs="Times New Roman"/>
          <w:szCs w:val="24"/>
        </w:rPr>
        <w:t xml:space="preserve"> vector of </w:t>
      </w:r>
      <w:r w:rsidR="006709C1">
        <w:rPr>
          <w:rFonts w:cs="Times New Roman"/>
          <w:szCs w:val="24"/>
        </w:rPr>
        <w:t xml:space="preserve">attributes from the </w:t>
      </w:r>
      <w:r w:rsidR="002C7254">
        <w:rPr>
          <w:rFonts w:cs="Times New Roman"/>
          <w:szCs w:val="24"/>
        </w:rPr>
        <w:t xml:space="preserve">Twitter </w:t>
      </w:r>
      <w:r w:rsidR="006709C1">
        <w:rPr>
          <w:rFonts w:cs="Times New Roman"/>
          <w:szCs w:val="24"/>
        </w:rPr>
        <w:t>dataset</w:t>
      </w:r>
      <w:r w:rsidR="006709C1" w:rsidRPr="00941DD5">
        <w:rPr>
          <w:rFonts w:cs="Times New Roman"/>
          <w:szCs w:val="24"/>
        </w:rPr>
        <w:t xml:space="preserve"> </w:t>
      </w:r>
      <w:r w:rsidR="006709C1">
        <w:rPr>
          <w:rFonts w:cs="Times New Roman"/>
          <w:szCs w:val="24"/>
        </w:rPr>
        <w:t xml:space="preserve">that affect </w:t>
      </w:r>
      <w:r w:rsidR="00105F54">
        <w:rPr>
          <w:rFonts w:cs="Times New Roman"/>
          <w:szCs w:val="24"/>
        </w:rPr>
        <w:t>the evacuation decision</w:t>
      </w:r>
      <w:r w:rsidR="006709C1">
        <w:rPr>
          <w:rFonts w:cs="Times New Roman"/>
          <w:szCs w:val="24"/>
        </w:rPr>
        <w:t xml:space="preserve"> and</w:t>
      </w:r>
      <w:r w:rsidR="006709C1" w:rsidRPr="00941DD5">
        <w:rPr>
          <w:rFonts w:cs="Times New Roman"/>
          <w:szCs w:val="24"/>
        </w:rPr>
        <w:t xml:space="preserve"> </w:t>
      </w:r>
      <m:oMath>
        <m:sSup>
          <m:sSupPr>
            <m:ctrlPr>
              <w:rPr>
                <w:rFonts w:ascii="Cambria Math" w:hAnsi="Cambria Math" w:cs="Times New Roman"/>
                <w:i/>
                <w:sz w:val="22"/>
                <w:szCs w:val="24"/>
              </w:rPr>
            </m:ctrlPr>
          </m:sSupPr>
          <m:e>
            <m:r>
              <w:rPr>
                <w:rFonts w:ascii="Cambria Math" w:hAnsi="Cambria Math" w:cs="Times New Roman"/>
                <w:sz w:val="22"/>
                <w:szCs w:val="24"/>
              </w:rPr>
              <m:t>γ</m:t>
            </m:r>
          </m:e>
          <m:sup>
            <m:r>
              <w:rPr>
                <w:rFonts w:ascii="Cambria Math" w:hAnsi="Cambria Math" w:cs="Times New Roman"/>
                <w:sz w:val="22"/>
                <w:szCs w:val="24"/>
              </w:rPr>
              <m:t>'</m:t>
            </m:r>
          </m:sup>
        </m:sSup>
      </m:oMath>
      <w:r w:rsidR="006709C1" w:rsidRPr="00941DD5">
        <w:rPr>
          <w:rFonts w:cs="Times New Roman"/>
          <w:szCs w:val="24"/>
        </w:rPr>
        <w:t xml:space="preserve"> is the </w:t>
      </w:r>
      <w:r w:rsidR="006709C1">
        <w:rPr>
          <w:rFonts w:cs="Times New Roman"/>
          <w:szCs w:val="24"/>
        </w:rPr>
        <w:t xml:space="preserve">corresponding vector of </w:t>
      </w:r>
      <w:r w:rsidR="006709C1" w:rsidRPr="00941DD5">
        <w:rPr>
          <w:rFonts w:cs="Times New Roman"/>
          <w:szCs w:val="24"/>
        </w:rPr>
        <w:t>coefficients to be estimated</w:t>
      </w:r>
      <w:r w:rsidR="006709C1">
        <w:rPr>
          <w:rFonts w:cs="Times New Roman"/>
          <w:szCs w:val="24"/>
        </w:rPr>
        <w:t>.</w:t>
      </w:r>
      <w:r w:rsidR="00105F54" w:rsidRPr="00105F54">
        <w:rPr>
          <w:rFonts w:ascii="Georgia" w:hAnsi="Georgia"/>
          <w:color w:val="2E2E2E"/>
          <w:sz w:val="27"/>
          <w:szCs w:val="27"/>
        </w:rPr>
        <w:t xml:space="preserve"> </w:t>
      </w:r>
      <m:oMath>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 xml:space="preserve"> ik</m:t>
            </m:r>
          </m:sub>
        </m:sSub>
      </m:oMath>
      <w:r w:rsidR="00105F54">
        <w:rPr>
          <w:rFonts w:ascii="Georgia" w:eastAsiaTheme="minorEastAsia" w:hAnsi="Georgia"/>
          <w:szCs w:val="24"/>
        </w:rPr>
        <w:t xml:space="preserve"> </w:t>
      </w:r>
      <w:r w:rsidR="00105F54" w:rsidRPr="00105F54">
        <w:rPr>
          <w:rFonts w:cs="Times New Roman"/>
          <w:szCs w:val="24"/>
        </w:rPr>
        <w:t>is an idiosyncratic error term assumed to be identically and independently standard logistic distributed</w:t>
      </w:r>
      <w:r w:rsidR="00105F54">
        <w:rPr>
          <w:rFonts w:cs="Times New Roman"/>
          <w:szCs w:val="24"/>
        </w:rPr>
        <w:t xml:space="preserve">. </w:t>
      </w:r>
      <w:r w:rsidR="00566197">
        <w:rPr>
          <w:rFonts w:cs="Times New Roman"/>
          <w:szCs w:val="24"/>
        </w:rPr>
        <w:t xml:space="preserve">Based on this, the probability for </w:t>
      </w:r>
      <w:r w:rsidR="00105F54">
        <w:rPr>
          <w:rFonts w:cs="Times New Roman"/>
          <w:szCs w:val="24"/>
        </w:rPr>
        <w:t>person</w:t>
      </w:r>
      <w:r w:rsidR="00566197">
        <w:rPr>
          <w:rFonts w:cs="Times New Roman"/>
          <w:szCs w:val="24"/>
        </w:rPr>
        <w:t xml:space="preserve"> </w:t>
      </w:r>
      <m:oMath>
        <m:r>
          <w:rPr>
            <w:rFonts w:ascii="Cambria Math" w:hAnsi="Cambria Math"/>
            <w:lang w:val="en-US"/>
          </w:rPr>
          <m:t>i</m:t>
        </m:r>
      </m:oMath>
      <w:r w:rsidR="00566197">
        <w:rPr>
          <w:rFonts w:eastAsiaTheme="minorEastAsia" w:cs="Times New Roman"/>
          <w:lang w:val="en-US"/>
        </w:rPr>
        <w:t xml:space="preserve"> for the </w:t>
      </w:r>
      <m:oMath>
        <m:sSup>
          <m:sSupPr>
            <m:ctrlPr>
              <w:rPr>
                <w:rFonts w:ascii="Cambria Math" w:eastAsiaTheme="minorEastAsia" w:hAnsi="Cambria Math" w:cs="Times New Roman"/>
                <w:i/>
                <w:lang w:val="en-US"/>
              </w:rPr>
            </m:ctrlPr>
          </m:sSupPr>
          <m:e>
            <m:r>
              <w:rPr>
                <w:rFonts w:ascii="Cambria Math" w:hAnsi="Cambria Math"/>
                <w:lang w:val="en-US"/>
              </w:rPr>
              <m:t>k</m:t>
            </m:r>
            <m:ctrlPr>
              <w:rPr>
                <w:rFonts w:ascii="Cambria Math" w:hAnsi="Cambria Math"/>
                <w:i/>
                <w:lang w:val="en-US"/>
              </w:rPr>
            </m:ctrlPr>
          </m:e>
          <m:sup>
            <m:r>
              <w:rPr>
                <w:rFonts w:ascii="Cambria Math" w:eastAsiaTheme="minorEastAsia" w:hAnsi="Cambria Math" w:cs="Times New Roman"/>
                <w:lang w:val="en-US"/>
              </w:rPr>
              <m:t>th</m:t>
            </m:r>
          </m:sup>
        </m:sSup>
      </m:oMath>
      <w:r w:rsidR="00566197">
        <w:rPr>
          <w:rFonts w:eastAsiaTheme="minorEastAsia" w:cs="Times New Roman"/>
          <w:lang w:val="en-US"/>
        </w:rPr>
        <w:t xml:space="preserve"> fused records</w:t>
      </w:r>
      <w:r w:rsidR="00566197">
        <w:rPr>
          <w:rFonts w:eastAsiaTheme="minorEastAsia" w:cs="Times New Roman"/>
          <w:szCs w:val="24"/>
        </w:rPr>
        <w:t xml:space="preserve"> </w:t>
      </w:r>
      <w:r w:rsidR="00566197">
        <w:rPr>
          <w:rFonts w:eastAsiaTheme="minorEastAsia" w:cs="Times New Roman"/>
          <w:lang w:val="en-US"/>
        </w:rPr>
        <w:t xml:space="preserve">to </w:t>
      </w:r>
      <w:r w:rsidR="00105F54">
        <w:rPr>
          <w:rFonts w:eastAsiaTheme="minorEastAsia" w:cs="Times New Roman"/>
          <w:lang w:val="en-US"/>
        </w:rPr>
        <w:t>evacuate</w:t>
      </w:r>
      <w:r w:rsidR="00566197">
        <w:rPr>
          <w:rFonts w:eastAsiaTheme="minorEastAsia" w:cs="Times New Roman"/>
          <w:szCs w:val="24"/>
          <w:lang w:val="en-US"/>
        </w:rPr>
        <w:t xml:space="preserve"> is given by:</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1347"/>
      </w:tblGrid>
      <w:tr w:rsidR="00566197" w14:paraId="7EBBE414" w14:textId="77777777" w:rsidTr="00BB0423">
        <w:trPr>
          <w:trHeight w:val="20"/>
        </w:trPr>
        <w:tc>
          <w:tcPr>
            <w:tcW w:w="4254" w:type="pct"/>
            <w:vAlign w:val="center"/>
            <w:hideMark/>
          </w:tcPr>
          <w:p w14:paraId="6EBB70BD" w14:textId="0E30C9B3" w:rsidR="00566197" w:rsidRDefault="00000000" w:rsidP="00BB0423">
            <w:pPr>
              <w:spacing w:before="360" w:after="360"/>
              <w:rPr>
                <w:rFonts w:eastAsiaTheme="minorEastAsia" w:cs="Times New Roman"/>
                <w:sz w:val="24"/>
                <w:szCs w:val="24"/>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ik</m:t>
                    </m:r>
                  </m:sub>
                </m:sSub>
                <m:r>
                  <w:rPr>
                    <w:rFonts w:ascii="Cambria Math" w:hAnsi="Cambria Math"/>
                    <w:sz w:val="24"/>
                    <w:szCs w:val="24"/>
                    <w:lang w:val="en-US"/>
                  </w:rPr>
                  <m:t>=</m:t>
                </m:r>
                <m:f>
                  <m:fPr>
                    <m:ctrlPr>
                      <w:rPr>
                        <w:rFonts w:ascii="Cambria Math" w:hAnsi="Cambria Math"/>
                        <w:i/>
                        <w:sz w:val="24"/>
                        <w:szCs w:val="24"/>
                        <w:lang w:val="en-US"/>
                      </w:rPr>
                    </m:ctrlPr>
                  </m:fPr>
                  <m:num>
                    <m:func>
                      <m:funcPr>
                        <m:ctrlPr>
                          <w:rPr>
                            <w:rFonts w:ascii="Cambria Math" w:hAnsi="Cambria Math"/>
                            <w:sz w:val="24"/>
                            <w:szCs w:val="24"/>
                            <w:lang w:val="en-US"/>
                          </w:rPr>
                        </m:ctrlPr>
                      </m:funcPr>
                      <m:fName>
                        <m:r>
                          <m:rPr>
                            <m:sty m:val="p"/>
                          </m:rPr>
                          <w:rPr>
                            <w:rFonts w:ascii="Cambria Math" w:hAnsi="Cambria Math"/>
                            <w:sz w:val="24"/>
                            <w:szCs w:val="24"/>
                            <w:lang w:val="en-US"/>
                          </w:rPr>
                          <m:t>exp</m:t>
                        </m:r>
                      </m:fName>
                      <m:e>
                        <m:d>
                          <m:dPr>
                            <m:ctrlPr>
                              <w:rPr>
                                <w:rFonts w:ascii="Cambria Math" w:hAnsi="Cambria Math"/>
                                <w:i/>
                                <w:sz w:val="24"/>
                                <w:szCs w:val="24"/>
                                <w:lang w:val="en-US"/>
                              </w:rPr>
                            </m:ctrlPr>
                          </m:dPr>
                          <m:e>
                            <m:sSubSup>
                              <m:sSubSupPr>
                                <m:ctrlPr>
                                  <w:rPr>
                                    <w:rFonts w:ascii="Cambria Math" w:hAnsi="Cambria Math"/>
                                    <w:i/>
                                    <w:sz w:val="24"/>
                                    <w:szCs w:val="24"/>
                                    <w:lang w:val="en-US"/>
                                  </w:rPr>
                                </m:ctrlPr>
                              </m:sSubSupPr>
                              <m:e>
                                <m:r>
                                  <w:rPr>
                                    <w:rFonts w:ascii="Cambria Math" w:hAnsi="Cambria Math"/>
                                    <w:sz w:val="24"/>
                                    <w:szCs w:val="24"/>
                                    <w:lang w:val="en-US"/>
                                  </w:rPr>
                                  <m:t>v</m:t>
                                </m:r>
                              </m:e>
                              <m:sub>
                                <m:r>
                                  <w:rPr>
                                    <w:rFonts w:ascii="Cambria Math" w:hAnsi="Cambria Math"/>
                                    <w:sz w:val="24"/>
                                    <w:szCs w:val="24"/>
                                    <w:lang w:val="en-US"/>
                                  </w:rPr>
                                  <m:t>ik</m:t>
                                </m:r>
                              </m:sub>
                              <m:sup>
                                <m:r>
                                  <w:rPr>
                                    <w:rFonts w:ascii="Cambria Math" w:hAnsi="Cambria Math"/>
                                    <w:sz w:val="24"/>
                                    <w:szCs w:val="24"/>
                                    <w:lang w:val="en-US"/>
                                  </w:rPr>
                                  <m:t>*</m:t>
                                </m:r>
                              </m:sup>
                            </m:sSubSup>
                          </m:e>
                        </m:d>
                      </m:e>
                    </m:func>
                  </m:num>
                  <m:den>
                    <m:r>
                      <w:rPr>
                        <w:rFonts w:ascii="Cambria Math" w:hAnsi="Cambria Math"/>
                        <w:sz w:val="24"/>
                        <w:szCs w:val="24"/>
                        <w:lang w:val="en-US"/>
                      </w:rPr>
                      <m:t>1+</m:t>
                    </m:r>
                    <m:r>
                      <m:rPr>
                        <m:sty m:val="p"/>
                      </m:rPr>
                      <w:rPr>
                        <w:rFonts w:ascii="Cambria Math" w:hAnsi="Cambria Math"/>
                        <w:sz w:val="24"/>
                        <w:szCs w:val="24"/>
                        <w:lang w:val="en-US"/>
                      </w:rPr>
                      <m:t>exp⁡</m:t>
                    </m:r>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v</m:t>
                        </m:r>
                      </m:e>
                      <m:sub>
                        <m:r>
                          <w:rPr>
                            <w:rFonts w:ascii="Cambria Math" w:hAnsi="Cambria Math"/>
                            <w:sz w:val="24"/>
                            <w:szCs w:val="24"/>
                            <w:lang w:val="en-US"/>
                          </w:rPr>
                          <m:t>ik</m:t>
                        </m:r>
                      </m:sub>
                      <m:sup>
                        <m:r>
                          <w:rPr>
                            <w:rFonts w:ascii="Cambria Math" w:hAnsi="Cambria Math"/>
                            <w:sz w:val="24"/>
                            <w:szCs w:val="24"/>
                            <w:lang w:val="en-US"/>
                          </w:rPr>
                          <m:t>*</m:t>
                        </m:r>
                      </m:sup>
                    </m:sSubSup>
                    <m:r>
                      <w:rPr>
                        <w:rFonts w:ascii="Cambria Math" w:hAnsi="Cambria Math"/>
                        <w:sz w:val="24"/>
                        <w:szCs w:val="24"/>
                        <w:lang w:val="en-US"/>
                      </w:rPr>
                      <m:t>)</m:t>
                    </m:r>
                  </m:den>
                </m:f>
              </m:oMath>
            </m:oMathPara>
          </w:p>
        </w:tc>
        <w:tc>
          <w:tcPr>
            <w:tcW w:w="746" w:type="pct"/>
            <w:vAlign w:val="center"/>
            <w:hideMark/>
          </w:tcPr>
          <w:p w14:paraId="27E10650" w14:textId="77777777" w:rsidR="00566197" w:rsidRDefault="00566197" w:rsidP="00BB0423">
            <w:pPr>
              <w:ind w:left="850"/>
              <w:contextualSpacing/>
              <w:rPr>
                <w:sz w:val="24"/>
                <w:szCs w:val="24"/>
              </w:rPr>
            </w:pPr>
            <w:r w:rsidRPr="00024ABA">
              <w:rPr>
                <w:rFonts w:ascii="Times New Roman" w:hAnsi="Times New Roman" w:cs="Times New Roman"/>
                <w:sz w:val="24"/>
                <w:szCs w:val="24"/>
              </w:rPr>
              <w:t>(</w:t>
            </w:r>
            <w:r>
              <w:rPr>
                <w:rFonts w:ascii="Times New Roman" w:hAnsi="Times New Roman" w:cs="Times New Roman"/>
                <w:sz w:val="24"/>
                <w:szCs w:val="24"/>
              </w:rPr>
              <w:t>2</w:t>
            </w:r>
            <w:r w:rsidRPr="00024ABA">
              <w:rPr>
                <w:rFonts w:ascii="Times New Roman" w:hAnsi="Times New Roman" w:cs="Times New Roman"/>
                <w:sz w:val="24"/>
                <w:szCs w:val="24"/>
              </w:rPr>
              <w:t>)</w:t>
            </w:r>
          </w:p>
        </w:tc>
      </w:tr>
    </w:tbl>
    <w:p w14:paraId="3E8EA067" w14:textId="6F2FA333" w:rsidR="001C66D7" w:rsidRDefault="001C66D7" w:rsidP="00566197">
      <w:pPr>
        <w:rPr>
          <w:rFonts w:cs="Times New Roman"/>
          <w:szCs w:val="24"/>
        </w:rPr>
      </w:pPr>
      <w:r>
        <w:rPr>
          <w:rFonts w:cs="Times New Roman"/>
          <w:szCs w:val="24"/>
        </w:rPr>
        <w:t>The corresponding probability for non-evacuation is computed as: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1347"/>
      </w:tblGrid>
      <w:tr w:rsidR="001C66D7" w14:paraId="27F8A199" w14:textId="77777777" w:rsidTr="00BB0423">
        <w:trPr>
          <w:trHeight w:val="20"/>
        </w:trPr>
        <w:tc>
          <w:tcPr>
            <w:tcW w:w="4254" w:type="pct"/>
            <w:vAlign w:val="center"/>
            <w:hideMark/>
          </w:tcPr>
          <w:p w14:paraId="1371E31C" w14:textId="37CF6E2F" w:rsidR="001C66D7" w:rsidRDefault="00000000" w:rsidP="00BB0423">
            <w:pPr>
              <w:spacing w:before="360" w:after="360"/>
              <w:rPr>
                <w:rFonts w:eastAsiaTheme="minorEastAsia" w:cs="Times New Roman"/>
                <w:sz w:val="24"/>
                <w:szCs w:val="24"/>
              </w:rPr>
            </w:pPr>
            <m:oMathPara>
              <m:oMathParaPr>
                <m:jc m:val="left"/>
              </m:oMathParaPr>
              <m:oMath>
                <m:sSub>
                  <m:sSubPr>
                    <m:ctrlPr>
                      <w:rPr>
                        <w:rFonts w:ascii="Cambria Math" w:hAnsi="Cambria Math"/>
                        <w:i/>
                        <w:szCs w:val="24"/>
                        <w:lang w:val="en-US"/>
                      </w:rPr>
                    </m:ctrlPr>
                  </m:sSubPr>
                  <m:e>
                    <m:r>
                      <w:rPr>
                        <w:rFonts w:ascii="Cambria Math" w:hAnsi="Cambria Math"/>
                        <w:sz w:val="24"/>
                        <w:szCs w:val="24"/>
                        <w:lang w:val="en-US"/>
                      </w:rPr>
                      <m:t>Q</m:t>
                    </m:r>
                  </m:e>
                  <m:sub>
                    <m:r>
                      <w:rPr>
                        <w:rFonts w:ascii="Cambria Math" w:hAnsi="Cambria Math"/>
                        <w:sz w:val="24"/>
                        <w:szCs w:val="24"/>
                        <w:lang w:val="en-US"/>
                      </w:rPr>
                      <m:t>ik</m:t>
                    </m:r>
                  </m:sub>
                </m:sSub>
                <m:r>
                  <w:rPr>
                    <w:rFonts w:ascii="Cambria Math" w:hAnsi="Cambria Math"/>
                    <w:sz w:val="24"/>
                    <w:szCs w:val="24"/>
                    <w:lang w:val="en-US"/>
                  </w:rPr>
                  <m:t>=1-</m:t>
                </m:r>
                <m:sSub>
                  <m:sSubPr>
                    <m:ctrlPr>
                      <w:rPr>
                        <w:rFonts w:ascii="Cambria Math" w:hAnsi="Cambria Math"/>
                        <w:i/>
                        <w:szCs w:val="24"/>
                        <w:lang w:val="en-US"/>
                      </w:rPr>
                    </m:ctrlPr>
                  </m:sSubPr>
                  <m:e>
                    <m:r>
                      <w:rPr>
                        <w:rFonts w:ascii="Cambria Math" w:hAnsi="Cambria Math"/>
                        <w:sz w:val="24"/>
                        <w:szCs w:val="24"/>
                        <w:lang w:val="en-US"/>
                      </w:rPr>
                      <m:t>P</m:t>
                    </m:r>
                  </m:e>
                  <m:sub>
                    <m:r>
                      <w:rPr>
                        <w:rFonts w:ascii="Cambria Math" w:hAnsi="Cambria Math"/>
                        <w:sz w:val="24"/>
                        <w:szCs w:val="24"/>
                        <w:lang w:val="en-US"/>
                      </w:rPr>
                      <m:t>ik</m:t>
                    </m:r>
                  </m:sub>
                </m:sSub>
              </m:oMath>
            </m:oMathPara>
          </w:p>
        </w:tc>
        <w:tc>
          <w:tcPr>
            <w:tcW w:w="746" w:type="pct"/>
            <w:vAlign w:val="center"/>
            <w:hideMark/>
          </w:tcPr>
          <w:p w14:paraId="13225A8D" w14:textId="1532B45F" w:rsidR="001C66D7" w:rsidRDefault="001C66D7" w:rsidP="00BB0423">
            <w:pPr>
              <w:ind w:left="850"/>
              <w:contextualSpacing/>
              <w:rPr>
                <w:sz w:val="24"/>
                <w:szCs w:val="24"/>
              </w:rPr>
            </w:pPr>
            <w:r w:rsidRPr="00024ABA">
              <w:rPr>
                <w:rFonts w:ascii="Times New Roman" w:hAnsi="Times New Roman" w:cs="Times New Roman"/>
                <w:sz w:val="24"/>
                <w:szCs w:val="24"/>
              </w:rPr>
              <w:t>(</w:t>
            </w:r>
            <w:r>
              <w:rPr>
                <w:rFonts w:ascii="Times New Roman" w:hAnsi="Times New Roman" w:cs="Times New Roman"/>
                <w:sz w:val="24"/>
                <w:szCs w:val="24"/>
              </w:rPr>
              <w:t>3)</w:t>
            </w:r>
          </w:p>
        </w:tc>
      </w:tr>
    </w:tbl>
    <w:p w14:paraId="5EDA783B" w14:textId="53BEA6C2" w:rsidR="001C66D7" w:rsidRDefault="001C66D7" w:rsidP="00566197">
      <w:pPr>
        <w:rPr>
          <w:rFonts w:cs="Times New Roman"/>
          <w:szCs w:val="24"/>
        </w:rPr>
      </w:pPr>
      <w:r>
        <w:rPr>
          <w:rFonts w:cs="Times New Roman"/>
          <w:szCs w:val="24"/>
        </w:rPr>
        <w:t xml:space="preserve">Thus the </w:t>
      </w:r>
      <w:r w:rsidR="00DD181F">
        <w:rPr>
          <w:rFonts w:cs="Times New Roman"/>
          <w:szCs w:val="24"/>
        </w:rPr>
        <w:t xml:space="preserve">choice </w:t>
      </w:r>
      <w:r>
        <w:rPr>
          <w:rFonts w:cs="Times New Roman"/>
          <w:szCs w:val="24"/>
        </w:rPr>
        <w:t xml:space="preserve">probability expression for the </w:t>
      </w:r>
      <w:r w:rsidR="00DD181F">
        <w:rPr>
          <w:rFonts w:cs="Times New Roman"/>
          <w:szCs w:val="24"/>
        </w:rPr>
        <w:t>binary</w:t>
      </w:r>
      <w:r>
        <w:rPr>
          <w:rFonts w:cs="Times New Roman"/>
          <w:szCs w:val="24"/>
        </w:rPr>
        <w:t xml:space="preserve"> logit model can be expressed as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1347"/>
      </w:tblGrid>
      <w:tr w:rsidR="001C66D7" w14:paraId="2F0000B1" w14:textId="77777777" w:rsidTr="00BB0423">
        <w:trPr>
          <w:trHeight w:val="20"/>
        </w:trPr>
        <w:tc>
          <w:tcPr>
            <w:tcW w:w="4254" w:type="pct"/>
            <w:vAlign w:val="center"/>
            <w:hideMark/>
          </w:tcPr>
          <w:p w14:paraId="0B7AC3A6" w14:textId="3DAE4AE7" w:rsidR="001C66D7" w:rsidRDefault="00000000" w:rsidP="00BB0423">
            <w:pPr>
              <w:spacing w:before="360" w:after="360"/>
              <w:rPr>
                <w:rFonts w:eastAsiaTheme="minorEastAsia" w:cs="Times New Roman"/>
                <w:sz w:val="24"/>
                <w:szCs w:val="24"/>
              </w:rPr>
            </w:pPr>
            <m:oMathPara>
              <m:oMathParaPr>
                <m:jc m:val="left"/>
              </m:oMathParaPr>
              <m:oMath>
                <m:sSub>
                  <m:sSubPr>
                    <m:ctrlPr>
                      <w:rPr>
                        <w:rFonts w:ascii="Cambria Math" w:hAnsi="Cambria Math"/>
                        <w:i/>
                        <w:szCs w:val="24"/>
                        <w:lang w:val="en-US"/>
                      </w:rPr>
                    </m:ctrlPr>
                  </m:sSubPr>
                  <m:e>
                    <m:r>
                      <w:rPr>
                        <w:rFonts w:ascii="Cambria Math" w:hAnsi="Cambria Math"/>
                        <w:szCs w:val="24"/>
                        <w:lang w:val="en-US"/>
                      </w:rPr>
                      <m:t>C</m:t>
                    </m:r>
                  </m:e>
                  <m:sub>
                    <m:r>
                      <w:rPr>
                        <w:rFonts w:ascii="Cambria Math" w:hAnsi="Cambria Math"/>
                        <w:szCs w:val="24"/>
                        <w:lang w:val="en-US"/>
                      </w:rPr>
                      <m:t>ik</m:t>
                    </m:r>
                  </m:sub>
                </m:sSub>
                <m:r>
                  <w:rPr>
                    <w:rFonts w:ascii="Cambria Math" w:hAnsi="Cambria Math"/>
                    <w:sz w:val="24"/>
                    <w:szCs w:val="24"/>
                    <w:lang w:val="en-US"/>
                  </w:rPr>
                  <m:t>=</m:t>
                </m:r>
                <m:sSup>
                  <m:sSupPr>
                    <m:ctrlPr>
                      <w:rPr>
                        <w:rFonts w:ascii="Cambria Math" w:hAnsi="Cambria Math"/>
                        <w:i/>
                        <w:szCs w:val="24"/>
                        <w:lang w:val="en-US"/>
                      </w:rPr>
                    </m:ctrlPr>
                  </m:sSupPr>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ik</m:t>
                        </m:r>
                      </m:sub>
                    </m:sSub>
                    <m:r>
                      <w:rPr>
                        <w:rFonts w:ascii="Cambria Math" w:hAnsi="Cambria Math"/>
                        <w:sz w:val="24"/>
                        <w:szCs w:val="24"/>
                        <w:lang w:val="en-US"/>
                      </w:rPr>
                      <m:t>)</m:t>
                    </m:r>
                  </m:e>
                  <m:sup>
                    <m:sSub>
                      <m:sSubPr>
                        <m:ctrlPr>
                          <w:rPr>
                            <w:rFonts w:ascii="Cambria Math" w:hAnsi="Cambria Math"/>
                            <w:i/>
                            <w:szCs w:val="24"/>
                            <w:lang w:val="en-US"/>
                          </w:rPr>
                        </m:ctrlPr>
                      </m:sSubPr>
                      <m:e>
                        <m:r>
                          <w:rPr>
                            <w:rFonts w:ascii="Cambria Math" w:hAnsi="Cambria Math"/>
                            <w:szCs w:val="24"/>
                            <w:lang w:val="en-US"/>
                          </w:rPr>
                          <m:t>v</m:t>
                        </m:r>
                      </m:e>
                      <m:sub>
                        <m:r>
                          <w:rPr>
                            <w:rFonts w:ascii="Cambria Math" w:hAnsi="Cambria Math"/>
                            <w:szCs w:val="24"/>
                            <w:lang w:val="en-US"/>
                          </w:rPr>
                          <m:t>ik</m:t>
                        </m:r>
                      </m:sub>
                    </m:sSub>
                  </m:sup>
                </m:sSup>
                <m:sSup>
                  <m:sSupPr>
                    <m:ctrlPr>
                      <w:rPr>
                        <w:rFonts w:ascii="Cambria Math" w:hAnsi="Cambria Math"/>
                        <w:i/>
                        <w:szCs w:val="24"/>
                        <w:lang w:val="en-US"/>
                      </w:rPr>
                    </m:ctrlPr>
                  </m:sSupPr>
                  <m:e>
                    <m:sSub>
                      <m:sSubPr>
                        <m:ctrlPr>
                          <w:rPr>
                            <w:rFonts w:ascii="Cambria Math" w:hAnsi="Cambria Math"/>
                            <w:i/>
                            <w:sz w:val="24"/>
                            <w:szCs w:val="24"/>
                            <w:lang w:val="en-US"/>
                          </w:rPr>
                        </m:ctrlPr>
                      </m:sSubPr>
                      <m:e>
                        <m:r>
                          <w:rPr>
                            <w:rFonts w:ascii="Cambria Math" w:hAnsi="Cambria Math"/>
                            <w:sz w:val="24"/>
                            <w:szCs w:val="24"/>
                            <w:lang w:val="en-US"/>
                          </w:rPr>
                          <m:t>* (Q</m:t>
                        </m:r>
                      </m:e>
                      <m:sub>
                        <m:r>
                          <w:rPr>
                            <w:rFonts w:ascii="Cambria Math" w:hAnsi="Cambria Math"/>
                            <w:sz w:val="24"/>
                            <w:szCs w:val="24"/>
                            <w:lang w:val="en-US"/>
                          </w:rPr>
                          <m:t>ik</m:t>
                        </m:r>
                      </m:sub>
                    </m:sSub>
                    <m:r>
                      <w:rPr>
                        <w:rFonts w:ascii="Cambria Math" w:hAnsi="Cambria Math"/>
                        <w:sz w:val="24"/>
                        <w:szCs w:val="24"/>
                        <w:lang w:val="en-US"/>
                      </w:rPr>
                      <m:t>)</m:t>
                    </m:r>
                  </m:e>
                  <m:sup>
                    <m:r>
                      <w:rPr>
                        <w:rFonts w:ascii="Cambria Math" w:hAnsi="Cambria Math"/>
                        <w:szCs w:val="24"/>
                        <w:lang w:val="en-US"/>
                      </w:rPr>
                      <m:t>1-</m:t>
                    </m:r>
                    <m:sSub>
                      <m:sSubPr>
                        <m:ctrlPr>
                          <w:rPr>
                            <w:rFonts w:ascii="Cambria Math" w:hAnsi="Cambria Math"/>
                            <w:i/>
                            <w:szCs w:val="24"/>
                            <w:lang w:val="en-US"/>
                          </w:rPr>
                        </m:ctrlPr>
                      </m:sSubPr>
                      <m:e>
                        <m:r>
                          <w:rPr>
                            <w:rFonts w:ascii="Cambria Math" w:hAnsi="Cambria Math"/>
                            <w:szCs w:val="24"/>
                            <w:lang w:val="en-US"/>
                          </w:rPr>
                          <m:t>v</m:t>
                        </m:r>
                      </m:e>
                      <m:sub>
                        <m:r>
                          <w:rPr>
                            <w:rFonts w:ascii="Cambria Math" w:hAnsi="Cambria Math"/>
                            <w:szCs w:val="24"/>
                            <w:lang w:val="en-US"/>
                          </w:rPr>
                          <m:t>ik</m:t>
                        </m:r>
                      </m:sub>
                    </m:sSub>
                  </m:sup>
                </m:sSup>
              </m:oMath>
            </m:oMathPara>
          </w:p>
        </w:tc>
        <w:tc>
          <w:tcPr>
            <w:tcW w:w="746" w:type="pct"/>
            <w:vAlign w:val="center"/>
            <w:hideMark/>
          </w:tcPr>
          <w:p w14:paraId="7FB07185" w14:textId="02725507" w:rsidR="001C66D7" w:rsidRDefault="00B3106F" w:rsidP="00BB0423">
            <w:pPr>
              <w:ind w:left="850"/>
              <w:contextualSpacing/>
              <w:rPr>
                <w:sz w:val="24"/>
                <w:szCs w:val="24"/>
              </w:rPr>
            </w:pPr>
            <w:r>
              <w:rPr>
                <w:rFonts w:ascii="Times New Roman" w:hAnsi="Times New Roman" w:cs="Times New Roman"/>
                <w:sz w:val="24"/>
                <w:szCs w:val="24"/>
              </w:rPr>
              <w:t>(</w:t>
            </w:r>
            <w:r w:rsidR="001C66D7">
              <w:rPr>
                <w:rFonts w:ascii="Times New Roman" w:hAnsi="Times New Roman" w:cs="Times New Roman"/>
                <w:sz w:val="24"/>
                <w:szCs w:val="24"/>
              </w:rPr>
              <w:t>4)</w:t>
            </w:r>
          </w:p>
        </w:tc>
      </w:tr>
    </w:tbl>
    <w:p w14:paraId="25F2C523" w14:textId="49BC9D6D" w:rsidR="00566197" w:rsidRPr="00A20F5F" w:rsidRDefault="00E56BC5" w:rsidP="00C402C5">
      <w:pPr>
        <w:ind w:firstLine="720"/>
      </w:pPr>
      <w:r>
        <w:t>T</w:t>
      </w:r>
      <w:r w:rsidR="00A20F5F">
        <w:t xml:space="preserve">he weight component takes the form of a latent multinomial logit structure allocating the probability for each </w:t>
      </w:r>
      <w:r w:rsidR="0083177E">
        <w:t>Twitter</w:t>
      </w:r>
      <w:r w:rsidR="00A20F5F">
        <w:t xml:space="preserve"> user being paired with the NHTS respondent. </w:t>
      </w:r>
      <w:r w:rsidR="00566197" w:rsidRPr="00BA524C">
        <w:rPr>
          <w:lang w:val="en-US"/>
        </w:rPr>
        <w:t>The match</w:t>
      </w:r>
      <w:r w:rsidR="00566197">
        <w:rPr>
          <w:lang w:val="en-US"/>
        </w:rPr>
        <w:t>ed</w:t>
      </w:r>
      <w:r w:rsidR="00566197" w:rsidRPr="00BA524C">
        <w:rPr>
          <w:lang w:val="en-US"/>
        </w:rPr>
        <w:t xml:space="preserve"> weightage propensity is determined</w:t>
      </w:r>
      <w:r w:rsidR="00566197">
        <w:rPr>
          <w:lang w:val="en-US"/>
        </w:rPr>
        <w:t xml:space="preserve"> </w:t>
      </w:r>
      <w:r w:rsidR="00566197" w:rsidRPr="00BA524C">
        <w:rPr>
          <w:lang w:val="en-US"/>
        </w:rPr>
        <w:t>based on a latent probability value estimated using a multinomial logit model</w:t>
      </w:r>
      <w:r w:rsidR="00566197">
        <w:rPr>
          <w:lang w:val="en-US"/>
        </w:rPr>
        <w:t xml:space="preserve"> as follows</w:t>
      </w:r>
      <w:r w:rsidR="00566197" w:rsidRPr="00BA524C">
        <w:rPr>
          <w:lang w:val="en-US"/>
        </w:rPr>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0"/>
        <w:gridCol w:w="1346"/>
      </w:tblGrid>
      <w:tr w:rsidR="00566197" w:rsidRPr="00024ABA" w14:paraId="6211A9EA" w14:textId="77777777" w:rsidTr="00BB0423">
        <w:trPr>
          <w:trHeight w:val="288"/>
        </w:trPr>
        <w:tc>
          <w:tcPr>
            <w:tcW w:w="4281" w:type="pct"/>
            <w:vAlign w:val="center"/>
          </w:tcPr>
          <w:p w14:paraId="6D81934C" w14:textId="417646CE" w:rsidR="00566197" w:rsidRPr="00BA74ED" w:rsidRDefault="00000000" w:rsidP="00BB0423">
            <w:pPr>
              <w:rPr>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ik</m:t>
                    </m:r>
                  </m:sub>
                </m:sSub>
                <m:r>
                  <w:rPr>
                    <w:rFonts w:ascii="Cambria Math" w:hAnsi="Cambria Math"/>
                    <w:sz w:val="24"/>
                    <w:szCs w:val="24"/>
                    <w:lang w:val="en-US"/>
                  </w:rPr>
                  <m:t>=</m:t>
                </m:r>
                <m:f>
                  <m:fPr>
                    <m:ctrlPr>
                      <w:rPr>
                        <w:rFonts w:ascii="Cambria Math" w:hAnsi="Cambria Math"/>
                        <w:i/>
                        <w:sz w:val="24"/>
                        <w:szCs w:val="24"/>
                        <w:lang w:val="en-US"/>
                      </w:rPr>
                    </m:ctrlPr>
                  </m:fPr>
                  <m:num>
                    <m:func>
                      <m:funcPr>
                        <m:ctrlPr>
                          <w:rPr>
                            <w:rFonts w:ascii="Cambria Math" w:hAnsi="Cambria Math"/>
                            <w:sz w:val="24"/>
                            <w:szCs w:val="24"/>
                            <w:lang w:val="en-US"/>
                          </w:rPr>
                        </m:ctrlPr>
                      </m:funcPr>
                      <m:fName>
                        <m:r>
                          <m:rPr>
                            <m:sty m:val="p"/>
                          </m:rPr>
                          <w:rPr>
                            <w:rFonts w:ascii="Cambria Math" w:hAnsi="Cambria Math"/>
                            <w:sz w:val="24"/>
                            <w:szCs w:val="24"/>
                            <w:lang w:val="en-US"/>
                          </w:rPr>
                          <m:t>exp</m:t>
                        </m:r>
                      </m:fName>
                      <m:e>
                        <m:d>
                          <m:dPr>
                            <m:ctrlPr>
                              <w:rPr>
                                <w:rFonts w:ascii="Cambria Math" w:hAnsi="Cambria Math"/>
                                <w:i/>
                                <w:sz w:val="24"/>
                                <w:szCs w:val="24"/>
                                <w:lang w:val="en-US"/>
                              </w:rPr>
                            </m:ctrlPr>
                          </m:dPr>
                          <m:e>
                            <m:r>
                              <w:rPr>
                                <w:rFonts w:ascii="Cambria Math" w:hAnsi="Cambria Math"/>
                                <w:sz w:val="24"/>
                                <w:szCs w:val="24"/>
                                <w:lang w:val="en-US"/>
                              </w:rPr>
                              <m:t>α</m:t>
                            </m:r>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ik</m:t>
                                </m:r>
                              </m:sub>
                            </m:sSub>
                          </m:e>
                        </m:d>
                      </m:e>
                    </m:func>
                  </m:num>
                  <m:den>
                    <m:nary>
                      <m:naryPr>
                        <m:chr m:val="∑"/>
                        <m:limLoc m:val="undOvr"/>
                        <m:ctrlPr>
                          <w:rPr>
                            <w:rFonts w:ascii="Cambria Math" w:hAnsi="Cambria Math"/>
                            <w:i/>
                            <w:sz w:val="24"/>
                            <w:szCs w:val="24"/>
                            <w:lang w:val="en-US"/>
                          </w:rPr>
                        </m:ctrlPr>
                      </m:naryPr>
                      <m:sub>
                        <m:r>
                          <w:rPr>
                            <w:rFonts w:ascii="Cambria Math" w:hAnsi="Cambria Math"/>
                            <w:sz w:val="24"/>
                            <w:szCs w:val="24"/>
                            <w:lang w:val="en-US"/>
                          </w:rPr>
                          <m:t>k=1</m:t>
                        </m:r>
                      </m:sub>
                      <m:sup>
                        <m:r>
                          <w:rPr>
                            <w:rFonts w:ascii="Cambria Math" w:hAnsi="Cambria Math"/>
                            <w:sz w:val="24"/>
                            <w:szCs w:val="24"/>
                            <w:lang w:val="en-US"/>
                          </w:rPr>
                          <m:t>K</m:t>
                        </m:r>
                      </m:sup>
                      <m:e>
                        <m:func>
                          <m:funcPr>
                            <m:ctrlPr>
                              <w:rPr>
                                <w:rFonts w:ascii="Cambria Math" w:hAnsi="Cambria Math"/>
                                <w:sz w:val="24"/>
                                <w:szCs w:val="24"/>
                                <w:lang w:val="en-US"/>
                              </w:rPr>
                            </m:ctrlPr>
                          </m:funcPr>
                          <m:fName>
                            <m:r>
                              <m:rPr>
                                <m:sty m:val="p"/>
                              </m:rPr>
                              <w:rPr>
                                <w:rFonts w:ascii="Cambria Math" w:hAnsi="Cambria Math"/>
                                <w:sz w:val="24"/>
                                <w:szCs w:val="24"/>
                                <w:lang w:val="en-US"/>
                              </w:rPr>
                              <m:t>exp</m:t>
                            </m:r>
                          </m:fName>
                          <m:e>
                            <m:d>
                              <m:dPr>
                                <m:ctrlPr>
                                  <w:rPr>
                                    <w:rFonts w:ascii="Cambria Math" w:hAnsi="Cambria Math"/>
                                    <w:i/>
                                    <w:sz w:val="24"/>
                                    <w:szCs w:val="24"/>
                                    <w:lang w:val="en-US"/>
                                  </w:rPr>
                                </m:ctrlPr>
                              </m:dPr>
                              <m:e>
                                <m:r>
                                  <w:rPr>
                                    <w:rFonts w:ascii="Cambria Math" w:hAnsi="Cambria Math"/>
                                    <w:sz w:val="24"/>
                                    <w:szCs w:val="24"/>
                                    <w:lang w:val="en-US"/>
                                  </w:rPr>
                                  <m:t>α</m:t>
                                </m:r>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ik</m:t>
                                    </m:r>
                                  </m:sub>
                                </m:sSub>
                              </m:e>
                            </m:d>
                          </m:e>
                        </m:func>
                      </m:e>
                    </m:nary>
                  </m:den>
                </m:f>
              </m:oMath>
            </m:oMathPara>
          </w:p>
        </w:tc>
        <w:tc>
          <w:tcPr>
            <w:tcW w:w="719" w:type="pct"/>
            <w:vAlign w:val="center"/>
          </w:tcPr>
          <w:p w14:paraId="1EFCC4AB" w14:textId="49698D4E" w:rsidR="00566197" w:rsidRPr="00024ABA" w:rsidRDefault="00566197" w:rsidP="00BB0423">
            <w:pPr>
              <w:spacing w:before="360" w:after="360"/>
              <w:ind w:left="850"/>
              <w:contextualSpacing/>
              <w:jc w:val="right"/>
              <w:rPr>
                <w:rFonts w:ascii="Times New Roman" w:hAnsi="Times New Roman" w:cs="Times New Roman"/>
                <w:sz w:val="24"/>
                <w:szCs w:val="24"/>
              </w:rPr>
            </w:pPr>
            <w:r w:rsidRPr="00024ABA">
              <w:rPr>
                <w:rFonts w:ascii="Times New Roman" w:hAnsi="Times New Roman" w:cs="Times New Roman"/>
                <w:sz w:val="24"/>
                <w:szCs w:val="24"/>
              </w:rPr>
              <w:t>(</w:t>
            </w:r>
            <w:r w:rsidR="006C2834">
              <w:rPr>
                <w:rFonts w:ascii="Times New Roman" w:hAnsi="Times New Roman" w:cs="Times New Roman"/>
                <w:sz w:val="24"/>
                <w:szCs w:val="24"/>
              </w:rPr>
              <w:t>5</w:t>
            </w:r>
            <w:r w:rsidRPr="00024ABA">
              <w:rPr>
                <w:rFonts w:ascii="Times New Roman" w:hAnsi="Times New Roman" w:cs="Times New Roman"/>
                <w:sz w:val="24"/>
                <w:szCs w:val="24"/>
              </w:rPr>
              <w:t>)</w:t>
            </w:r>
          </w:p>
        </w:tc>
      </w:tr>
    </w:tbl>
    <w:p w14:paraId="06D3B657" w14:textId="68B03B11" w:rsidR="00DD181F" w:rsidRDefault="00566197" w:rsidP="00FC69C6">
      <w:pPr>
        <w:autoSpaceDE w:val="0"/>
        <w:autoSpaceDN w:val="0"/>
        <w:adjustRightInd w:val="0"/>
        <w:rPr>
          <w:lang w:val="en-US"/>
        </w:rPr>
      </w:pPr>
      <w:r w:rsidRPr="001B6798">
        <w:rPr>
          <w:lang w:val="en-US"/>
        </w:rPr>
        <w:t xml:space="preserve">where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ik</m:t>
            </m:r>
          </m:sub>
        </m:sSub>
      </m:oMath>
      <w:r w:rsidRPr="001B6798">
        <w:rPr>
          <w:lang w:val="en-US"/>
        </w:rPr>
        <w:t xml:space="preserve"> </w:t>
      </w:r>
      <w:r w:rsidRPr="00341C6C">
        <w:t xml:space="preserve">is a </w:t>
      </w:r>
      <w:r w:rsidR="00341C6C" w:rsidRPr="00341C6C">
        <w:t xml:space="preserve">column vector of attributes for </w:t>
      </w:r>
      <w:r w:rsidR="00FC69C6">
        <w:t xml:space="preserve">individual </w:t>
      </w:r>
      <m:oMath>
        <m:r>
          <w:rPr>
            <w:rFonts w:ascii="Cambria Math" w:hAnsi="Cambria Math"/>
          </w:rPr>
          <m:t>i</m:t>
        </m:r>
      </m:oMath>
      <w:r w:rsidR="00341C6C" w:rsidRPr="00341C6C">
        <w:t xml:space="preserve"> and </w:t>
      </w:r>
      <w:r w:rsidR="00FC69C6">
        <w:t>fused</w:t>
      </w:r>
      <w:r w:rsidR="00341C6C" w:rsidRPr="00341C6C">
        <w:t xml:space="preserve"> record </w:t>
      </w:r>
      <m:oMath>
        <m:r>
          <w:rPr>
            <w:rFonts w:ascii="Cambria Math" w:hAnsi="Cambria Math"/>
          </w:rPr>
          <m:t>k</m:t>
        </m:r>
      </m:oMath>
      <w:r w:rsidR="00341C6C" w:rsidRPr="00341C6C">
        <w:t xml:space="preserve"> that influences the propensity of matching </w:t>
      </w:r>
      <w:r w:rsidR="00FC69C6">
        <w:t xml:space="preserve">the </w:t>
      </w:r>
      <w:r w:rsidR="006B7696">
        <w:t>T</w:t>
      </w:r>
      <w:r w:rsidR="00CA59B1">
        <w:t xml:space="preserve">witter </w:t>
      </w:r>
      <w:r w:rsidR="00FC69C6">
        <w:t xml:space="preserve">data </w:t>
      </w:r>
      <w:r w:rsidR="00341C6C" w:rsidRPr="00341C6C">
        <w:t xml:space="preserve">with the </w:t>
      </w:r>
      <w:r w:rsidR="00CA59B1">
        <w:t>NHTS</w:t>
      </w:r>
      <w:r w:rsidR="00341C6C" w:rsidRPr="00341C6C">
        <w:t xml:space="preserve"> data</w:t>
      </w:r>
      <w:r w:rsidR="00FC69C6">
        <w:t xml:space="preserve">. To </w:t>
      </w:r>
      <w:r w:rsidR="00CA59B1">
        <w:t>be specific</w:t>
      </w:r>
      <w:r w:rsidR="00FC69C6">
        <w:t xml:space="preserve">,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ik</m:t>
            </m:r>
          </m:sub>
        </m:sSub>
      </m:oMath>
      <w:r w:rsidR="00FC69C6">
        <w:rPr>
          <w:rFonts w:eastAsiaTheme="minorEastAsia"/>
          <w:lang w:val="en-US"/>
        </w:rPr>
        <w:t xml:space="preserve"> represents the variables that </w:t>
      </w:r>
      <w:r w:rsidR="00E070C7">
        <w:rPr>
          <w:rFonts w:eastAsiaTheme="minorEastAsia"/>
          <w:lang w:val="en-US"/>
        </w:rPr>
        <w:t xml:space="preserve">are </w:t>
      </w:r>
      <w:r w:rsidR="00FC69C6">
        <w:rPr>
          <w:rFonts w:eastAsiaTheme="minorEastAsia"/>
          <w:lang w:val="en-US"/>
        </w:rPr>
        <w:t xml:space="preserve">present in both datasets but not used for fusion. </w:t>
      </w:r>
      <m:oMath>
        <m:r>
          <w:rPr>
            <w:rFonts w:ascii="Cambria Math" w:hAnsi="Cambria Math"/>
            <w:szCs w:val="24"/>
            <w:lang w:val="en-US"/>
          </w:rPr>
          <m:t>α</m:t>
        </m:r>
      </m:oMath>
      <w:r w:rsidR="00FC69C6">
        <w:rPr>
          <w:rFonts w:eastAsiaTheme="minorEastAsia"/>
          <w:szCs w:val="24"/>
          <w:lang w:val="en-US"/>
        </w:rPr>
        <w:t xml:space="preserve"> is the corresponding vector coefficients to be estimated</w:t>
      </w:r>
      <w:r w:rsidR="00FC69C6" w:rsidRPr="00DD181F">
        <w:t xml:space="preserve">. </w:t>
      </w:r>
      <w:r w:rsidRPr="00DD181F">
        <w:t xml:space="preserve">Based on this notation, </w:t>
      </w:r>
      <w:r w:rsidR="00DD181F" w:rsidRPr="00DD181F">
        <w:t xml:space="preserve">the </w:t>
      </w:r>
      <w:r w:rsidR="00E070C7">
        <w:t xml:space="preserve">overall </w:t>
      </w:r>
      <w:r w:rsidR="00DD181F" w:rsidRPr="00DD181F">
        <w:t>weighted probability can be written as:</w:t>
      </w:r>
    </w:p>
    <w:p w14:paraId="5AB04F05" w14:textId="1EC1D9BB" w:rsidR="00566197" w:rsidRDefault="00566197" w:rsidP="00FC69C6">
      <w:pPr>
        <w:autoSpaceDE w:val="0"/>
        <w:autoSpaceDN w:val="0"/>
        <w:adjustRightInd w:val="0"/>
        <w:rPr>
          <w:lang w:val="en-US"/>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1347"/>
      </w:tblGrid>
      <w:tr w:rsidR="00566197" w:rsidRPr="00024ABA" w14:paraId="3193E09C" w14:textId="77777777" w:rsidTr="00BB0423">
        <w:trPr>
          <w:trHeight w:val="288"/>
        </w:trPr>
        <w:tc>
          <w:tcPr>
            <w:tcW w:w="4254" w:type="pct"/>
            <w:vAlign w:val="center"/>
          </w:tcPr>
          <w:p w14:paraId="38D46AED" w14:textId="6338EBF6" w:rsidR="00566197" w:rsidRPr="00BA74ED" w:rsidRDefault="00000000" w:rsidP="00BB0423">
            <w:pPr>
              <w:rPr>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i</m:t>
                    </m:r>
                  </m:sub>
                </m:sSub>
                <m:r>
                  <w:rPr>
                    <w:rFonts w:ascii="Cambria Math" w:hAnsi="Cambria Math"/>
                    <w:sz w:val="24"/>
                    <w:szCs w:val="24"/>
                    <w:lang w:val="en-US"/>
                  </w:rPr>
                  <m:t>=</m:t>
                </m:r>
                <m:nary>
                  <m:naryPr>
                    <m:chr m:val="∑"/>
                    <m:limLoc m:val="undOvr"/>
                    <m:ctrlPr>
                      <w:rPr>
                        <w:rFonts w:ascii="Cambria Math" w:hAnsi="Cambria Math"/>
                        <w:i/>
                        <w:sz w:val="28"/>
                        <w:szCs w:val="24"/>
                        <w:lang w:val="en-US"/>
                      </w:rPr>
                    </m:ctrlPr>
                  </m:naryPr>
                  <m:sub>
                    <m:r>
                      <w:rPr>
                        <w:rFonts w:ascii="Cambria Math" w:hAnsi="Cambria Math"/>
                        <w:sz w:val="24"/>
                        <w:szCs w:val="24"/>
                        <w:lang w:val="en-US"/>
                      </w:rPr>
                      <m:t>k=1</m:t>
                    </m:r>
                  </m:sub>
                  <m:sup>
                    <m:r>
                      <w:rPr>
                        <w:rFonts w:ascii="Cambria Math" w:hAnsi="Cambria Math"/>
                        <w:sz w:val="24"/>
                        <w:szCs w:val="24"/>
                        <w:lang w:val="en-US"/>
                      </w:rPr>
                      <m:t>K</m:t>
                    </m:r>
                  </m:sup>
                  <m:e>
                    <m:sSub>
                      <m:sSubPr>
                        <m:ctrlPr>
                          <w:rPr>
                            <w:rFonts w:ascii="Cambria Math" w:hAnsi="Cambria Math"/>
                            <w:i/>
                            <w:szCs w:val="24"/>
                            <w:lang w:val="en-US"/>
                          </w:rPr>
                        </m:ctrlPr>
                      </m:sSubPr>
                      <m:e>
                        <m:r>
                          <w:rPr>
                            <w:rFonts w:ascii="Cambria Math" w:hAnsi="Cambria Math"/>
                            <w:sz w:val="24"/>
                            <w:szCs w:val="24"/>
                            <w:lang w:val="en-US"/>
                          </w:rPr>
                          <m:t>w</m:t>
                        </m:r>
                      </m:e>
                      <m:sub>
                        <m:r>
                          <w:rPr>
                            <w:rFonts w:ascii="Cambria Math" w:hAnsi="Cambria Math"/>
                            <w:sz w:val="24"/>
                            <w:szCs w:val="24"/>
                            <w:lang w:val="en-US"/>
                          </w:rPr>
                          <m:t>ik</m:t>
                        </m:r>
                      </m:sub>
                    </m:sSub>
                    <m:r>
                      <w:rPr>
                        <w:rFonts w:ascii="Cambria Math" w:hAnsi="Cambria Math"/>
                        <w:sz w:val="24"/>
                        <w:szCs w:val="24"/>
                        <w:lang w:val="en-US"/>
                      </w:rPr>
                      <m:t>x</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ik</m:t>
                        </m:r>
                      </m:sub>
                    </m:sSub>
                    <m:r>
                      <w:rPr>
                        <w:rFonts w:ascii="Cambria Math" w:hAnsi="Cambria Math"/>
                        <w:sz w:val="24"/>
                        <w:szCs w:val="24"/>
                        <w:lang w:val="en-US"/>
                      </w:rPr>
                      <m:t xml:space="preserve"> </m:t>
                    </m:r>
                  </m:e>
                </m:nary>
              </m:oMath>
            </m:oMathPara>
          </w:p>
        </w:tc>
        <w:tc>
          <w:tcPr>
            <w:tcW w:w="746" w:type="pct"/>
            <w:vAlign w:val="center"/>
          </w:tcPr>
          <w:p w14:paraId="4816E675" w14:textId="742F03E3" w:rsidR="00566197" w:rsidRPr="00024ABA" w:rsidRDefault="00566197" w:rsidP="00BB0423">
            <w:pPr>
              <w:spacing w:before="360" w:after="360"/>
              <w:ind w:left="850"/>
              <w:contextualSpacing/>
              <w:jc w:val="right"/>
              <w:rPr>
                <w:rFonts w:ascii="Times New Roman" w:hAnsi="Times New Roman" w:cs="Times New Roman"/>
                <w:sz w:val="24"/>
                <w:szCs w:val="24"/>
              </w:rPr>
            </w:pPr>
            <w:r w:rsidRPr="00024ABA">
              <w:rPr>
                <w:rFonts w:ascii="Times New Roman" w:hAnsi="Times New Roman" w:cs="Times New Roman"/>
                <w:sz w:val="24"/>
                <w:szCs w:val="24"/>
              </w:rPr>
              <w:t>(</w:t>
            </w:r>
            <w:r w:rsidR="006C2834">
              <w:rPr>
                <w:rFonts w:ascii="Times New Roman" w:hAnsi="Times New Roman" w:cs="Times New Roman"/>
                <w:sz w:val="24"/>
                <w:szCs w:val="24"/>
              </w:rPr>
              <w:t>6</w:t>
            </w:r>
            <w:r w:rsidRPr="00024ABA">
              <w:rPr>
                <w:rFonts w:ascii="Times New Roman" w:hAnsi="Times New Roman" w:cs="Times New Roman"/>
                <w:sz w:val="24"/>
                <w:szCs w:val="24"/>
              </w:rPr>
              <w:t>)</w:t>
            </w:r>
          </w:p>
        </w:tc>
      </w:tr>
    </w:tbl>
    <w:p w14:paraId="111C8CCD" w14:textId="605CFA4C" w:rsidR="00566197" w:rsidRDefault="00A27B20" w:rsidP="00A27B20">
      <w:pPr>
        <w:rPr>
          <w:lang w:val="en-US"/>
        </w:rPr>
      </w:pPr>
      <w:r>
        <w:rPr>
          <w:lang w:val="en-US"/>
        </w:rPr>
        <w:lastRenderedPageBreak/>
        <w:t xml:space="preserve">where </w:t>
      </w:r>
      <m:oMath>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lang w:val="en-US"/>
              </w:rPr>
              <m:t>i</m:t>
            </m:r>
          </m:sub>
        </m:sSub>
      </m:oMath>
      <w:r>
        <w:rPr>
          <w:rFonts w:eastAsiaTheme="minorEastAsia"/>
          <w:szCs w:val="24"/>
          <w:lang w:val="en-US"/>
        </w:rPr>
        <w:t xml:space="preserve"> is the weighted probability the person </w:t>
      </w:r>
      <m:oMath>
        <m:r>
          <w:rPr>
            <w:rFonts w:ascii="Cambria Math" w:hAnsi="Cambria Math"/>
          </w:rPr>
          <m:t>i</m:t>
        </m:r>
      </m:oMath>
      <w:r w:rsidRPr="00E32EED">
        <w:rPr>
          <w:lang w:val="en-US"/>
        </w:rPr>
        <w:t xml:space="preserve"> </w:t>
      </w:r>
      <w:r>
        <w:rPr>
          <w:lang w:val="en-US"/>
        </w:rPr>
        <w:t xml:space="preserve"> in the NHTS dataset has </w:t>
      </w:r>
      <w:r w:rsidR="00523581">
        <w:rPr>
          <w:lang w:val="en-US"/>
        </w:rPr>
        <w:t xml:space="preserve">for </w:t>
      </w:r>
      <w:r>
        <w:rPr>
          <w:lang w:val="en-US"/>
        </w:rPr>
        <w:t xml:space="preserve">the corresponding </w:t>
      </w:r>
      <w:r w:rsidR="00CA59B1">
        <w:rPr>
          <w:lang w:val="en-US"/>
        </w:rPr>
        <w:t xml:space="preserve">evacuation </w:t>
      </w:r>
      <w:r>
        <w:rPr>
          <w:lang w:val="en-US"/>
        </w:rPr>
        <w:t xml:space="preserve">choice </w:t>
      </w:r>
      <m:oMath>
        <m:sSub>
          <m:sSubPr>
            <m:ctrlPr>
              <w:rPr>
                <w:rFonts w:ascii="Cambria Math" w:hAnsi="Cambria Math"/>
                <w:i/>
                <w:szCs w:val="24"/>
                <w:lang w:val="en-US"/>
              </w:rPr>
            </m:ctrlPr>
          </m:sSubPr>
          <m:e>
            <m:r>
              <w:rPr>
                <w:rFonts w:ascii="Cambria Math" w:hAnsi="Cambria Math"/>
                <w:szCs w:val="24"/>
                <w:lang w:val="en-US"/>
              </w:rPr>
              <m:t>C</m:t>
            </m:r>
          </m:e>
          <m:sub>
            <m:r>
              <w:rPr>
                <w:rFonts w:ascii="Cambria Math" w:hAnsi="Cambria Math"/>
                <w:szCs w:val="24"/>
                <w:lang w:val="en-US"/>
              </w:rPr>
              <m:t>ik</m:t>
            </m:r>
          </m:sub>
        </m:sSub>
      </m:oMath>
      <w:r>
        <w:rPr>
          <w:rFonts w:eastAsiaTheme="minorEastAsia"/>
          <w:szCs w:val="24"/>
          <w:lang w:val="en-US"/>
        </w:rPr>
        <w:t xml:space="preserve">. </w:t>
      </w:r>
      <w:r w:rsidR="00566197" w:rsidRPr="00E32EED">
        <w:rPr>
          <w:lang w:val="en-US"/>
        </w:rPr>
        <w:t xml:space="preserve">This matching, when executed, will provide </w:t>
      </w:r>
      <w:proofErr w:type="gramStart"/>
      <w:r w:rsidR="00566197" w:rsidRPr="00E32EED">
        <w:rPr>
          <w:lang w:val="en-US"/>
        </w:rPr>
        <w:t>us</w:t>
      </w:r>
      <w:proofErr w:type="gramEnd"/>
      <w:r w:rsidR="00566197" w:rsidRPr="00E32EED">
        <w:rPr>
          <w:lang w:val="en-US"/>
        </w:rPr>
        <w:t xml:space="preserve"> a relationship between the </w:t>
      </w:r>
      <w:r w:rsidR="00C402C5">
        <w:rPr>
          <w:lang w:val="en-US"/>
        </w:rPr>
        <w:t>NHTS</w:t>
      </w:r>
      <w:r w:rsidR="00566197" w:rsidRPr="00E32EED">
        <w:rPr>
          <w:lang w:val="en-US"/>
        </w:rPr>
        <w:t xml:space="preserve"> and </w:t>
      </w:r>
      <w:r w:rsidR="00C402C5">
        <w:rPr>
          <w:lang w:val="en-US"/>
        </w:rPr>
        <w:t>Twitter</w:t>
      </w:r>
      <w:r w:rsidR="00566197">
        <w:rPr>
          <w:lang w:val="en-US"/>
        </w:rPr>
        <w:t xml:space="preserve"> </w:t>
      </w:r>
      <w:r w:rsidR="00566197" w:rsidRPr="00E32EED">
        <w:rPr>
          <w:lang w:val="en-US"/>
        </w:rPr>
        <w:t xml:space="preserve">datasets. Specifically, employing </w:t>
      </w:r>
      <w:r w:rsidR="00566197">
        <w:rPr>
          <w:lang w:val="en-US"/>
        </w:rPr>
        <w:t>e</w:t>
      </w:r>
      <w:r w:rsidR="00566197" w:rsidRPr="00E32EED">
        <w:rPr>
          <w:lang w:val="en-US"/>
        </w:rPr>
        <w:t xml:space="preserve">quation </w:t>
      </w:r>
      <w:r w:rsidR="00CA59B1">
        <w:rPr>
          <w:lang w:val="en-US"/>
        </w:rPr>
        <w:t>6</w:t>
      </w:r>
      <w:r w:rsidR="00566197" w:rsidRPr="00E32EED">
        <w:rPr>
          <w:lang w:val="en-US"/>
        </w:rPr>
        <w:t xml:space="preserve">, </w:t>
      </w:r>
      <w:r w:rsidR="00566197">
        <w:rPr>
          <w:lang w:val="en-US"/>
        </w:rPr>
        <w:t xml:space="preserve">several additional variables from the NHTS dataset will be employed to </w:t>
      </w:r>
      <w:r w:rsidR="00F97503">
        <w:rPr>
          <w:lang w:val="en-US"/>
        </w:rPr>
        <w:t xml:space="preserve">develop an improved </w:t>
      </w:r>
      <w:r w:rsidR="00C402C5">
        <w:rPr>
          <w:lang w:val="en-US"/>
        </w:rPr>
        <w:t>evacuation choice model</w:t>
      </w:r>
      <w:r w:rsidR="00566197">
        <w:rPr>
          <w:lang w:val="en-US"/>
        </w:rPr>
        <w:t>. Finally, the log-likelihood function for the fused dataset is defined as: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1347"/>
      </w:tblGrid>
      <w:tr w:rsidR="00566197" w:rsidRPr="00024ABA" w14:paraId="26DE430E" w14:textId="77777777" w:rsidTr="00BB0423">
        <w:trPr>
          <w:trHeight w:val="288"/>
        </w:trPr>
        <w:tc>
          <w:tcPr>
            <w:tcW w:w="4254" w:type="pct"/>
            <w:vAlign w:val="center"/>
          </w:tcPr>
          <w:p w14:paraId="0F525CEE" w14:textId="5D2C50ED" w:rsidR="00566197" w:rsidRPr="00BA74ED" w:rsidRDefault="00566197" w:rsidP="00BB0423">
            <w:pPr>
              <w:rPr>
                <w:lang w:val="en-US"/>
              </w:rPr>
            </w:pPr>
            <m:oMathPara>
              <m:oMathParaPr>
                <m:jc m:val="left"/>
              </m:oMathParaPr>
              <m:oMath>
                <m:r>
                  <w:rPr>
                    <w:rFonts w:ascii="Cambria Math" w:hAnsi="Cambria Math"/>
                    <w:lang w:val="en-US"/>
                  </w:rPr>
                  <m:t>LL=</m:t>
                </m:r>
                <m:nary>
                  <m:naryPr>
                    <m:chr m:val="∑"/>
                    <m:limLoc m:val="undOvr"/>
                    <m:ctrlPr>
                      <w:rPr>
                        <w:rFonts w:ascii="Cambria Math" w:hAnsi="Cambria Math"/>
                        <w:i/>
                        <w:sz w:val="24"/>
                        <w:lang w:val="en-US"/>
                      </w:rPr>
                    </m:ctrlPr>
                  </m:naryPr>
                  <m:sub>
                    <m:r>
                      <w:rPr>
                        <w:rFonts w:ascii="Cambria Math" w:hAnsi="Cambria Math"/>
                        <w:lang w:val="en-US"/>
                      </w:rPr>
                      <m:t>i=1</m:t>
                    </m:r>
                  </m:sub>
                  <m:sup>
                    <m:r>
                      <w:rPr>
                        <w:rFonts w:ascii="Cambria Math" w:hAnsi="Cambria Math"/>
                        <w:lang w:val="en-US"/>
                      </w:rPr>
                      <m:t>N</m:t>
                    </m:r>
                  </m:sup>
                  <m:e>
                    <m:func>
                      <m:funcPr>
                        <m:ctrlPr>
                          <w:rPr>
                            <w:rFonts w:ascii="Cambria Math" w:hAnsi="Cambria Math"/>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e>
                        </m:d>
                      </m:e>
                    </m:func>
                    <m:r>
                      <w:rPr>
                        <w:rFonts w:ascii="Cambria Math" w:hAnsi="Cambria Math"/>
                        <w:lang w:val="en-US"/>
                      </w:rPr>
                      <m:t>*w</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 xml:space="preserve"> </m:t>
                    </m:r>
                  </m:e>
                </m:nary>
              </m:oMath>
            </m:oMathPara>
          </w:p>
        </w:tc>
        <w:tc>
          <w:tcPr>
            <w:tcW w:w="746" w:type="pct"/>
            <w:vAlign w:val="center"/>
          </w:tcPr>
          <w:p w14:paraId="65C3E2BC" w14:textId="20F06113" w:rsidR="00566197" w:rsidRPr="00024ABA" w:rsidRDefault="00566197" w:rsidP="00BB0423">
            <w:pPr>
              <w:spacing w:before="360" w:after="360"/>
              <w:ind w:left="850"/>
              <w:contextualSpacing/>
              <w:jc w:val="right"/>
              <w:rPr>
                <w:rFonts w:ascii="Times New Roman" w:hAnsi="Times New Roman" w:cs="Times New Roman"/>
                <w:sz w:val="24"/>
                <w:szCs w:val="24"/>
              </w:rPr>
            </w:pPr>
            <w:r w:rsidRPr="00024ABA">
              <w:rPr>
                <w:rFonts w:ascii="Times New Roman" w:hAnsi="Times New Roman" w:cs="Times New Roman"/>
                <w:sz w:val="24"/>
                <w:szCs w:val="24"/>
              </w:rPr>
              <w:t>(</w:t>
            </w:r>
            <w:r w:rsidR="006C2834">
              <w:rPr>
                <w:rFonts w:ascii="Times New Roman" w:hAnsi="Times New Roman" w:cs="Times New Roman"/>
                <w:sz w:val="24"/>
                <w:szCs w:val="24"/>
              </w:rPr>
              <w:t>7</w:t>
            </w:r>
            <w:r w:rsidRPr="00024ABA">
              <w:rPr>
                <w:rFonts w:ascii="Times New Roman" w:hAnsi="Times New Roman" w:cs="Times New Roman"/>
                <w:sz w:val="24"/>
                <w:szCs w:val="24"/>
              </w:rPr>
              <w:t>)</w:t>
            </w:r>
          </w:p>
        </w:tc>
      </w:tr>
    </w:tbl>
    <w:p w14:paraId="37BF341F" w14:textId="5D736527" w:rsidR="00566197" w:rsidRDefault="008C076C" w:rsidP="000D2392">
      <w:r>
        <w:t xml:space="preserve">where </w:t>
      </w:r>
      <m:oMath>
        <m:r>
          <w:rPr>
            <w:rFonts w:ascii="Cambria Math" w:hAnsi="Cambria Math"/>
            <w:lang w:val="en-US"/>
          </w:rPr>
          <m:t>w</m:t>
        </m:r>
        <m:sSub>
          <m:sSubPr>
            <m:ctrlPr>
              <w:rPr>
                <w:rFonts w:ascii="Cambria Math" w:hAnsi="Cambria Math"/>
                <w:i/>
                <w:sz w:val="22"/>
                <w:lang w:val="en-US"/>
              </w:rPr>
            </m:ctrlPr>
          </m:sSubPr>
          <m:e>
            <m:r>
              <w:rPr>
                <w:rFonts w:ascii="Cambria Math" w:hAnsi="Cambria Math"/>
                <w:lang w:val="en-US"/>
              </w:rPr>
              <m:t>t</m:t>
            </m:r>
            <m:ctrlPr>
              <w:rPr>
                <w:rFonts w:ascii="Cambria Math" w:hAnsi="Cambria Math"/>
                <w:i/>
                <w:lang w:val="en-US"/>
              </w:rPr>
            </m:ctrlPr>
          </m:e>
          <m:sub>
            <m:r>
              <w:rPr>
                <w:rFonts w:ascii="Cambria Math" w:hAnsi="Cambria Math"/>
                <w:lang w:val="en-US"/>
              </w:rPr>
              <m:t>i</m:t>
            </m:r>
          </m:sub>
        </m:sSub>
      </m:oMath>
      <w:r>
        <w:rPr>
          <w:rFonts w:eastAsiaTheme="minorEastAsia"/>
          <w:sz w:val="22"/>
          <w:lang w:val="en-US"/>
        </w:rPr>
        <w:t xml:space="preserve"> represents the person weight in the NHTS data to represent the population. </w:t>
      </w:r>
      <w:r w:rsidR="00977068">
        <w:t xml:space="preserve">The proposed matching algorithm </w:t>
      </w:r>
      <w:r w:rsidR="00C70D82">
        <w:t xml:space="preserve">has been </w:t>
      </w:r>
      <w:r w:rsidR="00977068">
        <w:t xml:space="preserve">estimated using a maximum likelihood based econometric model. </w:t>
      </w:r>
      <w:r w:rsidR="00566197" w:rsidRPr="005908AF">
        <w:t xml:space="preserve">We </w:t>
      </w:r>
      <w:r w:rsidR="00C70D82">
        <w:t xml:space="preserve">have </w:t>
      </w:r>
      <w:r w:rsidR="00566197" w:rsidRPr="005908AF">
        <w:t>use</w:t>
      </w:r>
      <w:r w:rsidR="00C70D82">
        <w:t>d</w:t>
      </w:r>
      <w:r w:rsidR="00566197" w:rsidRPr="005908AF">
        <w:t xml:space="preserve"> the GAUSS Matrix Programming software for estimating the models.</w:t>
      </w:r>
      <w:r w:rsidR="007A107E" w:rsidRPr="007A107E">
        <w:t xml:space="preserve"> </w:t>
      </w:r>
    </w:p>
    <w:p w14:paraId="0181B72E" w14:textId="77777777" w:rsidR="00061C47" w:rsidRDefault="00061C47" w:rsidP="00A97446"/>
    <w:p w14:paraId="2C4B5363" w14:textId="220234B6" w:rsidR="00FE1E25" w:rsidRDefault="0079245A" w:rsidP="00FE1E25">
      <w:pPr>
        <w:pStyle w:val="Heading1"/>
      </w:pPr>
      <w:r>
        <w:t xml:space="preserve">4 </w:t>
      </w:r>
      <w:r w:rsidR="00FE1E25">
        <w:t>EXPERIMENTAL SETUP</w:t>
      </w:r>
    </w:p>
    <w:p w14:paraId="33F336D2" w14:textId="4434D016" w:rsidR="00FB0F86" w:rsidRDefault="00E41A12" w:rsidP="00FB0F86">
      <w:r>
        <w:t xml:space="preserve">Prior </w:t>
      </w:r>
      <w:r w:rsidR="00F97503">
        <w:t xml:space="preserve">to </w:t>
      </w:r>
      <w:r w:rsidR="006958D0">
        <w:t>developing the fusion algorithm</w:t>
      </w:r>
      <w:r>
        <w:t>, we need to consider several aspects that affect the fusion process: 1) among the common variables present in both dataset, which variable/variable groups will be used to link the two dataset</w:t>
      </w:r>
      <w:r w:rsidR="00487F41">
        <w:t xml:space="preserve"> and </w:t>
      </w:r>
      <w:r>
        <w:t>which variables will be used in the weight component; 2) how many records (</w:t>
      </w:r>
      <w:r w:rsidR="00A61833">
        <w:t xml:space="preserve">number of </w:t>
      </w:r>
      <w:r>
        <w:t>Twitter user</w:t>
      </w:r>
      <w:r w:rsidR="00A61833">
        <w:t>s</w:t>
      </w:r>
      <w:r>
        <w:t xml:space="preserve">) will be matched with each NHTS respondent; and 3) </w:t>
      </w:r>
      <w:r w:rsidR="006958D0">
        <w:t>how will we assess the impact of randomness of fusion process on parameter stability</w:t>
      </w:r>
      <w:r w:rsidR="00607C25">
        <w:rPr>
          <w:rStyle w:val="FootnoteReference"/>
        </w:rPr>
        <w:footnoteReference w:id="2"/>
      </w:r>
      <w:r w:rsidR="007218C6">
        <w:t xml:space="preserve">. </w:t>
      </w:r>
      <w:r>
        <w:t xml:space="preserve">In this section, we </w:t>
      </w:r>
      <w:r w:rsidR="006958D0">
        <w:t>illustrate</w:t>
      </w:r>
      <w:r>
        <w:t xml:space="preserve"> </w:t>
      </w:r>
      <w:r w:rsidR="00966CDD">
        <w:t xml:space="preserve">the </w:t>
      </w:r>
      <w:r>
        <w:t>experimental setup documenting the structure of how the fusion process will be tested (see Figure 2).</w:t>
      </w:r>
    </w:p>
    <w:p w14:paraId="3F42144A" w14:textId="72D9E986" w:rsidR="002F6306" w:rsidRPr="00B03519" w:rsidRDefault="00F91BC3" w:rsidP="00F91BC3">
      <w:pPr>
        <w:ind w:firstLine="720"/>
        <w:sectPr w:rsidR="002F6306" w:rsidRPr="00B03519" w:rsidSect="00492680">
          <w:headerReference w:type="first" r:id="rId20"/>
          <w:type w:val="continuous"/>
          <w:pgSz w:w="11906" w:h="16838" w:code="9"/>
          <w:pgMar w:top="1440" w:right="1440" w:bottom="1440" w:left="1440" w:header="720" w:footer="720" w:gutter="0"/>
          <w:cols w:space="708"/>
          <w:titlePg/>
          <w:docGrid w:linePitch="360"/>
        </w:sectPr>
      </w:pPr>
      <w:r w:rsidRPr="00F91BC3">
        <w:t xml:space="preserve">As discussed earlier, both datasets have several common attributes such as: age, gender, race, education, income and presence of a child in the household. We can use either a single variable (like matching only age) or variable group with multiple variables (match based on similar age and gender) for fusion.  We start the fusion process with one combination, that is select one variable/variable group to match the NHTS and Twitter dataset.  The variables not considered for matching are tested in the weight function to allow for probabilistic weighting described in Section 2. Please note that this matching might result in multiple records form the Twitter dataset to be linked with each person in the NHTS. However, estimating models with all these fused records increases the computational burden. Hence, we select a fixed number of records to be fused (say K=5) and repeat the sampling process several times (say N=10, so we fused 5 records randomly and generate 10 samples). Now, we estimate our evacuation model across these fused samples considering attributes from both NHTS and Twitter dataset and evaluate the average log-likelihood improvement (over N samples) compared to the evacuation model estimated on the Twitter dataset only. After selecting the optimal variable (X) with superior improvement, we continue along the flow chart to identify the optimal number of records (K) to be matched between the NHTS and Twitter dataset. Specifically, we test at what K (3, 5, 10, 15, 20, 40, 50) do we obtain the highest improvement in average log-likelihood. Finally, in the last part of the fusion, we evaluate the consistency of our evacuation model for the fused dataset (fuse with X variable/variable group and K records) by comparing model parameters across N samples. If we find any variation across the samples, then it lends evidence to instability in parameter magnitudes and signs. Hence, we eliminate that variable/variable group from the fusion and proceed with other variables. The process is repeated for each potential matching variable (and variable combination) and the combination that offers the highest improvement while satisfying other criteria is selected as the final fusion variable, size and fused dataset.  </w:t>
      </w:r>
    </w:p>
    <w:p w14:paraId="53B27F7E" w14:textId="5A576DA7" w:rsidR="00982808" w:rsidRDefault="009F5D65" w:rsidP="00061C47">
      <w:r>
        <w:rPr>
          <w:noProof/>
        </w:rPr>
        <w:lastRenderedPageBreak/>
        <w:drawing>
          <wp:inline distT="0" distB="0" distL="0" distR="0" wp14:anchorId="2912EF7F" wp14:editId="78FE9999">
            <wp:extent cx="8956040" cy="4846955"/>
            <wp:effectExtent l="0" t="0" r="0" b="0"/>
            <wp:docPr id="1187593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6040" cy="4846955"/>
                    </a:xfrm>
                    <a:prstGeom prst="rect">
                      <a:avLst/>
                    </a:prstGeom>
                    <a:noFill/>
                  </pic:spPr>
                </pic:pic>
              </a:graphicData>
            </a:graphic>
          </wp:inline>
        </w:drawing>
      </w:r>
    </w:p>
    <w:p w14:paraId="7744D742" w14:textId="77777777" w:rsidR="00982808" w:rsidRDefault="00982808" w:rsidP="00982808">
      <w:r>
        <w:t>Figure 2: Flow Chart Showing the Framework of the Fusion Algorithm</w:t>
      </w:r>
    </w:p>
    <w:p w14:paraId="7FAD5972" w14:textId="21A3C048" w:rsidR="00982808" w:rsidRPr="00061C47" w:rsidRDefault="00982808" w:rsidP="00061C47">
      <w:pPr>
        <w:sectPr w:rsidR="00982808" w:rsidRPr="00061C47" w:rsidSect="00492680">
          <w:headerReference w:type="first" r:id="rId22"/>
          <w:type w:val="continuous"/>
          <w:pgSz w:w="16838" w:h="11906" w:orient="landscape" w:code="9"/>
          <w:pgMar w:top="1440" w:right="1440" w:bottom="1440" w:left="1440" w:header="720" w:footer="720" w:gutter="0"/>
          <w:cols w:space="708"/>
          <w:titlePg/>
          <w:docGrid w:linePitch="360"/>
        </w:sectPr>
      </w:pPr>
    </w:p>
    <w:p w14:paraId="09B2CCD0" w14:textId="0906C298" w:rsidR="00B40E9E" w:rsidRDefault="00A11B1E" w:rsidP="00B40E9E">
      <w:pPr>
        <w:pStyle w:val="Heading2"/>
      </w:pPr>
      <w:r>
        <w:lastRenderedPageBreak/>
        <w:t xml:space="preserve">4.1 </w:t>
      </w:r>
      <w:r w:rsidR="00B40E9E">
        <w:t>Data Description</w:t>
      </w:r>
    </w:p>
    <w:p w14:paraId="01B0C14D" w14:textId="05384866" w:rsidR="002500FE" w:rsidRDefault="002500FE" w:rsidP="008D51FE">
      <w:r>
        <w:t xml:space="preserve">During Hurricane Irma (Sept. 5 to Sept. 14, 2017), we collected around 1.81 million tweets (248,763 users) using Twitter’s streaming API. To find user activities during a pre-hurricane period, we also collected historical data using Twitter’s REST API for the users who were active for at least 3 days between </w:t>
      </w:r>
      <w:r w:rsidR="00532D88">
        <w:t xml:space="preserve">the </w:t>
      </w:r>
      <w:r>
        <w:t xml:space="preserve">first evacuation order and landfall days. By examining tweets that contain geo-tags (latitude/longitude values), we inferred home and workplace locations based on each user’s most visited places during office hours and nighttime, respectively. If a user tweeted more than </w:t>
      </w:r>
      <w:r w:rsidR="00311428">
        <w:t>200</w:t>
      </w:r>
      <w:r>
        <w:t xml:space="preserve"> miles from their home during the evacuation period, we assume that the user has evacuated</w:t>
      </w:r>
      <w:r w:rsidR="00311428">
        <w:t xml:space="preserve"> (see </w:t>
      </w:r>
      <w:r w:rsidR="00311428">
        <w:fldChar w:fldCharType="begin" w:fldLock="1"/>
      </w:r>
      <w:r w:rsidR="00586617">
        <w:instrText>ADDIN CSL_CITATION {"citationItems":[{"id":"ITEM-1","itemData":{"DOI":"10.1016/j.trc.2021.102976","ISSN":"0968090X","abstract":"Evacuations play a critical role in saving human lives during hurricanes. But individual evacuation decision-making is a complex dynamic process, often studied using post-hurricane survey data. Alternatively, ubiquitous use of social media generates a massive amount of data that can be used to predict evacuation behavior in real time. In this paper, we present a method to infer individual evacuation behaviors (e.g., evacuation decision, timing, destination) from social media data. We develop an input output hidden Markov model (IO-HMM) to infer evacuation decisions from user tweets. To extract the underlying evacuation context from tweets, we first estimate a word2vec model from a corpus of more than 100 million tweets collected over four major hurricanes. Using input variables such as evacuation context, time to landfall, type of evacuation order, and the distance from home, the proposed model infers what activities are made by individuals, when they decide to evacuate, and where they evacuate to. To validate our results, we have created a labeled dataset from 38,256 tweets posted between September 2, 2017 and September 19, 2017 by 2,571 users from Florida during hurricane Irma. Our findings show that the proposed IO-HMM method can be useful for inferring evacuation behavior in real time from social media data. Since traditional surveys are infrequent, costly, and often performed at a post-hurricane period, the proposed approach can be very useful for predicting evacuation demand as a hurricane unfolds in real time.","author":[{"dropping-particle":"","family":"Roy","given":"Kamol Chandra","non-dropping-particle":"","parse-names":false,"suffix":""},{"dropping-particle":"","family":"Hasan","given":"Samiul","non-dropping-particle":"","parse-names":false,"suffix":""}],"container-title":"Transportation Research Part C: Emerging Technologies","id":"ITEM-1","issued":{"date-parts":[["2021","2","1"]]},"page":"102976","publisher":"Pergamon","title":"Modeling the dynamics of hurricane evacuation decisions from twitter data: An input output hidden markov modeling approach","type":"article-journal","volume":"123"},"uris":["http://www.mendeley.com/documents/?uuid=99c477c3-806f-302c-a063-af5c5df41fea"]}],"mendeley":{"formattedCitation":"(Roy and Hasan, 2021)","plainTextFormattedCitation":"(Roy and Hasan, 2021)","previouslyFormattedCitation":"(Roy and Hasan, 2021)"},"properties":{"noteIndex":0},"schema":"https://github.com/citation-style-language/schema/raw/master/csl-citation.json"}</w:instrText>
      </w:r>
      <w:r w:rsidR="00311428">
        <w:fldChar w:fldCharType="separate"/>
      </w:r>
      <w:r w:rsidR="002D286E" w:rsidRPr="002D286E">
        <w:rPr>
          <w:noProof/>
        </w:rPr>
        <w:t>(Roy and Hasan, 2021)</w:t>
      </w:r>
      <w:r w:rsidR="00311428">
        <w:fldChar w:fldCharType="end"/>
      </w:r>
      <w:r w:rsidR="00311428">
        <w:t xml:space="preserve"> for details)</w:t>
      </w:r>
      <w:r>
        <w:t>. We have also filtered out non-Florida users and international visitors. Our final dataset includes 2,357 Florida users with 552 users evacuated during hurricane Irma. We counted the number of Irma or evacuation related tweets posted by the evacuees against the time before they evacuated (Figure 3</w:t>
      </w:r>
      <w:r w:rsidR="00803B9B">
        <w:t>a</w:t>
      </w:r>
      <w:r>
        <w:t>). This indicates that users’ intents to evacuate can potentially be detected much earlier than their actual evacuation times. For example, one tweet stating “Me and my family evacuating Florida right after my class on Friday” was posted on a Tuesday night, September 5th, about 2.5 days prior to the user’s inferred evacuation time (which indeed corresponded to Friday). Given that Irma did not make its landfall in Florida until Sunday (Sept. 10), such tweets provide ample lead time to aid forecasting estimates.</w:t>
      </w:r>
      <w:r w:rsidR="008D51FE">
        <w:t xml:space="preserve"> Additionally, we identified the most likely evacuation and return times and the origins and destinations of the evacuated users (Figure 3</w:t>
      </w:r>
      <w:r w:rsidR="00DB526C">
        <w:t>b</w:t>
      </w:r>
      <w:r w:rsidR="008D51FE">
        <w:t>). We found that Florida residents mainly evacuated to Georgia, Alabama, South Carolina, and North Carolina.</w:t>
      </w:r>
    </w:p>
    <w:p w14:paraId="24F27BA8" w14:textId="77777777" w:rsidR="00AF7E89" w:rsidRDefault="00AF7E89" w:rsidP="008D51FE"/>
    <w:p w14:paraId="7C9B56FD" w14:textId="6B69138C" w:rsidR="00974C20" w:rsidRDefault="008D51FE" w:rsidP="00950499">
      <w:r>
        <w:rPr>
          <w:noProof/>
        </w:rPr>
        <w:drawing>
          <wp:inline distT="0" distB="0" distL="0" distR="0" wp14:anchorId="3CAD69FF" wp14:editId="3CB578CF">
            <wp:extent cx="5602090" cy="2560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2090" cy="2560320"/>
                    </a:xfrm>
                    <a:prstGeom prst="rect">
                      <a:avLst/>
                    </a:prstGeom>
                    <a:noFill/>
                  </pic:spPr>
                </pic:pic>
              </a:graphicData>
            </a:graphic>
          </wp:inline>
        </w:drawing>
      </w:r>
    </w:p>
    <w:p w14:paraId="5C627883" w14:textId="5956ED52" w:rsidR="00950499" w:rsidRDefault="00974C20" w:rsidP="00974C20">
      <w:pPr>
        <w:rPr>
          <w:lang w:val="en-US"/>
        </w:rPr>
      </w:pPr>
      <w:r>
        <w:t xml:space="preserve">Figure 3: </w:t>
      </w:r>
      <w:r w:rsidR="00462414">
        <w:rPr>
          <w:lang w:val="en-US"/>
        </w:rPr>
        <w:t>Twitter Data Analysis</w:t>
      </w:r>
    </w:p>
    <w:p w14:paraId="503BC184" w14:textId="2271A11B" w:rsidR="00B40E9E" w:rsidRDefault="002B69AD" w:rsidP="001B1EAB">
      <w:pPr>
        <w:ind w:firstLine="720"/>
      </w:pPr>
      <w:r w:rsidRPr="002B69AD">
        <w:rPr>
          <w:lang w:val="en-US"/>
        </w:rPr>
        <w:t>To estimate user demographics, we use a classifier from prior work</w:t>
      </w:r>
      <w:r w:rsidR="00414500">
        <w:rPr>
          <w:lang w:val="en-US"/>
        </w:rPr>
        <w:t xml:space="preserve"> </w:t>
      </w:r>
      <w:r w:rsidR="00414500">
        <w:rPr>
          <w:lang w:val="en-US"/>
        </w:rPr>
        <w:fldChar w:fldCharType="begin" w:fldLock="1"/>
      </w:r>
      <w:r w:rsidR="002D286E">
        <w:rPr>
          <w:lang w:val="en-US"/>
        </w:rPr>
        <w:instrText>ADDIN CSL_CITATION {"citationItems":[{"id":"ITEM-1","itemData":{"DOI":"10.1609/aaai.v29i1.9204","ISBN":"9781577356998","ISSN":"2159-5399","abstract":"Understanding the demographics of users of online social networks has important applications for health, marketing, and public messaging. In this paper, we predict the demographics of Twitter users based on whom they follow. Whereas most prior approaches rely on a supervised learning approach, in which individual users are labeled with demographics, we instead create a distantly labeled dataset by collecting audience measurement data for 1,500 websites (e.g., 50% of visitors to gizmodo.com are estimated to have a bachelor's degree). We then fit a regression model to predict these demographics using information about the followers of each website on Twitter. The resulting average held-out correlation is .77 across six different variables (gender, age, ethnicity, education, income, and child status). We additionally validate the model on a smaller set of Twitter users labeled individually for ethnicity and gender, finding performance that is surprisingly competitive with a fully supervised approach.","author":[{"dropping-particle":"","family":"Culotta","given":"Aron","non-dropping-particle":"","parse-names":false,"suffix":""},{"dropping-particle":"","family":"Ravi","given":"Nirmal Kumar","non-dropping-particle":"","parse-names":false,"suffix":""},{"dropping-particle":"","family":"Cutler","given":"Jennifer","non-dropping-particle":"","parse-names":false,"suffix":""}],"container-title":"Proceedings of the National Conference on Artificial Intelligence","id":"ITEM-1","issued":{"date-parts":[["2015"]]},"page":"72-78","title":"Predicting the demographics of Twitter users from website traffic data","type":"paper-conference","volume":"1"},"uris":["http://www.mendeley.com/documents/?uuid=3a465e0f-1c18-4932-9796-b9661b4014ed"]},{"id":"ITEM-2","itemData":{"DOI":"10.1613/jair.4935","ISSN":"10769757","abstract":"Understanding the demographics of users of online social networks has important applications for health, marketing, and public messaging. Whereas most prior approaches rely on a supervised learning approach, in which individual users are labeled with demo-graphics for training, we instead create a distantly labeled dataset by collecting audience measurement data for 1,500 websites (e.g., 50% of visitors to gizmodo.com are estimated to have a bachelor's degree). We then fit a regression model to predict these demographics from information about the followers of each website on Twitter. Using patterns derived both from textual content and the social network of each user, our final model produces an average held-out correlation of .77 across seven difierent variables (age, gender, education, ethnicity, income, parental status, and political preference). We then apply this model to classify individual Twitter users by ethnicity, gender, and political preference, finding performance that is surprisingly competitive with a fully supervised approach.","author":[{"dropping-particle":"","family":"Culotta","given":"Aron","non-dropping-particle":"","parse-names":false,"suffix":""},{"dropping-particle":"","family":"Ravi","given":"Nirmal Kumar","non-dropping-particle":"","parse-names":false,"suffix":""},{"dropping-particle":"","family":"Cutler","given":"Jennifer","non-dropping-particle":"","parse-names":false,"suffix":""}],"container-title":"Journal of Artificial Intelligence Research","id":"ITEM-2","issued":{"date-parts":[["2016"]]},"page":"389-408","title":"Predicting twitter user demographics using distant supervision from website traffic data","type":"article-journal","volume":"55"},"uris":["http://www.mendeley.com/documents/?uuid=ece0570b-db36-470c-a3ad-e8f843ddaa8f"]}],"mendeley":{"formattedCitation":"(Culotta et al., 2016, 2015)","plainTextFormattedCitation":"(Culotta et al., 2016, 2015)","previouslyFormattedCitation":"(Culotta et al., 2016, 2015)"},"properties":{"noteIndex":0},"schema":"https://github.com/citation-style-language/schema/raw/master/csl-citation.json"}</w:instrText>
      </w:r>
      <w:r w:rsidR="00414500">
        <w:rPr>
          <w:lang w:val="en-US"/>
        </w:rPr>
        <w:fldChar w:fldCharType="separate"/>
      </w:r>
      <w:r w:rsidR="008170D9" w:rsidRPr="008170D9">
        <w:rPr>
          <w:noProof/>
          <w:lang w:val="en-US"/>
        </w:rPr>
        <w:t>(Culotta et al., 2016, 2015)</w:t>
      </w:r>
      <w:r w:rsidR="00414500">
        <w:rPr>
          <w:lang w:val="en-US"/>
        </w:rPr>
        <w:fldChar w:fldCharType="end"/>
      </w:r>
      <w:r w:rsidR="00414500">
        <w:rPr>
          <w:lang w:val="en-US"/>
        </w:rPr>
        <w:t xml:space="preserve"> </w:t>
      </w:r>
      <w:r w:rsidRPr="002B69AD">
        <w:rPr>
          <w:lang w:val="en-US"/>
        </w:rPr>
        <w:t>which was trained to predict user demographics based on a sample of their tweets and users that they follow. The model is trained using distantly labeled data based on audience measurement data for 1,500 websites. While undoubtedly such a classifier is imperfect (and oversimplifies gender and race/ethnicity categories), prior results indicate that it exhibits high concordance both with labeled data and with population level characteristics (e.g., .73 average correlation with panels of matched web traffic demographics). We have also used it previously to study hurricane evacuation social media data</w:t>
      </w:r>
      <w:r w:rsidR="00414500">
        <w:rPr>
          <w:lang w:val="en-US"/>
        </w:rPr>
        <w:t xml:space="preserve"> </w:t>
      </w:r>
      <w:r w:rsidR="00414500">
        <w:rPr>
          <w:lang w:val="en-US"/>
        </w:rPr>
        <w:fldChar w:fldCharType="begin" w:fldLock="1"/>
      </w:r>
      <w:r w:rsidR="002D286E">
        <w:rPr>
          <w:lang w:val="en-US"/>
        </w:rPr>
        <w:instrText>ADDIN CSL_CITATION {"citationItems":[{"id":"ITEM-1","itemData":{"DOI":"10.1609/icwsm.v16i1.19320","ISSN":"2162-3449","abstract":"Evacuations have a significant impact on saving human lives during hurricanes. However, as a complex dynamic process, it is typically difficult to know individual evacuation decisions in real-time. Since a large amount of information is continuously posted through social media platforms, we can use them to understand individual evacuation behavior. In this paper, we collect tweets during Hurricane Irma in 2017 and train a text classifier in an active learning way to distinguish tweets expressing positive evacuation decisions from both negative and irrelevant ones. Additionally, we perform a demographic analysis and content clustering to investigate the potential causes and correlates of evacuation decisions. The results can be used to help inform planning strategies of emergency response agencies.","author":[{"dropping-particle":"","family":"Li","given":"Xintian","non-dropping-particle":"","parse-names":false,"suffix":""},{"dropping-particle":"","family":"Hasan","given":"Samiul","non-dropping-particle":"","parse-names":false,"suffix":""},{"dropping-particle":"","family":"Culotta","given":"Aron","non-dropping-particle":"","parse-names":false,"suffix":""}],"container-title":"Proceedings of the International AAAI Conference on Web and Social Media","id":"ITEM-1","issued":{"date-parts":[["2022"]]},"page":"618-627","title":"Identifying Hurricane Evacuation Intent on Twitter","type":"paper-conference","volume":"16"},"uris":["http://www.mendeley.com/documents/?uuid=c3288040-da2b-4db9-8365-52e5055c9fea"]}],"mendeley":{"formattedCitation":"(Li et al., 2022)","plainTextFormattedCitation":"(Li et al., 2022)","previouslyFormattedCitation":"(Li et al., 2022)"},"properties":{"noteIndex":0},"schema":"https://github.com/citation-style-language/schema/raw/master/csl-citation.json"}</w:instrText>
      </w:r>
      <w:r w:rsidR="00414500">
        <w:rPr>
          <w:lang w:val="en-US"/>
        </w:rPr>
        <w:fldChar w:fldCharType="separate"/>
      </w:r>
      <w:r w:rsidR="008170D9" w:rsidRPr="008170D9">
        <w:rPr>
          <w:noProof/>
          <w:lang w:val="en-US"/>
        </w:rPr>
        <w:t>(Li et al., 2022)</w:t>
      </w:r>
      <w:r w:rsidR="00414500">
        <w:rPr>
          <w:lang w:val="en-US"/>
        </w:rPr>
        <w:fldChar w:fldCharType="end"/>
      </w:r>
      <w:r w:rsidRPr="002B69AD">
        <w:rPr>
          <w:lang w:val="en-US"/>
        </w:rPr>
        <w:t>.</w:t>
      </w:r>
      <w:r w:rsidR="00395BA7">
        <w:rPr>
          <w:lang w:val="en-US"/>
        </w:rPr>
        <w:t xml:space="preserve"> </w:t>
      </w:r>
      <w:r w:rsidR="00BB5400">
        <w:t xml:space="preserve">Figure </w:t>
      </w:r>
      <w:r w:rsidR="00D84EE1">
        <w:t>4a</w:t>
      </w:r>
      <w:r w:rsidR="00BB5400">
        <w:t xml:space="preserve"> represent the summary statistics for the demographic variables for the Twitter users (orange bar).</w:t>
      </w:r>
    </w:p>
    <w:p w14:paraId="55705E1D" w14:textId="72C475EE" w:rsidR="003362FE" w:rsidRPr="003362FE" w:rsidRDefault="00C50D3D" w:rsidP="003362FE">
      <w:r>
        <w:tab/>
      </w:r>
      <w:r w:rsidRPr="003362FE">
        <w:t xml:space="preserve">The 2017 NHTS data in addition to the demographic variables </w:t>
      </w:r>
      <w:r w:rsidR="00707886">
        <w:t>documents</w:t>
      </w:r>
      <w:r w:rsidRPr="003362FE">
        <w:t xml:space="preserve"> detailed information on several important variables like </w:t>
      </w:r>
      <w:r w:rsidR="009F587B">
        <w:t xml:space="preserve">home renting status, location (urban/rural), region (core based statistical </w:t>
      </w:r>
      <w:r w:rsidR="00AC03F7">
        <w:t>region</w:t>
      </w:r>
      <w:r w:rsidR="009F587B">
        <w:t xml:space="preserve">), </w:t>
      </w:r>
      <w:r w:rsidRPr="003362FE">
        <w:t>no. of people, driver</w:t>
      </w:r>
      <w:r w:rsidR="00A77932">
        <w:t>s</w:t>
      </w:r>
      <w:r w:rsidRPr="003362FE">
        <w:t xml:space="preserve">, adults, </w:t>
      </w:r>
      <w:r w:rsidR="009F587B">
        <w:t xml:space="preserve">and </w:t>
      </w:r>
      <w:r w:rsidRPr="003362FE">
        <w:t xml:space="preserve">workers in the house </w:t>
      </w:r>
      <w:r w:rsidRPr="003362FE">
        <w:lastRenderedPageBreak/>
        <w:t xml:space="preserve">that might influence the evacuation choice of a person during hurricanes. The NHTS dataset collects information for </w:t>
      </w:r>
      <w:r w:rsidRPr="003362FE">
        <w:rPr>
          <w:rFonts w:cs="Times New Roman"/>
          <w:szCs w:val="24"/>
        </w:rPr>
        <w:t xml:space="preserve">264,234 individuals from 129,696 households sampled from all over the country. The corresponding person weights provided in the NHTS data were employed to generate population representative values for the individuals. As our analysis </w:t>
      </w:r>
      <w:r w:rsidR="00A77932">
        <w:rPr>
          <w:rFonts w:cs="Times New Roman"/>
          <w:szCs w:val="24"/>
        </w:rPr>
        <w:t xml:space="preserve">is </w:t>
      </w:r>
      <w:r w:rsidRPr="003362FE">
        <w:rPr>
          <w:rFonts w:cs="Times New Roman"/>
          <w:szCs w:val="24"/>
        </w:rPr>
        <w:t xml:space="preserve">focused on the evacuation behaviour during </w:t>
      </w:r>
      <w:r w:rsidR="00D16840">
        <w:rPr>
          <w:rFonts w:cs="Times New Roman"/>
          <w:szCs w:val="24"/>
        </w:rPr>
        <w:t>H</w:t>
      </w:r>
      <w:r w:rsidRPr="003362FE">
        <w:rPr>
          <w:rFonts w:cs="Times New Roman"/>
          <w:szCs w:val="24"/>
        </w:rPr>
        <w:t>urricane Irma, we confined our attention to the State of Florida in the NHTS dataset. Within the state of Florida, the NHTS dataset provides information for 2,3</w:t>
      </w:r>
      <w:r w:rsidR="009F587B">
        <w:rPr>
          <w:rFonts w:cs="Times New Roman"/>
          <w:szCs w:val="24"/>
        </w:rPr>
        <w:t>99</w:t>
      </w:r>
      <w:r w:rsidRPr="003362FE">
        <w:rPr>
          <w:rFonts w:cs="Times New Roman"/>
          <w:szCs w:val="24"/>
        </w:rPr>
        <w:t xml:space="preserve"> </w:t>
      </w:r>
      <w:r w:rsidR="003362FE" w:rsidRPr="003362FE">
        <w:rPr>
          <w:rFonts w:cs="Times New Roman"/>
          <w:szCs w:val="24"/>
        </w:rPr>
        <w:t>individuals</w:t>
      </w:r>
      <w:r w:rsidR="001915C7">
        <w:rPr>
          <w:rFonts w:cs="Times New Roman"/>
          <w:szCs w:val="24"/>
        </w:rPr>
        <w:t>. A</w:t>
      </w:r>
      <w:r w:rsidR="003362FE" w:rsidRPr="003362FE">
        <w:rPr>
          <w:rFonts w:cs="Times New Roman"/>
          <w:szCs w:val="24"/>
        </w:rPr>
        <w:t>fter processing and cleaning the data (several variables are missing for some respondent</w:t>
      </w:r>
      <w:r w:rsidR="001915C7">
        <w:rPr>
          <w:rFonts w:cs="Times New Roman"/>
          <w:szCs w:val="24"/>
        </w:rPr>
        <w:t>s</w:t>
      </w:r>
      <w:r w:rsidR="003362FE" w:rsidRPr="003362FE">
        <w:rPr>
          <w:rFonts w:cs="Times New Roman"/>
          <w:szCs w:val="24"/>
        </w:rPr>
        <w:t>), the final NHTS sample consists of total 2,24</w:t>
      </w:r>
      <w:r w:rsidR="00055A9B">
        <w:rPr>
          <w:rFonts w:cs="Times New Roman"/>
          <w:szCs w:val="24"/>
        </w:rPr>
        <w:t>6</w:t>
      </w:r>
      <w:r w:rsidR="003362FE" w:rsidRPr="003362FE">
        <w:rPr>
          <w:rFonts w:cs="Times New Roman"/>
          <w:szCs w:val="24"/>
        </w:rPr>
        <w:t xml:space="preserve"> individuals representing around 14 million </w:t>
      </w:r>
      <w:r w:rsidR="009F587B">
        <w:rPr>
          <w:rFonts w:cs="Times New Roman"/>
          <w:szCs w:val="24"/>
        </w:rPr>
        <w:t>people</w:t>
      </w:r>
      <w:r w:rsidR="003362FE" w:rsidRPr="003362FE">
        <w:rPr>
          <w:rFonts w:cs="Times New Roman"/>
          <w:szCs w:val="24"/>
        </w:rPr>
        <w:t xml:space="preserve"> in the state. A brief summary of the NHTS 2017 data sample employed in our analysis is presented </w:t>
      </w:r>
      <w:r w:rsidR="00C60CF6">
        <w:rPr>
          <w:rFonts w:cs="Times New Roman"/>
          <w:szCs w:val="24"/>
        </w:rPr>
        <w:t>F</w:t>
      </w:r>
      <w:r w:rsidR="003362FE" w:rsidRPr="003362FE">
        <w:rPr>
          <w:rFonts w:cs="Times New Roman"/>
          <w:szCs w:val="24"/>
        </w:rPr>
        <w:t xml:space="preserve">igure </w:t>
      </w:r>
      <w:r w:rsidR="00D84EE1">
        <w:rPr>
          <w:rFonts w:cs="Times New Roman"/>
          <w:szCs w:val="24"/>
        </w:rPr>
        <w:t>4</w:t>
      </w:r>
      <w:r w:rsidR="003362FE" w:rsidRPr="003362FE">
        <w:rPr>
          <w:rFonts w:cs="Times New Roman"/>
          <w:szCs w:val="24"/>
        </w:rPr>
        <w:t xml:space="preserve">a (blue bar) and </w:t>
      </w:r>
      <w:r w:rsidR="00D84EE1">
        <w:rPr>
          <w:rFonts w:cs="Times New Roman"/>
          <w:szCs w:val="24"/>
        </w:rPr>
        <w:t>4</w:t>
      </w:r>
      <w:r w:rsidR="003362FE" w:rsidRPr="003362FE">
        <w:rPr>
          <w:rFonts w:cs="Times New Roman"/>
          <w:szCs w:val="24"/>
        </w:rPr>
        <w:t xml:space="preserve">b. </w:t>
      </w:r>
    </w:p>
    <w:p w14:paraId="26DB53BC" w14:textId="137132D7" w:rsidR="00222FD6" w:rsidRDefault="00222FD6" w:rsidP="00A8449C">
      <w:pPr>
        <w:pStyle w:val="ListParagraph"/>
      </w:pP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4233"/>
      </w:tblGrid>
      <w:tr w:rsidR="00FC49FB" w14:paraId="304608B9" w14:textId="77777777" w:rsidTr="00E8225E">
        <w:tc>
          <w:tcPr>
            <w:tcW w:w="4968" w:type="dxa"/>
          </w:tcPr>
          <w:p w14:paraId="7C1E3D1D" w14:textId="46D3F8B4" w:rsidR="009B73FD" w:rsidRDefault="00E20FFC" w:rsidP="00E97EA6">
            <w:pPr>
              <w:pStyle w:val="ListParagraph"/>
              <w:ind w:left="-112"/>
              <w:jc w:val="left"/>
            </w:pPr>
            <w:r>
              <w:rPr>
                <w:noProof/>
              </w:rPr>
              <w:drawing>
                <wp:inline distT="0" distB="0" distL="0" distR="0" wp14:anchorId="4FAB3EC8" wp14:editId="7E1053A8">
                  <wp:extent cx="3129409" cy="6126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9409" cy="6126480"/>
                          </a:xfrm>
                          <a:prstGeom prst="rect">
                            <a:avLst/>
                          </a:prstGeom>
                          <a:noFill/>
                        </pic:spPr>
                      </pic:pic>
                    </a:graphicData>
                  </a:graphic>
                </wp:inline>
              </w:drawing>
            </w:r>
          </w:p>
          <w:p w14:paraId="50214032" w14:textId="4582C31C" w:rsidR="00EF283F" w:rsidRPr="00EF283F" w:rsidRDefault="00EF283F" w:rsidP="00EF283F">
            <w:pPr>
              <w:rPr>
                <w:sz w:val="20"/>
                <w:szCs w:val="18"/>
              </w:rPr>
            </w:pPr>
            <w:r w:rsidRPr="00E97EA6">
              <w:rPr>
                <w:sz w:val="20"/>
                <w:szCs w:val="18"/>
              </w:rPr>
              <w:t>*EVC: Evacuation Decision (dependent variable)</w:t>
            </w:r>
          </w:p>
        </w:tc>
        <w:tc>
          <w:tcPr>
            <w:tcW w:w="4297" w:type="dxa"/>
            <w:vAlign w:val="center"/>
          </w:tcPr>
          <w:p w14:paraId="79F38F12" w14:textId="77777777" w:rsidR="00E26F1A" w:rsidRDefault="00FC49FB" w:rsidP="00FC49FB">
            <w:pPr>
              <w:jc w:val="left"/>
            </w:pPr>
            <w:r>
              <w:rPr>
                <w:noProof/>
              </w:rPr>
              <w:drawing>
                <wp:inline distT="0" distB="0" distL="0" distR="0" wp14:anchorId="0689E1ED" wp14:editId="01493101">
                  <wp:extent cx="2382106" cy="2011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2106" cy="2011680"/>
                          </a:xfrm>
                          <a:prstGeom prst="rect">
                            <a:avLst/>
                          </a:prstGeom>
                          <a:noFill/>
                        </pic:spPr>
                      </pic:pic>
                    </a:graphicData>
                  </a:graphic>
                </wp:inline>
              </w:drawing>
            </w:r>
            <w:r>
              <w:t xml:space="preserve"> </w:t>
            </w:r>
          </w:p>
          <w:p w14:paraId="5C646214" w14:textId="2B9E7B79" w:rsidR="00FC49FB" w:rsidRDefault="00FC49FB" w:rsidP="00FC49FB">
            <w:pPr>
              <w:jc w:val="left"/>
            </w:pPr>
            <w:r w:rsidRPr="00FC49FB">
              <w:rPr>
                <w:sz w:val="20"/>
                <w:szCs w:val="18"/>
              </w:rPr>
              <w:t>b) Descriptive Summary of additional variables in NHTS Dataset</w:t>
            </w:r>
          </w:p>
          <w:p w14:paraId="26A8AEC8" w14:textId="121382FE" w:rsidR="009B73FD" w:rsidRDefault="009B73FD" w:rsidP="00FC49FB">
            <w:pPr>
              <w:pStyle w:val="ListParagraph"/>
              <w:ind w:left="-183"/>
              <w:jc w:val="center"/>
            </w:pPr>
          </w:p>
        </w:tc>
      </w:tr>
    </w:tbl>
    <w:p w14:paraId="0B04291F" w14:textId="3737D4C0" w:rsidR="00FC49FB" w:rsidRPr="00FC49FB" w:rsidRDefault="00FC49FB" w:rsidP="00FC49FB">
      <w:pPr>
        <w:jc w:val="left"/>
        <w:rPr>
          <w:sz w:val="20"/>
          <w:szCs w:val="18"/>
        </w:rPr>
      </w:pPr>
      <w:r w:rsidRPr="00FC49FB">
        <w:rPr>
          <w:sz w:val="20"/>
          <w:szCs w:val="18"/>
        </w:rPr>
        <w:t>a) Frequency Summary of NHTS and Twitter Dataset</w:t>
      </w:r>
    </w:p>
    <w:p w14:paraId="4D2558E3" w14:textId="166EA958" w:rsidR="006326A1" w:rsidRDefault="006326A1" w:rsidP="00E97EA6">
      <w:r>
        <w:t xml:space="preserve">Figure </w:t>
      </w:r>
      <w:r w:rsidR="00725AC4">
        <w:t>4</w:t>
      </w:r>
      <w:r>
        <w:t>: Descriptive Summary of Twitter and NHTS Variables</w:t>
      </w:r>
    </w:p>
    <w:p w14:paraId="6A3B9377" w14:textId="30CFAFCB" w:rsidR="005711D2" w:rsidRDefault="008049F4" w:rsidP="005711D2">
      <w:pPr>
        <w:pStyle w:val="Heading2"/>
      </w:pPr>
      <w:r>
        <w:lastRenderedPageBreak/>
        <w:t xml:space="preserve">4.2 </w:t>
      </w:r>
      <w:r w:rsidR="005711D2">
        <w:t xml:space="preserve">Selecting Variables </w:t>
      </w:r>
      <w:r w:rsidR="00F05090">
        <w:t xml:space="preserve">for </w:t>
      </w:r>
      <w:r w:rsidR="005711D2">
        <w:t>Fusion</w:t>
      </w:r>
    </w:p>
    <w:p w14:paraId="0A952F06" w14:textId="7124284D" w:rsidR="005711D2" w:rsidRDefault="005711D2" w:rsidP="005711D2">
      <w:r>
        <w:t xml:space="preserve">In the current analysis, we considered several combinations of variables (single and multiple variables) for linking the two datasets and within each combination, we estimated two models: 1) an evacuation model considering variables only from the Twitter dataset and 2) an evacuation model based on the fused dataset considering variables from both NHTS and Twitter. Then, for each combination, we calculate the improvement in average LL (we consider N=10 samples) for the fused evacuation model (model employed on the fused dataset) relative to the Twitter only evacuation model (model employed on the Twitter dataset). Finally, the combination providing the superior improvement </w:t>
      </w:r>
      <w:r w:rsidR="00B37C8A">
        <w:t>is</w:t>
      </w:r>
      <w:r>
        <w:t xml:space="preserve"> selected. Figure </w:t>
      </w:r>
      <w:r w:rsidR="00725AC4">
        <w:t>5</w:t>
      </w:r>
      <w:r>
        <w:t xml:space="preserve"> represents the average LL improvement measures across different combinations of variables. The </w:t>
      </w:r>
      <w:r w:rsidR="00D36C6F">
        <w:t>F</w:t>
      </w:r>
      <w:r>
        <w:t>igure (</w:t>
      </w:r>
      <w:r w:rsidR="00725AC4">
        <w:t>5</w:t>
      </w:r>
      <w:r>
        <w:t>) clearly highlights the superior improvement in LL for the fused evacuation model when each respondent in NHTS is linked with multiple Twitter user</w:t>
      </w:r>
      <w:r w:rsidR="00721327">
        <w:t>s</w:t>
      </w:r>
      <w:r>
        <w:t xml:space="preserve"> based on </w:t>
      </w:r>
      <w:r w:rsidR="00721327">
        <w:t xml:space="preserve">matching </w:t>
      </w:r>
      <w:r>
        <w:t>age, race</w:t>
      </w:r>
      <w:r w:rsidR="00721327">
        <w:t xml:space="preserve"> and income</w:t>
      </w:r>
      <w:r>
        <w:t xml:space="preserve">. Therefore, we select this variable group for fusing the two datasets and proceed to the next step. </w:t>
      </w:r>
    </w:p>
    <w:p w14:paraId="1839B726" w14:textId="77777777" w:rsidR="005711D2" w:rsidRDefault="005711D2" w:rsidP="005711D2"/>
    <w:p w14:paraId="7933E898" w14:textId="5C8F3F7B" w:rsidR="005711D2" w:rsidRDefault="005711D2" w:rsidP="005711D2">
      <w:r>
        <w:rPr>
          <w:noProof/>
        </w:rPr>
        <w:drawing>
          <wp:inline distT="0" distB="0" distL="0" distR="0" wp14:anchorId="157C4D4F" wp14:editId="5CAE9B9A">
            <wp:extent cx="5697263" cy="36576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7263" cy="3657600"/>
                    </a:xfrm>
                    <a:prstGeom prst="rect">
                      <a:avLst/>
                    </a:prstGeom>
                    <a:noFill/>
                  </pic:spPr>
                </pic:pic>
              </a:graphicData>
            </a:graphic>
          </wp:inline>
        </w:drawing>
      </w:r>
      <w:r w:rsidRPr="005A7440">
        <w:t xml:space="preserve"> </w:t>
      </w:r>
      <w:r>
        <w:t xml:space="preserve">Figure </w:t>
      </w:r>
      <w:r w:rsidR="00725AC4">
        <w:t>5</w:t>
      </w:r>
      <w:r>
        <w:t>: Model Fit Summary Across Different Variable Group Used for Fusion</w:t>
      </w:r>
    </w:p>
    <w:p w14:paraId="576F0D79" w14:textId="6807D454" w:rsidR="005711D2" w:rsidRDefault="005711D2" w:rsidP="005711D2"/>
    <w:p w14:paraId="5A64B758" w14:textId="551A2B12" w:rsidR="005711D2" w:rsidRDefault="008049F4" w:rsidP="005711D2">
      <w:pPr>
        <w:pStyle w:val="Heading2"/>
      </w:pPr>
      <w:r>
        <w:t xml:space="preserve">4.3 </w:t>
      </w:r>
      <w:r w:rsidR="005711D2">
        <w:t xml:space="preserve">Selecting </w:t>
      </w:r>
      <w:r w:rsidR="00823C5E">
        <w:t xml:space="preserve">the </w:t>
      </w:r>
      <w:r w:rsidR="005711D2">
        <w:t>Number of Matching Records for Fusion</w:t>
      </w:r>
    </w:p>
    <w:p w14:paraId="64DA8362" w14:textId="2DD224E1" w:rsidR="005711D2" w:rsidRDefault="005711D2" w:rsidP="005711D2">
      <w:r>
        <w:t>Based on the result</w:t>
      </w:r>
      <w:r w:rsidR="00893976">
        <w:t>s</w:t>
      </w:r>
      <w:r>
        <w:t xml:space="preserve"> obtained in the first step, we merged the two datasets based on </w:t>
      </w:r>
      <w:r w:rsidR="00893976">
        <w:t xml:space="preserve">matching </w:t>
      </w:r>
      <w:r>
        <w:t xml:space="preserve">age, race and income and </w:t>
      </w:r>
      <w:r w:rsidRPr="004D3713">
        <w:t>created N=1</w:t>
      </w:r>
      <w:r w:rsidR="00EE797F">
        <w:t>0</w:t>
      </w:r>
      <w:r w:rsidRPr="004D3713">
        <w:t xml:space="preserve"> fused databases using multiple matching records of K including 3,</w:t>
      </w:r>
      <w:r w:rsidR="00F05090">
        <w:t xml:space="preserve"> </w:t>
      </w:r>
      <w:r w:rsidRPr="004D3713">
        <w:t>5, 10, 15, 20, 30, 40</w:t>
      </w:r>
      <w:r w:rsidR="00F05090">
        <w:t>,</w:t>
      </w:r>
      <w:r w:rsidRPr="004D3713">
        <w:t xml:space="preserve"> and 50 (see Figure </w:t>
      </w:r>
      <w:r w:rsidR="00C60CF6">
        <w:t>6</w:t>
      </w:r>
      <w:r w:rsidRPr="004D3713">
        <w:t>)</w:t>
      </w:r>
      <w:r w:rsidR="0016133C">
        <w:rPr>
          <w:rStyle w:val="FootnoteReference"/>
        </w:rPr>
        <w:footnoteReference w:id="3"/>
      </w:r>
      <w:r w:rsidRPr="004D3713">
        <w:t xml:space="preserve">. </w:t>
      </w:r>
      <w:r>
        <w:t xml:space="preserve"> Similar to the variable selection criteria for fusion, we again resort to the improvement in model fit measures (average LL improvement) for identifying the optimal number for fusion. However, here we also focused on </w:t>
      </w:r>
      <w:r w:rsidR="00893976">
        <w:t xml:space="preserve">one </w:t>
      </w:r>
      <w:r>
        <w:t xml:space="preserve">additional factor: the complexity of the model in terms of run times. For instance, if we matched 25 records instead of 5, that might give us better model fit but at the same time, the complexity of the model will increase as it will require higher run times for convergence. Obviously, there is a trade-off between these two factors and thus, we need to select an optimal </w:t>
      </w:r>
      <w:r>
        <w:lastRenderedPageBreak/>
        <w:t xml:space="preserve">value </w:t>
      </w:r>
      <w:r w:rsidR="00823C5E">
        <w:t xml:space="preserve">of the number of records </w:t>
      </w:r>
      <w:r>
        <w:t xml:space="preserve">for matching which will give us a relatively better model fit while being simple from </w:t>
      </w:r>
      <w:r w:rsidR="00E63568">
        <w:t xml:space="preserve">the </w:t>
      </w:r>
      <w:r>
        <w:t xml:space="preserve">estimation perspective. From </w:t>
      </w:r>
      <w:r w:rsidR="006B13FD">
        <w:t>F</w:t>
      </w:r>
      <w:r>
        <w:t xml:space="preserve">igure </w:t>
      </w:r>
      <w:r w:rsidR="00EE797F">
        <w:t>6</w:t>
      </w:r>
      <w:r>
        <w:t>, we can clearly see the substantial improvement in LL as the number of fusions ke</w:t>
      </w:r>
      <w:r w:rsidR="00E63568">
        <w:t>e</w:t>
      </w:r>
      <w:r>
        <w:t>p increasing, particularly up to 15. Interestingly, the improvement become</w:t>
      </w:r>
      <w:r w:rsidR="00E63568">
        <w:t>s</w:t>
      </w:r>
      <w:r>
        <w:t xml:space="preserve"> stable or even worsen</w:t>
      </w:r>
      <w:r w:rsidR="00E63568">
        <w:t>s</w:t>
      </w:r>
      <w:r>
        <w:t xml:space="preserve"> </w:t>
      </w:r>
      <w:r w:rsidR="00E63568">
        <w:t>beyond</w:t>
      </w:r>
      <w:r>
        <w:t xml:space="preserve"> 15 records per individual </w:t>
      </w:r>
      <w:r w:rsidR="00EE797F">
        <w:t>in</w:t>
      </w:r>
      <w:r>
        <w:t xml:space="preserve"> NHTS. Also, the improvement is marginal (6.5%) from 10 to 15 fusion while the computational run times is approximately 60% higher for fusing 15 records relative to fusing 10 records. Therefore, we select K=10 as the optimal value, meaning for each respondent in NHTS, 10 records from the Twitter data will be fused based on similar age, race and income. </w:t>
      </w:r>
    </w:p>
    <w:p w14:paraId="4BAACA7A" w14:textId="3AF7E63F" w:rsidR="005711D2" w:rsidRDefault="001E3A98" w:rsidP="005711D2">
      <w:pPr>
        <w:jc w:val="left"/>
      </w:pPr>
      <w:r>
        <w:rPr>
          <w:noProof/>
        </w:rPr>
        <w:drawing>
          <wp:inline distT="0" distB="0" distL="0" distR="0" wp14:anchorId="5497A36B" wp14:editId="0A8CD053">
            <wp:extent cx="5358577" cy="2834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8577" cy="2834640"/>
                    </a:xfrm>
                    <a:prstGeom prst="rect">
                      <a:avLst/>
                    </a:prstGeom>
                    <a:noFill/>
                  </pic:spPr>
                </pic:pic>
              </a:graphicData>
            </a:graphic>
          </wp:inline>
        </w:drawing>
      </w:r>
    </w:p>
    <w:p w14:paraId="722697CA" w14:textId="76CDD6A7" w:rsidR="005711D2" w:rsidRDefault="005711D2" w:rsidP="005711D2">
      <w:r>
        <w:t xml:space="preserve">Figure </w:t>
      </w:r>
      <w:r w:rsidR="00C60CF6">
        <w:t>6</w:t>
      </w:r>
      <w:r>
        <w:t>: Model Fit Summary Across Different Number of Fusion</w:t>
      </w:r>
    </w:p>
    <w:p w14:paraId="4D9A08AF" w14:textId="77777777" w:rsidR="005711D2" w:rsidRDefault="005711D2" w:rsidP="005711D2"/>
    <w:p w14:paraId="294BF56C" w14:textId="273778A6" w:rsidR="005711D2" w:rsidRDefault="008049F4" w:rsidP="005711D2">
      <w:pPr>
        <w:pStyle w:val="Heading2"/>
      </w:pPr>
      <w:r>
        <w:t xml:space="preserve">4.4 </w:t>
      </w:r>
      <w:r w:rsidR="005711D2">
        <w:t>Parameter Stability</w:t>
      </w:r>
    </w:p>
    <w:p w14:paraId="6212ED86" w14:textId="77777777" w:rsidR="005711D2" w:rsidRDefault="005711D2" w:rsidP="005711D2">
      <w:r>
        <w:t xml:space="preserve">After selecting the variables and the number of records to be used for fusion, the next step is to evaluate the stability of the parameters of the evacuation model estimated using the fused data. </w:t>
      </w:r>
    </w:p>
    <w:p w14:paraId="0B2F1DDA" w14:textId="1D4DF216" w:rsidR="005711D2" w:rsidRDefault="005711D2" w:rsidP="005711D2">
      <w:r>
        <w:t xml:space="preserve">For instance, let’s say for the common age, race and income variable, we have 100 matching records in the Twitter dataset that can be fused with each NHTS respondent. Out of these 100 matching records, we consider 10 (as indicated by previous section) through a random sampling process and estimate our model based on this samples. However, it is quite possible that considering a different sample with different 10 matching records might alter the parameter estimates (particularly the new variables from NHTS and variables in the weight component). Therefore, we carried out our proposed fusion algorithm multiple times (10 to be specific) and test the hypothesis whether the parameter estimates obtained from the model exhibit any significant differences across the samples. If the hypothesis is rejected, it will indicate that the parameter estimates </w:t>
      </w:r>
      <w:r w:rsidR="00004773">
        <w:t xml:space="preserve">are </w:t>
      </w:r>
      <w:r>
        <w:t xml:space="preserve">highly dependent on the randomness in sampling. On the other hand, if the hypothesis is not rejected, it will </w:t>
      </w:r>
      <w:r w:rsidR="003B31FD">
        <w:t xml:space="preserve">inform </w:t>
      </w:r>
      <w:r>
        <w:t xml:space="preserve">us </w:t>
      </w:r>
      <w:r w:rsidR="003B31FD">
        <w:t xml:space="preserve">that </w:t>
      </w:r>
      <w:r>
        <w:t xml:space="preserve">the coefficients do not significantly differ across the samples, thus reinforcing the statistical validity of our proposed fusion approach.  </w:t>
      </w:r>
    </w:p>
    <w:p w14:paraId="2998E473" w14:textId="524CF4DB" w:rsidR="005711D2" w:rsidRDefault="005711D2" w:rsidP="005711D2">
      <w:pPr>
        <w:rPr>
          <w:rFonts w:eastAsiaTheme="minorEastAsia"/>
        </w:rPr>
      </w:pPr>
      <w:r>
        <w:tab/>
        <w:t>To test the hypothesis, we first calculate the estimates (</w:t>
      </w:r>
      <m:oMath>
        <m:sSub>
          <m:sSubPr>
            <m:ctrlPr>
              <w:rPr>
                <w:rFonts w:ascii="Cambria Math" w:hAnsi="Cambria Math"/>
                <w:i/>
              </w:rPr>
            </m:ctrlPr>
          </m:sSubPr>
          <m:e>
            <m:r>
              <w:rPr>
                <w:rFonts w:ascii="Cambria Math" w:hAnsi="Cambria Math"/>
              </w:rPr>
              <m:t>B</m:t>
            </m:r>
          </m:e>
          <m:sub>
            <m:r>
              <w:rPr>
                <w:rFonts w:ascii="Cambria Math" w:hAnsi="Cambria Math"/>
              </w:rPr>
              <m:t>s</m:t>
            </m:r>
          </m:sub>
        </m:sSub>
      </m:oMath>
      <w:r>
        <w:rPr>
          <w:rFonts w:eastAsiaTheme="minorEastAsia"/>
        </w:rPr>
        <w:t>)</w:t>
      </w:r>
      <w:r>
        <w:t xml:space="preserve"> and its corresponding standard deviations (</w:t>
      </w:r>
      <m:oMath>
        <m:sSub>
          <m:sSubPr>
            <m:ctrlPr>
              <w:rPr>
                <w:rFonts w:ascii="Cambria Math" w:hAnsi="Cambria Math"/>
                <w:i/>
              </w:rPr>
            </m:ctrlPr>
          </m:sSubPr>
          <m:e>
            <m:r>
              <w:rPr>
                <w:rFonts w:ascii="Cambria Math" w:hAnsi="Cambria Math"/>
              </w:rPr>
              <m:t>SD</m:t>
            </m:r>
          </m:e>
          <m:sub>
            <m:r>
              <w:rPr>
                <w:rFonts w:ascii="Cambria Math" w:hAnsi="Cambria Math"/>
              </w:rPr>
              <m:t>s</m:t>
            </m:r>
          </m:sub>
        </m:sSub>
      </m:oMath>
      <w:r>
        <w:rPr>
          <w:rFonts w:eastAsiaTheme="minorEastAsia"/>
        </w:rPr>
        <w:t>)</w:t>
      </w:r>
      <w:r>
        <w:t xml:space="preserve"> specific to each fused variable and variables in the weight component across the 10 samples.  Then, we calculate the mean of these estimates </w:t>
      </w:r>
      <m:oMath>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10</m:t>
            </m:r>
          </m:sup>
          <m:e>
            <m:sSub>
              <m:sSubPr>
                <m:ctrlPr>
                  <w:rPr>
                    <w:rFonts w:ascii="Cambria Math" w:hAnsi="Cambria Math"/>
                    <w:i/>
                  </w:rPr>
                </m:ctrlPr>
              </m:sSubPr>
              <m:e>
                <m:r>
                  <w:rPr>
                    <w:rFonts w:ascii="Cambria Math" w:hAnsi="Cambria Math"/>
                  </w:rPr>
                  <m:t>B</m:t>
                </m:r>
              </m:e>
              <m:sub>
                <m:r>
                  <w:rPr>
                    <w:rFonts w:ascii="Cambria Math" w:hAnsi="Cambria Math"/>
                  </w:rPr>
                  <m:t>s</m:t>
                </m:r>
              </m:sub>
            </m:sSub>
          </m:e>
        </m:nary>
        <m:r>
          <w:rPr>
            <w:rFonts w:ascii="Cambria Math" w:hAnsi="Cambria Math"/>
          </w:rPr>
          <m:t xml:space="preserve">) </m:t>
        </m:r>
      </m:oMath>
      <w:r>
        <w:t xml:space="preserve"> and standard deviations </w:t>
      </w:r>
      <w:r>
        <w:rPr>
          <w:rFonts w:eastAsiaTheme="minorEastAsia"/>
        </w:rPr>
        <w:t>(</w:t>
      </w:r>
      <m:oMath>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m:t>
            </m:r>
          </m:sub>
        </m:sSub>
        <m:r>
          <w:rPr>
            <w:rFonts w:ascii="Cambria Math" w:eastAsiaTheme="minorEastAsia"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10</m:t>
            </m:r>
          </m:sup>
          <m:e>
            <m:sSub>
              <m:sSubPr>
                <m:ctrlPr>
                  <w:rPr>
                    <w:rFonts w:ascii="Cambria Math" w:hAnsi="Cambria Math"/>
                    <w:i/>
                  </w:rPr>
                </m:ctrlPr>
              </m:sSubPr>
              <m:e>
                <m:r>
                  <w:rPr>
                    <w:rFonts w:ascii="Cambria Math" w:hAnsi="Cambria Math"/>
                  </w:rPr>
                  <m:t>SD</m:t>
                </m:r>
              </m:e>
              <m:sub>
                <m:r>
                  <w:rPr>
                    <w:rFonts w:ascii="Cambria Math" w:hAnsi="Cambria Math"/>
                  </w:rPr>
                  <m:t>s</m:t>
                </m:r>
              </m:sub>
            </m:sSub>
          </m:e>
        </m:nary>
      </m:oMath>
      <w:r>
        <w:rPr>
          <w:rFonts w:eastAsiaTheme="minorEastAsia"/>
        </w:rPr>
        <w:t xml:space="preserve">). Then we simply calculate an approximate t-statistics specific </w:t>
      </w:r>
      <w:r w:rsidR="003B31FD">
        <w:rPr>
          <w:rFonts w:eastAsiaTheme="minorEastAsia"/>
        </w:rPr>
        <w:t xml:space="preserve">for </w:t>
      </w:r>
      <w:r>
        <w:rPr>
          <w:rFonts w:eastAsiaTheme="minorEastAsia"/>
        </w:rPr>
        <w:t>each variable across each sample as follows: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1347"/>
      </w:tblGrid>
      <w:tr w:rsidR="005711D2" w:rsidRPr="00024ABA" w14:paraId="101AA93E" w14:textId="77777777" w:rsidTr="00E71307">
        <w:trPr>
          <w:trHeight w:val="288"/>
        </w:trPr>
        <w:tc>
          <w:tcPr>
            <w:tcW w:w="4254" w:type="pct"/>
            <w:vAlign w:val="center"/>
          </w:tcPr>
          <w:p w14:paraId="6980E8B7" w14:textId="77777777" w:rsidR="005711D2" w:rsidRPr="00653959" w:rsidRDefault="00000000" w:rsidP="00E71307">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oMath>
            <w:r w:rsidR="005711D2">
              <w:rPr>
                <w:rFonts w:eastAsiaTheme="minorEastAsia"/>
                <w:sz w:val="24"/>
              </w:rPr>
              <w:t xml:space="preserve"> </w:t>
            </w:r>
            <m:oMath>
              <m:r>
                <w:rPr>
                  <w:rFonts w:ascii="Cambria Math" w:eastAsiaTheme="minorEastAsia" w:hAnsi="Cambria Math"/>
                  <w:sz w:val="24"/>
                </w:rPr>
                <m:t>Abs(</m:t>
              </m:r>
              <m:f>
                <m:fPr>
                  <m:ctrlPr>
                    <w:rPr>
                      <w:rFonts w:ascii="Cambria Math" w:eastAsiaTheme="minorEastAsia" w:hAnsi="Cambria Math"/>
                      <w:i/>
                      <w:sz w:val="36"/>
                      <w:szCs w:val="32"/>
                    </w:rPr>
                  </m:ctrlPr>
                </m:fPr>
                <m:num>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m</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s</m:t>
                      </m:r>
                    </m:sub>
                  </m:sSub>
                  <m:r>
                    <w:rPr>
                      <w:rFonts w:ascii="Cambria Math" w:hAnsi="Cambria Math"/>
                      <w:sz w:val="32"/>
                      <w:szCs w:val="32"/>
                    </w:rPr>
                    <m:t>)</m:t>
                  </m:r>
                </m:num>
                <m:den>
                  <m:rad>
                    <m:radPr>
                      <m:degHide m:val="1"/>
                      <m:ctrlPr>
                        <w:rPr>
                          <w:rFonts w:ascii="Cambria Math" w:hAnsi="Cambria Math"/>
                          <w:i/>
                          <w:sz w:val="36"/>
                          <w:szCs w:val="32"/>
                        </w:rPr>
                      </m:ctrlPr>
                    </m:radPr>
                    <m:deg/>
                    <m:e>
                      <m:r>
                        <w:rPr>
                          <w:rFonts w:ascii="Cambria Math" w:eastAsiaTheme="minorEastAsia" w:hAnsi="Cambria Math"/>
                          <w:sz w:val="32"/>
                          <w:szCs w:val="32"/>
                        </w:rPr>
                        <m:t>S</m:t>
                      </m:r>
                      <m:sSubSup>
                        <m:sSubSupPr>
                          <m:ctrlPr>
                            <w:rPr>
                              <w:rFonts w:ascii="Cambria Math" w:eastAsiaTheme="minorEastAsia" w:hAnsi="Cambria Math"/>
                              <w:i/>
                              <w:sz w:val="32"/>
                              <w:szCs w:val="32"/>
                            </w:rPr>
                          </m:ctrlPr>
                        </m:sSubSupPr>
                        <m:e>
                          <m:r>
                            <w:rPr>
                              <w:rFonts w:ascii="Cambria Math" w:eastAsiaTheme="minorEastAsia" w:hAnsi="Cambria Math"/>
                              <w:sz w:val="32"/>
                              <w:szCs w:val="32"/>
                            </w:rPr>
                            <m:t>D</m:t>
                          </m:r>
                        </m:e>
                        <m:sub>
                          <m:r>
                            <w:rPr>
                              <w:rFonts w:ascii="Cambria Math" w:eastAsiaTheme="minorEastAsia" w:hAnsi="Cambria Math"/>
                              <w:sz w:val="32"/>
                              <w:szCs w:val="32"/>
                            </w:rPr>
                            <m:t>m</m:t>
                          </m:r>
                        </m:sub>
                        <m:sup>
                          <m:r>
                            <w:rPr>
                              <w:rFonts w:ascii="Cambria Math" w:eastAsiaTheme="minorEastAsia" w:hAnsi="Cambria Math"/>
                              <w:sz w:val="32"/>
                              <w:szCs w:val="32"/>
                            </w:rPr>
                            <m:t>2</m:t>
                          </m:r>
                        </m:sup>
                      </m:sSubSup>
                      <m:r>
                        <w:rPr>
                          <w:rFonts w:ascii="Cambria Math" w:eastAsiaTheme="minorEastAsia" w:hAnsi="Cambria Math"/>
                          <w:sz w:val="32"/>
                          <w:szCs w:val="32"/>
                        </w:rPr>
                        <m:t>+S</m:t>
                      </m:r>
                      <m:sSubSup>
                        <m:sSubSupPr>
                          <m:ctrlPr>
                            <w:rPr>
                              <w:rFonts w:ascii="Cambria Math" w:eastAsiaTheme="minorEastAsia" w:hAnsi="Cambria Math"/>
                              <w:i/>
                              <w:sz w:val="32"/>
                              <w:szCs w:val="32"/>
                            </w:rPr>
                          </m:ctrlPr>
                        </m:sSubSupPr>
                        <m:e>
                          <m:r>
                            <w:rPr>
                              <w:rFonts w:ascii="Cambria Math" w:eastAsiaTheme="minorEastAsia" w:hAnsi="Cambria Math"/>
                              <w:sz w:val="32"/>
                              <w:szCs w:val="32"/>
                            </w:rPr>
                            <m:t>D</m:t>
                          </m:r>
                        </m:e>
                        <m:sub>
                          <m:r>
                            <w:rPr>
                              <w:rFonts w:ascii="Cambria Math" w:eastAsiaTheme="minorEastAsia" w:hAnsi="Cambria Math"/>
                              <w:sz w:val="32"/>
                              <w:szCs w:val="32"/>
                            </w:rPr>
                            <m:t>s</m:t>
                          </m:r>
                        </m:sub>
                        <m:sup>
                          <m:r>
                            <w:rPr>
                              <w:rFonts w:ascii="Cambria Math" w:eastAsiaTheme="minorEastAsia" w:hAnsi="Cambria Math"/>
                              <w:sz w:val="32"/>
                              <w:szCs w:val="32"/>
                            </w:rPr>
                            <m:t>2</m:t>
                          </m:r>
                        </m:sup>
                      </m:sSubSup>
                    </m:e>
                  </m:rad>
                </m:den>
              </m:f>
              <m:r>
                <w:rPr>
                  <w:rFonts w:ascii="Cambria Math" w:eastAsiaTheme="minorEastAsia" w:hAnsi="Cambria Math"/>
                  <w:sz w:val="36"/>
                  <w:szCs w:val="32"/>
                </w:rPr>
                <m:t>)</m:t>
              </m:r>
            </m:oMath>
          </w:p>
        </w:tc>
        <w:tc>
          <w:tcPr>
            <w:tcW w:w="746" w:type="pct"/>
            <w:vAlign w:val="center"/>
          </w:tcPr>
          <w:p w14:paraId="116CA5A0" w14:textId="77777777" w:rsidR="005711D2" w:rsidRPr="00024ABA" w:rsidRDefault="005711D2" w:rsidP="00E71307">
            <w:pPr>
              <w:spacing w:before="360" w:after="360"/>
              <w:ind w:left="850"/>
              <w:contextualSpacing/>
              <w:jc w:val="right"/>
              <w:rPr>
                <w:rFonts w:ascii="Times New Roman" w:hAnsi="Times New Roman" w:cs="Times New Roman"/>
                <w:sz w:val="24"/>
                <w:szCs w:val="24"/>
              </w:rPr>
            </w:pPr>
            <w:r w:rsidRPr="00024ABA">
              <w:rPr>
                <w:rFonts w:ascii="Times New Roman" w:hAnsi="Times New Roman" w:cs="Times New Roman"/>
                <w:sz w:val="24"/>
                <w:szCs w:val="24"/>
              </w:rPr>
              <w:t>(</w:t>
            </w:r>
            <w:r>
              <w:rPr>
                <w:rFonts w:ascii="Times New Roman" w:hAnsi="Times New Roman" w:cs="Times New Roman"/>
                <w:sz w:val="24"/>
                <w:szCs w:val="24"/>
              </w:rPr>
              <w:t>6</w:t>
            </w:r>
            <w:r w:rsidRPr="00024ABA">
              <w:rPr>
                <w:rFonts w:ascii="Times New Roman" w:hAnsi="Times New Roman" w:cs="Times New Roman"/>
                <w:sz w:val="24"/>
                <w:szCs w:val="24"/>
              </w:rPr>
              <w:t>)</w:t>
            </w:r>
          </w:p>
        </w:tc>
      </w:tr>
    </w:tbl>
    <w:p w14:paraId="69DB7940" w14:textId="0B4B29D8" w:rsidR="005711D2" w:rsidRDefault="005711D2" w:rsidP="005711D2">
      <w:pPr>
        <w:ind w:firstLine="720"/>
      </w:pPr>
      <w:r>
        <w:lastRenderedPageBreak/>
        <w:t>This t-statistics value will highlight the statistical differences for the variables across the samples. If this value is above (below) 1.65 (critical t-stat at 90% confidence level), then we will reject (not reject) the hypothesis that the estimates are similar across samples. For each variable, we will have 10 t-statistics (due to 10 samples)</w:t>
      </w:r>
      <w:r w:rsidR="003B31FD">
        <w:t>. The comparison results</w:t>
      </w:r>
      <w:r>
        <w:t xml:space="preserve">, for the ease of presentation, </w:t>
      </w:r>
      <w:r w:rsidR="003B31FD">
        <w:t xml:space="preserve">are presented in a </w:t>
      </w:r>
      <w:r>
        <w:t xml:space="preserve">box plot (see Figure </w:t>
      </w:r>
      <w:r w:rsidR="00EE797F">
        <w:t>7</w:t>
      </w:r>
      <w:r>
        <w:t xml:space="preserve">). The boxplots clearly illustrate significant stability in the parameters estimated. In fact, the computed approximate t-statistic does not reach 1.65 for even one parameter across all samples. From the results, it is quite clear that we have obtained a reasonably stable estimate for all parameters in the fused dataset which further provides support to the statistical validity of our proposed fusion algorithm. </w:t>
      </w:r>
      <w:r w:rsidR="003B31FD">
        <w:t xml:space="preserve">The reader would also notice the significant number of variables added to the fused model from NHTS that would not have been available in Twitter dataset without fusion. </w:t>
      </w:r>
    </w:p>
    <w:p w14:paraId="23C78244" w14:textId="5B82AF1E" w:rsidR="005711D2" w:rsidRDefault="006E0900" w:rsidP="005711D2">
      <w:pPr>
        <w:jc w:val="left"/>
      </w:pPr>
      <w:r>
        <w:rPr>
          <w:noProof/>
        </w:rPr>
        <w:drawing>
          <wp:inline distT="0" distB="0" distL="0" distR="0" wp14:anchorId="3F84E9B7" wp14:editId="3EDF4F47">
            <wp:extent cx="5731510" cy="3406140"/>
            <wp:effectExtent l="0" t="0" r="2540" b="3810"/>
            <wp:docPr id="9"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pic:nvPicPr>
                  <pic:blipFill>
                    <a:blip r:embed="rId28"/>
                    <a:stretch>
                      <a:fillRect/>
                    </a:stretch>
                  </pic:blipFill>
                  <pic:spPr>
                    <a:xfrm>
                      <a:off x="0" y="0"/>
                      <a:ext cx="5731510" cy="3406140"/>
                    </a:xfrm>
                    <a:prstGeom prst="rect">
                      <a:avLst/>
                    </a:prstGeom>
                  </pic:spPr>
                </pic:pic>
              </a:graphicData>
            </a:graphic>
          </wp:inline>
        </w:drawing>
      </w:r>
    </w:p>
    <w:p w14:paraId="37DD2167" w14:textId="7D37CBF4" w:rsidR="005711D2" w:rsidRDefault="005711D2" w:rsidP="005711D2">
      <w:r>
        <w:t xml:space="preserve">Figure </w:t>
      </w:r>
      <w:r w:rsidR="00EE797F">
        <w:t>7</w:t>
      </w:r>
      <w:r>
        <w:t>: Test Statistics (t-statistics) for Parameter Estimates Across Samples for each Variables and Models</w:t>
      </w:r>
    </w:p>
    <w:p w14:paraId="395736D3" w14:textId="77777777" w:rsidR="005711D2" w:rsidRDefault="005711D2" w:rsidP="005711D2">
      <w:pPr>
        <w:rPr>
          <w:sz w:val="20"/>
          <w:szCs w:val="18"/>
        </w:rPr>
      </w:pPr>
      <w:r w:rsidRPr="009D6165">
        <w:rPr>
          <w:sz w:val="20"/>
          <w:szCs w:val="18"/>
        </w:rPr>
        <w:t>*: CBSA 2</w:t>
      </w:r>
      <w:r>
        <w:rPr>
          <w:sz w:val="20"/>
          <w:szCs w:val="18"/>
        </w:rPr>
        <w:t xml:space="preserve"> is respondent’s core based statistical area code in the southwest region (</w:t>
      </w:r>
      <w:r w:rsidRPr="00F11C7E">
        <w:rPr>
          <w:sz w:val="20"/>
          <w:szCs w:val="18"/>
        </w:rPr>
        <w:t>Miami-Fort Lauderdale-West Palm Beach</w:t>
      </w:r>
      <w:r>
        <w:rPr>
          <w:sz w:val="20"/>
          <w:szCs w:val="18"/>
        </w:rPr>
        <w:t>).</w:t>
      </w:r>
    </w:p>
    <w:p w14:paraId="61DEFE4A" w14:textId="77777777" w:rsidR="005711D2" w:rsidRDefault="005711D2" w:rsidP="005711D2">
      <w:pPr>
        <w:rPr>
          <w:sz w:val="20"/>
          <w:szCs w:val="18"/>
        </w:rPr>
      </w:pPr>
    </w:p>
    <w:p w14:paraId="42CE3B38" w14:textId="77777777" w:rsidR="005711D2" w:rsidRDefault="005711D2" w:rsidP="005711D2">
      <w:pPr>
        <w:pStyle w:val="Heading1"/>
      </w:pPr>
      <w:r>
        <w:t>5 EMPIRICAL ANALYSIS</w:t>
      </w:r>
    </w:p>
    <w:p w14:paraId="7CC2A11E" w14:textId="77777777" w:rsidR="005711D2" w:rsidRPr="00D9433D" w:rsidRDefault="005711D2" w:rsidP="005711D2"/>
    <w:p w14:paraId="51ABEA91" w14:textId="0F7E85A1" w:rsidR="005711D2" w:rsidRDefault="00B55CBA" w:rsidP="005711D2">
      <w:pPr>
        <w:pStyle w:val="Heading2"/>
      </w:pPr>
      <w:r>
        <w:t xml:space="preserve">5.1 </w:t>
      </w:r>
      <w:r w:rsidR="005711D2">
        <w:t>Model Fit</w:t>
      </w:r>
    </w:p>
    <w:p w14:paraId="4B52A174" w14:textId="1AB918C9" w:rsidR="005711D2" w:rsidRDefault="005711D2" w:rsidP="001A334F">
      <w:pPr>
        <w:rPr>
          <w:rFonts w:cs="Times New Roman"/>
          <w:lang w:val="en-US"/>
        </w:rPr>
      </w:pPr>
      <w:bookmarkStart w:id="4" w:name="_Hlk153981052"/>
      <w:r>
        <w:t xml:space="preserve">We apply our data fusion algorithm proposed in the study to combine the two datasets (NHTS and Twitter) based on the common attribute present in both datasets. </w:t>
      </w:r>
      <w:bookmarkEnd w:id="4"/>
      <w:r w:rsidR="00AE0EA1" w:rsidRPr="00AE0EA1">
        <w:t>Specifically, for each respondent in NHTS, we fused 10 records from the Twitter dataset based on the same age, race and income. As we did not find 10 matches for all records, the final fused sample had 16,055 records matched with 2,246 NHTS users. Using this fused dataset of 2,246 users, the empirical analysis involved a series of model estimations</w:t>
      </w:r>
      <w:r w:rsidR="00AE0EA1">
        <w:t xml:space="preserve">. </w:t>
      </w:r>
      <w:r w:rsidRPr="00EF241B">
        <w:rPr>
          <w:u w:val="single"/>
        </w:rPr>
        <w:t>First</w:t>
      </w:r>
      <w:r>
        <w:t>, we develop a simple binary logit model employing the fused dataset while considering variables only from the Twitter dataset. Of course, we have to use a weight component to ensure all the 10 records</w:t>
      </w:r>
      <w:r w:rsidRPr="00203F19">
        <w:rPr>
          <w:rFonts w:cs="Times New Roman"/>
          <w:lang w:val="en-US"/>
        </w:rPr>
        <w:t xml:space="preserve"> </w:t>
      </w:r>
      <w:r>
        <w:rPr>
          <w:rFonts w:cs="Times New Roman"/>
          <w:lang w:val="en-US"/>
        </w:rPr>
        <w:t xml:space="preserve">represent only 1 record from the NHTS survey data. Here, we used a fixed equal weight (1/10) and thus named the model as </w:t>
      </w:r>
      <w:bookmarkStart w:id="5" w:name="_Hlk153980594"/>
      <w:r>
        <w:rPr>
          <w:rFonts w:cs="Times New Roman"/>
          <w:lang w:val="en-US"/>
        </w:rPr>
        <w:t xml:space="preserve">equal weight simple binary logit model </w:t>
      </w:r>
      <w:bookmarkEnd w:id="5"/>
      <w:r>
        <w:rPr>
          <w:rFonts w:cs="Times New Roman"/>
          <w:lang w:val="en-US"/>
        </w:rPr>
        <w:t xml:space="preserve">(EWSBL). This EWSBL model is used as a </w:t>
      </w:r>
      <w:r w:rsidR="00D35CBF">
        <w:rPr>
          <w:rFonts w:cs="Times New Roman"/>
          <w:lang w:val="en-US"/>
        </w:rPr>
        <w:t>baseline</w:t>
      </w:r>
      <w:r>
        <w:rPr>
          <w:rFonts w:cs="Times New Roman"/>
          <w:lang w:val="en-US"/>
        </w:rPr>
        <w:t xml:space="preserve"> to evaluate the performance of the other models. </w:t>
      </w:r>
      <w:r w:rsidRPr="00EF241B">
        <w:rPr>
          <w:u w:val="single"/>
        </w:rPr>
        <w:t>Second</w:t>
      </w:r>
      <w:r>
        <w:t>, we improv</w:t>
      </w:r>
      <w:r w:rsidR="00F5276E">
        <w:t>e</w:t>
      </w:r>
      <w:r>
        <w:t xml:space="preserve"> the EWSBL model by considering additional variables from NHTS </w:t>
      </w:r>
      <w:r w:rsidR="00B65CC8">
        <w:t xml:space="preserve">data </w:t>
      </w:r>
      <w:r>
        <w:t xml:space="preserve">while retaining the equal weight </w:t>
      </w:r>
      <w:r>
        <w:lastRenderedPageBreak/>
        <w:t xml:space="preserve">assumption and </w:t>
      </w:r>
      <w:r w:rsidR="0079090D">
        <w:t xml:space="preserve">labelling </w:t>
      </w:r>
      <w:r>
        <w:t xml:space="preserve">the second model as </w:t>
      </w:r>
      <w:bookmarkStart w:id="6" w:name="_Hlk153980614"/>
      <w:r>
        <w:rPr>
          <w:rFonts w:cs="Times New Roman"/>
          <w:lang w:val="en-US"/>
        </w:rPr>
        <w:t xml:space="preserve">equal weight fused binary logit model </w:t>
      </w:r>
      <w:bookmarkEnd w:id="6"/>
      <w:r>
        <w:rPr>
          <w:rFonts w:cs="Times New Roman"/>
          <w:lang w:val="en-US"/>
        </w:rPr>
        <w:t xml:space="preserve">(EWFBL). In the </w:t>
      </w:r>
      <w:r w:rsidRPr="008D6BE0">
        <w:rPr>
          <w:rFonts w:cs="Times New Roman"/>
          <w:u w:val="single"/>
          <w:lang w:val="en-US"/>
        </w:rPr>
        <w:t>final step</w:t>
      </w:r>
      <w:r>
        <w:rPr>
          <w:rFonts w:cs="Times New Roman"/>
          <w:lang w:val="en-US"/>
        </w:rPr>
        <w:t>, we relax this equal weight assumption and allow the weight to vary across the fused record based on the similarity (dissimilarity) between the common variables present in both datasets that are not used for fusion. For example, let’s assume out of the 10 fused records, 5 of the</w:t>
      </w:r>
      <w:r w:rsidR="00185498">
        <w:rPr>
          <w:rFonts w:cs="Times New Roman"/>
          <w:lang w:val="en-US"/>
        </w:rPr>
        <w:t xml:space="preserve"> records have </w:t>
      </w:r>
      <w:r>
        <w:rPr>
          <w:rFonts w:cs="Times New Roman"/>
          <w:lang w:val="en-US"/>
        </w:rPr>
        <w:t>same educational attainment</w:t>
      </w:r>
      <w:r w:rsidR="00185498">
        <w:rPr>
          <w:rFonts w:cs="Times New Roman"/>
          <w:lang w:val="en-US"/>
        </w:rPr>
        <w:t xml:space="preserve"> across the two datasets</w:t>
      </w:r>
      <w:r>
        <w:rPr>
          <w:rFonts w:cs="Times New Roman"/>
          <w:lang w:val="en-US"/>
        </w:rPr>
        <w:t xml:space="preserve">. The hypothesis behind our proposed latent weight approach is these 5 records should </w:t>
      </w:r>
      <w:r w:rsidR="00185498">
        <w:rPr>
          <w:rFonts w:cs="Times New Roman"/>
          <w:lang w:val="en-US"/>
        </w:rPr>
        <w:t xml:space="preserve">offer </w:t>
      </w:r>
      <w:r>
        <w:rPr>
          <w:rFonts w:cs="Times New Roman"/>
          <w:lang w:val="en-US"/>
        </w:rPr>
        <w:t xml:space="preserve">higher weights relative to the other 5 fused records in contributing to the evacuation decision model. Now, using this latent weight approach, we again estimate the binary logit framework and named it as </w:t>
      </w:r>
      <w:bookmarkStart w:id="7" w:name="_Hlk153980628"/>
      <w:r>
        <w:rPr>
          <w:rFonts w:cs="Times New Roman"/>
          <w:lang w:val="en-US"/>
        </w:rPr>
        <w:t xml:space="preserve">Latent weight fused binary logit model </w:t>
      </w:r>
      <w:bookmarkEnd w:id="7"/>
      <w:r>
        <w:rPr>
          <w:rFonts w:cs="Times New Roman"/>
          <w:lang w:val="en-US"/>
        </w:rPr>
        <w:t xml:space="preserve">(LWFBL). Please note that the different names are given to each model just for the sake of representation. </w:t>
      </w:r>
    </w:p>
    <w:p w14:paraId="3C08C4BE" w14:textId="48585905" w:rsidR="005711D2" w:rsidRPr="005276DD" w:rsidRDefault="005711D2" w:rsidP="005711D2">
      <w:pPr>
        <w:ind w:firstLine="720"/>
        <w:rPr>
          <w:rFonts w:cs="Times New Roman"/>
          <w:lang w:val="en-US"/>
        </w:rPr>
      </w:pPr>
      <w:r w:rsidRPr="005276DD">
        <w:t>For evaluating the performance of the models, we employ the Bayesian Information Criterion (BIC) as it is the most widely used approach for comparing non-nested models</w:t>
      </w:r>
      <w:r w:rsidR="00B35FBE">
        <w:rPr>
          <w:rStyle w:val="FootnoteReference"/>
        </w:rPr>
        <w:footnoteReference w:id="4"/>
      </w:r>
      <w:r w:rsidRPr="005276DD">
        <w:t xml:space="preserve">. The BIC (LL) values for the final specifications of the three models are: </w:t>
      </w:r>
      <w:r w:rsidRPr="005276DD">
        <w:rPr>
          <w:rFonts w:eastAsiaTheme="minorEastAsia"/>
        </w:rPr>
        <w:t>1) EW</w:t>
      </w:r>
      <w:r w:rsidR="0010038C">
        <w:rPr>
          <w:rFonts w:eastAsiaTheme="minorEastAsia"/>
        </w:rPr>
        <w:t>S</w:t>
      </w:r>
      <w:r w:rsidRPr="005276DD">
        <w:rPr>
          <w:rFonts w:eastAsiaTheme="minorEastAsia"/>
        </w:rPr>
        <w:t xml:space="preserve">BL model (with 4 parameters) – 5961.36 </w:t>
      </w:r>
      <w:r w:rsidR="00183ACF">
        <w:rPr>
          <w:rFonts w:eastAsiaTheme="minorEastAsia"/>
        </w:rPr>
        <w:t>(</w:t>
      </w:r>
      <w:r w:rsidRPr="005276DD">
        <w:rPr>
          <w:rFonts w:eastAsiaTheme="minorEastAsia"/>
        </w:rPr>
        <w:t xml:space="preserve">-2961.31); 2) EWFBL model (with 9 parameters) – 5,903.88 (-2908.36); and 3) LWFBL model (with 10 parameters) – 5242.82 (-2572.99). The comparison exercise highlights two important observation. </w:t>
      </w:r>
      <w:r w:rsidRPr="005276DD">
        <w:rPr>
          <w:rFonts w:eastAsiaTheme="minorEastAsia"/>
          <w:u w:val="single"/>
        </w:rPr>
        <w:t>First</w:t>
      </w:r>
      <w:r w:rsidRPr="005276DD">
        <w:rPr>
          <w:rFonts w:eastAsiaTheme="minorEastAsia"/>
        </w:rPr>
        <w:t xml:space="preserve">, models incorporating additional information from the NHTS dataset provides improved performance as indicated by the lower BIC value associated with the EWFBL model. The result is a clear indication of how new variables from the NHTS dataset helps in understanding the evacuation behaviour and trend. </w:t>
      </w:r>
      <w:r w:rsidRPr="005276DD">
        <w:rPr>
          <w:rFonts w:eastAsiaTheme="minorEastAsia"/>
          <w:u w:val="single"/>
        </w:rPr>
        <w:t>Second</w:t>
      </w:r>
      <w:r w:rsidRPr="005276DD">
        <w:rPr>
          <w:rFonts w:eastAsiaTheme="minorEastAsia"/>
        </w:rPr>
        <w:t>, the probabilistic weight framework (LWFBL) across the fused records clearly outperforms the equal weight framework (EWFBL) which provides evidence that fused record’s contribution can be optimized using the weight function based on the similarity/dissimilarity of the common attributes</w:t>
      </w:r>
      <w:r w:rsidRPr="005276DD">
        <w:rPr>
          <w:rFonts w:cs="Times New Roman"/>
          <w:lang w:val="en-US"/>
        </w:rPr>
        <w:t xml:space="preserve">. In summary, the model fit measures clearly demonstrates the improvement in data fit for the evacuation model through the proposed fusion algorithm and the weighted contribution estimation. </w:t>
      </w:r>
    </w:p>
    <w:p w14:paraId="3770928D" w14:textId="77777777" w:rsidR="005711D2" w:rsidRDefault="005711D2" w:rsidP="005711D2">
      <w:pPr>
        <w:ind w:firstLine="576"/>
        <w:rPr>
          <w:rFonts w:cs="Times New Roman"/>
          <w:lang w:val="en-US"/>
        </w:rPr>
      </w:pPr>
    </w:p>
    <w:p w14:paraId="74B309C7" w14:textId="2BB4E067" w:rsidR="005711D2" w:rsidRDefault="00B55CBA" w:rsidP="005711D2">
      <w:pPr>
        <w:pStyle w:val="Heading2"/>
      </w:pPr>
      <w:r>
        <w:t xml:space="preserve">5.2 </w:t>
      </w:r>
      <w:r w:rsidR="005711D2">
        <w:t>Estimation Results</w:t>
      </w:r>
    </w:p>
    <w:p w14:paraId="138B2057" w14:textId="57C6F42D" w:rsidR="005711D2" w:rsidRDefault="005711D2" w:rsidP="005711D2">
      <w:r>
        <w:t>The model fit measures clearly indicate the superior performance of the LWFBL model in analyzing the evacuation behavior</w:t>
      </w:r>
      <w:r w:rsidR="009C4415">
        <w:t>.</w:t>
      </w:r>
      <w:r w:rsidR="00C76032">
        <w:t xml:space="preserve"> I</w:t>
      </w:r>
      <w:r>
        <w:t xml:space="preserve">n this section, we discuss the effects of variables on the evacuation decision obtained from the LWFBL model only. In estimating the model, we tested for several variables and functional forms and retain those that provides the best result in terms of data fit and interpretation. In the final specification, we remove all the insignificant variables in a systematic process based on statistical significance (90% significance level). The estimation results are presented in Table </w:t>
      </w:r>
      <w:r w:rsidR="00C438A9">
        <w:t>1</w:t>
      </w:r>
      <w:r>
        <w:t xml:space="preserve">. A positive (negative) sign in the </w:t>
      </w:r>
      <w:r w:rsidR="00C438A9">
        <w:t>T</w:t>
      </w:r>
      <w:r>
        <w:t xml:space="preserve">able indicates a higher (lower) evacuation likelihood for the corresponding </w:t>
      </w:r>
      <w:r w:rsidR="00534C09">
        <w:t>individual</w:t>
      </w:r>
      <w:r>
        <w:t xml:space="preserve">. For </w:t>
      </w:r>
      <w:r w:rsidR="00C76032">
        <w:t xml:space="preserve">ease </w:t>
      </w:r>
      <w:r>
        <w:t xml:space="preserve">of presentation, we discuss the results by variable groups. </w:t>
      </w:r>
    </w:p>
    <w:p w14:paraId="5B64659F" w14:textId="77777777" w:rsidR="005711D2" w:rsidRDefault="005711D2" w:rsidP="005711D2"/>
    <w:p w14:paraId="359B718F" w14:textId="75C93543" w:rsidR="005711D2" w:rsidRPr="006958D0" w:rsidRDefault="005711D2" w:rsidP="005711D2">
      <w:r>
        <w:t xml:space="preserve">Table </w:t>
      </w:r>
      <w:r w:rsidR="00C438A9">
        <w:t>1</w:t>
      </w:r>
      <w:r>
        <w:t xml:space="preserve">: </w:t>
      </w:r>
      <w:r w:rsidRPr="00FA5853">
        <w:t xml:space="preserve">Latent Weight Fused Binary Logit </w:t>
      </w:r>
      <w:r>
        <w:t>(</w:t>
      </w:r>
      <w:r w:rsidRPr="005276DD">
        <w:rPr>
          <w:rFonts w:eastAsiaTheme="minorEastAsia"/>
        </w:rPr>
        <w:t>LWFBL</w:t>
      </w:r>
      <w:r>
        <w:t>) Model Estimation Results</w:t>
      </w: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1216"/>
        <w:gridCol w:w="967"/>
      </w:tblGrid>
      <w:tr w:rsidR="00483ED3" w:rsidRPr="00164F60" w14:paraId="4E2DF508" w14:textId="77777777" w:rsidTr="000C5C42">
        <w:trPr>
          <w:trHeight w:val="300"/>
        </w:trPr>
        <w:tc>
          <w:tcPr>
            <w:tcW w:w="7758" w:type="dxa"/>
            <w:gridSpan w:val="3"/>
            <w:shd w:val="clear" w:color="auto" w:fill="auto"/>
            <w:noWrap/>
            <w:vAlign w:val="bottom"/>
          </w:tcPr>
          <w:p w14:paraId="32E9CB6D" w14:textId="6ACEC7C4" w:rsidR="00483ED3" w:rsidRPr="00164F60" w:rsidRDefault="0010038C" w:rsidP="00483ED3">
            <w:pPr>
              <w:jc w:val="center"/>
              <w:rPr>
                <w:rFonts w:eastAsia="Times New Roman" w:cs="Times New Roman"/>
                <w:b/>
                <w:bCs/>
                <w:color w:val="000000"/>
                <w:szCs w:val="24"/>
              </w:rPr>
            </w:pPr>
            <w:r>
              <w:rPr>
                <w:rFonts w:eastAsia="Times New Roman" w:cs="Times New Roman"/>
                <w:b/>
                <w:bCs/>
                <w:color w:val="000000"/>
                <w:szCs w:val="24"/>
              </w:rPr>
              <w:t>Sample Size (2,246 NHTS user)</w:t>
            </w:r>
          </w:p>
        </w:tc>
      </w:tr>
      <w:tr w:rsidR="005711D2" w:rsidRPr="00164F60" w14:paraId="047158C9" w14:textId="77777777" w:rsidTr="00E71307">
        <w:trPr>
          <w:trHeight w:val="300"/>
        </w:trPr>
        <w:tc>
          <w:tcPr>
            <w:tcW w:w="5575" w:type="dxa"/>
            <w:shd w:val="clear" w:color="auto" w:fill="auto"/>
            <w:noWrap/>
            <w:vAlign w:val="bottom"/>
            <w:hideMark/>
          </w:tcPr>
          <w:p w14:paraId="27604AE6" w14:textId="77777777" w:rsidR="005711D2" w:rsidRPr="00164F60" w:rsidRDefault="005711D2" w:rsidP="00E71307">
            <w:pPr>
              <w:jc w:val="left"/>
              <w:rPr>
                <w:rFonts w:eastAsia="Times New Roman" w:cs="Times New Roman"/>
                <w:b/>
                <w:bCs/>
                <w:szCs w:val="24"/>
              </w:rPr>
            </w:pPr>
            <w:r w:rsidRPr="00164F60">
              <w:rPr>
                <w:rFonts w:eastAsia="Times New Roman" w:cs="Times New Roman"/>
                <w:b/>
                <w:bCs/>
                <w:szCs w:val="24"/>
              </w:rPr>
              <w:t>Variables</w:t>
            </w:r>
          </w:p>
        </w:tc>
        <w:tc>
          <w:tcPr>
            <w:tcW w:w="1216" w:type="dxa"/>
            <w:shd w:val="clear" w:color="auto" w:fill="auto"/>
            <w:noWrap/>
            <w:vAlign w:val="center"/>
            <w:hideMark/>
          </w:tcPr>
          <w:p w14:paraId="34262C20" w14:textId="77777777" w:rsidR="005711D2" w:rsidRPr="00164F60" w:rsidRDefault="005711D2" w:rsidP="00E71307">
            <w:pPr>
              <w:jc w:val="left"/>
              <w:rPr>
                <w:rFonts w:eastAsia="Times New Roman" w:cs="Times New Roman"/>
                <w:b/>
                <w:bCs/>
                <w:color w:val="000000"/>
                <w:szCs w:val="24"/>
              </w:rPr>
            </w:pPr>
            <w:r w:rsidRPr="00164F60">
              <w:rPr>
                <w:rFonts w:eastAsia="Times New Roman" w:cs="Times New Roman"/>
                <w:b/>
                <w:bCs/>
                <w:color w:val="000000"/>
                <w:szCs w:val="24"/>
              </w:rPr>
              <w:t>Estimates</w:t>
            </w:r>
          </w:p>
        </w:tc>
        <w:tc>
          <w:tcPr>
            <w:tcW w:w="967" w:type="dxa"/>
            <w:shd w:val="clear" w:color="auto" w:fill="auto"/>
            <w:noWrap/>
            <w:vAlign w:val="center"/>
            <w:hideMark/>
          </w:tcPr>
          <w:p w14:paraId="3777A7E9" w14:textId="77777777" w:rsidR="005711D2" w:rsidRPr="00164F60" w:rsidRDefault="005711D2" w:rsidP="00E71307">
            <w:pPr>
              <w:jc w:val="left"/>
              <w:rPr>
                <w:rFonts w:eastAsia="Times New Roman" w:cs="Times New Roman"/>
                <w:b/>
                <w:bCs/>
                <w:color w:val="000000"/>
                <w:szCs w:val="24"/>
              </w:rPr>
            </w:pPr>
            <w:r w:rsidRPr="00164F60">
              <w:rPr>
                <w:rFonts w:eastAsia="Times New Roman" w:cs="Times New Roman"/>
                <w:b/>
                <w:bCs/>
                <w:color w:val="000000"/>
                <w:szCs w:val="24"/>
              </w:rPr>
              <w:t>T-stat</w:t>
            </w:r>
          </w:p>
        </w:tc>
      </w:tr>
      <w:tr w:rsidR="005711D2" w:rsidRPr="00164F60" w14:paraId="59EC4E20" w14:textId="77777777" w:rsidTr="00E71307">
        <w:trPr>
          <w:trHeight w:val="300"/>
        </w:trPr>
        <w:tc>
          <w:tcPr>
            <w:tcW w:w="5575" w:type="dxa"/>
            <w:shd w:val="clear" w:color="auto" w:fill="auto"/>
            <w:noWrap/>
            <w:vAlign w:val="bottom"/>
            <w:hideMark/>
          </w:tcPr>
          <w:p w14:paraId="0B67C0E8" w14:textId="77777777" w:rsidR="005711D2" w:rsidRPr="00164F60" w:rsidRDefault="005711D2" w:rsidP="00E71307">
            <w:pPr>
              <w:ind w:left="335"/>
              <w:jc w:val="left"/>
              <w:rPr>
                <w:rFonts w:eastAsia="Times New Roman" w:cs="Times New Roman"/>
                <w:color w:val="000000"/>
                <w:szCs w:val="24"/>
              </w:rPr>
            </w:pPr>
            <w:r w:rsidRPr="00164F60">
              <w:rPr>
                <w:rFonts w:eastAsia="Times New Roman" w:cs="Times New Roman"/>
                <w:color w:val="000000"/>
                <w:szCs w:val="24"/>
              </w:rPr>
              <w:t>Constant</w:t>
            </w:r>
          </w:p>
        </w:tc>
        <w:tc>
          <w:tcPr>
            <w:tcW w:w="1216" w:type="dxa"/>
            <w:shd w:val="clear" w:color="auto" w:fill="auto"/>
            <w:noWrap/>
            <w:vAlign w:val="center"/>
            <w:hideMark/>
          </w:tcPr>
          <w:p w14:paraId="26604C5D"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-13.378</w:t>
            </w:r>
          </w:p>
        </w:tc>
        <w:tc>
          <w:tcPr>
            <w:tcW w:w="967" w:type="dxa"/>
            <w:shd w:val="clear" w:color="auto" w:fill="auto"/>
            <w:noWrap/>
            <w:vAlign w:val="center"/>
            <w:hideMark/>
          </w:tcPr>
          <w:p w14:paraId="575E5B95"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-7.716</w:t>
            </w:r>
          </w:p>
        </w:tc>
      </w:tr>
      <w:tr w:rsidR="005711D2" w:rsidRPr="00164F60" w14:paraId="53583C8E" w14:textId="77777777" w:rsidTr="00E71307">
        <w:trPr>
          <w:trHeight w:val="300"/>
        </w:trPr>
        <w:tc>
          <w:tcPr>
            <w:tcW w:w="7758" w:type="dxa"/>
            <w:gridSpan w:val="3"/>
            <w:shd w:val="clear" w:color="auto" w:fill="auto"/>
            <w:noWrap/>
            <w:vAlign w:val="bottom"/>
            <w:hideMark/>
          </w:tcPr>
          <w:p w14:paraId="597E0A26" w14:textId="77777777" w:rsidR="005711D2" w:rsidRPr="00164F60" w:rsidRDefault="005711D2" w:rsidP="00E71307">
            <w:pPr>
              <w:jc w:val="left"/>
              <w:rPr>
                <w:rFonts w:eastAsia="Times New Roman" w:cs="Times New Roman"/>
                <w:szCs w:val="24"/>
              </w:rPr>
            </w:pPr>
            <w:r>
              <w:rPr>
                <w:rFonts w:eastAsia="Times New Roman" w:cs="Times New Roman"/>
                <w:b/>
                <w:bCs/>
                <w:color w:val="000000"/>
                <w:szCs w:val="24"/>
              </w:rPr>
              <w:t xml:space="preserve">Variables from </w:t>
            </w:r>
            <w:r w:rsidRPr="00164F60">
              <w:rPr>
                <w:rFonts w:eastAsia="Times New Roman" w:cs="Times New Roman"/>
                <w:b/>
                <w:bCs/>
                <w:color w:val="000000"/>
                <w:szCs w:val="24"/>
              </w:rPr>
              <w:t>Twitter</w:t>
            </w:r>
          </w:p>
        </w:tc>
      </w:tr>
      <w:tr w:rsidR="005711D2" w:rsidRPr="00164F60" w14:paraId="4BD65FD6" w14:textId="77777777" w:rsidTr="00E71307">
        <w:trPr>
          <w:trHeight w:val="300"/>
        </w:trPr>
        <w:tc>
          <w:tcPr>
            <w:tcW w:w="5575" w:type="dxa"/>
            <w:shd w:val="clear" w:color="auto" w:fill="auto"/>
            <w:noWrap/>
            <w:vAlign w:val="bottom"/>
            <w:hideMark/>
          </w:tcPr>
          <w:p w14:paraId="7B17EAE0" w14:textId="77777777" w:rsidR="005711D2" w:rsidRPr="00164F60" w:rsidRDefault="005711D2" w:rsidP="00E71307">
            <w:pPr>
              <w:ind w:left="335"/>
              <w:jc w:val="left"/>
              <w:rPr>
                <w:rFonts w:eastAsia="Times New Roman" w:cs="Times New Roman"/>
                <w:color w:val="000000"/>
                <w:szCs w:val="24"/>
              </w:rPr>
            </w:pPr>
            <w:r w:rsidRPr="00164F60">
              <w:rPr>
                <w:rFonts w:eastAsia="Times New Roman" w:cs="Times New Roman"/>
                <w:color w:val="000000"/>
                <w:szCs w:val="24"/>
              </w:rPr>
              <w:t>Age between 25-34 years</w:t>
            </w:r>
            <w:r>
              <w:rPr>
                <w:rFonts w:eastAsia="Times New Roman" w:cs="Times New Roman"/>
                <w:color w:val="000000"/>
                <w:szCs w:val="24"/>
              </w:rPr>
              <w:t xml:space="preserve"> (base: others)</w:t>
            </w:r>
          </w:p>
        </w:tc>
        <w:tc>
          <w:tcPr>
            <w:tcW w:w="1216" w:type="dxa"/>
            <w:shd w:val="clear" w:color="auto" w:fill="auto"/>
            <w:noWrap/>
            <w:vAlign w:val="center"/>
            <w:hideMark/>
          </w:tcPr>
          <w:p w14:paraId="5F9A84AA"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5.599</w:t>
            </w:r>
          </w:p>
        </w:tc>
        <w:tc>
          <w:tcPr>
            <w:tcW w:w="967" w:type="dxa"/>
            <w:shd w:val="clear" w:color="auto" w:fill="auto"/>
            <w:noWrap/>
            <w:vAlign w:val="center"/>
            <w:hideMark/>
          </w:tcPr>
          <w:p w14:paraId="45E0602C"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5.138</w:t>
            </w:r>
          </w:p>
        </w:tc>
      </w:tr>
      <w:tr w:rsidR="005711D2" w:rsidRPr="00164F60" w14:paraId="089652F7" w14:textId="77777777" w:rsidTr="00E71307">
        <w:trPr>
          <w:trHeight w:val="300"/>
        </w:trPr>
        <w:tc>
          <w:tcPr>
            <w:tcW w:w="5575" w:type="dxa"/>
            <w:shd w:val="clear" w:color="auto" w:fill="auto"/>
            <w:noWrap/>
            <w:vAlign w:val="bottom"/>
            <w:hideMark/>
          </w:tcPr>
          <w:p w14:paraId="7A276523" w14:textId="77777777" w:rsidR="005711D2" w:rsidRPr="00164F60" w:rsidRDefault="005711D2" w:rsidP="00E71307">
            <w:pPr>
              <w:ind w:left="335"/>
              <w:jc w:val="left"/>
              <w:rPr>
                <w:rFonts w:eastAsia="Times New Roman" w:cs="Times New Roman"/>
                <w:color w:val="000000"/>
                <w:szCs w:val="24"/>
              </w:rPr>
            </w:pPr>
            <w:r w:rsidRPr="00164F60">
              <w:rPr>
                <w:rFonts w:eastAsia="Times New Roman" w:cs="Times New Roman"/>
                <w:color w:val="000000"/>
                <w:szCs w:val="24"/>
              </w:rPr>
              <w:t>Race: Hispanic</w:t>
            </w:r>
            <w:r>
              <w:rPr>
                <w:rFonts w:eastAsia="Times New Roman" w:cs="Times New Roman"/>
                <w:color w:val="000000"/>
                <w:szCs w:val="24"/>
              </w:rPr>
              <w:t xml:space="preserve"> (base: others)</w:t>
            </w:r>
          </w:p>
        </w:tc>
        <w:tc>
          <w:tcPr>
            <w:tcW w:w="1216" w:type="dxa"/>
            <w:shd w:val="clear" w:color="auto" w:fill="auto"/>
            <w:noWrap/>
            <w:vAlign w:val="center"/>
            <w:hideMark/>
          </w:tcPr>
          <w:p w14:paraId="545FEC18"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3.810</w:t>
            </w:r>
          </w:p>
        </w:tc>
        <w:tc>
          <w:tcPr>
            <w:tcW w:w="967" w:type="dxa"/>
            <w:shd w:val="clear" w:color="auto" w:fill="auto"/>
            <w:noWrap/>
            <w:vAlign w:val="center"/>
            <w:hideMark/>
          </w:tcPr>
          <w:p w14:paraId="7EF142A3"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4.121</w:t>
            </w:r>
          </w:p>
        </w:tc>
      </w:tr>
      <w:tr w:rsidR="005711D2" w:rsidRPr="00164F60" w14:paraId="127A9C59" w14:textId="77777777" w:rsidTr="00E71307">
        <w:trPr>
          <w:trHeight w:val="300"/>
        </w:trPr>
        <w:tc>
          <w:tcPr>
            <w:tcW w:w="5575" w:type="dxa"/>
            <w:shd w:val="clear" w:color="auto" w:fill="auto"/>
            <w:noWrap/>
            <w:vAlign w:val="bottom"/>
            <w:hideMark/>
          </w:tcPr>
          <w:p w14:paraId="09F98901" w14:textId="77777777" w:rsidR="005711D2" w:rsidRDefault="005711D2" w:rsidP="00E71307">
            <w:pPr>
              <w:ind w:left="335"/>
              <w:jc w:val="left"/>
              <w:rPr>
                <w:rFonts w:eastAsia="Times New Roman" w:cs="Times New Roman"/>
                <w:color w:val="000000"/>
                <w:szCs w:val="24"/>
              </w:rPr>
            </w:pPr>
            <w:r w:rsidRPr="00164F60">
              <w:rPr>
                <w:rFonts w:eastAsia="Times New Roman" w:cs="Times New Roman"/>
                <w:color w:val="000000"/>
                <w:szCs w:val="24"/>
              </w:rPr>
              <w:t xml:space="preserve">Education: </w:t>
            </w:r>
            <w:r>
              <w:rPr>
                <w:rFonts w:eastAsia="Times New Roman" w:cs="Times New Roman"/>
                <w:color w:val="000000"/>
                <w:szCs w:val="24"/>
              </w:rPr>
              <w:t>no</w:t>
            </w:r>
            <w:r w:rsidRPr="00164F60">
              <w:rPr>
                <w:rFonts w:eastAsia="Times New Roman" w:cs="Times New Roman"/>
                <w:color w:val="000000"/>
                <w:szCs w:val="24"/>
              </w:rPr>
              <w:t xml:space="preserve"> college degree</w:t>
            </w:r>
          </w:p>
          <w:p w14:paraId="4509927A" w14:textId="77777777" w:rsidR="005711D2" w:rsidRPr="00164F60" w:rsidRDefault="005711D2" w:rsidP="00E71307">
            <w:pPr>
              <w:ind w:left="335"/>
              <w:jc w:val="left"/>
              <w:rPr>
                <w:rFonts w:eastAsia="Times New Roman" w:cs="Times New Roman"/>
                <w:color w:val="000000"/>
                <w:szCs w:val="24"/>
              </w:rPr>
            </w:pPr>
            <w:r>
              <w:rPr>
                <w:rFonts w:eastAsia="Times New Roman" w:cs="Times New Roman"/>
                <w:color w:val="000000"/>
                <w:szCs w:val="24"/>
              </w:rPr>
              <w:t>(base: college degree/ grad school)</w:t>
            </w:r>
          </w:p>
        </w:tc>
        <w:tc>
          <w:tcPr>
            <w:tcW w:w="1216" w:type="dxa"/>
            <w:shd w:val="clear" w:color="auto" w:fill="auto"/>
            <w:noWrap/>
            <w:vAlign w:val="center"/>
            <w:hideMark/>
          </w:tcPr>
          <w:p w14:paraId="1B45251E"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2.613</w:t>
            </w:r>
          </w:p>
        </w:tc>
        <w:tc>
          <w:tcPr>
            <w:tcW w:w="967" w:type="dxa"/>
            <w:shd w:val="clear" w:color="auto" w:fill="auto"/>
            <w:noWrap/>
            <w:vAlign w:val="center"/>
            <w:hideMark/>
          </w:tcPr>
          <w:p w14:paraId="46ADBEB9"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3.108</w:t>
            </w:r>
          </w:p>
        </w:tc>
      </w:tr>
      <w:tr w:rsidR="005711D2" w:rsidRPr="00164F60" w14:paraId="3B22C67C" w14:textId="77777777" w:rsidTr="00E71307">
        <w:trPr>
          <w:trHeight w:val="300"/>
        </w:trPr>
        <w:tc>
          <w:tcPr>
            <w:tcW w:w="7758" w:type="dxa"/>
            <w:gridSpan w:val="3"/>
            <w:shd w:val="clear" w:color="auto" w:fill="auto"/>
            <w:noWrap/>
            <w:vAlign w:val="bottom"/>
            <w:hideMark/>
          </w:tcPr>
          <w:p w14:paraId="04CCAD58" w14:textId="77777777" w:rsidR="005711D2" w:rsidRPr="00164F60" w:rsidRDefault="005711D2" w:rsidP="00E71307">
            <w:pPr>
              <w:jc w:val="left"/>
              <w:rPr>
                <w:rFonts w:eastAsia="Times New Roman" w:cs="Times New Roman"/>
                <w:szCs w:val="24"/>
              </w:rPr>
            </w:pPr>
            <w:r>
              <w:rPr>
                <w:rFonts w:eastAsia="Times New Roman" w:cs="Times New Roman"/>
                <w:b/>
                <w:bCs/>
                <w:color w:val="000000"/>
                <w:szCs w:val="24"/>
              </w:rPr>
              <w:lastRenderedPageBreak/>
              <w:t xml:space="preserve">Variables from </w:t>
            </w:r>
            <w:r w:rsidRPr="00164F60">
              <w:rPr>
                <w:rFonts w:eastAsia="Times New Roman" w:cs="Times New Roman"/>
                <w:b/>
                <w:bCs/>
                <w:color w:val="000000"/>
                <w:szCs w:val="24"/>
              </w:rPr>
              <w:t>NHTS</w:t>
            </w:r>
          </w:p>
        </w:tc>
      </w:tr>
      <w:tr w:rsidR="005711D2" w:rsidRPr="00164F60" w14:paraId="50F2C15D" w14:textId="77777777" w:rsidTr="00E71307">
        <w:trPr>
          <w:trHeight w:val="300"/>
        </w:trPr>
        <w:tc>
          <w:tcPr>
            <w:tcW w:w="5575" w:type="dxa"/>
            <w:shd w:val="clear" w:color="auto" w:fill="auto"/>
            <w:noWrap/>
            <w:vAlign w:val="bottom"/>
          </w:tcPr>
          <w:p w14:paraId="402561C2" w14:textId="77777777" w:rsidR="005711D2" w:rsidRPr="00164F60" w:rsidRDefault="005711D2" w:rsidP="00E71307">
            <w:pPr>
              <w:ind w:left="335"/>
              <w:jc w:val="left"/>
              <w:rPr>
                <w:rFonts w:eastAsia="Times New Roman" w:cs="Times New Roman"/>
                <w:color w:val="000000"/>
                <w:szCs w:val="24"/>
              </w:rPr>
            </w:pPr>
            <w:r w:rsidRPr="00164F60">
              <w:rPr>
                <w:rFonts w:eastAsia="Times New Roman" w:cs="Times New Roman"/>
                <w:color w:val="000000"/>
                <w:szCs w:val="24"/>
              </w:rPr>
              <w:t>HH size</w:t>
            </w:r>
          </w:p>
        </w:tc>
        <w:tc>
          <w:tcPr>
            <w:tcW w:w="1216" w:type="dxa"/>
            <w:shd w:val="clear" w:color="auto" w:fill="auto"/>
            <w:noWrap/>
            <w:vAlign w:val="center"/>
          </w:tcPr>
          <w:p w14:paraId="752419BA"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-2.554</w:t>
            </w:r>
          </w:p>
        </w:tc>
        <w:tc>
          <w:tcPr>
            <w:tcW w:w="967" w:type="dxa"/>
            <w:shd w:val="clear" w:color="auto" w:fill="auto"/>
            <w:noWrap/>
            <w:vAlign w:val="center"/>
          </w:tcPr>
          <w:p w14:paraId="04FBF500"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-4.374</w:t>
            </w:r>
          </w:p>
        </w:tc>
      </w:tr>
      <w:tr w:rsidR="005711D2" w:rsidRPr="00164F60" w14:paraId="0D676FC5" w14:textId="77777777" w:rsidTr="00E71307">
        <w:trPr>
          <w:trHeight w:val="300"/>
        </w:trPr>
        <w:tc>
          <w:tcPr>
            <w:tcW w:w="5575" w:type="dxa"/>
            <w:shd w:val="clear" w:color="auto" w:fill="auto"/>
            <w:noWrap/>
            <w:vAlign w:val="bottom"/>
          </w:tcPr>
          <w:p w14:paraId="0BF0E7C0" w14:textId="77777777" w:rsidR="005711D2" w:rsidRPr="00164F60" w:rsidRDefault="005711D2" w:rsidP="00E71307">
            <w:pPr>
              <w:ind w:left="335"/>
              <w:jc w:val="left"/>
              <w:rPr>
                <w:rFonts w:eastAsia="Times New Roman" w:cs="Times New Roman"/>
                <w:color w:val="000000"/>
                <w:szCs w:val="24"/>
              </w:rPr>
            </w:pPr>
            <w:r w:rsidRPr="00164F60">
              <w:rPr>
                <w:rFonts w:eastAsia="Times New Roman" w:cs="Times New Roman"/>
                <w:color w:val="000000"/>
                <w:szCs w:val="24"/>
              </w:rPr>
              <w:t>No. workers in HH</w:t>
            </w:r>
          </w:p>
        </w:tc>
        <w:tc>
          <w:tcPr>
            <w:tcW w:w="1216" w:type="dxa"/>
            <w:shd w:val="clear" w:color="auto" w:fill="auto"/>
            <w:noWrap/>
            <w:vAlign w:val="center"/>
          </w:tcPr>
          <w:p w14:paraId="33F777DC" w14:textId="77777777" w:rsidR="005711D2" w:rsidRPr="00164F60" w:rsidRDefault="005711D2" w:rsidP="00E71307">
            <w:pPr>
              <w:jc w:val="left"/>
              <w:rPr>
                <w:rFonts w:cs="Times New Roman"/>
                <w:color w:val="000000"/>
                <w:szCs w:val="24"/>
              </w:rPr>
            </w:pPr>
            <w:r w:rsidRPr="00164F60">
              <w:rPr>
                <w:rFonts w:cs="Times New Roman"/>
                <w:color w:val="000000"/>
                <w:szCs w:val="24"/>
              </w:rPr>
              <w:t>-0.957</w:t>
            </w:r>
          </w:p>
        </w:tc>
        <w:tc>
          <w:tcPr>
            <w:tcW w:w="967" w:type="dxa"/>
            <w:shd w:val="clear" w:color="auto" w:fill="auto"/>
            <w:noWrap/>
            <w:vAlign w:val="center"/>
          </w:tcPr>
          <w:p w14:paraId="37BDF4DC" w14:textId="77777777" w:rsidR="005711D2" w:rsidRPr="00164F60" w:rsidRDefault="005711D2" w:rsidP="00E71307">
            <w:pPr>
              <w:jc w:val="left"/>
              <w:rPr>
                <w:rFonts w:cs="Times New Roman"/>
                <w:color w:val="000000"/>
                <w:szCs w:val="24"/>
              </w:rPr>
            </w:pPr>
            <w:r w:rsidRPr="00164F60">
              <w:rPr>
                <w:rFonts w:cs="Times New Roman"/>
                <w:color w:val="000000"/>
                <w:szCs w:val="24"/>
              </w:rPr>
              <w:t>-2.312</w:t>
            </w:r>
          </w:p>
        </w:tc>
      </w:tr>
      <w:tr w:rsidR="005711D2" w:rsidRPr="00164F60" w14:paraId="01C99A62" w14:textId="77777777" w:rsidTr="00E71307">
        <w:trPr>
          <w:trHeight w:val="300"/>
        </w:trPr>
        <w:tc>
          <w:tcPr>
            <w:tcW w:w="5575" w:type="dxa"/>
            <w:shd w:val="clear" w:color="auto" w:fill="auto"/>
            <w:noWrap/>
            <w:vAlign w:val="bottom"/>
          </w:tcPr>
          <w:p w14:paraId="543795DB" w14:textId="77777777" w:rsidR="005711D2" w:rsidRPr="00164F60" w:rsidRDefault="005711D2" w:rsidP="00E71307">
            <w:pPr>
              <w:ind w:left="335"/>
              <w:jc w:val="left"/>
              <w:rPr>
                <w:rFonts w:eastAsia="Times New Roman" w:cs="Times New Roman"/>
                <w:color w:val="000000"/>
                <w:szCs w:val="24"/>
              </w:rPr>
            </w:pPr>
            <w:r w:rsidRPr="00164F60">
              <w:rPr>
                <w:rFonts w:eastAsia="Times New Roman" w:cs="Times New Roman"/>
                <w:color w:val="000000"/>
                <w:szCs w:val="24"/>
              </w:rPr>
              <w:t>No. vehicles in HH</w:t>
            </w:r>
          </w:p>
        </w:tc>
        <w:tc>
          <w:tcPr>
            <w:tcW w:w="1216" w:type="dxa"/>
            <w:shd w:val="clear" w:color="auto" w:fill="auto"/>
            <w:noWrap/>
            <w:vAlign w:val="center"/>
          </w:tcPr>
          <w:p w14:paraId="737CE2B9"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2.298</w:t>
            </w:r>
          </w:p>
        </w:tc>
        <w:tc>
          <w:tcPr>
            <w:tcW w:w="967" w:type="dxa"/>
            <w:shd w:val="clear" w:color="auto" w:fill="auto"/>
            <w:noWrap/>
            <w:vAlign w:val="center"/>
          </w:tcPr>
          <w:p w14:paraId="1912D031"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5.324</w:t>
            </w:r>
          </w:p>
        </w:tc>
      </w:tr>
      <w:tr w:rsidR="005711D2" w:rsidRPr="00164F60" w14:paraId="1BAE0489" w14:textId="77777777" w:rsidTr="00E71307">
        <w:trPr>
          <w:trHeight w:val="300"/>
        </w:trPr>
        <w:tc>
          <w:tcPr>
            <w:tcW w:w="5575" w:type="dxa"/>
            <w:shd w:val="clear" w:color="auto" w:fill="auto"/>
            <w:noWrap/>
            <w:vAlign w:val="bottom"/>
          </w:tcPr>
          <w:p w14:paraId="2E344605" w14:textId="77777777" w:rsidR="005711D2" w:rsidRPr="00164F60" w:rsidRDefault="005711D2" w:rsidP="00E71307">
            <w:pPr>
              <w:ind w:left="335"/>
              <w:jc w:val="left"/>
              <w:rPr>
                <w:rFonts w:eastAsia="Times New Roman" w:cs="Times New Roman"/>
                <w:color w:val="000000"/>
                <w:szCs w:val="24"/>
              </w:rPr>
            </w:pPr>
            <w:r w:rsidRPr="00164F60">
              <w:rPr>
                <w:rFonts w:eastAsia="Times New Roman" w:cs="Times New Roman"/>
                <w:color w:val="000000"/>
                <w:szCs w:val="24"/>
              </w:rPr>
              <w:t>Home owned</w:t>
            </w:r>
            <w:r>
              <w:rPr>
                <w:rFonts w:eastAsia="Times New Roman" w:cs="Times New Roman"/>
                <w:color w:val="000000"/>
                <w:szCs w:val="24"/>
              </w:rPr>
              <w:t xml:space="preserve"> (base: home rent)</w:t>
            </w:r>
          </w:p>
        </w:tc>
        <w:tc>
          <w:tcPr>
            <w:tcW w:w="1216" w:type="dxa"/>
            <w:shd w:val="clear" w:color="auto" w:fill="auto"/>
            <w:noWrap/>
            <w:vAlign w:val="center"/>
          </w:tcPr>
          <w:p w14:paraId="266EEBF0" w14:textId="77777777" w:rsidR="005711D2" w:rsidRPr="00164F60" w:rsidRDefault="005711D2" w:rsidP="00E71307">
            <w:pPr>
              <w:jc w:val="left"/>
              <w:rPr>
                <w:rFonts w:cs="Times New Roman"/>
                <w:color w:val="000000"/>
                <w:szCs w:val="24"/>
              </w:rPr>
            </w:pPr>
            <w:r w:rsidRPr="00164F60">
              <w:rPr>
                <w:rFonts w:cs="Times New Roman"/>
                <w:color w:val="000000"/>
                <w:szCs w:val="24"/>
              </w:rPr>
              <w:t>-1.143</w:t>
            </w:r>
          </w:p>
        </w:tc>
        <w:tc>
          <w:tcPr>
            <w:tcW w:w="967" w:type="dxa"/>
            <w:shd w:val="clear" w:color="auto" w:fill="auto"/>
            <w:noWrap/>
            <w:vAlign w:val="center"/>
          </w:tcPr>
          <w:p w14:paraId="085E108F" w14:textId="77777777" w:rsidR="005711D2" w:rsidRPr="00164F60" w:rsidRDefault="005711D2" w:rsidP="00E71307">
            <w:pPr>
              <w:jc w:val="left"/>
              <w:rPr>
                <w:rFonts w:cs="Times New Roman"/>
                <w:color w:val="000000"/>
                <w:szCs w:val="24"/>
              </w:rPr>
            </w:pPr>
            <w:r w:rsidRPr="00164F60">
              <w:rPr>
                <w:rFonts w:cs="Times New Roman"/>
                <w:color w:val="000000"/>
                <w:szCs w:val="24"/>
              </w:rPr>
              <w:t>-1.798</w:t>
            </w:r>
          </w:p>
        </w:tc>
      </w:tr>
      <w:tr w:rsidR="005711D2" w:rsidRPr="00164F60" w14:paraId="6BCFCAC7" w14:textId="77777777" w:rsidTr="00E71307">
        <w:trPr>
          <w:trHeight w:val="300"/>
        </w:trPr>
        <w:tc>
          <w:tcPr>
            <w:tcW w:w="5575" w:type="dxa"/>
            <w:shd w:val="clear" w:color="auto" w:fill="auto"/>
            <w:noWrap/>
            <w:vAlign w:val="bottom"/>
            <w:hideMark/>
          </w:tcPr>
          <w:p w14:paraId="7DF0B34A" w14:textId="77777777" w:rsidR="005711D2" w:rsidRPr="00164F60" w:rsidRDefault="005711D2" w:rsidP="00E71307">
            <w:pPr>
              <w:ind w:left="335"/>
              <w:jc w:val="left"/>
              <w:rPr>
                <w:rFonts w:eastAsia="Times New Roman" w:cs="Times New Roman"/>
                <w:color w:val="000000"/>
                <w:szCs w:val="24"/>
              </w:rPr>
            </w:pPr>
            <w:r>
              <w:rPr>
                <w:rFonts w:eastAsia="Times New Roman" w:cs="Times New Roman"/>
                <w:color w:val="000000"/>
                <w:szCs w:val="24"/>
              </w:rPr>
              <w:t>Residing in south-west region (base: other location)</w:t>
            </w:r>
          </w:p>
        </w:tc>
        <w:tc>
          <w:tcPr>
            <w:tcW w:w="1216" w:type="dxa"/>
            <w:shd w:val="clear" w:color="auto" w:fill="auto"/>
            <w:noWrap/>
            <w:vAlign w:val="center"/>
            <w:hideMark/>
          </w:tcPr>
          <w:p w14:paraId="161B0E94"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3.062</w:t>
            </w:r>
          </w:p>
        </w:tc>
        <w:tc>
          <w:tcPr>
            <w:tcW w:w="967" w:type="dxa"/>
            <w:shd w:val="clear" w:color="auto" w:fill="auto"/>
            <w:noWrap/>
            <w:vAlign w:val="center"/>
            <w:hideMark/>
          </w:tcPr>
          <w:p w14:paraId="270AFE70"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3.413</w:t>
            </w:r>
          </w:p>
        </w:tc>
      </w:tr>
      <w:tr w:rsidR="005711D2" w:rsidRPr="00164F60" w14:paraId="6ED7E24F" w14:textId="77777777" w:rsidTr="00E71307">
        <w:trPr>
          <w:trHeight w:val="300"/>
        </w:trPr>
        <w:tc>
          <w:tcPr>
            <w:tcW w:w="5575" w:type="dxa"/>
            <w:shd w:val="clear" w:color="auto" w:fill="auto"/>
            <w:noWrap/>
            <w:vAlign w:val="bottom"/>
          </w:tcPr>
          <w:p w14:paraId="1DA3280F" w14:textId="77777777" w:rsidR="005711D2" w:rsidRPr="00164F60" w:rsidRDefault="005711D2" w:rsidP="00E71307">
            <w:pPr>
              <w:jc w:val="left"/>
              <w:rPr>
                <w:rFonts w:eastAsia="Times New Roman" w:cs="Times New Roman"/>
                <w:color w:val="000000"/>
                <w:szCs w:val="24"/>
              </w:rPr>
            </w:pPr>
            <w:r w:rsidRPr="00164F60">
              <w:rPr>
                <w:rFonts w:eastAsia="Times New Roman" w:cs="Times New Roman"/>
                <w:b/>
                <w:bCs/>
                <w:szCs w:val="24"/>
              </w:rPr>
              <w:t>Weight Component</w:t>
            </w:r>
          </w:p>
        </w:tc>
        <w:tc>
          <w:tcPr>
            <w:tcW w:w="1216" w:type="dxa"/>
            <w:shd w:val="clear" w:color="auto" w:fill="auto"/>
            <w:noWrap/>
            <w:vAlign w:val="center"/>
          </w:tcPr>
          <w:p w14:paraId="1744935B" w14:textId="77777777" w:rsidR="005711D2" w:rsidRPr="00164F60" w:rsidRDefault="005711D2" w:rsidP="00E71307">
            <w:pPr>
              <w:jc w:val="center"/>
              <w:rPr>
                <w:rFonts w:cs="Times New Roman"/>
                <w:color w:val="000000"/>
                <w:szCs w:val="24"/>
              </w:rPr>
            </w:pPr>
          </w:p>
        </w:tc>
        <w:tc>
          <w:tcPr>
            <w:tcW w:w="967" w:type="dxa"/>
            <w:shd w:val="clear" w:color="auto" w:fill="auto"/>
            <w:noWrap/>
            <w:vAlign w:val="center"/>
          </w:tcPr>
          <w:p w14:paraId="3CD5BD9C" w14:textId="77777777" w:rsidR="005711D2" w:rsidRPr="00164F60" w:rsidRDefault="005711D2" w:rsidP="00E71307">
            <w:pPr>
              <w:jc w:val="center"/>
              <w:rPr>
                <w:rFonts w:cs="Times New Roman"/>
                <w:color w:val="000000"/>
                <w:szCs w:val="24"/>
              </w:rPr>
            </w:pPr>
          </w:p>
        </w:tc>
      </w:tr>
      <w:tr w:rsidR="005711D2" w:rsidRPr="00164F60" w14:paraId="6780FF65" w14:textId="77777777" w:rsidTr="00E71307">
        <w:trPr>
          <w:trHeight w:val="300"/>
        </w:trPr>
        <w:tc>
          <w:tcPr>
            <w:tcW w:w="5575" w:type="dxa"/>
            <w:shd w:val="clear" w:color="auto" w:fill="auto"/>
            <w:noWrap/>
            <w:vAlign w:val="bottom"/>
            <w:hideMark/>
          </w:tcPr>
          <w:p w14:paraId="6B11EC54" w14:textId="13C6AC7B" w:rsidR="005711D2" w:rsidRPr="00164F60" w:rsidRDefault="00096940" w:rsidP="00E71307">
            <w:pPr>
              <w:ind w:left="335"/>
              <w:jc w:val="left"/>
              <w:rPr>
                <w:rFonts w:eastAsia="Times New Roman" w:cs="Times New Roman"/>
                <w:color w:val="000000"/>
                <w:szCs w:val="24"/>
              </w:rPr>
            </w:pPr>
            <w:r>
              <w:rPr>
                <w:rFonts w:eastAsia="Times New Roman" w:cs="Times New Roman"/>
                <w:color w:val="000000"/>
                <w:szCs w:val="24"/>
              </w:rPr>
              <w:t>Presence</w:t>
            </w:r>
            <w:r w:rsidRPr="00164F60">
              <w:rPr>
                <w:rFonts w:eastAsia="Times New Roman" w:cs="Times New Roman"/>
                <w:color w:val="000000"/>
                <w:szCs w:val="24"/>
              </w:rPr>
              <w:t xml:space="preserve"> </w:t>
            </w:r>
            <w:r w:rsidR="005711D2" w:rsidRPr="00164F60">
              <w:rPr>
                <w:rFonts w:eastAsia="Times New Roman" w:cs="Times New Roman"/>
                <w:color w:val="000000"/>
                <w:szCs w:val="24"/>
              </w:rPr>
              <w:t>of Child matched in both data</w:t>
            </w:r>
          </w:p>
        </w:tc>
        <w:tc>
          <w:tcPr>
            <w:tcW w:w="1216" w:type="dxa"/>
            <w:shd w:val="clear" w:color="auto" w:fill="auto"/>
            <w:noWrap/>
            <w:vAlign w:val="center"/>
            <w:hideMark/>
          </w:tcPr>
          <w:p w14:paraId="29A447A1"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2.249</w:t>
            </w:r>
          </w:p>
        </w:tc>
        <w:tc>
          <w:tcPr>
            <w:tcW w:w="967" w:type="dxa"/>
            <w:shd w:val="clear" w:color="auto" w:fill="auto"/>
            <w:noWrap/>
            <w:vAlign w:val="center"/>
            <w:hideMark/>
          </w:tcPr>
          <w:p w14:paraId="1E5CC1BC" w14:textId="77777777" w:rsidR="005711D2" w:rsidRPr="00164F60" w:rsidRDefault="005711D2" w:rsidP="00E71307">
            <w:pPr>
              <w:jc w:val="left"/>
              <w:rPr>
                <w:rFonts w:eastAsia="Times New Roman" w:cs="Times New Roman"/>
                <w:color w:val="000000"/>
                <w:szCs w:val="24"/>
              </w:rPr>
            </w:pPr>
            <w:r w:rsidRPr="00164F60">
              <w:rPr>
                <w:rFonts w:cs="Times New Roman"/>
                <w:color w:val="000000"/>
                <w:szCs w:val="24"/>
              </w:rPr>
              <w:t>18.956</w:t>
            </w:r>
          </w:p>
        </w:tc>
      </w:tr>
    </w:tbl>
    <w:p w14:paraId="5AD2A513" w14:textId="77777777" w:rsidR="005711D2" w:rsidRDefault="005711D2" w:rsidP="005711D2">
      <w:pPr>
        <w:ind w:firstLine="720"/>
        <w:rPr>
          <w:sz w:val="20"/>
          <w:szCs w:val="18"/>
        </w:rPr>
      </w:pPr>
    </w:p>
    <w:p w14:paraId="5E13AC82" w14:textId="77777777" w:rsidR="005711D2" w:rsidRDefault="005711D2" w:rsidP="005711D2">
      <w:pPr>
        <w:pStyle w:val="Heading3"/>
      </w:pPr>
      <w:r>
        <w:t>Constant</w:t>
      </w:r>
    </w:p>
    <w:p w14:paraId="33CDD291" w14:textId="40E9236B" w:rsidR="005711D2" w:rsidRDefault="005711D2" w:rsidP="005711D2">
      <w:r>
        <w:t xml:space="preserve">The negative sign of the constant term suggests a lower </w:t>
      </w:r>
      <w:r w:rsidR="00C76032">
        <w:t>preference for</w:t>
      </w:r>
      <w:r>
        <w:t xml:space="preserve"> evacuation </w:t>
      </w:r>
      <w:r w:rsidR="00C76032">
        <w:t>in the population</w:t>
      </w:r>
      <w:r>
        <w:t xml:space="preserve"> during </w:t>
      </w:r>
      <w:r w:rsidR="009C4415">
        <w:t>H</w:t>
      </w:r>
      <w:r>
        <w:t>urricane</w:t>
      </w:r>
      <w:r w:rsidR="009C4415">
        <w:t xml:space="preserve"> Irma</w:t>
      </w:r>
      <w:r>
        <w:t xml:space="preserve">. The result follows the </w:t>
      </w:r>
      <w:r w:rsidR="00767C21">
        <w:t xml:space="preserve">observed </w:t>
      </w:r>
      <w:r>
        <w:t xml:space="preserve">evacuation trend where one in four Floridians preferred not to evacuate during Hurricane Irma and the other three will only evacuate in case of a category 3 or stronger hurricane </w:t>
      </w:r>
      <w:r>
        <w:fldChar w:fldCharType="begin" w:fldLock="1"/>
      </w:r>
      <w:r w:rsidR="00565086">
        <w:instrText>ADDIN CSL_CITATION {"citationItems":[{"id":"ITEM-1","itemData":{"URL":"https://www.firstcoastnews.com/article/news/local/survey-25-percent-of-floridians-wont-evacuate-their-homes-for-hurricane/77-980465d8-54d0-4cd1-a866-6b332e2b2755","accessed":{"date-parts":[["2022","7","19"]]},"author":[{"dropping-particle":"","family":"FirstCoast News 2022","given":"","non-dropping-particle":"","parse-names":false,"suffix":""}],"id":"ITEM-1","issued":{"date-parts":[["0"]]},"title":"25% of Floridians won't evacuate their homes for a hurricane | firstcoastnews.com","type":"webpage"},"uris":["http://www.mendeley.com/documents/?uuid=41c60ff6-f5f6-3ff1-92b0-4162a1650478"]}],"mendeley":{"formattedCitation":"(FirstCoast News 2022, n.d.)","manualFormatting":"(FirstCoast News, 2022)","plainTextFormattedCitation":"(FirstCoast News 2022, n.d.)","previouslyFormattedCitation":"(FirstCoast News 2022, n.d.)"},"properties":{"noteIndex":0},"schema":"https://github.com/citation-style-language/schema/raw/master/csl-citation.json"}</w:instrText>
      </w:r>
      <w:r>
        <w:fldChar w:fldCharType="separate"/>
      </w:r>
      <w:r w:rsidR="002B32F7" w:rsidRPr="002B32F7">
        <w:rPr>
          <w:noProof/>
        </w:rPr>
        <w:t>(FirstCoast News</w:t>
      </w:r>
      <w:r w:rsidR="002B32F7">
        <w:rPr>
          <w:noProof/>
        </w:rPr>
        <w:t>,</w:t>
      </w:r>
      <w:r w:rsidR="002B32F7" w:rsidRPr="002B32F7">
        <w:rPr>
          <w:noProof/>
        </w:rPr>
        <w:t xml:space="preserve"> 2022)</w:t>
      </w:r>
      <w:r>
        <w:fldChar w:fldCharType="end"/>
      </w:r>
      <w:r>
        <w:t xml:space="preserve">. </w:t>
      </w:r>
    </w:p>
    <w:p w14:paraId="7A13C842" w14:textId="77777777" w:rsidR="005711D2" w:rsidRDefault="005711D2" w:rsidP="005711D2"/>
    <w:p w14:paraId="63F68608" w14:textId="77777777" w:rsidR="005711D2" w:rsidRDefault="005711D2" w:rsidP="005711D2">
      <w:pPr>
        <w:pStyle w:val="Heading3"/>
      </w:pPr>
      <w:r>
        <w:t>Twitter Variables</w:t>
      </w:r>
    </w:p>
    <w:p w14:paraId="0380DD11" w14:textId="6EA18BFA" w:rsidR="005711D2" w:rsidRDefault="005711D2" w:rsidP="005711D2">
      <w:r>
        <w:t xml:space="preserve">As discussed earlier, we generate several demographic </w:t>
      </w:r>
      <w:r w:rsidR="00767C21">
        <w:t xml:space="preserve">variables </w:t>
      </w:r>
      <w:r>
        <w:t xml:space="preserve">including age, gender, race, education, political profile (democrat or not) and presence of </w:t>
      </w:r>
      <w:r w:rsidR="004E5306">
        <w:t>a child</w:t>
      </w:r>
      <w:r>
        <w:t xml:space="preserve"> in the HH for </w:t>
      </w:r>
      <w:r w:rsidR="00730705">
        <w:t>each</w:t>
      </w:r>
      <w:r>
        <w:t xml:space="preserve"> Twitter user. Among these factors, we find three variables to influence the evacuation decision. Consistent with earlier literature </w:t>
      </w:r>
      <w:r>
        <w:fldChar w:fldCharType="begin" w:fldLock="1"/>
      </w:r>
      <w:r w:rsidR="002D286E">
        <w:instrText>ADDIN CSL_CITATION {"citationItems":[{"id":"ITEM-1","itemData":{"DOI":"10.1061/(asce)nh.1527-6996.0000354","ISSN":"1527-6988","abstract":"© 2020 American Society of Civil Engineers. Evacuations are the most effective protective strategy adopted to minimize the deadly threat of an incoming hurricane. The study of evacuations has a long history in the United States, and the scientific community has acquired an in-depth understanding of the associated processes. However, there are limitations in the traditional methods of studying evacuation behavior, such as survey questionnaires and traffic counts, which sometimes fail to efficiently produce the results that emergency managers need. The development of innovative methods for the study of evacuation decision-making, such as the use of so-called big data analytics, offers an opportunity to complement traditional approaches in evacuation behavior research as well as advancing understudied aspects of evacuation behavior. Applied to Hurricane Matthew in South Carolina and Hurricane Irma in Florida, the findings presented in this article reveal that geotagged tweets provide a representative sample of individuals in the age range of 18-54 years, complementing elderly-biased questionnaire survey samples. The combination of questionnaire and Twitter methods found no gender effect on evacuation decision-making but confirmed a significant positive association with residential status. Additionally, the authors observed differential behavior with respect to race/ethnicity and age predictors in the two areas of study. The validity of Twitter is confirmed in connection with exploring certain aspects of evacuation behavior, illustrating a new and rich data source for researchers in this field.","author":[{"dropping-particle":"","family":"Martín","given":"Yago","non-dropping-particle":"","parse-names":false,"suffix":""},{"dropping-particle":"","family":"Cutter","given":"Susan L.","non-dropping-particle":"","parse-names":false,"suffix":""},{"dropping-particle":"","family":"Li","given":"Zhenlong","non-dropping-particle":"","parse-names":false,"suffix":""}],"container-title":"Natural Hazards Review","id":"ITEM-1","issue":"2","issued":{"date-parts":[["2020","5"]]},"publisher":"American Society of Civil Engineers (ASCE)","title":"Bridging Twitter and Survey Data for Evacuation Assessment of Hurricane Matthew and Hurricane Irma","type":"article-journal","volume":"21"},"uris":["http://www.mendeley.com/documents/?uuid=d264d626-9051-30e0-ab2e-aadd05e70987"]}],"mendeley":{"formattedCitation":"(Martín et al., 2020)","plainTextFormattedCitation":"(Martín et al., 2020)","previouslyFormattedCitation":"(Martín et al., 2020)"},"properties":{"noteIndex":0},"schema":"https://github.com/citation-style-language/schema/raw/master/csl-citation.json"}</w:instrText>
      </w:r>
      <w:r>
        <w:fldChar w:fldCharType="separate"/>
      </w:r>
      <w:r w:rsidR="008170D9" w:rsidRPr="008170D9">
        <w:rPr>
          <w:noProof/>
        </w:rPr>
        <w:t>(Martín et al., 2020)</w:t>
      </w:r>
      <w:r>
        <w:fldChar w:fldCharType="end"/>
      </w:r>
      <w:r>
        <w:t>, we find that individual</w:t>
      </w:r>
      <w:r w:rsidR="003D54A8">
        <w:t>s</w:t>
      </w:r>
      <w:r>
        <w:t xml:space="preserve"> aged between 25 to 34 years are more likely to evacuate during hurricane</w:t>
      </w:r>
      <w:r w:rsidR="00431423">
        <w:t>s</w:t>
      </w:r>
      <w:r>
        <w:t xml:space="preserve"> relative to the other age groups. The result is understandable since people from this age group are </w:t>
      </w:r>
      <w:r w:rsidR="00431423">
        <w:t>less constrained</w:t>
      </w:r>
      <w:r>
        <w:t xml:space="preserve"> (not married</w:t>
      </w:r>
      <w:r w:rsidR="00431423">
        <w:t xml:space="preserve">, </w:t>
      </w:r>
      <w:r>
        <w:t xml:space="preserve">usually no </w:t>
      </w:r>
      <w:r w:rsidR="004E5306">
        <w:t>child</w:t>
      </w:r>
      <w:r w:rsidR="00D8685E">
        <w:t>, or face health related issues</w:t>
      </w:r>
      <w:r>
        <w:t>).  With respect to ethnicity, the estimation result</w:t>
      </w:r>
      <w:r w:rsidR="0088388A">
        <w:t>s</w:t>
      </w:r>
      <w:r>
        <w:t xml:space="preserve"> </w:t>
      </w:r>
      <w:r w:rsidR="0088388A">
        <w:t>indicate</w:t>
      </w:r>
      <w:r>
        <w:t xml:space="preserve"> an increased evacuation propensity among Hispanic population</w:t>
      </w:r>
      <w:r w:rsidR="001D1C45">
        <w:t xml:space="preserve"> perhaps because the hurricane </w:t>
      </w:r>
      <w:r w:rsidR="00D216C4">
        <w:t>path</w:t>
      </w:r>
      <w:r w:rsidR="001D1C45">
        <w:t xml:space="preserve"> traversed through regions with a higher share of Hispanic population</w:t>
      </w:r>
      <w:r>
        <w:t xml:space="preserve">. Martin and his colleagues </w:t>
      </w:r>
      <w:r>
        <w:fldChar w:fldCharType="begin" w:fldLock="1"/>
      </w:r>
      <w:r w:rsidR="002D286E">
        <w:instrText>ADDIN CSL_CITATION {"citationItems":[{"id":"ITEM-1","itemData":{"DOI":"10.1061/(asce)nh.1527-6996.0000354","ISSN":"1527-6988","abstract":"© 2020 American Society of Civil Engineers. Evacuations are the most effective protective strategy adopted to minimize the deadly threat of an incoming hurricane. The study of evacuations has a long history in the United States, and the scientific community has acquired an in-depth understanding of the associated processes. However, there are limitations in the traditional methods of studying evacuation behavior, such as survey questionnaires and traffic counts, which sometimes fail to efficiently produce the results that emergency managers need. The development of innovative methods for the study of evacuation decision-making, such as the use of so-called big data analytics, offers an opportunity to complement traditional approaches in evacuation behavior research as well as advancing understudied aspects of evacuation behavior. Applied to Hurricane Matthew in South Carolina and Hurricane Irma in Florida, the findings presented in this article reveal that geotagged tweets provide a representative sample of individuals in the age range of 18-54 years, complementing elderly-biased questionnaire survey samples. The combination of questionnaire and Twitter methods found no gender effect on evacuation decision-making but confirmed a significant positive association with residential status. Additionally, the authors observed differential behavior with respect to race/ethnicity and age predictors in the two areas of study. The validity of Twitter is confirmed in connection with exploring certain aspects of evacuation behavior, illustrating a new and rich data source for researchers in this field.","author":[{"dropping-particle":"","family":"Martín","given":"Yago","non-dropping-particle":"","parse-names":false,"suffix":""},{"dropping-particle":"","family":"Cutter","given":"Susan L.","non-dropping-particle":"","parse-names":false,"suffix":""},{"dropping-particle":"","family":"Li","given":"Zhenlong","non-dropping-particle":"","parse-names":false,"suffix":""}],"container-title":"Natural Hazards Review","id":"ITEM-1","issue":"2","issued":{"date-parts":[["2020","5"]]},"publisher":"American Society of Civil Engineers (ASCE)","title":"Bridging Twitter and Survey Data for Evacuation Assessment of Hurricane Matthew and Hurricane Irma","type":"article-journal","volume":"21"},"uris":["http://www.mendeley.com/documents/?uuid=d264d626-9051-30e0-ab2e-aadd05e70987"]}],"mendeley":{"formattedCitation":"(Martín et al., 2020)","plainTextFormattedCitation":"(Martín et al., 2020)","previouslyFormattedCitation":"(Martín et al., 2020)"},"properties":{"noteIndex":0},"schema":"https://github.com/citation-style-language/schema/raw/master/csl-citation.json"}</w:instrText>
      </w:r>
      <w:r>
        <w:fldChar w:fldCharType="separate"/>
      </w:r>
      <w:r w:rsidR="008170D9" w:rsidRPr="008170D9">
        <w:rPr>
          <w:noProof/>
        </w:rPr>
        <w:t>(Martín et al., 2020)</w:t>
      </w:r>
      <w:r>
        <w:fldChar w:fldCharType="end"/>
      </w:r>
      <w:r>
        <w:t xml:space="preserve"> also point to this higher evacuation likelihood among the Hispanic </w:t>
      </w:r>
      <w:r w:rsidR="001D1C45">
        <w:t xml:space="preserve">population </w:t>
      </w:r>
      <w:r>
        <w:t>during hurricanes</w:t>
      </w:r>
      <w:r w:rsidR="003F0D14">
        <w:t>,</w:t>
      </w:r>
      <w:r>
        <w:t xml:space="preserve">. The final variable specific to the educational attainment reveals a significant role in influencing the evacuation decision. In particular, people with less than high school education are more likely to evacuate during hurricane compared to people with higher education. </w:t>
      </w:r>
      <w:r w:rsidR="00A91EB0">
        <w:t>Given that education attainment is closely associated with household wealth, these populations are likely to be low income and live in housing that might be affected by hurricanes</w:t>
      </w:r>
      <w:r>
        <w:t xml:space="preserve"> </w:t>
      </w:r>
      <w:r>
        <w:fldChar w:fldCharType="begin" w:fldLock="1"/>
      </w:r>
      <w:r w:rsidR="002D286E">
        <w:instrText>ADDIN CSL_CITATION {"citationItems":[{"id":"ITEM-1","itemData":{"DOI":"10.1061/(asce)nh.1527-6996.0000354","ISSN":"1527-6988","abstract":"© 2020 American Society of Civil Engineers. Evacuations are the most effective protective strategy adopted to minimize the deadly threat of an incoming hurricane. The study of evacuations has a long history in the United States, and the scientific community has acquired an in-depth understanding of the associated processes. However, there are limitations in the traditional methods of studying evacuation behavior, such as survey questionnaires and traffic counts, which sometimes fail to efficiently produce the results that emergency managers need. The development of innovative methods for the study of evacuation decision-making, such as the use of so-called big data analytics, offers an opportunity to complement traditional approaches in evacuation behavior research as well as advancing understudied aspects of evacuation behavior. Applied to Hurricane Matthew in South Carolina and Hurricane Irma in Florida, the findings presented in this article reveal that geotagged tweets provide a representative sample of individuals in the age range of 18-54 years, complementing elderly-biased questionnaire survey samples. The combination of questionnaire and Twitter methods found no gender effect on evacuation decision-making but confirmed a significant positive association with residential status. Additionally, the authors observed differential behavior with respect to race/ethnicity and age predictors in the two areas of study. The validity of Twitter is confirmed in connection with exploring certain aspects of evacuation behavior, illustrating a new and rich data source for researchers in this field.","author":[{"dropping-particle":"","family":"Martín","given":"Yago","non-dropping-particle":"","parse-names":false,"suffix":""},{"dropping-particle":"","family":"Cutter","given":"Susan L.","non-dropping-particle":"","parse-names":false,"suffix":""},{"dropping-particle":"","family":"Li","given":"Zhenlong","non-dropping-particle":"","parse-names":false,"suffix":""}],"container-title":"Natural Hazards Review","id":"ITEM-1","issue":"2","issued":{"date-parts":[["2020","5"]]},"publisher":"American Society of Civil Engineers (ASCE)","title":"Bridging Twitter and Survey Data for Evacuation Assessment of Hurricane Matthew and Hurricane Irma","type":"article-journal","volume":"21"},"uris":["http://www.mendeley.com/documents/?uuid=d264d626-9051-30e0-ab2e-aadd05e70987"]}],"mendeley":{"formattedCitation":"(Martín et al., 2020)","plainTextFormattedCitation":"(Martín et al., 2020)","previouslyFormattedCitation":"(Martín et al., 2020)"},"properties":{"noteIndex":0},"schema":"https://github.com/citation-style-language/schema/raw/master/csl-citation.json"}</w:instrText>
      </w:r>
      <w:r>
        <w:fldChar w:fldCharType="separate"/>
      </w:r>
      <w:r w:rsidR="008170D9" w:rsidRPr="008170D9">
        <w:rPr>
          <w:noProof/>
        </w:rPr>
        <w:t>(Martín et al., 2020)</w:t>
      </w:r>
      <w:r>
        <w:fldChar w:fldCharType="end"/>
      </w:r>
      <w:r>
        <w:t xml:space="preserve">. </w:t>
      </w:r>
      <w:r w:rsidR="006A58C4">
        <w:t xml:space="preserve">We also tested for several hurricane related factors </w:t>
      </w:r>
      <w:r w:rsidR="00A91EB0">
        <w:t xml:space="preserve">such as </w:t>
      </w:r>
      <w:r w:rsidR="006A58C4">
        <w:t>the distance of the hurricane from user’s home location, hurricane’s intensity and wind speed; however</w:t>
      </w:r>
      <w:r w:rsidR="001D1C45">
        <w:t>,</w:t>
      </w:r>
      <w:r w:rsidR="006A58C4">
        <w:t xml:space="preserve"> none of the variables are found to significantly influence the evacuation behaviour</w:t>
      </w:r>
      <w:r w:rsidR="006E0973">
        <w:rPr>
          <w:rStyle w:val="FootnoteReference"/>
        </w:rPr>
        <w:footnoteReference w:id="5"/>
      </w:r>
      <w:r w:rsidR="006A58C4">
        <w:t xml:space="preserve">. </w:t>
      </w:r>
    </w:p>
    <w:p w14:paraId="01AD87D5" w14:textId="77777777" w:rsidR="005711D2" w:rsidRDefault="005711D2" w:rsidP="005711D2"/>
    <w:p w14:paraId="7940A1C2" w14:textId="77777777" w:rsidR="005711D2" w:rsidRDefault="005711D2" w:rsidP="005711D2">
      <w:pPr>
        <w:pStyle w:val="Heading3"/>
      </w:pPr>
      <w:r>
        <w:t>NHTS Variables</w:t>
      </w:r>
    </w:p>
    <w:p w14:paraId="3F8A9633" w14:textId="3C903BC1" w:rsidR="005711D2" w:rsidRDefault="005711D2" w:rsidP="005711D2">
      <w:r>
        <w:t xml:space="preserve">We tested for several variables and the results clearly highlighted the significant impact of different variables from the NHTS data affecting people’ evacuation decision. For instance, as indicated by Table </w:t>
      </w:r>
      <w:r w:rsidR="00C438A9">
        <w:t>1</w:t>
      </w:r>
      <w:r>
        <w:t xml:space="preserve">, </w:t>
      </w:r>
      <w:r w:rsidR="00A91EB0">
        <w:t xml:space="preserve">the </w:t>
      </w:r>
      <w:r>
        <w:t>number of people and the number of workers in the household offers a negative association with the evacuation decision suggesting a lower willingness of a person to evacuate with more people as well as more workers in the house. The</w:t>
      </w:r>
      <w:r w:rsidR="00A91EB0">
        <w:t xml:space="preserve"> results are expected as evacuating larger households is </w:t>
      </w:r>
      <w:r w:rsidR="003E296F">
        <w:t>resource intensive</w:t>
      </w:r>
      <w:r>
        <w:t xml:space="preserve"> (see </w:t>
      </w:r>
      <w:r>
        <w:fldChar w:fldCharType="begin" w:fldLock="1"/>
      </w:r>
      <w:r w:rsidR="002D286E">
        <w:instrText>ADDIN CSL_CITATION {"citationItems":[{"id":"ITEM-1","itemData":{"DOI":"10.1007/s11067-017-9339-0","ISSN":"15729427","abstract":"A survey of Houston-area households reveals responses to Hurricane Ike in 2008 were as diverse as the households themselves. Review of evacuation literature shows this remains a fundamental problem. In our analysis no clear correlations between household attributes and evacuation motivators emerge unless the respondents are organized into subpopulations based on household attributes and the stated concerns of survey respondents. These subpopulations overlap so that most households fall within multiple classifications, evidence that heterogeneity across households is also present within them. To address heterogeneity within households, an information content metric (information entropy) is considered a proxy for issue saliency. Focusing on the most salient responses to survey questions makes it possible to isolate some of the factors important in the decision to evacuate and the characteristics of the households for which those factors are most important. Regression analysis of the most salient issues of the most concerned respondents informs the creation of behavioral rules for an agent-based model populated with the survey data. The relative strengths of the risk-averting behavior rules are tuned through Monte Carlo simulations using the actual evacuation time of each household as the fitness metric.","author":[{"dropping-particle":"","family":"Dixon","given":"David S.","non-dropping-particle":"","parse-names":false,"suffix":""},{"dropping-particle":"","family":"Mozumder","given":"Pallab","non-dropping-particle":"","parse-names":false,"suffix":""},{"dropping-particle":"","family":"Vásquez","given":"William F.","non-dropping-particle":"","parse-names":false,"suffix":""},{"dropping-particle":"","family":"Gladwin","given":"Hugh","non-dropping-particle":"","parse-names":false,"suffix":""}],"container-title":"Networks and Spatial Economics","id":"ITEM-1","issue":"2","issued":{"date-parts":[["2017","6","1"]]},"page":"645-680","publisher":"Springer New York LLC","title":"Heterogeneity Within and Across Households in Hurricane Evacuation Response","type":"article-journal","volume":"17"},"uris":["http://www.mendeley.com/documents/?uuid=2587bdb1-792c-33b1-937d-53b07d3a9e30"]},{"id":"ITEM-2","itemData":{"DOI":"10.1016/j.trb.2021.06.003","ISSN":"01912615","abstract":"Predicting evacuation-related choices of households during a hurricane is of paramount importance to any emergency management system. Central to this problem is the identification of socio-demographic factors and hurricane characteristics that influence an individual's decision to stay or evacuate. However, decision makers in such conditions do not make a single choice but constantly evaluate current and anticipated conditions before opting to stay or evacuate. We model this behavior using a finite-horizon dynamic discrete choice framework in which households may choose to evacuate or wait in time periods prior to a hurricane's landfall. In each period, an individual's utility depends not only on his/her current choices and the present values of the influential variables, but also involves discounted expected utilities from future choices should one decide to postpone their decision to evacuate. Assuming generalized extreme value (GEV) errors, a nested algorithm involving a dynamic program and a maximum likelihood method is used to estimate model parameters. Panel data on households affected by Hurricane Gustav, which made landfall in Louisiana on 1 September 2008, was fused with the National Hurricane Center's forecasts on the trajectory and intensity for the case study in the paper.","author":[{"dropping-particle":"","family":"Rambha","given":"Tarun","non-dropping-particle":"","parse-names":false,"suffix":""},{"dropping-particle":"","family":"Nozick","given":"Linda K.","non-dropping-particle":"","parse-names":false,"suffix":""},{"dropping-particle":"","family":"Davidson","given":"Rachel","non-dropping-particle":"","parse-names":false,"suffix":""}],"container-title":"Transportation Research Part B: Methodological","id":"ITEM-2","issued":{"date-parts":[["2021","8","1"]]},"page":"75-100","publisher":"Pergamon","title":"Modeling hurricane evacuation behavior using a dynamic discrete choice framework","type":"article-journal","volume":"150"},"uris":["http://www.mendeley.com/documents/?uuid=4472bd4c-21ee-3a80-8b39-173c1c45899c"]}],"mendeley":{"formattedCitation":"(Dixon et al., 2017; Rambha et al., 2021)","plainTextFormattedCitation":"(Dixon et al., 2017; Rambha et al., 2021)","previouslyFormattedCitation":"(Dixon et al., 2017; Rambha et al., 2021)"},"properties":{"noteIndex":0},"schema":"https://github.com/citation-style-language/schema/raw/master/csl-citation.json"}</w:instrText>
      </w:r>
      <w:r>
        <w:fldChar w:fldCharType="separate"/>
      </w:r>
      <w:r w:rsidR="008170D9" w:rsidRPr="008170D9">
        <w:rPr>
          <w:noProof/>
        </w:rPr>
        <w:t>(Dixon et al., 2017; Rambha et al., 2021)</w:t>
      </w:r>
      <w:r>
        <w:fldChar w:fldCharType="end"/>
      </w:r>
      <w:r>
        <w:t xml:space="preserve"> for similar results)</w:t>
      </w:r>
      <w:r w:rsidR="003E296F">
        <w:t xml:space="preserve">. The presence of multiple workers also reduces evacuation likelihood as these individuals are possibly concerned about time off and also are likely to be residing in </w:t>
      </w:r>
      <w:r w:rsidR="003E296F">
        <w:lastRenderedPageBreak/>
        <w:t>safer homes</w:t>
      </w:r>
      <w:r>
        <w:t xml:space="preserve"> </w:t>
      </w:r>
      <w:r>
        <w:fldChar w:fldCharType="begin" w:fldLock="1"/>
      </w:r>
      <w:r w:rsidR="00586A9B">
        <w:instrText>ADDIN CSL_CITATION {"citationItems":[{"id":"ITEM-1","itemData":{"URL":"https://www.theatlantic.com/business/archive/2017/09/hurricane-irma-work/539295/","accessed":{"date-parts":[["2022","7","19"]]},"author":[{"dropping-particle":"","family":"The Atlantic 2017","given":"","non-dropping-particle":"","parse-names":false,"suffix":""}],"id":"ITEM-1","issued":{"date-parts":[["0"]]},"title":"The Uncertainties of Being Asked to Work During a Hurricane - The Atlantic","type":"webpage"},"uris":["http://www.mendeley.com/documents/?uuid=3faee724-f300-3ac5-b85f-b2ac5df0d361"]}],"mendeley":{"formattedCitation":"(The Atlantic 2017, n.d.)","manualFormatting":"(The Atlantic 2017)","plainTextFormattedCitation":"(The Atlantic 2017, n.d.)","previouslyFormattedCitation":"(The Atlantic 2017, n.d.)"},"properties":{"noteIndex":0},"schema":"https://github.com/citation-style-language/schema/raw/master/csl-citation.json"}</w:instrText>
      </w:r>
      <w:r>
        <w:fldChar w:fldCharType="separate"/>
      </w:r>
      <w:r w:rsidR="00565086" w:rsidRPr="00565086">
        <w:rPr>
          <w:noProof/>
        </w:rPr>
        <w:t>(The Atlantic 201</w:t>
      </w:r>
      <w:r w:rsidR="00253573">
        <w:rPr>
          <w:noProof/>
        </w:rPr>
        <w:t>7</w:t>
      </w:r>
      <w:r w:rsidR="00565086" w:rsidRPr="00565086">
        <w:rPr>
          <w:noProof/>
        </w:rPr>
        <w:t>)</w:t>
      </w:r>
      <w:r>
        <w:fldChar w:fldCharType="end"/>
      </w:r>
      <w:r>
        <w:t xml:space="preserve">. Interestingly, number of vehicles in the household is positively </w:t>
      </w:r>
      <w:r w:rsidR="003E296F">
        <w:t xml:space="preserve">associated </w:t>
      </w:r>
      <w:r>
        <w:t>with the evacuation decision highlighting</w:t>
      </w:r>
      <w:r w:rsidR="003E296F">
        <w:t xml:space="preserve"> that when everything else is same, individuals with access to vehicles are </w:t>
      </w:r>
      <w:r w:rsidR="00BF4A13">
        <w:t>more</w:t>
      </w:r>
      <w:r w:rsidR="003E296F">
        <w:t xml:space="preserve"> likely to evacuate</w:t>
      </w:r>
      <w:r w:rsidR="004C232D">
        <w:t xml:space="preserve"> (see </w:t>
      </w:r>
      <w:r>
        <w:t xml:space="preserve">Yabe and </w:t>
      </w:r>
      <w:proofErr w:type="spellStart"/>
      <w:r>
        <w:t>Ukkusuri</w:t>
      </w:r>
      <w:proofErr w:type="spellEnd"/>
      <w:r>
        <w:t xml:space="preserve"> </w:t>
      </w:r>
      <w:r>
        <w:fldChar w:fldCharType="begin" w:fldLock="1"/>
      </w:r>
      <w:r w:rsidR="00586617">
        <w:instrText>ADDIN CSL_CITATION {"citationItems":[{"id":"ITEM-1","itemData":{"DOI":"10.1016/j.trd.2020.102260","ISSN":"13619209","abstract":"Large-scale disasters often trigger mass evacuation due to significant damages to urban systems. Understanding the evacuation and reentry (return) process of affected individuals is crucial for disaster management. Moreover, measuring the heterogeneity in the individuals' post-disaster behavior with respect to their socio-economic characteristics is essential for policy making. Recent studies have used large-scale location datasets collected from mobile devices to analyze post-disaster mobility patterns. Despite the availability of such data and the societal importance of the problem, no studies have focused on how income inequality affects the equity in post-disaster mobility. To overcome these research gaps, we overlay mobility data with income information from census to quantify the effects of income inequality on evacuation and reentry behavior after disasters, and the resulting spatial income segregation. Spatio-temporal analysis using location data of more than 1.7 million mobile phone users from Florida affected by Hurricane Irma reveal significant effects of income inequality on evacuation behavior. Evacuees with higher income were more likely to evacuate from affected areas and reach safer locations with less damage on housing and infrastructure. These differences were common among evacuees from both inside and outside mandatory evacuation zones. As a result of such effects of inequality, significant spatial income segregation was observed in the affected areas. Insights on the effects of income inequality on post-disaster mobility and spatial segregation could contribute to policies that better address social equity in pre-disaster preparation and post-disaster relief.","author":[{"dropping-particle":"","family":"Yabe","given":"Takahiro","non-dropping-particle":"","parse-names":false,"suffix":""},{"dropping-particle":"V.","family":"Ukkusuri","given":"Satish","non-dropping-particle":"","parse-names":false,"suffix":""}],"container-title":"Transportation Research Part D: Transport and Environment","id":"ITEM-1","issued":{"date-parts":[["2020","5","1"]]},"page":"102260","publisher":"Pergamon","title":"Effects of income inequality on evacuation, reentry and segregation after disasters","type":"article-journal","volume":"82"},"uris":["http://www.mendeley.com/documents/?uuid=efdd920c-8bd2-36bc-8837-c595346b8d23"]}],"mendeley":{"formattedCitation":"(Yabe and Ukkusuri, 2020)","plainTextFormattedCitation":"(Yabe and Ukkusuri, 2020)","previouslyFormattedCitation":"(Yabe and Ukkusuri, 2020)"},"properties":{"noteIndex":0},"schema":"https://github.com/citation-style-language/schema/raw/master/csl-citation.json"}</w:instrText>
      </w:r>
      <w:r>
        <w:fldChar w:fldCharType="separate"/>
      </w:r>
      <w:r w:rsidR="002D286E" w:rsidRPr="002D286E">
        <w:rPr>
          <w:noProof/>
        </w:rPr>
        <w:t>(Yabe and Ukkusuri, 2020)</w:t>
      </w:r>
      <w:r>
        <w:fldChar w:fldCharType="end"/>
      </w:r>
      <w:r w:rsidR="004C232D">
        <w:t xml:space="preserve"> for a similar finding)</w:t>
      </w:r>
      <w:r>
        <w:t xml:space="preserve"> Moreover, during hurricanes, </w:t>
      </w:r>
      <w:r w:rsidR="005B6C7F">
        <w:t xml:space="preserve">vehicle access is quite important as </w:t>
      </w:r>
      <w:r>
        <w:t xml:space="preserve">rental companies usually </w:t>
      </w:r>
      <w:r w:rsidR="005B6C7F">
        <w:t xml:space="preserve">run </w:t>
      </w:r>
      <w:r>
        <w:t xml:space="preserve">out of rental cars </w:t>
      </w:r>
      <w:r>
        <w:fldChar w:fldCharType="begin" w:fldLock="1"/>
      </w:r>
      <w:r w:rsidR="00586A9B">
        <w:instrText>ADDIN CSL_CITATION {"citationItems":[{"id":"ITEM-1","itemData":{"URL":"https://www.planetizen.com/node/17255","accessed":{"date-parts":[["2022","7","19"]]},"author":[{"dropping-particle":"","family":"Planetizen 2005","given":"","non-dropping-particle":"","parse-names":false,"suffix":""}],"id":"ITEM-1","issued":{"date-parts":[["0"]]},"title":"Car-less in the Eye of Katrina | Planetizen Features","type":"webpage"},"uris":["http://www.mendeley.com/documents/?uuid=579b5506-6062-322c-a1d0-b350b9fe861d"]}],"mendeley":{"formattedCitation":"(Planetizen 2005, n.d.)","manualFormatting":"(Planetizen, 2005)","plainTextFormattedCitation":"(Planetizen 2005, n.d.)","previouslyFormattedCitation":"(Planetizen 2005, n.d.)"},"properties":{"noteIndex":0},"schema":"https://github.com/citation-style-language/schema/raw/master/csl-citation.json"}</w:instrText>
      </w:r>
      <w:r>
        <w:fldChar w:fldCharType="separate"/>
      </w:r>
      <w:r w:rsidR="00B95ABE" w:rsidRPr="00B95ABE">
        <w:rPr>
          <w:noProof/>
        </w:rPr>
        <w:t>(Planetizen</w:t>
      </w:r>
      <w:r w:rsidR="00494602">
        <w:rPr>
          <w:noProof/>
        </w:rPr>
        <w:t>,</w:t>
      </w:r>
      <w:r w:rsidR="00B95ABE" w:rsidRPr="00B95ABE">
        <w:rPr>
          <w:noProof/>
        </w:rPr>
        <w:t xml:space="preserve"> 2005)</w:t>
      </w:r>
      <w:r>
        <w:fldChar w:fldCharType="end"/>
      </w:r>
      <w:r>
        <w:t xml:space="preserve">  and</w:t>
      </w:r>
      <w:r w:rsidR="005B6C7F">
        <w:t xml:space="preserve"> individual access to vehicles provides </w:t>
      </w:r>
      <w:r>
        <w:t xml:space="preserve">flexibility for a family to evacuate. From Table </w:t>
      </w:r>
      <w:r w:rsidR="00C438A9">
        <w:t>1</w:t>
      </w:r>
      <w:r>
        <w:t>, we also find that homeowners are less likely to evacuate as evidenced by the negative coefficient</w:t>
      </w:r>
      <w:r w:rsidR="004149F8">
        <w:t xml:space="preserve">. Home owners are potentially </w:t>
      </w:r>
      <w:r>
        <w:t>concern</w:t>
      </w:r>
      <w:r w:rsidR="004149F8">
        <w:t>ed</w:t>
      </w:r>
      <w:r>
        <w:t xml:space="preserve"> about </w:t>
      </w:r>
      <w:r w:rsidR="00F11217">
        <w:t xml:space="preserve">damage to </w:t>
      </w:r>
      <w:r>
        <w:t xml:space="preserve">the home </w:t>
      </w:r>
      <w:r w:rsidR="00F11217">
        <w:t xml:space="preserve">and staying can allow them to fix damage faster </w:t>
      </w:r>
      <w:r>
        <w:fldChar w:fldCharType="begin" w:fldLock="1"/>
      </w:r>
      <w:r w:rsidR="00586617">
        <w:instrText>ADDIN CSL_CITATION {"citationItems":[{"id":"ITEM-1","itemData":{"DOI":"10.1061/(ASCE)TE.1943-5436.0000223","ISSN":"0733947X","abstract":"Hurricanes are one of the most costly natural disasters in the United States and have increased in frequency in the last few years. The critical role of evacuation, particularly for the vulnerable communities, has been realized from some disastrous evacuation experiences in recent hurricanes (for example, Hurricanes Katrina and Rita in 2005). Therefore, a thorough understanding of the determinants of evacuation behavior is needed to protect the loss of lives, especially in the vulnerable communities. However, a household's decision-making process under a hurricane risk is a very complex process influenced by many factors. This paper presents a model of household hurricane evacuation behavior accounting for households' heterogeneous behavior in decision making by using original data from Hurricane Ivan. It develops a mixed logit (also known as random-parameters logit) model of hurricane evacuation decision, where random parameters reflect the heterogeneous responses of households caused by a hurricane. We report several factors consistent with some of the previous findings, which are important for understanding household-level evacuation decision making. We also explain the varied influences of some of the determining variables on the hurricane evacuation decision. © 2011 American Society of Civil Engineers.","author":[{"dropping-particle":"","family":"Hasan","given":"Samiul","non-dropping-particle":"","parse-names":false,"suffix":""},{"dropping-particle":"","family":"Ukkusuri","given":"Satish","non-dropping-particle":"","parse-names":false,"suffix":""},{"dropping-particle":"","family":"Gladwin","given":"Hugh","non-dropping-particle":"","parse-names":false,"suffix":""},{"dropping-particle":"","family":"Murray-Tuite","given":"Pamela","non-dropping-particle":"","parse-names":false,"suffix":""}],"container-title":"Journal of Transportation Engineering","id":"ITEM-1","issue":"5","issued":{"date-parts":[["2011","9","23"]]},"page":"341-348","publisher":"American Society of Civil Engineers","title":"Behavioral model to understand household-level hurricane evacuation decision making","type":"article-journal","volume":"137"},"uris":["http://www.mendeley.com/documents/?uuid=1a6ce531-28ed-38d1-aba2-7ecb4c3bc768"]}],"mendeley":{"formattedCitation":"(Hasan et al., 2011)","plainTextFormattedCitation":"(Hasan et al., 2011)","previouslyFormattedCitation":"(Hasan et al., 2011)"},"properties":{"noteIndex":0},"schema":"https://github.com/citation-style-language/schema/raw/master/csl-citation.json"}</w:instrText>
      </w:r>
      <w:r>
        <w:fldChar w:fldCharType="separate"/>
      </w:r>
      <w:r w:rsidR="002D286E" w:rsidRPr="002D286E">
        <w:rPr>
          <w:noProof/>
        </w:rPr>
        <w:t>(Hasan et al., 2011)</w:t>
      </w:r>
      <w:r>
        <w:fldChar w:fldCharType="end"/>
      </w:r>
      <w:r>
        <w:t xml:space="preserve">. Finally, people residing in the southwest region are more likely to evacuate as indicated by the positive coefficient in the Table. </w:t>
      </w:r>
      <w:r w:rsidR="00F11217">
        <w:t>The result is intuitive as IRMA was directed at the southwest region</w:t>
      </w:r>
      <w:r>
        <w:t xml:space="preserve">. </w:t>
      </w:r>
    </w:p>
    <w:p w14:paraId="42B103B6" w14:textId="77777777" w:rsidR="005711D2" w:rsidRDefault="005711D2" w:rsidP="005711D2"/>
    <w:p w14:paraId="1BE82726" w14:textId="77777777" w:rsidR="005711D2" w:rsidRDefault="005711D2" w:rsidP="005711D2">
      <w:pPr>
        <w:pStyle w:val="Heading3"/>
      </w:pPr>
      <w:r>
        <w:t>Weight Component</w:t>
      </w:r>
    </w:p>
    <w:p w14:paraId="37908607" w14:textId="47D3A5CD" w:rsidR="005711D2" w:rsidRDefault="005711D2" w:rsidP="005711D2">
      <w:r>
        <w:t xml:space="preserve">As the fusion is conducted based on </w:t>
      </w:r>
      <w:r w:rsidR="00F11217">
        <w:t xml:space="preserve">matching </w:t>
      </w:r>
      <w:r>
        <w:t xml:space="preserve">age, ethnicity and income, the other three common variables across the datasets including gender, education and presence of </w:t>
      </w:r>
      <w:r w:rsidR="003029C9">
        <w:t xml:space="preserve">a child </w:t>
      </w:r>
      <w:r>
        <w:t>in the house are the potential candidate</w:t>
      </w:r>
      <w:r w:rsidR="00160A7A">
        <w:t>s</w:t>
      </w:r>
      <w:r>
        <w:t xml:space="preserve"> in the weight component. After extensive testing, we find one variable, similarity in the presence of </w:t>
      </w:r>
      <w:r w:rsidR="004E5306">
        <w:t>a child</w:t>
      </w:r>
      <w:r>
        <w:t xml:space="preserve"> in the house to exert a positive influence on the weight contribution. The result indicates that within the fused records, records with similar information on the presence of </w:t>
      </w:r>
      <w:r w:rsidR="004E5306">
        <w:t>a child</w:t>
      </w:r>
      <w:r>
        <w:t xml:space="preserve"> in the house across both datasets will contribute more to the evacuation model relative to the other records. This significant effect in the weight component further reinforces our hypothesis on using a </w:t>
      </w:r>
      <w:r w:rsidRPr="0083097B">
        <w:t>differential weighting method (probabilistic)</w:t>
      </w:r>
      <w:r>
        <w:t xml:space="preserve"> as opposed to equal weight </w:t>
      </w:r>
      <w:r w:rsidR="00D317CF">
        <w:t>assumption.</w:t>
      </w:r>
    </w:p>
    <w:p w14:paraId="303FE200" w14:textId="77777777" w:rsidR="009F129E" w:rsidRDefault="009F129E" w:rsidP="005711D2"/>
    <w:p w14:paraId="78375734" w14:textId="1801F548" w:rsidR="009F129E" w:rsidRDefault="009F129E" w:rsidP="009F129E">
      <w:pPr>
        <w:pStyle w:val="Heading2"/>
      </w:pPr>
      <w:bookmarkStart w:id="8" w:name="_Hlk154484126"/>
      <w:r>
        <w:t>5.3 Validation Analysis</w:t>
      </w:r>
    </w:p>
    <w:p w14:paraId="24F715A0" w14:textId="57CAA4D8" w:rsidR="002639DA" w:rsidRDefault="00540C9F" w:rsidP="009F129E">
      <w:r w:rsidRPr="00540C9F">
        <w:t>The model fit measures presented in section 5.1 underscores the improvement in the evacuation model though the data fusion algorithm and the latent weight contribution. However, it is also essential to assess the real-world applicability of the fusion technique. This involves employing the fusion algorithm to predict the evacuation rate and comparing it the report evacuation rates. In the prediction analysis, we conduct the assessment focusing on the NHTS data, considering all three models: a Twitter-only model, model achieved through the fusion technique with equal weight assumption, and model achieved through the fusion technique with latent weight assumption</w:t>
      </w:r>
      <w:r w:rsidR="001D76F6">
        <w:rPr>
          <w:rStyle w:val="FootnoteReference"/>
        </w:rPr>
        <w:footnoteReference w:id="6"/>
      </w:r>
      <w:r w:rsidRPr="00540C9F">
        <w:t xml:space="preserve">. The purpose of using only NHTS data is to utilize the national representative dataset to estimate the potential evacuation rates on a broader scale and compare these predictions with actual evacuation figures. </w:t>
      </w:r>
      <w:r w:rsidR="00816581" w:rsidRPr="00540C9F">
        <w:t>Specifically, we predicted the percentage of people in the state of Florida who evacuated (using all three models) during Hurricane Irma and compared the results with the actual values (SRESP, 2021).</w:t>
      </w:r>
      <w:r w:rsidR="00967868">
        <w:t xml:space="preserve"> </w:t>
      </w:r>
      <w:r w:rsidR="00F43BBD" w:rsidRPr="00F43BBD">
        <w:t>To robustly assess the prediction performance, 50 data samples with 300 records (in NHTS) are employed to generate evacuation rate predictions for each sample. This sampling approach ensures that our model evaluations are not dependent on a single dataset and helps to capture the variability in predictions providing a comprehensive evaluation of model performance. Additionally, we included the performance of a trivial classifier with a 50% probability of evacuation as a baseline for comparison. It helps to demonstrate whether our sophisticated models offer a significant improvement over a trivial classifier</w:t>
      </w:r>
      <w:r w:rsidR="00F43BBD">
        <w:t xml:space="preserve"> </w:t>
      </w:r>
      <w:r w:rsidRPr="00540C9F">
        <w:t>The  prediction results are presented in Figure 8.</w:t>
      </w:r>
    </w:p>
    <w:p w14:paraId="76FF3EB6" w14:textId="5032E74B" w:rsidR="008322CD" w:rsidRDefault="008322CD" w:rsidP="006C53E2">
      <w:pPr>
        <w:ind w:firstLine="720"/>
      </w:pPr>
      <w:r w:rsidRPr="008322CD">
        <w:t xml:space="preserve">From the figure, three important observations can be made: First, the Twitter-only model significantly overpredicts the evacuation rate, supporting our hypothesis that the data is </w:t>
      </w:r>
      <w:r w:rsidRPr="008322CD">
        <w:lastRenderedPageBreak/>
        <w:t>not representative of the overall population. Second, through the fusion technique, we observe a substantial improvement in the prediction rate, as indicated by the lower error rate in both variants of the fused model. The results clearly highlight how new variables from the NHTS dataset contribute to improvement in predicting evacuation behaviour. Finally, among the fused models, the latent weight model demonstrates slightly superior performance compared to the equal weight model. In summary, the validation results further provide evidence on the enhanced explanatory power and predictive capability achieved through the proposed fusion algorithm and latent weight contribution in the context of evacuation modeling.</w:t>
      </w:r>
    </w:p>
    <w:p w14:paraId="3886367A" w14:textId="77777777" w:rsidR="00BE3BCB" w:rsidRDefault="00BE3BCB" w:rsidP="006C53E2">
      <w:pPr>
        <w:ind w:firstLine="720"/>
      </w:pPr>
    </w:p>
    <w:p w14:paraId="7884565A" w14:textId="77FDA87E" w:rsidR="00CC5D86" w:rsidRPr="009F129E" w:rsidRDefault="00F43BBD" w:rsidP="009F129E">
      <w:r>
        <w:rPr>
          <w:noProof/>
        </w:rPr>
        <w:drawing>
          <wp:inline distT="0" distB="0" distL="0" distR="0" wp14:anchorId="5935F357" wp14:editId="05C53D55">
            <wp:extent cx="4811910" cy="2743200"/>
            <wp:effectExtent l="0" t="0" r="8255" b="0"/>
            <wp:docPr id="1675261885" name="Picture 1" descr="A graph showing a number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61885" name="Picture 1" descr="A graph showing a number of different colored squares&#10;&#10;Description automatically generated with medium confidence"/>
                    <pic:cNvPicPr/>
                  </pic:nvPicPr>
                  <pic:blipFill>
                    <a:blip r:embed="rId29"/>
                    <a:stretch>
                      <a:fillRect/>
                    </a:stretch>
                  </pic:blipFill>
                  <pic:spPr>
                    <a:xfrm>
                      <a:off x="0" y="0"/>
                      <a:ext cx="4811910" cy="2743200"/>
                    </a:xfrm>
                    <a:prstGeom prst="rect">
                      <a:avLst/>
                    </a:prstGeom>
                  </pic:spPr>
                </pic:pic>
              </a:graphicData>
            </a:graphic>
          </wp:inline>
        </w:drawing>
      </w:r>
    </w:p>
    <w:p w14:paraId="7D7F5ECA" w14:textId="53D5F7EE" w:rsidR="005711D2" w:rsidRDefault="00C12332" w:rsidP="005711D2">
      <w:r>
        <w:t>Figure 8: Prediction Assessment for Hurricane Irma Evacuation Rate</w:t>
      </w:r>
    </w:p>
    <w:bookmarkEnd w:id="8"/>
    <w:p w14:paraId="5D8A2546" w14:textId="77777777" w:rsidR="008322CD" w:rsidRPr="005711D2" w:rsidRDefault="008322CD" w:rsidP="00AF56AC"/>
    <w:p w14:paraId="661C05E1" w14:textId="1E12B888" w:rsidR="00A97446" w:rsidRDefault="0048367D" w:rsidP="00A97446">
      <w:pPr>
        <w:pStyle w:val="Heading1"/>
      </w:pPr>
      <w:r>
        <w:t xml:space="preserve">6 </w:t>
      </w:r>
      <w:r w:rsidR="008443B9">
        <w:t>CONCLUSION</w:t>
      </w:r>
    </w:p>
    <w:p w14:paraId="0AE6685B" w14:textId="494A5D51" w:rsidR="003A3EF8" w:rsidRDefault="00B25BD9" w:rsidP="00C521FE">
      <w:r w:rsidRPr="00B25BD9">
        <w:t xml:space="preserve">The proposed research </w:t>
      </w:r>
      <w:r>
        <w:t>is geared towards developing</w:t>
      </w:r>
      <w:r w:rsidRPr="00B25BD9">
        <w:t xml:space="preserve"> new data science methods to predict population behavior under a hurricane threat</w:t>
      </w:r>
      <w:r>
        <w:t>.</w:t>
      </w:r>
      <w:r w:rsidRPr="00B25BD9">
        <w:t xml:space="preserve"> </w:t>
      </w:r>
      <w:r w:rsidR="003A3EF8">
        <w:t>Evacuation decision making is a complex, dynamic process that depends on various temporal and spatial factors like hurricane path, intensity, projected trajectory and prevailing traffic conditions.</w:t>
      </w:r>
      <w:r w:rsidR="009F3896">
        <w:t xml:space="preserve"> M</w:t>
      </w:r>
      <w:r w:rsidR="003A3EF8">
        <w:t xml:space="preserve">odeling population </w:t>
      </w:r>
      <w:r w:rsidR="009F3896">
        <w:t xml:space="preserve">evacuation </w:t>
      </w:r>
      <w:r w:rsidR="003A3EF8">
        <w:t>behaviour using traditional data sources (like post-disaster survey) are not sensitive to such underlying contextual dynamic</w:t>
      </w:r>
      <w:r w:rsidR="003029C9">
        <w:t>s</w:t>
      </w:r>
      <w:r w:rsidR="003A3EF8">
        <w:t xml:space="preserve">. </w:t>
      </w:r>
      <w:r w:rsidR="00C0446E">
        <w:t xml:space="preserve">Social media data, on the other hand </w:t>
      </w:r>
      <w:r w:rsidR="003029C9">
        <w:t>offers</w:t>
      </w:r>
      <w:r w:rsidR="00C0446E">
        <w:t xml:space="preserve"> tremendous potential for understanding hurricane response due to its real time data availability and higher spatio-temporal coverage. </w:t>
      </w:r>
      <w:r w:rsidR="005447C8">
        <w:t>However, these data (social media) are prone to selection bias and representativeness issue and thus needs advanced filtering and fusion techniques to be reliably used for predicting large-scale population behavior, specially during disasters</w:t>
      </w:r>
      <w:r>
        <w:t>.</w:t>
      </w:r>
      <w:r w:rsidR="00C521FE">
        <w:t xml:space="preserve"> To that extent, the current analysis is focused on developing an innovative fusion technique to connect the social media users with traditional national survey respondents, thus providing more complete representation of user preferences and expected behaviours during hurricanes. </w:t>
      </w:r>
      <w:r w:rsidR="009B14E1">
        <w:t>In the current study context</w:t>
      </w:r>
      <w:r w:rsidR="00C521FE">
        <w:t xml:space="preserve">, </w:t>
      </w:r>
      <w:r w:rsidR="009E7D8B">
        <w:t xml:space="preserve">we collect large scale Twitter data </w:t>
      </w:r>
      <w:r w:rsidR="00CB140E">
        <w:t xml:space="preserve">for evacuation response </w:t>
      </w:r>
      <w:r w:rsidR="009B14E1">
        <w:t xml:space="preserve">during hurricane Irma </w:t>
      </w:r>
      <w:r w:rsidR="00CB140E">
        <w:t xml:space="preserve">and </w:t>
      </w:r>
      <w:bookmarkStart w:id="9" w:name="_Hlk154490219"/>
      <w:r w:rsidR="00CB140E">
        <w:t>augment the Twitter user with NHTS respondent</w:t>
      </w:r>
      <w:r w:rsidR="003029C9">
        <w:t>s</w:t>
      </w:r>
      <w:r w:rsidR="00CB140E">
        <w:t xml:space="preserve"> </w:t>
      </w:r>
      <w:r w:rsidR="00C521FE" w:rsidRPr="00C521FE">
        <w:t>based on behavioural similarity</w:t>
      </w:r>
      <w:r w:rsidR="00600D9B">
        <w:t>, thus creating a hybrid synthesize</w:t>
      </w:r>
      <w:r w:rsidR="00870795">
        <w:t>d</w:t>
      </w:r>
      <w:r w:rsidR="00600D9B">
        <w:t xml:space="preserve"> </w:t>
      </w:r>
      <w:r w:rsidR="00600D9B" w:rsidRPr="00C521FE">
        <w:t>dataset</w:t>
      </w:r>
      <w:r w:rsidR="00600D9B">
        <w:t xml:space="preserve"> with </w:t>
      </w:r>
      <w:r w:rsidR="00C521FE" w:rsidRPr="00C521FE">
        <w:t xml:space="preserve">real time evacuation information </w:t>
      </w:r>
      <w:r w:rsidR="00600D9B">
        <w:t>and</w:t>
      </w:r>
      <w:r w:rsidR="00C521FE" w:rsidRPr="00C521FE">
        <w:t xml:space="preserve"> representative population coverage</w:t>
      </w:r>
      <w:bookmarkEnd w:id="9"/>
      <w:r w:rsidR="00C521FE" w:rsidRPr="00C521FE">
        <w:t>.</w:t>
      </w:r>
    </w:p>
    <w:p w14:paraId="7B8DF292" w14:textId="52B70925" w:rsidR="00C50BB1" w:rsidRDefault="0014342B" w:rsidP="00C97500">
      <w:pPr>
        <w:ind w:firstLine="720"/>
      </w:pPr>
      <w:r w:rsidRPr="0014342B">
        <w:t xml:space="preserve">The fusion </w:t>
      </w:r>
      <w:r w:rsidR="000E7266">
        <w:t>process</w:t>
      </w:r>
      <w:r w:rsidR="000E7266" w:rsidRPr="0014342B">
        <w:t xml:space="preserve"> </w:t>
      </w:r>
      <w:r w:rsidRPr="0014342B">
        <w:t xml:space="preserve">is conducted </w:t>
      </w:r>
      <w:r>
        <w:t xml:space="preserve">using a </w:t>
      </w:r>
      <w:r w:rsidRPr="0014342B">
        <w:t>probabilistic matching method based on a set of common attributes</w:t>
      </w:r>
      <w:r>
        <w:t xml:space="preserve"> across NHTS and Twitter</w:t>
      </w:r>
      <w:r w:rsidRPr="0014342B">
        <w:t>.</w:t>
      </w:r>
      <w:r w:rsidRPr="0014342B">
        <w:rPr>
          <w:rFonts w:cs="Times New Roman"/>
          <w:lang w:val="en-US"/>
        </w:rPr>
        <w:t xml:space="preserve"> </w:t>
      </w:r>
      <w:r>
        <w:rPr>
          <w:rFonts w:cs="Times New Roman"/>
          <w:lang w:val="en-US"/>
        </w:rPr>
        <w:t xml:space="preserve">There are several common attributes between </w:t>
      </w:r>
      <w:r w:rsidR="003E3C1F">
        <w:rPr>
          <w:rFonts w:cs="Times New Roman"/>
          <w:lang w:val="en-US"/>
        </w:rPr>
        <w:t>these two</w:t>
      </w:r>
      <w:r>
        <w:rPr>
          <w:rFonts w:cs="Times New Roman"/>
          <w:lang w:val="en-US"/>
        </w:rPr>
        <w:t xml:space="preserve"> datasets including age, gender, ethnicity, income, educational attainment and presence of a </w:t>
      </w:r>
      <w:r w:rsidR="004E5306">
        <w:rPr>
          <w:rFonts w:cs="Times New Roman"/>
          <w:lang w:val="en-US"/>
        </w:rPr>
        <w:t>child</w:t>
      </w:r>
      <w:r>
        <w:rPr>
          <w:rFonts w:cs="Times New Roman"/>
          <w:lang w:val="en-US"/>
        </w:rPr>
        <w:t xml:space="preserve"> in the house.</w:t>
      </w:r>
      <w:r w:rsidR="00022094">
        <w:rPr>
          <w:rFonts w:cs="Times New Roman"/>
          <w:lang w:val="en-US"/>
        </w:rPr>
        <w:t xml:space="preserve"> Further, multiple twitter users can be matched with one NHTS respondent based on the similarity and hence, we employ a weight function to </w:t>
      </w:r>
      <w:r w:rsidR="00022094" w:rsidRPr="00B65400">
        <w:rPr>
          <w:rFonts w:cs="Times New Roman"/>
          <w:lang w:val="en-US"/>
        </w:rPr>
        <w:t xml:space="preserve">accommodate </w:t>
      </w:r>
      <w:r w:rsidR="00022094" w:rsidRPr="00B65400">
        <w:rPr>
          <w:rFonts w:cs="Times New Roman"/>
          <w:lang w:val="en-US"/>
        </w:rPr>
        <w:lastRenderedPageBreak/>
        <w:t>for the duplication</w:t>
      </w:r>
      <w:r w:rsidR="00022094">
        <w:rPr>
          <w:rFonts w:cs="Times New Roman"/>
          <w:lang w:val="en-US"/>
        </w:rPr>
        <w:t xml:space="preserve">. </w:t>
      </w:r>
      <w:r w:rsidR="003E3C1F">
        <w:rPr>
          <w:rFonts w:cs="Times New Roman"/>
          <w:lang w:val="en-US"/>
        </w:rPr>
        <w:t xml:space="preserve">The weight is estimated considering two approaches: 1) deterministic approach where all attributes and matching records are weighted equally, (1/K, for K repetitions) and 2) a probabilistic approach where </w:t>
      </w:r>
      <w:r w:rsidR="004C0959" w:rsidRPr="004C0959">
        <w:rPr>
          <w:rFonts w:cs="Times New Roman"/>
          <w:lang w:val="en-US"/>
        </w:rPr>
        <w:t xml:space="preserve">we relax </w:t>
      </w:r>
      <w:r w:rsidR="004C0959">
        <w:rPr>
          <w:rFonts w:cs="Times New Roman"/>
          <w:lang w:val="en-US"/>
        </w:rPr>
        <w:t>the</w:t>
      </w:r>
      <w:r w:rsidR="004C0959" w:rsidRPr="004C0959">
        <w:rPr>
          <w:rFonts w:cs="Times New Roman"/>
          <w:lang w:val="en-US"/>
        </w:rPr>
        <w:t xml:space="preserve"> equal weight assumption and allow the weight to vary across the fused record based on the similarity (dissimilarity) between the common variables present in both datasets that are not used for fusion.</w:t>
      </w:r>
      <w:r w:rsidR="00022094" w:rsidRPr="00022094">
        <w:rPr>
          <w:rFonts w:cs="Times New Roman"/>
        </w:rPr>
        <w:t xml:space="preserve"> </w:t>
      </w:r>
      <w:r w:rsidR="00022094">
        <w:rPr>
          <w:rFonts w:cs="Times New Roman"/>
        </w:rPr>
        <w:t>T</w:t>
      </w:r>
      <w:r w:rsidR="00022094">
        <w:rPr>
          <w:rFonts w:cs="Times New Roman"/>
          <w:lang w:val="en-US"/>
        </w:rPr>
        <w:t xml:space="preserve">he efficacy of the proposed </w:t>
      </w:r>
      <w:r w:rsidR="00022094">
        <w:rPr>
          <w:rFonts w:cs="Times New Roman"/>
        </w:rPr>
        <w:t xml:space="preserve">fusion </w:t>
      </w:r>
      <w:r w:rsidR="00022094">
        <w:rPr>
          <w:rFonts w:cs="Times New Roman"/>
          <w:lang w:val="en-US"/>
        </w:rPr>
        <w:t xml:space="preserve">method is rigorously tested with a well-crafted experimental design evaluating the influence of multiple independent variables for matching and fusing, fusion sample sizes and weight functions. </w:t>
      </w:r>
      <w:r w:rsidR="00D73DFB">
        <w:rPr>
          <w:rFonts w:cs="Times New Roman"/>
          <w:lang w:val="en-US"/>
        </w:rPr>
        <w:t xml:space="preserve">We estimate multiple models to serve as a benchmark and the model fit measures clearly highlight the </w:t>
      </w:r>
      <w:r w:rsidR="00D73DFB" w:rsidRPr="005276DD">
        <w:rPr>
          <w:rFonts w:cs="Times New Roman"/>
          <w:lang w:val="en-US"/>
        </w:rPr>
        <w:t>improvement in data fit for the evacuation model through the proposed fusion algorithm and the weighted contribution estimation</w:t>
      </w:r>
      <w:r w:rsidR="00D73DFB">
        <w:rPr>
          <w:rFonts w:cs="Times New Roman"/>
          <w:lang w:val="en-US"/>
        </w:rPr>
        <w:t xml:space="preserve">. Further, </w:t>
      </w:r>
      <w:r w:rsidR="00D73DFB">
        <w:t xml:space="preserve">the estimation results provide strong evidence that relevant variables from the NHTS dataset have significant impact on the evacuation behaviour. </w:t>
      </w:r>
      <w:r w:rsidR="00BA6079">
        <w:t xml:space="preserve">Moreover, to demonstrate the applicability of the fused model, we conduct a prediction assessment to </w:t>
      </w:r>
      <w:r w:rsidR="00BA6079" w:rsidRPr="00540C9F">
        <w:t>estimate the potential evacuation rates on a broader scale</w:t>
      </w:r>
      <w:r w:rsidR="007A36FE">
        <w:t xml:space="preserve"> (in the state of Florida)</w:t>
      </w:r>
      <w:r w:rsidR="00BA6079">
        <w:t xml:space="preserve"> considering all the three models and </w:t>
      </w:r>
      <w:r w:rsidR="00BA6079" w:rsidRPr="00BA6079">
        <w:t>compare these predictions with actual evacuation figures</w:t>
      </w:r>
      <w:r w:rsidR="00BA6079">
        <w:t>. T</w:t>
      </w:r>
      <w:r w:rsidR="00BA6079" w:rsidRPr="00BA6079">
        <w:t>he validation results further provide evidence on the enhanced explanatory power and predictive capability achieved through the proposed fusion algorithm and latent weight contribution in the context of evacuation modeling</w:t>
      </w:r>
      <w:r w:rsidR="007A36FE">
        <w:t>.</w:t>
      </w:r>
      <w:r w:rsidR="00AC76B7">
        <w:t xml:space="preserve"> </w:t>
      </w:r>
      <w:r w:rsidR="00AE6C33">
        <w:t xml:space="preserve">In summary, </w:t>
      </w:r>
      <w:r w:rsidR="00AE6C33" w:rsidRPr="00C97500">
        <w:t xml:space="preserve">by merging real-time Twitter data with </w:t>
      </w:r>
      <w:r w:rsidR="00AE6C33">
        <w:t>NHTS</w:t>
      </w:r>
      <w:r w:rsidR="00AE6C33" w:rsidRPr="00C97500">
        <w:t xml:space="preserve"> data</w:t>
      </w:r>
      <w:r w:rsidR="00AE6C33">
        <w:t xml:space="preserve">, we develop a model to estimate </w:t>
      </w:r>
      <w:r w:rsidR="00AE6C33" w:rsidRPr="00C97500">
        <w:t>evacuation responses</w:t>
      </w:r>
      <w:r w:rsidR="00AE6C33">
        <w:t xml:space="preserve"> in real time (from Twitter)</w:t>
      </w:r>
      <w:r w:rsidR="003029C9">
        <w:t>.</w:t>
      </w:r>
      <w:r w:rsidR="00AE6C33">
        <w:t xml:space="preserve"> </w:t>
      </w:r>
      <w:r w:rsidR="003029C9">
        <w:t xml:space="preserve">Drawing on </w:t>
      </w:r>
      <w:r w:rsidR="00AE6C33">
        <w:t xml:space="preserve">population weights from NHTS data, </w:t>
      </w:r>
      <w:r w:rsidR="003029C9">
        <w:t xml:space="preserve">the approach </w:t>
      </w:r>
      <w:r w:rsidR="00AE6C33">
        <w:t>provid</w:t>
      </w:r>
      <w:r w:rsidR="003029C9">
        <w:t>e</w:t>
      </w:r>
      <w:r w:rsidR="003F32CC">
        <w:t>s</w:t>
      </w:r>
      <w:r w:rsidR="00AE6C33">
        <w:t xml:space="preserve"> a complete picture of the evacuation behaviour of the population as well as improve the quality of the evacuation prediction model. </w:t>
      </w:r>
    </w:p>
    <w:p w14:paraId="17B534B8" w14:textId="564E84C6" w:rsidR="00DB4BFF" w:rsidRDefault="00DB4BFF" w:rsidP="00B858C9">
      <w:pPr>
        <w:ind w:firstLine="720"/>
        <w:rPr>
          <w:rFonts w:cs="Times New Roman"/>
        </w:rPr>
      </w:pPr>
      <w:r>
        <w:t xml:space="preserve">Findings of this research can help facilitate improved decision making for emergency agencies in hurricane evacuation and disaster management. The improvements will have substantial societal and financial benefits by reducing loss of lives and resources during </w:t>
      </w:r>
      <w:r w:rsidR="003D1F2A">
        <w:t>hurricanes.</w:t>
      </w:r>
      <w:r w:rsidR="003D1F2A" w:rsidRPr="003D1F2A">
        <w:t xml:space="preserve"> In future research, the analysis could be extended to explore the joint decision of evacuation as well as the timing dynamics. This could offer a comprehensive understanding of evacuation behavior during emergency scenarios, enhancing the overall effectiveness of emergency management strategies</w:t>
      </w:r>
      <w:r w:rsidR="005F663C">
        <w:t xml:space="preserve">. </w:t>
      </w:r>
      <w:r w:rsidR="0055004D">
        <w:t>Further, t</w:t>
      </w:r>
      <w:r w:rsidR="0055004D" w:rsidRPr="0055004D">
        <w:t>he research findings can be integrated with agent-based travel demand modeling software to generate evacuation rates for the entire state or urban region. However, it would be useful to consider data from multiple hurricanes to represent hurricane specific information (such as intensity, wind speed and path) on evacuation decisions. This will be a fruitful avenue for future research</w:t>
      </w:r>
      <w:r w:rsidR="0055004D">
        <w:t xml:space="preserve">. </w:t>
      </w:r>
      <w:r>
        <w:t>In addition, this impact is not limited to hurricanes or specific geography only. By</w:t>
      </w:r>
      <w:r w:rsidR="005F663C">
        <w:t xml:space="preserve"> </w:t>
      </w:r>
      <w:r>
        <w:t>synthesizing multiple datasets augmenting our knowledge and how to incorporate it in developing predictive models, it is possible to build applications for other disasters such as wildfire and flood evacuations. In all these disaster contexts, the need to predict real-time population dynamics naturally arises. Finally, the proposed research will also contribute to the methodological advances in data science that are relevant across various fields.</w:t>
      </w:r>
      <w:r w:rsidRPr="00DB4BFF">
        <w:rPr>
          <w:rFonts w:cs="Times New Roman"/>
        </w:rPr>
        <w:t xml:space="preserve"> </w:t>
      </w:r>
      <w:r w:rsidR="00E13B1E" w:rsidRPr="00E13B1E">
        <w:rPr>
          <w:rFonts w:cs="Times New Roman"/>
        </w:rPr>
        <w:t>In our analysis, we employed Twitter as the source for evacuation data. It is possible that due to the changes in how Twitter data is shared, other researchers might not be able to access similar data in the future. However, the methods proposed in the paper can be applied to other data including location-based smart phone data and data from other social media platforms such as Facebook’s “Data for Good” resource</w:t>
      </w:r>
      <w:r w:rsidR="002928C9">
        <w:rPr>
          <w:rFonts w:cs="Times New Roman"/>
        </w:rPr>
        <w:t xml:space="preserve"> (Meta, 2023)</w:t>
      </w:r>
      <w:r w:rsidR="00E13B1E">
        <w:rPr>
          <w:rFonts w:cs="Times New Roman"/>
        </w:rPr>
        <w:t xml:space="preserve">. </w:t>
      </w:r>
      <w:r w:rsidR="00E13B1E" w:rsidRPr="00E13B1E">
        <w:rPr>
          <w:rFonts w:cs="Times New Roman"/>
        </w:rPr>
        <w:t xml:space="preserve"> </w:t>
      </w:r>
      <w:r w:rsidR="00E13B1E">
        <w:rPr>
          <w:rFonts w:cs="Times New Roman"/>
        </w:rPr>
        <w:t xml:space="preserve">Another </w:t>
      </w:r>
      <w:r>
        <w:rPr>
          <w:rFonts w:cs="Times New Roman"/>
        </w:rPr>
        <w:t xml:space="preserve">important application area is in the transportation planning field where travel demand analysis is conducted while relying on household travel survey data. However, these survey data come with limited spatial coverage as well as are resource intensive. We can apply our fusion algorithm to combine the survey data with </w:t>
      </w:r>
      <w:r w:rsidR="00BE46B3" w:rsidRPr="00BE46B3">
        <w:rPr>
          <w:rFonts w:cs="Times New Roman"/>
        </w:rPr>
        <w:t xml:space="preserve">location-based services </w:t>
      </w:r>
      <w:r w:rsidR="00BE46B3">
        <w:rPr>
          <w:rFonts w:cs="Times New Roman"/>
        </w:rPr>
        <w:t>(</w:t>
      </w:r>
      <w:r>
        <w:rPr>
          <w:rFonts w:cs="Times New Roman"/>
        </w:rPr>
        <w:t>LBS</w:t>
      </w:r>
      <w:r w:rsidR="00BE46B3">
        <w:rPr>
          <w:rFonts w:cs="Times New Roman"/>
        </w:rPr>
        <w:t>)</w:t>
      </w:r>
      <w:r>
        <w:rPr>
          <w:rFonts w:cs="Times New Roman"/>
        </w:rPr>
        <w:t xml:space="preserve"> data and create a fused dataset that offers improved spatiotemporal coverage and a comprehensive list of variables for developing the travel demand framework.  </w:t>
      </w:r>
    </w:p>
    <w:p w14:paraId="77B45F94" w14:textId="77777777" w:rsidR="00206396" w:rsidRDefault="00206396" w:rsidP="00DB4BFF"/>
    <w:p w14:paraId="1234E164" w14:textId="545D42ED" w:rsidR="00206396" w:rsidRPr="00A770A2" w:rsidRDefault="00206396" w:rsidP="00206396">
      <w:pPr>
        <w:pStyle w:val="Heading1"/>
      </w:pPr>
      <w:r w:rsidRPr="00A770A2">
        <w:lastRenderedPageBreak/>
        <w:t>ACKNOWLDGMENT</w:t>
      </w:r>
    </w:p>
    <w:p w14:paraId="18DD5385" w14:textId="030144A6" w:rsidR="00206396" w:rsidRDefault="00206396" w:rsidP="0067653C">
      <w:r w:rsidRPr="00A770A2">
        <w:t xml:space="preserve">This study was supported by the U.S. National Science Foundation through the grant CMMI </w:t>
      </w:r>
      <w:r w:rsidR="0067653C" w:rsidRPr="00A770A2">
        <w:t>#1917019 titled as “Collaborative Research: Predicting Real-time Population Behavior during Hurricanes Synthesizing Data from Transportation Systems and Social Media”</w:t>
      </w:r>
      <w:r w:rsidRPr="00A770A2">
        <w:t>. However, the authors are solely responsible for the facts and accuracy of the information presented in the paper.</w:t>
      </w:r>
    </w:p>
    <w:p w14:paraId="2538742B" w14:textId="0EC875F5" w:rsidR="00C8588A" w:rsidRDefault="00C8588A" w:rsidP="00206396"/>
    <w:p w14:paraId="7AF89E17" w14:textId="77777777" w:rsidR="00C8588A" w:rsidRPr="00F27EA8" w:rsidRDefault="00C8588A" w:rsidP="00C8588A">
      <w:pPr>
        <w:pStyle w:val="Heading1"/>
        <w:ind w:left="432" w:hanging="432"/>
      </w:pPr>
      <w:r w:rsidRPr="00F27EA8">
        <w:t>AUTHOR CONTRIBUTION STATEMENT</w:t>
      </w:r>
    </w:p>
    <w:p w14:paraId="2ED5D5A4" w14:textId="350F388B" w:rsidR="00C8588A" w:rsidRDefault="00C8588A" w:rsidP="00C8588A">
      <w:r w:rsidRPr="00F27EA8">
        <w:t xml:space="preserve">The authors confirm contribution to the paper as follows: study conception and design: </w:t>
      </w:r>
      <w:r>
        <w:t>Naveen Eluru, Samiul Hasan</w:t>
      </w:r>
      <w:r w:rsidR="0039505A">
        <w:t xml:space="preserve">, </w:t>
      </w:r>
      <w:r>
        <w:t>Tanmoy Bhowmik</w:t>
      </w:r>
      <w:r w:rsidR="0039505A">
        <w:t xml:space="preserve"> and Aron Culotta</w:t>
      </w:r>
      <w:r w:rsidRPr="00F27EA8">
        <w:t>; data collection:</w:t>
      </w:r>
      <w:r>
        <w:t xml:space="preserve"> </w:t>
      </w:r>
      <w:r w:rsidR="00137995">
        <w:t xml:space="preserve">Aron Culotta, Tanmoy Bhowmik, </w:t>
      </w:r>
      <w:r>
        <w:t>Samiul Hasan,</w:t>
      </w:r>
      <w:r w:rsidR="00C32692">
        <w:t xml:space="preserve"> </w:t>
      </w:r>
      <w:r>
        <w:t>Naveen Eluru</w:t>
      </w:r>
      <w:r w:rsidR="002323BC">
        <w:t>, Kamol Roy</w:t>
      </w:r>
      <w:r w:rsidRPr="00F27EA8">
        <w:t>;</w:t>
      </w:r>
      <w:r>
        <w:t xml:space="preserve"> model estimation and validation: Tanmoy Bhowmik, Naveen Eluru, Samiul Hasan</w:t>
      </w:r>
      <w:r w:rsidRPr="007D29E0">
        <w:t>;</w:t>
      </w:r>
      <w:r w:rsidRPr="00F27EA8">
        <w:t xml:space="preserve"> analysis and interpretation of results: </w:t>
      </w:r>
      <w:r>
        <w:t>Tanmoy Bhowmik, Naveen Eluru,</w:t>
      </w:r>
      <w:r w:rsidRPr="00192D57">
        <w:t xml:space="preserve"> </w:t>
      </w:r>
      <w:r>
        <w:t>Samiul Hasan</w:t>
      </w:r>
      <w:r w:rsidRPr="00F27EA8">
        <w:t xml:space="preserve">; draft manuscript preparation: </w:t>
      </w:r>
      <w:r>
        <w:t>Tanmoy Bhowmik, Naveen Eluru,</w:t>
      </w:r>
      <w:r w:rsidRPr="00B9721B">
        <w:t xml:space="preserve"> </w:t>
      </w:r>
      <w:r>
        <w:t>Samiul Hasan</w:t>
      </w:r>
      <w:r w:rsidR="00ED773A">
        <w:t>, Aron Culotta</w:t>
      </w:r>
      <w:r w:rsidR="002323BC">
        <w:t>, Kamol Roy</w:t>
      </w:r>
      <w:r w:rsidRPr="00F27EA8">
        <w:t>. All authors reviewed the results and approved the final version of the manuscript.</w:t>
      </w:r>
    </w:p>
    <w:p w14:paraId="323314A5" w14:textId="77777777" w:rsidR="001C4600" w:rsidRDefault="001C4600" w:rsidP="00A97446"/>
    <w:p w14:paraId="5FA1BF62" w14:textId="22E057B1" w:rsidR="00AD57EC" w:rsidRDefault="00AD57EC" w:rsidP="00AD57EC">
      <w:pPr>
        <w:pStyle w:val="Heading1"/>
      </w:pPr>
      <w:r>
        <w:t>REFERENCES</w:t>
      </w:r>
    </w:p>
    <w:p w14:paraId="2534B81D" w14:textId="41B3BA6A" w:rsidR="003C7103" w:rsidRDefault="003C7103" w:rsidP="003C7103">
      <w:pPr>
        <w:widowControl w:val="0"/>
        <w:autoSpaceDE w:val="0"/>
        <w:autoSpaceDN w:val="0"/>
        <w:adjustRightInd w:val="0"/>
        <w:ind w:left="480" w:hanging="480"/>
      </w:pPr>
      <w:proofErr w:type="spellStart"/>
      <w:r>
        <w:t>Beiró</w:t>
      </w:r>
      <w:proofErr w:type="spellEnd"/>
      <w:r>
        <w:t xml:space="preserve">, M.G., </w:t>
      </w:r>
      <w:proofErr w:type="spellStart"/>
      <w:r>
        <w:t>Panisson</w:t>
      </w:r>
      <w:proofErr w:type="spellEnd"/>
      <w:r>
        <w:t xml:space="preserve">, A., </w:t>
      </w:r>
      <w:proofErr w:type="spellStart"/>
      <w:r>
        <w:t>Tizzoni</w:t>
      </w:r>
      <w:proofErr w:type="spellEnd"/>
      <w:r>
        <w:t xml:space="preserve">, M., </w:t>
      </w:r>
      <w:proofErr w:type="spellStart"/>
      <w:r>
        <w:t>Cattuto</w:t>
      </w:r>
      <w:proofErr w:type="spellEnd"/>
      <w:r>
        <w:t xml:space="preserve">, C., 2016. Predicting human mobility through the assimilation of social media traces into mobility models. </w:t>
      </w:r>
      <w:r w:rsidR="00622F67" w:rsidRPr="00622F67">
        <w:t>EPJ Data Science</w:t>
      </w:r>
      <w:r w:rsidR="00BF039D">
        <w:t>,</w:t>
      </w:r>
      <w:r>
        <w:t xml:space="preserve"> 5 </w:t>
      </w:r>
      <w:r w:rsidR="00BF039D">
        <w:t>(</w:t>
      </w:r>
      <w:r>
        <w:t>1</w:t>
      </w:r>
      <w:r w:rsidR="00BF039D">
        <w:t>)</w:t>
      </w:r>
      <w:r>
        <w:t xml:space="preserve"> . doi:10.1140/</w:t>
      </w:r>
      <w:proofErr w:type="spellStart"/>
      <w:r>
        <w:t>epjds</w:t>
      </w:r>
      <w:proofErr w:type="spellEnd"/>
      <w:r>
        <w:t>/s13688-016-0092-2</w:t>
      </w:r>
    </w:p>
    <w:p w14:paraId="7287F671" w14:textId="75F43498" w:rsidR="003C7103" w:rsidRDefault="003C7103" w:rsidP="003C7103">
      <w:pPr>
        <w:widowControl w:val="0"/>
        <w:autoSpaceDE w:val="0"/>
        <w:autoSpaceDN w:val="0"/>
        <w:adjustRightInd w:val="0"/>
        <w:ind w:left="480" w:hanging="480"/>
      </w:pPr>
      <w:r>
        <w:t xml:space="preserve">Bhowmik, T., Iraganaboina, N.C., Eluru, N., 2023. A Novel Maximum Likelihood Based Probabilistic Behavioral Data Fusion Algorithm for Modeling Residential Energy Consumption. Under Review in </w:t>
      </w:r>
      <w:r w:rsidR="00B27506" w:rsidRPr="00B27506">
        <w:t>PLOS ONE</w:t>
      </w:r>
      <w:r>
        <w:t>.</w:t>
      </w:r>
    </w:p>
    <w:p w14:paraId="650638F2" w14:textId="00254498" w:rsidR="003C7103" w:rsidRDefault="003C7103" w:rsidP="003C7103">
      <w:pPr>
        <w:widowControl w:val="0"/>
        <w:autoSpaceDE w:val="0"/>
        <w:autoSpaceDN w:val="0"/>
        <w:adjustRightInd w:val="0"/>
        <w:ind w:left="480" w:hanging="480"/>
      </w:pPr>
      <w:r>
        <w:t xml:space="preserve">Bi, H., Ye, Z., 2021. Exploring </w:t>
      </w:r>
      <w:proofErr w:type="spellStart"/>
      <w:r>
        <w:t>ridesourcing</w:t>
      </w:r>
      <w:proofErr w:type="spellEnd"/>
      <w:r>
        <w:t xml:space="preserve"> trip patterns by fusing multi-source data: A big data approach. </w:t>
      </w:r>
      <w:r w:rsidR="00B27506" w:rsidRPr="00B27506">
        <w:t>Sustainable Cities and Society</w:t>
      </w:r>
      <w:r w:rsidR="00B27506">
        <w:t>,</w:t>
      </w:r>
      <w:r>
        <w:t xml:space="preserve"> 64, 102499. doi:10.1016/j.scs.2020.102499</w:t>
      </w:r>
    </w:p>
    <w:p w14:paraId="3AC38B55" w14:textId="6C3C47CC" w:rsidR="003C7103" w:rsidRDefault="003C7103" w:rsidP="003C7103">
      <w:pPr>
        <w:widowControl w:val="0"/>
        <w:autoSpaceDE w:val="0"/>
        <w:autoSpaceDN w:val="0"/>
        <w:adjustRightInd w:val="0"/>
        <w:ind w:left="480" w:hanging="480"/>
      </w:pPr>
      <w:r>
        <w:t xml:space="preserve">Bohte, W., Maat, K., 2009. Deriving and validating trip purposes and travel modes for multi-day GPS-based travel surveys: A large-scale application in the Netherlands. </w:t>
      </w:r>
      <w:r w:rsidR="00237CB0" w:rsidRPr="00237CB0">
        <w:t>Transportation Research Part C: Emerging Technologies</w:t>
      </w:r>
      <w:r w:rsidR="00BF039D">
        <w:t>,</w:t>
      </w:r>
      <w:r>
        <w:t xml:space="preserve"> 17</w:t>
      </w:r>
      <w:r w:rsidR="00BF039D">
        <w:t>(</w:t>
      </w:r>
      <w:r>
        <w:t>3</w:t>
      </w:r>
      <w:r w:rsidR="00BF039D">
        <w:t>)</w:t>
      </w:r>
      <w:r>
        <w:t xml:space="preserve"> , 285–297. doi:10.1016/j.trc.2008.11.004</w:t>
      </w:r>
    </w:p>
    <w:p w14:paraId="7AC51989" w14:textId="77777777" w:rsidR="003C7103" w:rsidRDefault="003C7103" w:rsidP="003C7103">
      <w:pPr>
        <w:widowControl w:val="0"/>
        <w:autoSpaceDE w:val="0"/>
        <w:autoSpaceDN w:val="0"/>
        <w:adjustRightInd w:val="0"/>
        <w:ind w:left="480" w:hanging="480"/>
      </w:pPr>
      <w:r>
        <w:t>Culotta, A., Ravi, N.K., Cutler, J., 2015. Predicting the demographics of Twitter users from website traffic data, in: Proceedings of the National Conference on Artificial Intelligence. pp. 72–78. doi:10.1609/aaai.v29i1.9204</w:t>
      </w:r>
    </w:p>
    <w:p w14:paraId="76719EEB" w14:textId="2AAFD352" w:rsidR="003C7103" w:rsidRDefault="003C7103" w:rsidP="003C7103">
      <w:pPr>
        <w:widowControl w:val="0"/>
        <w:autoSpaceDE w:val="0"/>
        <w:autoSpaceDN w:val="0"/>
        <w:adjustRightInd w:val="0"/>
        <w:ind w:left="480" w:hanging="480"/>
      </w:pPr>
      <w:r>
        <w:t xml:space="preserve">Culotta, A., Ravi, N.K., Cutler, J., 2016. Predicting twitter user demographics using distant supervision from website traffic data. </w:t>
      </w:r>
      <w:r w:rsidR="00116E49" w:rsidRPr="00116E49">
        <w:t>Journal of Artificial Intelligence Research</w:t>
      </w:r>
      <w:r w:rsidR="00116E49">
        <w:t>,</w:t>
      </w:r>
      <w:r>
        <w:t xml:space="preserve"> 55, 389–408. doi:10.1613/jair.4935</w:t>
      </w:r>
    </w:p>
    <w:p w14:paraId="55D6AA0B" w14:textId="5E403005" w:rsidR="00116E49" w:rsidRDefault="00116E49" w:rsidP="003C7103">
      <w:pPr>
        <w:widowControl w:val="0"/>
        <w:autoSpaceDE w:val="0"/>
        <w:autoSpaceDN w:val="0"/>
        <w:adjustRightInd w:val="0"/>
        <w:ind w:left="480" w:hanging="480"/>
      </w:pPr>
      <w:r w:rsidRPr="00116E49">
        <w:t>Dash, N., &amp; Gladwin, H. (2007). Evacuation decision making and behavioral responses: Individual and household. Natural hazards review, 8(3), 69-77.</w:t>
      </w:r>
    </w:p>
    <w:p w14:paraId="63DD427B" w14:textId="77777777" w:rsidR="003C7103" w:rsidRDefault="003C7103" w:rsidP="003C7103">
      <w:pPr>
        <w:widowControl w:val="0"/>
        <w:autoSpaceDE w:val="0"/>
        <w:autoSpaceDN w:val="0"/>
        <w:adjustRightInd w:val="0"/>
        <w:ind w:left="480" w:hanging="480"/>
      </w:pPr>
      <w:r>
        <w:t>Data Fusion - an overview | ScienceDirect Topics [WWW Document], n.d. URL https://www.sciencedirect.com/topics/computer-science/data-fusion (accessed 7.24.21).</w:t>
      </w:r>
    </w:p>
    <w:p w14:paraId="545BE601" w14:textId="77777777" w:rsidR="00AA4AD7" w:rsidRDefault="00AA4AD7" w:rsidP="003C7103">
      <w:pPr>
        <w:widowControl w:val="0"/>
        <w:autoSpaceDE w:val="0"/>
        <w:autoSpaceDN w:val="0"/>
        <w:adjustRightInd w:val="0"/>
        <w:ind w:left="480" w:hanging="480"/>
      </w:pPr>
      <w:r w:rsidRPr="00AA4AD7">
        <w:t xml:space="preserve">Davidson, R. A., Nozick, L. K., </w:t>
      </w:r>
      <w:proofErr w:type="spellStart"/>
      <w:r w:rsidRPr="00AA4AD7">
        <w:t>Wachtendorf</w:t>
      </w:r>
      <w:proofErr w:type="spellEnd"/>
      <w:r w:rsidRPr="00AA4AD7">
        <w:t>, T., Blanton, B., Colle, B., Kolar, R. L., ... &amp; Leonardo, N. (2020). An integrated scenario ensemble‐based framework for hurricane evacuation modeling: Part 1—Decision support system. Risk analysis, 40(1), 97-116.</w:t>
      </w:r>
    </w:p>
    <w:p w14:paraId="69EDCD68" w14:textId="77777777" w:rsidR="00283102" w:rsidRDefault="00283102" w:rsidP="003C7103">
      <w:pPr>
        <w:widowControl w:val="0"/>
        <w:autoSpaceDE w:val="0"/>
        <w:autoSpaceDN w:val="0"/>
        <w:adjustRightInd w:val="0"/>
        <w:ind w:left="480" w:hanging="480"/>
      </w:pPr>
      <w:r w:rsidRPr="00283102">
        <w:t>Dixon, D. S., Mozumder, P., Vásquez, W. F., &amp; Gladwin, H. (2017). Heterogeneity within and across households in hurricane evacuation response. Networks and Spatial Economics, 17, 645-680.</w:t>
      </w:r>
    </w:p>
    <w:p w14:paraId="5A79B786" w14:textId="77777777" w:rsidR="00D01536" w:rsidRDefault="00D01536" w:rsidP="003C7103">
      <w:pPr>
        <w:widowControl w:val="0"/>
        <w:autoSpaceDE w:val="0"/>
        <w:autoSpaceDN w:val="0"/>
        <w:adjustRightInd w:val="0"/>
        <w:ind w:left="480" w:hanging="480"/>
      </w:pPr>
      <w:r w:rsidRPr="00D01536">
        <w:t xml:space="preserve">Duan, Y., </w:t>
      </w:r>
      <w:proofErr w:type="spellStart"/>
      <w:r w:rsidRPr="00D01536">
        <w:t>Yisheng</w:t>
      </w:r>
      <w:proofErr w:type="spellEnd"/>
      <w:r w:rsidRPr="00D01536">
        <w:t>, L. V., &amp; Wang, F. Y. (2016, November). Travel time prediction with LSTM neural network. In 2016 IEEE 19th international conference on intelligent transportation systems (ITSC) (pp. 1053-1058). IEEE.</w:t>
      </w:r>
    </w:p>
    <w:p w14:paraId="67E64F43" w14:textId="4FA90B81" w:rsidR="003C7103" w:rsidRDefault="00FE7243" w:rsidP="003C7103">
      <w:pPr>
        <w:widowControl w:val="0"/>
        <w:autoSpaceDE w:val="0"/>
        <w:autoSpaceDN w:val="0"/>
        <w:adjustRightInd w:val="0"/>
        <w:ind w:left="480" w:hanging="480"/>
      </w:pPr>
      <w:proofErr w:type="spellStart"/>
      <w:r>
        <w:t>FirstCoast</w:t>
      </w:r>
      <w:proofErr w:type="spellEnd"/>
      <w:r w:rsidR="003C7103">
        <w:t xml:space="preserve"> News 2022, 25% of Floridians won’t evacuate their homes for a hurricane | firstcoastnews.com [WWW Document]. URL </w:t>
      </w:r>
      <w:hyperlink r:id="rId30" w:history="1">
        <w:r w:rsidRPr="00C45694">
          <w:rPr>
            <w:rStyle w:val="Hyperlink"/>
          </w:rPr>
          <w:t>https://www.firstcoastnews.com/article/news/local/survey-25-percent-of-floridians-wont-evacuate-their-homes-for-hurricane/77-980465d8-54d0-4cd1-a866-6b332e2b2755</w:t>
        </w:r>
      </w:hyperlink>
      <w:r>
        <w:t xml:space="preserve"> </w:t>
      </w:r>
      <w:r w:rsidR="003C7103">
        <w:t xml:space="preserve"> (accessed 7.19.22).</w:t>
      </w:r>
    </w:p>
    <w:p w14:paraId="6E6BD3DF" w14:textId="77777777" w:rsidR="00E1428B" w:rsidRDefault="00E1428B" w:rsidP="003C7103">
      <w:pPr>
        <w:widowControl w:val="0"/>
        <w:autoSpaceDE w:val="0"/>
        <w:autoSpaceDN w:val="0"/>
        <w:adjustRightInd w:val="0"/>
        <w:ind w:left="480" w:hanging="480"/>
      </w:pPr>
      <w:r w:rsidRPr="00E1428B">
        <w:t xml:space="preserve">Gladwin, C. H., Gladwin, H., &amp; Peacock, W. G. (2001). Modeling hurricane </w:t>
      </w:r>
      <w:proofErr w:type="spellStart"/>
      <w:r w:rsidRPr="00E1428B">
        <w:t>evacutaion</w:t>
      </w:r>
      <w:proofErr w:type="spellEnd"/>
      <w:r w:rsidRPr="00E1428B">
        <w:t xml:space="preserve"> decisions with ethnographic methods. International Journal of Mass Emergencies &amp; Disasters, 19(2), 117-143.</w:t>
      </w:r>
    </w:p>
    <w:p w14:paraId="7E15E12F" w14:textId="77777777" w:rsidR="00E1428B" w:rsidRDefault="00E1428B" w:rsidP="003C7103">
      <w:pPr>
        <w:widowControl w:val="0"/>
        <w:autoSpaceDE w:val="0"/>
        <w:autoSpaceDN w:val="0"/>
        <w:adjustRightInd w:val="0"/>
        <w:ind w:left="480" w:hanging="480"/>
      </w:pPr>
      <w:r w:rsidRPr="00E1428B">
        <w:t>Greaves, S. P. (2006). Simulating household travel survey data. In Travel Survey Methods: Quality and Future Directions (pp. 625-650). Emerald Group Publishing Limited.</w:t>
      </w:r>
    </w:p>
    <w:p w14:paraId="2B3DA839" w14:textId="77777777" w:rsidR="00E1428B" w:rsidRDefault="00E1428B" w:rsidP="003C7103">
      <w:pPr>
        <w:widowControl w:val="0"/>
        <w:autoSpaceDE w:val="0"/>
        <w:autoSpaceDN w:val="0"/>
        <w:adjustRightInd w:val="0"/>
        <w:ind w:left="480" w:hanging="480"/>
      </w:pPr>
      <w:r w:rsidRPr="00E1428B">
        <w:t xml:space="preserve">Guan, X., Chen, C., &amp; Work, D. (2016). Tracking the evolution of infrastructure systems and mass responses using </w:t>
      </w:r>
      <w:proofErr w:type="spellStart"/>
      <w:r w:rsidRPr="00E1428B">
        <w:t>publically</w:t>
      </w:r>
      <w:proofErr w:type="spellEnd"/>
      <w:r w:rsidRPr="00E1428B">
        <w:t xml:space="preserve"> available data. </w:t>
      </w:r>
      <w:proofErr w:type="spellStart"/>
      <w:r w:rsidRPr="00E1428B">
        <w:t>PloS</w:t>
      </w:r>
      <w:proofErr w:type="spellEnd"/>
      <w:r w:rsidRPr="00E1428B">
        <w:t xml:space="preserve"> one, 11(12), e0167267.</w:t>
      </w:r>
    </w:p>
    <w:p w14:paraId="64AD6412" w14:textId="77777777" w:rsidR="00E10B93" w:rsidRDefault="00E10B93" w:rsidP="003C7103">
      <w:pPr>
        <w:widowControl w:val="0"/>
        <w:autoSpaceDE w:val="0"/>
        <w:autoSpaceDN w:val="0"/>
        <w:adjustRightInd w:val="0"/>
        <w:ind w:left="480" w:hanging="480"/>
      </w:pPr>
      <w:r w:rsidRPr="00E10B93">
        <w:t>Hasan, S. A Behavioral Model to Understand Household Level Hurricane Evacuation Decision Making (Doctoral dissertation, Virginia Tech).</w:t>
      </w:r>
    </w:p>
    <w:p w14:paraId="7F5F53A1" w14:textId="1D190A50" w:rsidR="00FF2F98" w:rsidRDefault="00FF2F98" w:rsidP="003C7103">
      <w:pPr>
        <w:widowControl w:val="0"/>
        <w:autoSpaceDE w:val="0"/>
        <w:autoSpaceDN w:val="0"/>
        <w:adjustRightInd w:val="0"/>
        <w:ind w:left="480" w:hanging="480"/>
      </w:pPr>
      <w:r w:rsidRPr="00FF2F98">
        <w:t xml:space="preserve">Hasan, S., &amp; </w:t>
      </w:r>
      <w:proofErr w:type="spellStart"/>
      <w:r w:rsidRPr="00FF2F98">
        <w:t>Foliente</w:t>
      </w:r>
      <w:proofErr w:type="spellEnd"/>
      <w:r w:rsidRPr="00FF2F98">
        <w:t>, G. (2015). Modeling infrastructure system interdependencies and socioeconomic impacts of failure in extreme events: emerging R&amp;D challenges. Natural Hazards, 78(3), 2143-2168.</w:t>
      </w:r>
    </w:p>
    <w:p w14:paraId="4782C556" w14:textId="77777777" w:rsidR="00FF2F98" w:rsidRDefault="00FF2F98" w:rsidP="003C7103">
      <w:pPr>
        <w:widowControl w:val="0"/>
        <w:autoSpaceDE w:val="0"/>
        <w:autoSpaceDN w:val="0"/>
        <w:adjustRightInd w:val="0"/>
        <w:ind w:left="480" w:hanging="480"/>
      </w:pPr>
      <w:r w:rsidRPr="00FF2F98">
        <w:t xml:space="preserve">Hasan, S., Mesa-Arango, R., &amp; </w:t>
      </w:r>
      <w:proofErr w:type="spellStart"/>
      <w:r w:rsidRPr="00FF2F98">
        <w:t>Ukkusuri</w:t>
      </w:r>
      <w:proofErr w:type="spellEnd"/>
      <w:r w:rsidRPr="00FF2F98">
        <w:t>, S. (2013). A random-parameter hazard-based model to understand household evacuation timing behavior. Transportation research part C: emerging technologies, 27, 108-116.</w:t>
      </w:r>
    </w:p>
    <w:p w14:paraId="7B8E9195" w14:textId="77777777" w:rsidR="00FF2F98" w:rsidRDefault="00FF2F98" w:rsidP="003C7103">
      <w:pPr>
        <w:widowControl w:val="0"/>
        <w:autoSpaceDE w:val="0"/>
        <w:autoSpaceDN w:val="0"/>
        <w:adjustRightInd w:val="0"/>
        <w:ind w:left="480" w:hanging="480"/>
      </w:pPr>
      <w:r w:rsidRPr="00FF2F98">
        <w:t xml:space="preserve">Hasan, S., Mesa-Arango, R., </w:t>
      </w:r>
      <w:proofErr w:type="spellStart"/>
      <w:r w:rsidRPr="00FF2F98">
        <w:t>Ukkusuri</w:t>
      </w:r>
      <w:proofErr w:type="spellEnd"/>
      <w:r w:rsidRPr="00FF2F98">
        <w:t>, S., &amp; Murray-Tuite, P. (2012). Transferability of hurricane evacuation choice model: Joint model estimation combining multiple data sources. Journal of transportation engineering, 138(5), 548-556.</w:t>
      </w:r>
    </w:p>
    <w:p w14:paraId="613375B3" w14:textId="77777777" w:rsidR="00FF2F98" w:rsidRDefault="00FF2F98" w:rsidP="003C7103">
      <w:pPr>
        <w:widowControl w:val="0"/>
        <w:autoSpaceDE w:val="0"/>
        <w:autoSpaceDN w:val="0"/>
        <w:adjustRightInd w:val="0"/>
        <w:ind w:left="480" w:hanging="480"/>
      </w:pPr>
      <w:r w:rsidRPr="00FF2F98">
        <w:t xml:space="preserve">Hasan, S., </w:t>
      </w:r>
      <w:proofErr w:type="spellStart"/>
      <w:r w:rsidRPr="00FF2F98">
        <w:t>Ukkusuri</w:t>
      </w:r>
      <w:proofErr w:type="spellEnd"/>
      <w:r w:rsidRPr="00FF2F98">
        <w:t>, S., Gladwin, H., &amp; Murray-Tuite, P. (2011). Behavioral model to understand household-level hurricane evacuation decision making. Journal of Transportation Engineering, 137(5), 341-348.</w:t>
      </w:r>
    </w:p>
    <w:p w14:paraId="6CF3D795" w14:textId="77777777" w:rsidR="00EE6468" w:rsidRDefault="00EE6468" w:rsidP="003C7103">
      <w:pPr>
        <w:widowControl w:val="0"/>
        <w:autoSpaceDE w:val="0"/>
        <w:autoSpaceDN w:val="0"/>
        <w:adjustRightInd w:val="0"/>
        <w:ind w:left="480" w:hanging="480"/>
      </w:pPr>
      <w:r w:rsidRPr="00EE6468">
        <w:t>Huang, Z., Ling, X., Wang, P., Zhang, F., Mao, Y., Lin, T., &amp; Wang, F. Y. (2018). Modeling real-time human mobility based on mobile phone and transportation data fusion. Transportation research part C: emerging technologies, 96, 251-269.</w:t>
      </w:r>
    </w:p>
    <w:p w14:paraId="05CC03E0" w14:textId="77777777" w:rsidR="00EE6468" w:rsidRDefault="00EE6468" w:rsidP="003C7103">
      <w:pPr>
        <w:widowControl w:val="0"/>
        <w:autoSpaceDE w:val="0"/>
        <w:autoSpaceDN w:val="0"/>
        <w:adjustRightInd w:val="0"/>
        <w:ind w:left="480" w:hanging="480"/>
      </w:pPr>
      <w:r w:rsidRPr="00EE6468">
        <w:t>Iqbal, M. S., Choudhury, C. F., Wang, P., &amp; González, M. C. (2014). Development of origin–destination matrices using mobile phone call data. Transportation Research Part C: Emerging Technologies, 40, 63-74.</w:t>
      </w:r>
    </w:p>
    <w:p w14:paraId="367E1FA1" w14:textId="77777777" w:rsidR="00EE6468" w:rsidRDefault="00EE6468" w:rsidP="003C7103">
      <w:pPr>
        <w:widowControl w:val="0"/>
        <w:autoSpaceDE w:val="0"/>
        <w:autoSpaceDN w:val="0"/>
        <w:adjustRightInd w:val="0"/>
        <w:ind w:left="480" w:hanging="480"/>
      </w:pPr>
      <w:r w:rsidRPr="00EE6468">
        <w:t>Kang, J. E., Lindell, M. K., &amp; Prater, C. S. (2007). Hurricane evacuation expectations and actual behavior in Hurricane Lili 1. Journal of Applied Social Psychology, 37(4), 887-903.</w:t>
      </w:r>
    </w:p>
    <w:p w14:paraId="358D24AF" w14:textId="3C81EADB" w:rsidR="003C7103" w:rsidRDefault="003C7103" w:rsidP="003C7103">
      <w:pPr>
        <w:widowControl w:val="0"/>
        <w:autoSpaceDE w:val="0"/>
        <w:autoSpaceDN w:val="0"/>
        <w:adjustRightInd w:val="0"/>
        <w:ind w:left="480" w:hanging="480"/>
      </w:pPr>
      <w:r>
        <w:t xml:space="preserve">Kanner &amp; </w:t>
      </w:r>
      <w:proofErr w:type="spellStart"/>
      <w:r>
        <w:t>Pintalgua</w:t>
      </w:r>
      <w:proofErr w:type="spellEnd"/>
      <w:r>
        <w:t xml:space="preserve"> 2018. The Lasting Damages of Hurricane Irma | Kanner &amp; </w:t>
      </w:r>
      <w:proofErr w:type="spellStart"/>
      <w:r>
        <w:t>Pintaluga</w:t>
      </w:r>
      <w:proofErr w:type="spellEnd"/>
      <w:r>
        <w:t xml:space="preserve"> [WWW Document]. URL https://hurricanedamage.com/blog/damages-cost-hurricane-irma/ (accessed 7.20.22).</w:t>
      </w:r>
    </w:p>
    <w:p w14:paraId="3563D927" w14:textId="77777777" w:rsidR="00923232" w:rsidRDefault="00923232" w:rsidP="003C7103">
      <w:pPr>
        <w:widowControl w:val="0"/>
        <w:autoSpaceDE w:val="0"/>
        <w:autoSpaceDN w:val="0"/>
        <w:adjustRightInd w:val="0"/>
        <w:ind w:left="480" w:hanging="480"/>
      </w:pPr>
      <w:r w:rsidRPr="00923232">
        <w:t xml:space="preserve">Kumar, D., &amp; </w:t>
      </w:r>
      <w:proofErr w:type="spellStart"/>
      <w:r w:rsidRPr="00923232">
        <w:t>Ukkusuri</w:t>
      </w:r>
      <w:proofErr w:type="spellEnd"/>
      <w:r w:rsidRPr="00923232">
        <w:t xml:space="preserve">, S. V. (2018, April). Utilizing geo-tagged tweets to understand evacuation dynamics during emergencies: A case study of Hurricane Sandy. In Companion Proceedings of the </w:t>
      </w:r>
      <w:proofErr w:type="spellStart"/>
      <w:r w:rsidRPr="00923232">
        <w:t>The</w:t>
      </w:r>
      <w:proofErr w:type="spellEnd"/>
      <w:r w:rsidRPr="00923232">
        <w:t xml:space="preserve"> Web Conference 2018 (pp. 1613-1620).</w:t>
      </w:r>
    </w:p>
    <w:p w14:paraId="6320984B" w14:textId="77777777" w:rsidR="00923232" w:rsidRDefault="00923232" w:rsidP="003C7103">
      <w:pPr>
        <w:widowControl w:val="0"/>
        <w:autoSpaceDE w:val="0"/>
        <w:autoSpaceDN w:val="0"/>
        <w:adjustRightInd w:val="0"/>
        <w:ind w:left="480" w:hanging="480"/>
      </w:pPr>
      <w:r w:rsidRPr="00923232">
        <w:t xml:space="preserve">Lazer, D., Pentland, A., Adamic, L., Aral, S., </w:t>
      </w:r>
      <w:proofErr w:type="spellStart"/>
      <w:r w:rsidRPr="00923232">
        <w:t>Barabási</w:t>
      </w:r>
      <w:proofErr w:type="spellEnd"/>
      <w:r w:rsidRPr="00923232">
        <w:t>, A. L., Brewer, D., ... &amp; Van Alstyne, M. (2009). Computational social science. Science, 323(5915), 721-723.</w:t>
      </w:r>
    </w:p>
    <w:p w14:paraId="25D319F4" w14:textId="77777777" w:rsidR="00E4616A" w:rsidRDefault="00E4616A" w:rsidP="003C7103">
      <w:pPr>
        <w:widowControl w:val="0"/>
        <w:autoSpaceDE w:val="0"/>
        <w:autoSpaceDN w:val="0"/>
        <w:adjustRightInd w:val="0"/>
        <w:ind w:left="480" w:hanging="480"/>
      </w:pPr>
      <w:r w:rsidRPr="00E4616A">
        <w:t xml:space="preserve">Li, X., Hasan, S., &amp; Culotta, A. (2022, May). Identifying Hurricane Evacuation Intent on Twitter. In Proceedings of the International AAAI Conference on Web and </w:t>
      </w:r>
      <w:proofErr w:type="gramStart"/>
      <w:r w:rsidRPr="00E4616A">
        <w:t>Social Media</w:t>
      </w:r>
      <w:proofErr w:type="gramEnd"/>
      <w:r w:rsidRPr="00E4616A">
        <w:t xml:space="preserve"> (Vol. 16, pp. 618-627).</w:t>
      </w:r>
    </w:p>
    <w:p w14:paraId="47E86B1F" w14:textId="77777777" w:rsidR="00E4616A" w:rsidRDefault="00E4616A" w:rsidP="003C7103">
      <w:pPr>
        <w:widowControl w:val="0"/>
        <w:autoSpaceDE w:val="0"/>
        <w:autoSpaceDN w:val="0"/>
        <w:adjustRightInd w:val="0"/>
        <w:ind w:left="480" w:hanging="480"/>
      </w:pPr>
      <w:r w:rsidRPr="00E4616A">
        <w:t>Liao, C. F. (2010). Fusing Public and Private Truck Data to Support Regional Freight Planning and Modeling. In TRB Strategic Highway Research Program 2 Symposium (p. 5).</w:t>
      </w:r>
    </w:p>
    <w:p w14:paraId="033DF449" w14:textId="77777777" w:rsidR="00E4616A" w:rsidRDefault="00E4616A" w:rsidP="003C7103">
      <w:pPr>
        <w:widowControl w:val="0"/>
        <w:autoSpaceDE w:val="0"/>
        <w:autoSpaceDN w:val="0"/>
        <w:adjustRightInd w:val="0"/>
        <w:ind w:left="480" w:hanging="480"/>
      </w:pPr>
      <w:r w:rsidRPr="00E4616A">
        <w:t>Lindell, M. K. (2008). EMBLEM2: An empirically based large scale evacuation time estimate model. Transportation research part A: policy and practice, 42(1), 140-154.</w:t>
      </w:r>
    </w:p>
    <w:p w14:paraId="6464C9C6" w14:textId="77777777" w:rsidR="00E4616A" w:rsidRDefault="00E4616A" w:rsidP="003C7103">
      <w:pPr>
        <w:widowControl w:val="0"/>
        <w:autoSpaceDE w:val="0"/>
        <w:autoSpaceDN w:val="0"/>
        <w:adjustRightInd w:val="0"/>
        <w:ind w:left="480" w:hanging="480"/>
      </w:pPr>
      <w:r w:rsidRPr="00E4616A">
        <w:t xml:space="preserve">Martín, Y., Cutter, S. L., &amp; Li, Z. (2020). Bridging twitter and survey data for evacuation assessment of Hurricane Matthew and Hurricane Irma. Natural hazards review, 21(2), </w:t>
      </w:r>
      <w:r w:rsidRPr="00E4616A">
        <w:lastRenderedPageBreak/>
        <w:t>04020003.</w:t>
      </w:r>
    </w:p>
    <w:p w14:paraId="764F2B05" w14:textId="77777777" w:rsidR="00E4616A" w:rsidRDefault="00E4616A" w:rsidP="003C7103">
      <w:pPr>
        <w:widowControl w:val="0"/>
        <w:autoSpaceDE w:val="0"/>
        <w:autoSpaceDN w:val="0"/>
        <w:adjustRightInd w:val="0"/>
        <w:ind w:left="480" w:hanging="480"/>
      </w:pPr>
      <w:r w:rsidRPr="00E4616A">
        <w:t xml:space="preserve">Martín, Y., Li, Z., &amp; Cutter, S. L. (2017). Leveraging Twitter to gauge evacuation compliance: Spatiotemporal analysis of Hurricane Matthew. </w:t>
      </w:r>
      <w:proofErr w:type="spellStart"/>
      <w:r w:rsidRPr="00E4616A">
        <w:t>PLoS</w:t>
      </w:r>
      <w:proofErr w:type="spellEnd"/>
      <w:r w:rsidRPr="00E4616A">
        <w:t xml:space="preserve"> one, 12(7), e0181701.</w:t>
      </w:r>
    </w:p>
    <w:p w14:paraId="578D526E" w14:textId="77777777" w:rsidR="00E4616A" w:rsidRDefault="00E4616A" w:rsidP="003C7103">
      <w:pPr>
        <w:widowControl w:val="0"/>
        <w:autoSpaceDE w:val="0"/>
        <w:autoSpaceDN w:val="0"/>
        <w:adjustRightInd w:val="0"/>
        <w:ind w:left="480" w:hanging="480"/>
      </w:pPr>
      <w:r w:rsidRPr="00E4616A">
        <w:t xml:space="preserve">Mesa-Arango, R., Hasan, S., </w:t>
      </w:r>
      <w:proofErr w:type="spellStart"/>
      <w:r w:rsidRPr="00E4616A">
        <w:t>Ukkusuri</w:t>
      </w:r>
      <w:proofErr w:type="spellEnd"/>
      <w:r w:rsidRPr="00E4616A">
        <w:t>, S. V., &amp; Murray-Tuite, P. (2013). Household-level model for hurricane evacuation destination type choice using hurricane Ivan data. Natural hazards review, 14(1), 11-20.</w:t>
      </w:r>
    </w:p>
    <w:p w14:paraId="12D43B3E" w14:textId="3C3EFD6F" w:rsidR="003C7103" w:rsidRDefault="003C7103" w:rsidP="003C7103">
      <w:pPr>
        <w:widowControl w:val="0"/>
        <w:autoSpaceDE w:val="0"/>
        <w:autoSpaceDN w:val="0"/>
        <w:adjustRightInd w:val="0"/>
        <w:ind w:left="480" w:hanging="480"/>
      </w:pPr>
      <w:r>
        <w:t>Meta, 2023. https://dataforgood.facebook.com/. (accessed 1.29.24).</w:t>
      </w:r>
    </w:p>
    <w:p w14:paraId="5B803FAD" w14:textId="77777777" w:rsidR="00E4616A" w:rsidRDefault="00E4616A" w:rsidP="003C7103">
      <w:pPr>
        <w:widowControl w:val="0"/>
        <w:autoSpaceDE w:val="0"/>
        <w:autoSpaceDN w:val="0"/>
        <w:adjustRightInd w:val="0"/>
        <w:ind w:left="480" w:hanging="480"/>
      </w:pPr>
      <w:r w:rsidRPr="00E4616A">
        <w:t xml:space="preserve">Momtaz, S. U., Eluru, N., Anowar, S., Keya, N., Dey, B. K., </w:t>
      </w:r>
      <w:proofErr w:type="spellStart"/>
      <w:r w:rsidRPr="00E4616A">
        <w:t>Pinjari</w:t>
      </w:r>
      <w:proofErr w:type="spellEnd"/>
      <w:r w:rsidRPr="00E4616A">
        <w:t xml:space="preserve">, A., &amp; Tabatabaee, S. F. (2020). Fusing freight analysis framework and </w:t>
      </w:r>
      <w:proofErr w:type="spellStart"/>
      <w:r w:rsidRPr="00E4616A">
        <w:t>transearch</w:t>
      </w:r>
      <w:proofErr w:type="spellEnd"/>
      <w:r w:rsidRPr="00E4616A">
        <w:t xml:space="preserve"> data: Econometric data fusion approach with application to Florida. Journal of Transportation Engineering, Part A: Systems, 146(2), 04019070.</w:t>
      </w:r>
    </w:p>
    <w:p w14:paraId="44C321DC" w14:textId="77777777" w:rsidR="00E4616A" w:rsidRDefault="00E4616A" w:rsidP="003C7103">
      <w:pPr>
        <w:widowControl w:val="0"/>
        <w:autoSpaceDE w:val="0"/>
        <w:autoSpaceDN w:val="0"/>
        <w:adjustRightInd w:val="0"/>
        <w:ind w:left="480" w:hanging="480"/>
      </w:pPr>
      <w:r w:rsidRPr="00E4616A">
        <w:t xml:space="preserve">Montero, L., Ros-Roca, X., Herranz, R., &amp; Barceló, J. (2019). Fusing mobile phone data with other data sources to generate input OD matrices for transport models. Transportation research </w:t>
      </w:r>
      <w:proofErr w:type="spellStart"/>
      <w:r w:rsidRPr="00E4616A">
        <w:t>procedia</w:t>
      </w:r>
      <w:proofErr w:type="spellEnd"/>
      <w:r w:rsidRPr="00E4616A">
        <w:t>, 37, 417-424.</w:t>
      </w:r>
    </w:p>
    <w:p w14:paraId="007E4DFF" w14:textId="77777777" w:rsidR="00E4616A" w:rsidRDefault="00E4616A" w:rsidP="003C7103">
      <w:pPr>
        <w:widowControl w:val="0"/>
        <w:autoSpaceDE w:val="0"/>
        <w:autoSpaceDN w:val="0"/>
        <w:adjustRightInd w:val="0"/>
        <w:ind w:left="480" w:hanging="480"/>
      </w:pPr>
      <w:r w:rsidRPr="00E4616A">
        <w:t xml:space="preserve">Murray-Tuite, P., &amp; </w:t>
      </w:r>
      <w:proofErr w:type="spellStart"/>
      <w:r w:rsidRPr="00E4616A">
        <w:t>Wolshon</w:t>
      </w:r>
      <w:proofErr w:type="spellEnd"/>
      <w:r w:rsidRPr="00E4616A">
        <w:t>, B. (2013). Evacuation transportation modeling: An overview of research, development, and practice. Transportation Research Part C: Emerging Technologies, 27, 25-45.</w:t>
      </w:r>
    </w:p>
    <w:p w14:paraId="4C94A091" w14:textId="77777777" w:rsidR="00E4616A" w:rsidRDefault="00E4616A" w:rsidP="003C7103">
      <w:pPr>
        <w:widowControl w:val="0"/>
        <w:autoSpaceDE w:val="0"/>
        <w:autoSpaceDN w:val="0"/>
        <w:adjustRightInd w:val="0"/>
        <w:ind w:left="480" w:hanging="480"/>
      </w:pPr>
      <w:r w:rsidRPr="00E4616A">
        <w:t xml:space="preserve">Olteanu, A., Castillo, C., Diaz, F., &amp; </w:t>
      </w:r>
      <w:proofErr w:type="spellStart"/>
      <w:r w:rsidRPr="00E4616A">
        <w:t>Kıcıman</w:t>
      </w:r>
      <w:proofErr w:type="spellEnd"/>
      <w:r w:rsidRPr="00E4616A">
        <w:t>, E. (2019). Social data: Biases, methodological pitfalls, and ethical boundaries. Frontiers in big data, 2, 13.</w:t>
      </w:r>
    </w:p>
    <w:p w14:paraId="7A3A5FBE" w14:textId="77777777" w:rsidR="00E4616A" w:rsidRDefault="00E4616A" w:rsidP="003C7103">
      <w:pPr>
        <w:widowControl w:val="0"/>
        <w:autoSpaceDE w:val="0"/>
        <w:autoSpaceDN w:val="0"/>
        <w:adjustRightInd w:val="0"/>
        <w:ind w:left="480" w:hanging="480"/>
      </w:pPr>
      <w:proofErr w:type="spellStart"/>
      <w:r w:rsidRPr="00E4616A">
        <w:t>Palubinskas</w:t>
      </w:r>
      <w:proofErr w:type="spellEnd"/>
      <w:r w:rsidRPr="00E4616A">
        <w:t>, G., &amp; Runge, H. (2008, June). Detection of traffic congestion in SAR imagery. In 7th European Conference on Synthetic Aperture Radar (pp. 1-4). VDE.</w:t>
      </w:r>
    </w:p>
    <w:p w14:paraId="14F788A1" w14:textId="77777777" w:rsidR="00E4616A" w:rsidRDefault="00E4616A" w:rsidP="003C7103">
      <w:pPr>
        <w:widowControl w:val="0"/>
        <w:autoSpaceDE w:val="0"/>
        <w:autoSpaceDN w:val="0"/>
        <w:adjustRightInd w:val="0"/>
        <w:ind w:left="480" w:hanging="480"/>
      </w:pPr>
      <w:r w:rsidRPr="00E4616A">
        <w:t>Pan, B., Zheng, Y., Wilkie, D., &amp; Shahabi, C. (2013, November). Crowd sensing of traffic anomalies based on human mobility and social media. In Proceedings of the 21st ACM SIGSPATIAL international conference on advances in geographic information systems (pp. 344-353).</w:t>
      </w:r>
    </w:p>
    <w:p w14:paraId="0936C1FE" w14:textId="77C29E48" w:rsidR="003C7103" w:rsidRDefault="003C7103" w:rsidP="003C7103">
      <w:pPr>
        <w:widowControl w:val="0"/>
        <w:autoSpaceDE w:val="0"/>
        <w:autoSpaceDN w:val="0"/>
        <w:adjustRightInd w:val="0"/>
        <w:ind w:left="480" w:hanging="480"/>
      </w:pPr>
      <w:proofErr w:type="spellStart"/>
      <w:r>
        <w:t>Planetizen</w:t>
      </w:r>
      <w:proofErr w:type="spellEnd"/>
      <w:r>
        <w:t xml:space="preserve"> 2005. Car-less in the Eye of Katrina | </w:t>
      </w:r>
      <w:proofErr w:type="spellStart"/>
      <w:r>
        <w:t>Planetizen</w:t>
      </w:r>
      <w:proofErr w:type="spellEnd"/>
      <w:r>
        <w:t xml:space="preserve"> Features [WWW Document]. URL https://www.planetizen.com/node/17255 (accessed 7.19.22).</w:t>
      </w:r>
    </w:p>
    <w:p w14:paraId="2BAC3456" w14:textId="77777777" w:rsidR="00E4616A" w:rsidRDefault="00E4616A" w:rsidP="003C7103">
      <w:pPr>
        <w:widowControl w:val="0"/>
        <w:autoSpaceDE w:val="0"/>
        <w:autoSpaceDN w:val="0"/>
        <w:adjustRightInd w:val="0"/>
        <w:ind w:left="480" w:hanging="480"/>
      </w:pPr>
      <w:r w:rsidRPr="00E4616A">
        <w:t>Rambha, T., Nozick, L. K., &amp; Davidson, R. (2021). Modeling hurricane evacuation behavior using a dynamic discrete choice framework. Transportation research part B: methodological, 150, 75-100.</w:t>
      </w:r>
    </w:p>
    <w:p w14:paraId="278F768C" w14:textId="77777777" w:rsidR="00E4616A" w:rsidRDefault="00E4616A" w:rsidP="003C7103">
      <w:pPr>
        <w:widowControl w:val="0"/>
        <w:autoSpaceDE w:val="0"/>
        <w:autoSpaceDN w:val="0"/>
        <w:adjustRightInd w:val="0"/>
        <w:ind w:left="480" w:hanging="480"/>
      </w:pPr>
      <w:r w:rsidRPr="00E4616A">
        <w:t>Roy, K. C., Cebrian, M., &amp; Hasan, S. (2019). Quantifying human mobility resilience to extreme events using geo-located social media data. EPJ Data Science, 8(1), 1-15.</w:t>
      </w:r>
    </w:p>
    <w:p w14:paraId="6645DAF3" w14:textId="77777777" w:rsidR="00E4616A" w:rsidRDefault="00E4616A" w:rsidP="003C7103">
      <w:pPr>
        <w:widowControl w:val="0"/>
        <w:autoSpaceDE w:val="0"/>
        <w:autoSpaceDN w:val="0"/>
        <w:adjustRightInd w:val="0"/>
        <w:ind w:left="480" w:hanging="480"/>
      </w:pPr>
      <w:r w:rsidRPr="00E4616A">
        <w:t xml:space="preserve">Roy, K. C., &amp; Hasan, S. (2021). Modeling the dynamics of hurricane evacuation decisions from twitter data: An input output hidden </w:t>
      </w:r>
      <w:proofErr w:type="spellStart"/>
      <w:r w:rsidRPr="00E4616A">
        <w:t>markov</w:t>
      </w:r>
      <w:proofErr w:type="spellEnd"/>
      <w:r w:rsidRPr="00E4616A">
        <w:t xml:space="preserve"> modeling approach. Transportation research part C: emerging technologies, 123, 102976.</w:t>
      </w:r>
    </w:p>
    <w:p w14:paraId="5693872C" w14:textId="77777777" w:rsidR="00E4616A" w:rsidRDefault="00E4616A" w:rsidP="003C7103">
      <w:pPr>
        <w:widowControl w:val="0"/>
        <w:autoSpaceDE w:val="0"/>
        <w:autoSpaceDN w:val="0"/>
        <w:adjustRightInd w:val="0"/>
        <w:ind w:left="480" w:hanging="480"/>
      </w:pPr>
      <w:r w:rsidRPr="00E4616A">
        <w:t>Roy, K. C., Hasan, S., Culotta, A., &amp; Eluru, N. (2021). Predicting traffic demand during hurricane evacuation using Real-time data from transportation systems and social media. Transportation research part C: emerging technologies, 131, 103339.</w:t>
      </w:r>
    </w:p>
    <w:p w14:paraId="40343EFA" w14:textId="77777777" w:rsidR="00E4616A" w:rsidRDefault="00E4616A" w:rsidP="003C7103">
      <w:pPr>
        <w:widowControl w:val="0"/>
        <w:autoSpaceDE w:val="0"/>
        <w:autoSpaceDN w:val="0"/>
        <w:adjustRightInd w:val="0"/>
        <w:ind w:left="480" w:hanging="480"/>
      </w:pPr>
      <w:r w:rsidRPr="00E4616A">
        <w:t xml:space="preserve">Sadri, A. M., </w:t>
      </w:r>
      <w:proofErr w:type="spellStart"/>
      <w:r w:rsidRPr="00E4616A">
        <w:t>Ukkusuri</w:t>
      </w:r>
      <w:proofErr w:type="spellEnd"/>
      <w:r w:rsidRPr="00E4616A">
        <w:t>, S. V., Murray-Tuite, P., &amp; Gladwin, H. (2015). Hurricane evacuation route choice of major bridges in Miami Beach, Florida. Transportation research record, 2532(1), 164-173.</w:t>
      </w:r>
    </w:p>
    <w:p w14:paraId="4599ACD6" w14:textId="77777777" w:rsidR="00E4616A" w:rsidRDefault="00E4616A" w:rsidP="009B5D9E">
      <w:pPr>
        <w:widowControl w:val="0"/>
        <w:autoSpaceDE w:val="0"/>
        <w:autoSpaceDN w:val="0"/>
        <w:adjustRightInd w:val="0"/>
        <w:ind w:left="480" w:hanging="480"/>
      </w:pPr>
      <w:r w:rsidRPr="00E4616A">
        <w:t xml:space="preserve">Sarwar, M. T., Anastasopoulos, P. C., </w:t>
      </w:r>
      <w:proofErr w:type="spellStart"/>
      <w:r w:rsidRPr="00E4616A">
        <w:t>Ukkusuri</w:t>
      </w:r>
      <w:proofErr w:type="spellEnd"/>
      <w:r w:rsidRPr="00E4616A">
        <w:t>, S. V., Murray-Tuite, P., &amp; Mannering, F. L. (2018). A statistical analysis of the dynamics of household hurricane-evacuation decisions. Transportation, 45, 51-70.</w:t>
      </w:r>
    </w:p>
    <w:p w14:paraId="1B4AC294" w14:textId="62B7F0B1" w:rsidR="009B5D9E" w:rsidRDefault="009B5D9E" w:rsidP="009B5D9E">
      <w:pPr>
        <w:widowControl w:val="0"/>
        <w:autoSpaceDE w:val="0"/>
        <w:autoSpaceDN w:val="0"/>
        <w:adjustRightInd w:val="0"/>
        <w:ind w:left="480" w:hanging="480"/>
      </w:pPr>
      <w:r>
        <w:t xml:space="preserve">SRESP, 2021. Florida SRESP: East Central Florida Regional Planning Council </w:t>
      </w:r>
      <w:hyperlink r:id="rId31" w:history="1">
        <w:r>
          <w:rPr>
            <w:rStyle w:val="Hyperlink"/>
          </w:rPr>
          <w:t>https://portal.floridadisaster.org/preparedness/RES/Studies/Shared%20Documents/Supporting%20Documents/Region-Specific%20Folders/East%20Central%20FL/2021_SRESP_BehavioralStudy_ECFRPC_Final.pdf</w:t>
        </w:r>
      </w:hyperlink>
      <w:r>
        <w:t xml:space="preserve">. </w:t>
      </w:r>
      <w:r>
        <w:rPr>
          <w:rFonts w:cs="Times New Roman"/>
          <w:noProof/>
          <w:szCs w:val="24"/>
        </w:rPr>
        <w:t>(accessed 12.19.23).</w:t>
      </w:r>
    </w:p>
    <w:p w14:paraId="1B2C2EEE" w14:textId="77777777" w:rsidR="003C7103" w:rsidRDefault="003C7103" w:rsidP="003C7103">
      <w:pPr>
        <w:widowControl w:val="0"/>
        <w:autoSpaceDE w:val="0"/>
        <w:autoSpaceDN w:val="0"/>
        <w:adjustRightInd w:val="0"/>
        <w:ind w:left="480" w:hanging="480"/>
      </w:pPr>
      <w:r>
        <w:t xml:space="preserve">The Atlantic 2017. The Uncertainties of Being Asked to Work During a Hurricane - The </w:t>
      </w:r>
      <w:r>
        <w:lastRenderedPageBreak/>
        <w:t>Atlantic [WWW Document]. URL https://www.theatlantic.com/business/archive/2017/09/hurricane-irma-work/539295/ (accessed 7.19.22).</w:t>
      </w:r>
    </w:p>
    <w:p w14:paraId="7B28B1FF" w14:textId="77777777" w:rsidR="00E4616A" w:rsidRDefault="00E4616A" w:rsidP="003C7103">
      <w:pPr>
        <w:widowControl w:val="0"/>
        <w:autoSpaceDE w:val="0"/>
        <w:autoSpaceDN w:val="0"/>
        <w:adjustRightInd w:val="0"/>
        <w:ind w:left="480" w:hanging="480"/>
      </w:pPr>
      <w:r w:rsidRPr="00E4616A">
        <w:t xml:space="preserve">Wang, F., &amp; Chen, C. (2018). On data processing required to derive mobility patterns from </w:t>
      </w:r>
      <w:proofErr w:type="gramStart"/>
      <w:r w:rsidRPr="00E4616A">
        <w:t>passively-generated</w:t>
      </w:r>
      <w:proofErr w:type="gramEnd"/>
      <w:r w:rsidRPr="00E4616A">
        <w:t xml:space="preserve"> mobile phone data. Transportation Research Part C: Emerging Technologies, 87, 58-74.</w:t>
      </w:r>
    </w:p>
    <w:p w14:paraId="1C68F6D3" w14:textId="77777777" w:rsidR="00E4616A" w:rsidRDefault="00E4616A" w:rsidP="003C7103">
      <w:pPr>
        <w:widowControl w:val="0"/>
        <w:autoSpaceDE w:val="0"/>
        <w:autoSpaceDN w:val="0"/>
        <w:adjustRightInd w:val="0"/>
        <w:ind w:left="480" w:hanging="480"/>
      </w:pPr>
      <w:r w:rsidRPr="00E4616A">
        <w:t xml:space="preserve">Wu, C., Thai, J., </w:t>
      </w:r>
      <w:proofErr w:type="spellStart"/>
      <w:r w:rsidRPr="00E4616A">
        <w:t>Yadlowsky</w:t>
      </w:r>
      <w:proofErr w:type="spellEnd"/>
      <w:r w:rsidRPr="00E4616A">
        <w:t xml:space="preserve">, S., </w:t>
      </w:r>
      <w:proofErr w:type="spellStart"/>
      <w:r w:rsidRPr="00E4616A">
        <w:t>Pozdnoukhov</w:t>
      </w:r>
      <w:proofErr w:type="spellEnd"/>
      <w:r w:rsidRPr="00E4616A">
        <w:t xml:space="preserve">, A., &amp; Bayen, A. (2015). </w:t>
      </w:r>
      <w:proofErr w:type="spellStart"/>
      <w:r w:rsidRPr="00E4616A">
        <w:t>Cellpath</w:t>
      </w:r>
      <w:proofErr w:type="spellEnd"/>
      <w:r w:rsidRPr="00E4616A">
        <w:t>: Fusion of cellular and traffic sensor data for route flow estimation via convex optimization. Transportation Research Procedia, 7, 212-232.</w:t>
      </w:r>
    </w:p>
    <w:p w14:paraId="617C98A9" w14:textId="77777777" w:rsidR="00E4616A" w:rsidRDefault="00E4616A" w:rsidP="003C7103">
      <w:pPr>
        <w:widowControl w:val="0"/>
        <w:autoSpaceDE w:val="0"/>
        <w:autoSpaceDN w:val="0"/>
        <w:adjustRightInd w:val="0"/>
        <w:ind w:left="480" w:hanging="480"/>
      </w:pPr>
      <w:r w:rsidRPr="00E4616A">
        <w:t xml:space="preserve">Yabe, T., &amp; </w:t>
      </w:r>
      <w:proofErr w:type="spellStart"/>
      <w:r w:rsidRPr="00E4616A">
        <w:t>Ukkusuri</w:t>
      </w:r>
      <w:proofErr w:type="spellEnd"/>
      <w:r w:rsidRPr="00E4616A">
        <w:t xml:space="preserve">, S. V. (2020). Effects of income inequality on evacuation, </w:t>
      </w:r>
      <w:proofErr w:type="spellStart"/>
      <w:r w:rsidRPr="00E4616A">
        <w:t>reentry</w:t>
      </w:r>
      <w:proofErr w:type="spellEnd"/>
      <w:r w:rsidRPr="00E4616A">
        <w:t xml:space="preserve"> and segregation after disasters. Transportation research part D: transport and environment, 82, 102260.</w:t>
      </w:r>
    </w:p>
    <w:p w14:paraId="36503695" w14:textId="77777777" w:rsidR="00E4616A" w:rsidRDefault="00E4616A" w:rsidP="003C7103">
      <w:pPr>
        <w:widowControl w:val="0"/>
        <w:autoSpaceDE w:val="0"/>
        <w:autoSpaceDN w:val="0"/>
        <w:adjustRightInd w:val="0"/>
        <w:ind w:left="480" w:hanging="480"/>
      </w:pPr>
      <w:r w:rsidRPr="00E4616A">
        <w:t xml:space="preserve">Yang, C., Zhang, Y., Zhan, X., </w:t>
      </w:r>
      <w:proofErr w:type="spellStart"/>
      <w:r w:rsidRPr="00E4616A">
        <w:t>Ukkusuri</w:t>
      </w:r>
      <w:proofErr w:type="spellEnd"/>
      <w:r w:rsidRPr="00E4616A">
        <w:t>, S. V., &amp; Chen, Y. (2020). Fusing mobile phone and travel survey data to model urban activity dynamics. Journal of Advanced Transportation, 2020, 1-17.</w:t>
      </w:r>
    </w:p>
    <w:p w14:paraId="6F0AACD8" w14:textId="77777777" w:rsidR="00E4616A" w:rsidRDefault="00E4616A" w:rsidP="003C7103">
      <w:pPr>
        <w:widowControl w:val="0"/>
        <w:autoSpaceDE w:val="0"/>
        <w:autoSpaceDN w:val="0"/>
        <w:adjustRightInd w:val="0"/>
        <w:ind w:left="480" w:hanging="480"/>
      </w:pPr>
      <w:r w:rsidRPr="00E4616A">
        <w:t>Yang, D., Xie, K., Ozbay, K., &amp; Yang, H. (2021). Fusing crash data and surrogate safety measures for safety assessment: Development of a structural equation model with conditional autoregressive spatial effect and random parameters. Accident Analysis &amp; Prevention, 152, 105971.</w:t>
      </w:r>
    </w:p>
    <w:p w14:paraId="6002981A" w14:textId="77777777" w:rsidR="00E4616A" w:rsidRDefault="00E4616A" w:rsidP="003C7103">
      <w:pPr>
        <w:widowControl w:val="0"/>
        <w:autoSpaceDE w:val="0"/>
        <w:autoSpaceDN w:val="0"/>
        <w:adjustRightInd w:val="0"/>
        <w:ind w:left="480" w:hanging="480"/>
      </w:pPr>
      <w:r w:rsidRPr="00E4616A">
        <w:t xml:space="preserve">Yasmin, S., Eluru, N., &amp; </w:t>
      </w:r>
      <w:proofErr w:type="spellStart"/>
      <w:r w:rsidRPr="00E4616A">
        <w:t>Pinjari</w:t>
      </w:r>
      <w:proofErr w:type="spellEnd"/>
      <w:r w:rsidRPr="00E4616A">
        <w:t>, A. R. (2015). Pooling data from fatality analysis reporting system (FARS) and generalized estimates system (GES) to explore the continuum of injury severity spectrum. Accident Analysis &amp; Prevention, 84, 112-127.</w:t>
      </w:r>
    </w:p>
    <w:p w14:paraId="16C2CF67" w14:textId="099C52F9" w:rsidR="00640C61" w:rsidRDefault="00E4616A" w:rsidP="003C7103">
      <w:pPr>
        <w:widowControl w:val="0"/>
        <w:autoSpaceDE w:val="0"/>
        <w:autoSpaceDN w:val="0"/>
        <w:adjustRightInd w:val="0"/>
        <w:ind w:left="480" w:hanging="480"/>
      </w:pPr>
      <w:r w:rsidRPr="00E4616A">
        <w:t xml:space="preserve">Zhao, D., Balusu, S. K., Sheela, P. V., Li, X., </w:t>
      </w:r>
      <w:proofErr w:type="spellStart"/>
      <w:r w:rsidRPr="00E4616A">
        <w:t>Pinjari</w:t>
      </w:r>
      <w:proofErr w:type="spellEnd"/>
      <w:r w:rsidRPr="00E4616A">
        <w:t>, A. R., &amp; Eluru, N. (2020). Weight-categorized truck flow estimation: A data-fusion approach and a Florida case study. Transportation Research Part E: Logistics and Transportation Review, 136, 101890.</w:t>
      </w:r>
    </w:p>
    <w:p w14:paraId="4DF6DA19" w14:textId="77777777" w:rsidR="00A34B2B" w:rsidRDefault="00A34B2B" w:rsidP="00D317CF">
      <w:pPr>
        <w:widowControl w:val="0"/>
        <w:autoSpaceDE w:val="0"/>
        <w:autoSpaceDN w:val="0"/>
        <w:adjustRightInd w:val="0"/>
        <w:ind w:left="480" w:hanging="480"/>
      </w:pPr>
    </w:p>
    <w:p w14:paraId="10583EED" w14:textId="77777777" w:rsidR="00A34B2B" w:rsidRDefault="00A34B2B" w:rsidP="00A34B2B">
      <w:pPr>
        <w:pStyle w:val="Heading1"/>
        <w:sectPr w:rsidR="00A34B2B" w:rsidSect="00492680">
          <w:headerReference w:type="first" r:id="rId32"/>
          <w:pgSz w:w="11906" w:h="16838" w:code="9"/>
          <w:pgMar w:top="1440" w:right="1440" w:bottom="1440" w:left="1440" w:header="720" w:footer="720" w:gutter="0"/>
          <w:cols w:space="708"/>
          <w:titlePg/>
          <w:docGrid w:linePitch="360"/>
        </w:sectPr>
      </w:pPr>
    </w:p>
    <w:p w14:paraId="5383CCFD" w14:textId="44D06291" w:rsidR="00A34B2B" w:rsidRDefault="00D46E36" w:rsidP="00A34B2B">
      <w:pPr>
        <w:pStyle w:val="Heading1"/>
      </w:pPr>
      <w:r>
        <w:lastRenderedPageBreak/>
        <w:t>APPENDIX</w:t>
      </w:r>
    </w:p>
    <w:p w14:paraId="259F449D" w14:textId="77777777" w:rsidR="00ED1308" w:rsidRPr="00ED1308" w:rsidRDefault="00ED1308" w:rsidP="00ED1308"/>
    <w:p w14:paraId="2B53FA1B" w14:textId="217F2916" w:rsidR="00426038" w:rsidRDefault="00CC42A9" w:rsidP="00ED1308">
      <w:pPr>
        <w:pStyle w:val="Heading2"/>
        <w:rPr>
          <w:lang w:val="en-US"/>
        </w:rPr>
      </w:pPr>
      <w:r>
        <w:rPr>
          <w:lang w:val="en-US"/>
        </w:rPr>
        <w:t xml:space="preserve">A.1 </w:t>
      </w:r>
      <w:r w:rsidR="00ED1308">
        <w:rPr>
          <w:lang w:val="en-US"/>
        </w:rPr>
        <w:t>Model Performance Summary</w:t>
      </w:r>
      <w:r w:rsidR="00DD0EFE">
        <w:rPr>
          <w:lang w:val="en-US"/>
        </w:rPr>
        <w:t xml:space="preserve"> for Different Variables, Fusions and Samples</w:t>
      </w:r>
      <w:r w:rsidR="00ED1308">
        <w:rPr>
          <w:lang w:val="en-US"/>
        </w:rPr>
        <w:t>:</w:t>
      </w:r>
    </w:p>
    <w:p w14:paraId="06EE91BB" w14:textId="50CF8F45" w:rsidR="00F905F4" w:rsidRDefault="00F905F4" w:rsidP="00F905F4">
      <w:pPr>
        <w:pStyle w:val="NoSpacing"/>
      </w:pPr>
      <w:r>
        <w:t>The first table (Table A</w:t>
      </w:r>
      <w:r w:rsidR="00516FBC">
        <w:t>.1</w:t>
      </w:r>
      <w:r>
        <w:t xml:space="preserve">) </w:t>
      </w:r>
      <w:r w:rsidRPr="00D04AAE">
        <w:t>present</w:t>
      </w:r>
      <w:r>
        <w:t>s</w:t>
      </w:r>
      <w:r w:rsidRPr="00D04AAE">
        <w:t xml:space="preserve"> the </w:t>
      </w:r>
      <w:r>
        <w:t xml:space="preserve">average </w:t>
      </w:r>
      <w:r w:rsidRPr="00D04AAE">
        <w:t>log-likelihood improvement for various variable combinations</w:t>
      </w:r>
      <w:r>
        <w:t xml:space="preserve"> X</w:t>
      </w:r>
      <w:r w:rsidRPr="00D04AAE">
        <w:t xml:space="preserve"> at different K values while considering a fixed number of samples (N=10).</w:t>
      </w:r>
      <w:r>
        <w:t xml:space="preserve"> </w:t>
      </w:r>
      <w:r w:rsidRPr="00D04AAE">
        <w:t>Following that, the second table</w:t>
      </w:r>
      <w:r>
        <w:t xml:space="preserve"> (Table </w:t>
      </w:r>
      <w:r w:rsidR="00516FBC">
        <w:t>A.2</w:t>
      </w:r>
      <w:r>
        <w:t>)</w:t>
      </w:r>
      <w:r w:rsidRPr="00D04AAE">
        <w:t xml:space="preserve"> </w:t>
      </w:r>
      <w:r>
        <w:t>highlights</w:t>
      </w:r>
      <w:r w:rsidRPr="00D04AAE">
        <w:t xml:space="preserve"> the </w:t>
      </w:r>
      <w:r>
        <w:t xml:space="preserve">average </w:t>
      </w:r>
      <w:r w:rsidRPr="00D04AAE">
        <w:t>log-likelihood improvement considering the selected values of X and K from the first table</w:t>
      </w:r>
      <w:r>
        <w:t xml:space="preserve"> while varying the sample size (N). Further, we also include the model run time as an additional  </w:t>
      </w:r>
      <w:r w:rsidRPr="00D04AAE">
        <w:t>performance indicator to provide a comprehensive understanding of the model's performance under different conditions.</w:t>
      </w:r>
    </w:p>
    <w:p w14:paraId="760BC663" w14:textId="77777777" w:rsidR="00F905F4" w:rsidRDefault="00F905F4" w:rsidP="003224C7">
      <w:pPr>
        <w:rPr>
          <w:rFonts w:cs="Times New Roman"/>
          <w:sz w:val="20"/>
          <w:szCs w:val="18"/>
          <w:lang w:val="en-US"/>
        </w:rPr>
      </w:pPr>
    </w:p>
    <w:p w14:paraId="6840B4A1" w14:textId="73E26E45" w:rsidR="00426038" w:rsidRPr="0033547F" w:rsidRDefault="00426038" w:rsidP="00426038">
      <w:pPr>
        <w:rPr>
          <w:rFonts w:eastAsia="Times New Roman"/>
          <w:i/>
          <w:lang w:val="en-US"/>
        </w:rPr>
      </w:pPr>
      <w:r w:rsidRPr="0033547F">
        <w:rPr>
          <w:rFonts w:eastAsia="Times New Roman"/>
          <w:i/>
          <w:lang w:val="en-US"/>
        </w:rPr>
        <w:t>Table A</w:t>
      </w:r>
      <w:r w:rsidR="00226EB6" w:rsidRPr="0033547F">
        <w:rPr>
          <w:rFonts w:eastAsia="Times New Roman"/>
          <w:i/>
          <w:lang w:val="en-US"/>
        </w:rPr>
        <w:t>.1</w:t>
      </w:r>
      <w:r w:rsidRPr="0033547F">
        <w:rPr>
          <w:rFonts w:eastAsia="Times New Roman"/>
          <w:i/>
          <w:lang w:val="en-US"/>
        </w:rPr>
        <w:t>: Model Performance Summary Across Different Variable Group and Number of Fused Records Used for Fusion</w:t>
      </w:r>
    </w:p>
    <w:tbl>
      <w:tblPr>
        <w:tblW w:w="49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264"/>
        <w:gridCol w:w="1300"/>
        <w:gridCol w:w="1327"/>
        <w:gridCol w:w="1327"/>
        <w:gridCol w:w="1331"/>
      </w:tblGrid>
      <w:tr w:rsidR="00426038" w:rsidRPr="009B2826" w14:paraId="67370D1F" w14:textId="77777777" w:rsidTr="00214134">
        <w:trPr>
          <w:trHeight w:val="827"/>
        </w:trPr>
        <w:tc>
          <w:tcPr>
            <w:tcW w:w="2518" w:type="dxa"/>
            <w:tcBorders>
              <w:tl2br w:val="single" w:sz="4" w:space="0" w:color="auto"/>
            </w:tcBorders>
            <w:shd w:val="clear" w:color="auto" w:fill="auto"/>
            <w:noWrap/>
            <w:hideMark/>
          </w:tcPr>
          <w:p w14:paraId="155E708A" w14:textId="77777777" w:rsidR="00426038" w:rsidRDefault="00426038" w:rsidP="00214134">
            <w:pPr>
              <w:ind w:left="-288"/>
              <w:jc w:val="right"/>
              <w:rPr>
                <w:rFonts w:eastAsia="Times New Roman" w:cs="Times New Roman"/>
                <w:b/>
                <w:bCs/>
                <w:sz w:val="20"/>
                <w:szCs w:val="24"/>
                <w:lang w:val="en-US"/>
              </w:rPr>
            </w:pPr>
            <w:r w:rsidRPr="009B2826">
              <w:rPr>
                <w:rFonts w:eastAsia="Times New Roman" w:cs="Times New Roman"/>
                <w:b/>
                <w:bCs/>
                <w:sz w:val="20"/>
                <w:szCs w:val="24"/>
                <w:lang w:val="en-US"/>
              </w:rPr>
              <w:t>No. Fusion</w:t>
            </w:r>
            <w:r>
              <w:rPr>
                <w:rFonts w:eastAsia="Times New Roman" w:cs="Times New Roman"/>
                <w:b/>
                <w:bCs/>
                <w:sz w:val="20"/>
                <w:szCs w:val="24"/>
                <w:lang w:val="en-US"/>
              </w:rPr>
              <w:t xml:space="preserve"> records</w:t>
            </w:r>
          </w:p>
          <w:p w14:paraId="63100EC2" w14:textId="77777777" w:rsidR="00426038" w:rsidRPr="009B2826" w:rsidRDefault="00426038" w:rsidP="00214134">
            <w:pPr>
              <w:jc w:val="right"/>
              <w:rPr>
                <w:rFonts w:eastAsia="Times New Roman" w:cs="Times New Roman"/>
                <w:b/>
                <w:bCs/>
                <w:sz w:val="20"/>
                <w:szCs w:val="24"/>
                <w:lang w:val="en-US"/>
              </w:rPr>
            </w:pPr>
            <w:r>
              <w:rPr>
                <w:rFonts w:eastAsia="Times New Roman" w:cs="Times New Roman"/>
                <w:b/>
                <w:bCs/>
                <w:sz w:val="20"/>
                <w:szCs w:val="24"/>
                <w:lang w:val="en-US"/>
              </w:rPr>
              <w:t>(Run time)</w:t>
            </w:r>
          </w:p>
          <w:p w14:paraId="7A132441" w14:textId="77777777" w:rsidR="00426038" w:rsidRDefault="00426038" w:rsidP="00214134">
            <w:pPr>
              <w:jc w:val="left"/>
              <w:rPr>
                <w:rFonts w:eastAsia="Times New Roman" w:cs="Times New Roman"/>
                <w:b/>
                <w:bCs/>
                <w:sz w:val="20"/>
                <w:szCs w:val="24"/>
                <w:lang w:val="en-US"/>
              </w:rPr>
            </w:pPr>
            <w:r w:rsidRPr="009B2826">
              <w:rPr>
                <w:rFonts w:eastAsia="Times New Roman" w:cs="Times New Roman"/>
                <w:b/>
                <w:bCs/>
                <w:sz w:val="20"/>
                <w:szCs w:val="24"/>
                <w:lang w:val="en-US"/>
              </w:rPr>
              <w:t>Variable</w:t>
            </w:r>
            <w:r>
              <w:rPr>
                <w:rFonts w:eastAsia="Times New Roman" w:cs="Times New Roman"/>
                <w:b/>
                <w:bCs/>
                <w:sz w:val="20"/>
                <w:szCs w:val="24"/>
                <w:lang w:val="en-US"/>
              </w:rPr>
              <w:t xml:space="preserve"> </w:t>
            </w:r>
          </w:p>
          <w:p w14:paraId="4B62D483" w14:textId="77777777" w:rsidR="00426038" w:rsidRPr="009B2826" w:rsidRDefault="00426038" w:rsidP="00214134">
            <w:pPr>
              <w:jc w:val="left"/>
              <w:rPr>
                <w:rFonts w:eastAsia="Times New Roman" w:cs="Times New Roman"/>
                <w:b/>
                <w:bCs/>
                <w:sz w:val="20"/>
                <w:szCs w:val="24"/>
                <w:lang w:val="en-US"/>
              </w:rPr>
            </w:pPr>
            <w:r>
              <w:rPr>
                <w:rFonts w:eastAsia="Times New Roman" w:cs="Times New Roman"/>
                <w:b/>
                <w:bCs/>
                <w:sz w:val="20"/>
                <w:szCs w:val="24"/>
                <w:lang w:val="en-US"/>
              </w:rPr>
              <w:t>Combination</w:t>
            </w:r>
          </w:p>
        </w:tc>
        <w:tc>
          <w:tcPr>
            <w:tcW w:w="1286" w:type="dxa"/>
            <w:shd w:val="clear" w:color="auto" w:fill="auto"/>
            <w:noWrap/>
            <w:vAlign w:val="center"/>
            <w:hideMark/>
          </w:tcPr>
          <w:p w14:paraId="297F8C05" w14:textId="77777777" w:rsidR="00426038" w:rsidRDefault="00426038" w:rsidP="00214134">
            <w:pPr>
              <w:jc w:val="center"/>
              <w:rPr>
                <w:rFonts w:eastAsia="Times New Roman" w:cs="Times New Roman"/>
                <w:i/>
                <w:iCs/>
                <w:color w:val="000000"/>
                <w:sz w:val="22"/>
                <w:lang w:val="en-US"/>
              </w:rPr>
            </w:pPr>
            <w:r w:rsidRPr="009B2826">
              <w:rPr>
                <w:rFonts w:eastAsia="Times New Roman" w:cs="Times New Roman"/>
                <w:i/>
                <w:iCs/>
                <w:color w:val="000000"/>
                <w:sz w:val="22"/>
                <w:lang w:val="en-US"/>
              </w:rPr>
              <w:t>3</w:t>
            </w:r>
          </w:p>
          <w:p w14:paraId="1D2B5AE9" w14:textId="77777777" w:rsidR="00426038" w:rsidRDefault="00426038" w:rsidP="00214134">
            <w:pPr>
              <w:jc w:val="center"/>
              <w:rPr>
                <w:rFonts w:eastAsia="Times New Roman" w:cs="Times New Roman"/>
                <w:i/>
                <w:iCs/>
                <w:color w:val="000000"/>
                <w:sz w:val="22"/>
                <w:lang w:val="en-US"/>
              </w:rPr>
            </w:pPr>
            <w:r>
              <w:rPr>
                <w:rFonts w:eastAsia="Times New Roman" w:cs="Times New Roman"/>
                <w:i/>
                <w:iCs/>
                <w:color w:val="000000"/>
                <w:sz w:val="22"/>
                <w:lang w:val="en-US"/>
              </w:rPr>
              <w:t>(5 minutes)</w:t>
            </w:r>
          </w:p>
          <w:p w14:paraId="234B4DE0" w14:textId="77777777" w:rsidR="00426038" w:rsidRPr="009B2826" w:rsidRDefault="00426038" w:rsidP="00214134">
            <w:pPr>
              <w:rPr>
                <w:rFonts w:eastAsia="Times New Roman" w:cs="Times New Roman"/>
                <w:i/>
                <w:iCs/>
                <w:color w:val="000000"/>
                <w:sz w:val="22"/>
                <w:lang w:val="en-US"/>
              </w:rPr>
            </w:pPr>
          </w:p>
        </w:tc>
        <w:tc>
          <w:tcPr>
            <w:tcW w:w="1322" w:type="dxa"/>
            <w:shd w:val="clear" w:color="auto" w:fill="auto"/>
            <w:noWrap/>
            <w:vAlign w:val="center"/>
            <w:hideMark/>
          </w:tcPr>
          <w:p w14:paraId="1AF74AD1" w14:textId="77777777" w:rsidR="00426038" w:rsidRDefault="00426038" w:rsidP="00214134">
            <w:pPr>
              <w:jc w:val="center"/>
              <w:rPr>
                <w:rFonts w:eastAsia="Times New Roman" w:cs="Times New Roman"/>
                <w:i/>
                <w:iCs/>
                <w:color w:val="000000"/>
                <w:sz w:val="22"/>
                <w:lang w:val="en-US"/>
              </w:rPr>
            </w:pPr>
            <w:r w:rsidRPr="009B2826">
              <w:rPr>
                <w:rFonts w:eastAsia="Times New Roman" w:cs="Times New Roman"/>
                <w:i/>
                <w:iCs/>
                <w:color w:val="000000"/>
                <w:sz w:val="22"/>
                <w:lang w:val="en-US"/>
              </w:rPr>
              <w:t>5</w:t>
            </w:r>
          </w:p>
          <w:p w14:paraId="1BFDEF7F" w14:textId="77777777" w:rsidR="00426038" w:rsidRPr="009B2826" w:rsidRDefault="00426038" w:rsidP="00214134">
            <w:pPr>
              <w:jc w:val="center"/>
              <w:rPr>
                <w:rFonts w:eastAsia="Times New Roman" w:cs="Times New Roman"/>
                <w:i/>
                <w:iCs/>
                <w:color w:val="000000"/>
                <w:sz w:val="22"/>
                <w:lang w:val="en-US"/>
              </w:rPr>
            </w:pPr>
            <w:r>
              <w:rPr>
                <w:rFonts w:eastAsia="Times New Roman" w:cs="Times New Roman"/>
                <w:i/>
                <w:iCs/>
                <w:color w:val="000000"/>
                <w:sz w:val="22"/>
                <w:lang w:val="en-US"/>
              </w:rPr>
              <w:t>(10 minutes)</w:t>
            </w:r>
          </w:p>
        </w:tc>
        <w:tc>
          <w:tcPr>
            <w:tcW w:w="1350" w:type="dxa"/>
            <w:shd w:val="clear" w:color="auto" w:fill="auto"/>
            <w:noWrap/>
            <w:vAlign w:val="center"/>
            <w:hideMark/>
          </w:tcPr>
          <w:p w14:paraId="77D99E1F" w14:textId="77777777" w:rsidR="00426038" w:rsidRDefault="00426038" w:rsidP="00214134">
            <w:pPr>
              <w:jc w:val="center"/>
              <w:rPr>
                <w:rFonts w:eastAsia="Times New Roman" w:cs="Times New Roman"/>
                <w:i/>
                <w:iCs/>
                <w:color w:val="000000"/>
                <w:sz w:val="22"/>
                <w:lang w:val="en-US"/>
              </w:rPr>
            </w:pPr>
            <w:r w:rsidRPr="009B2826">
              <w:rPr>
                <w:rFonts w:eastAsia="Times New Roman" w:cs="Times New Roman"/>
                <w:i/>
                <w:iCs/>
                <w:color w:val="000000"/>
                <w:sz w:val="22"/>
                <w:lang w:val="en-US"/>
              </w:rPr>
              <w:t>10</w:t>
            </w:r>
          </w:p>
          <w:p w14:paraId="7293F3EF" w14:textId="77777777" w:rsidR="00426038" w:rsidRPr="009B2826" w:rsidRDefault="00426038" w:rsidP="00214134">
            <w:pPr>
              <w:jc w:val="center"/>
              <w:rPr>
                <w:rFonts w:eastAsia="Times New Roman" w:cs="Times New Roman"/>
                <w:i/>
                <w:iCs/>
                <w:color w:val="000000"/>
                <w:sz w:val="22"/>
                <w:lang w:val="en-US"/>
              </w:rPr>
            </w:pPr>
            <w:r>
              <w:rPr>
                <w:rFonts w:eastAsia="Times New Roman" w:cs="Times New Roman"/>
                <w:i/>
                <w:iCs/>
                <w:color w:val="000000"/>
                <w:sz w:val="22"/>
                <w:lang w:val="en-US"/>
              </w:rPr>
              <w:t>(25 minutes)</w:t>
            </w:r>
          </w:p>
        </w:tc>
        <w:tc>
          <w:tcPr>
            <w:tcW w:w="1350" w:type="dxa"/>
            <w:shd w:val="clear" w:color="auto" w:fill="auto"/>
            <w:noWrap/>
            <w:vAlign w:val="center"/>
            <w:hideMark/>
          </w:tcPr>
          <w:p w14:paraId="31020E96" w14:textId="77777777" w:rsidR="00426038" w:rsidRDefault="00426038" w:rsidP="00214134">
            <w:pPr>
              <w:jc w:val="center"/>
              <w:rPr>
                <w:rFonts w:eastAsia="Times New Roman" w:cs="Times New Roman"/>
                <w:i/>
                <w:iCs/>
                <w:color w:val="000000"/>
                <w:sz w:val="22"/>
                <w:lang w:val="en-US"/>
              </w:rPr>
            </w:pPr>
            <w:r w:rsidRPr="009B2826">
              <w:rPr>
                <w:rFonts w:eastAsia="Times New Roman" w:cs="Times New Roman"/>
                <w:i/>
                <w:iCs/>
                <w:color w:val="000000"/>
                <w:sz w:val="22"/>
                <w:lang w:val="en-US"/>
              </w:rPr>
              <w:t>15</w:t>
            </w:r>
          </w:p>
          <w:p w14:paraId="36F66696" w14:textId="77777777" w:rsidR="00426038" w:rsidRPr="009B2826" w:rsidRDefault="00426038" w:rsidP="00214134">
            <w:pPr>
              <w:jc w:val="center"/>
              <w:rPr>
                <w:rFonts w:eastAsia="Times New Roman" w:cs="Times New Roman"/>
                <w:i/>
                <w:iCs/>
                <w:color w:val="000000"/>
                <w:sz w:val="22"/>
                <w:lang w:val="en-US"/>
              </w:rPr>
            </w:pPr>
            <w:r>
              <w:rPr>
                <w:rFonts w:eastAsia="Times New Roman" w:cs="Times New Roman"/>
                <w:i/>
                <w:iCs/>
                <w:color w:val="000000"/>
                <w:sz w:val="22"/>
                <w:lang w:val="en-US"/>
              </w:rPr>
              <w:t>(40 minutes)</w:t>
            </w:r>
          </w:p>
        </w:tc>
        <w:tc>
          <w:tcPr>
            <w:tcW w:w="1354" w:type="dxa"/>
            <w:shd w:val="clear" w:color="auto" w:fill="auto"/>
            <w:noWrap/>
            <w:vAlign w:val="center"/>
            <w:hideMark/>
          </w:tcPr>
          <w:p w14:paraId="25CA5705" w14:textId="77777777" w:rsidR="00426038" w:rsidRDefault="00426038" w:rsidP="00214134">
            <w:pPr>
              <w:jc w:val="center"/>
              <w:rPr>
                <w:rFonts w:eastAsia="Times New Roman" w:cs="Times New Roman"/>
                <w:i/>
                <w:iCs/>
                <w:color w:val="000000"/>
                <w:sz w:val="22"/>
                <w:lang w:val="en-US"/>
              </w:rPr>
            </w:pPr>
            <w:r w:rsidRPr="009B2826">
              <w:rPr>
                <w:rFonts w:eastAsia="Times New Roman" w:cs="Times New Roman"/>
                <w:i/>
                <w:iCs/>
                <w:color w:val="000000"/>
                <w:sz w:val="22"/>
                <w:lang w:val="en-US"/>
              </w:rPr>
              <w:t>20</w:t>
            </w:r>
          </w:p>
          <w:p w14:paraId="5E791C14" w14:textId="77777777" w:rsidR="00426038" w:rsidRPr="009B2826" w:rsidRDefault="00426038" w:rsidP="00214134">
            <w:pPr>
              <w:jc w:val="center"/>
              <w:rPr>
                <w:rFonts w:eastAsia="Times New Roman" w:cs="Times New Roman"/>
                <w:i/>
                <w:iCs/>
                <w:color w:val="000000"/>
                <w:sz w:val="22"/>
                <w:lang w:val="en-US"/>
              </w:rPr>
            </w:pPr>
            <w:r>
              <w:rPr>
                <w:rFonts w:eastAsia="Times New Roman" w:cs="Times New Roman"/>
                <w:i/>
                <w:iCs/>
                <w:color w:val="000000"/>
                <w:sz w:val="22"/>
                <w:lang w:val="en-US"/>
              </w:rPr>
              <w:t>(60 minutes)</w:t>
            </w:r>
          </w:p>
        </w:tc>
      </w:tr>
      <w:tr w:rsidR="00426038" w:rsidRPr="009B2826" w14:paraId="0F608499" w14:textId="77777777" w:rsidTr="00214134">
        <w:trPr>
          <w:trHeight w:val="300"/>
        </w:trPr>
        <w:tc>
          <w:tcPr>
            <w:tcW w:w="2518" w:type="dxa"/>
            <w:shd w:val="clear" w:color="auto" w:fill="auto"/>
            <w:noWrap/>
            <w:vAlign w:val="bottom"/>
            <w:hideMark/>
          </w:tcPr>
          <w:p w14:paraId="45FF40A4" w14:textId="77777777" w:rsidR="00426038" w:rsidRPr="009B2826" w:rsidRDefault="00426038" w:rsidP="00214134">
            <w:pPr>
              <w:ind w:left="154"/>
              <w:jc w:val="left"/>
              <w:rPr>
                <w:rFonts w:eastAsia="Times New Roman" w:cs="Times New Roman"/>
                <w:i/>
                <w:iCs/>
                <w:color w:val="000000"/>
                <w:sz w:val="22"/>
                <w:lang w:val="en-US"/>
              </w:rPr>
            </w:pPr>
            <w:r w:rsidRPr="009B2826">
              <w:rPr>
                <w:rFonts w:eastAsia="Times New Roman" w:cs="Times New Roman"/>
                <w:i/>
                <w:iCs/>
                <w:color w:val="000000"/>
                <w:sz w:val="22"/>
                <w:lang w:val="en-US"/>
              </w:rPr>
              <w:t>Age</w:t>
            </w:r>
            <w:r>
              <w:rPr>
                <w:rFonts w:eastAsia="Times New Roman" w:cs="Times New Roman"/>
                <w:i/>
                <w:iCs/>
                <w:color w:val="000000"/>
                <w:sz w:val="22"/>
                <w:lang w:val="en-US"/>
              </w:rPr>
              <w:t>, R</w:t>
            </w:r>
            <w:r w:rsidRPr="009B2826">
              <w:rPr>
                <w:rFonts w:eastAsia="Times New Roman" w:cs="Times New Roman"/>
                <w:i/>
                <w:iCs/>
                <w:color w:val="000000"/>
                <w:sz w:val="22"/>
                <w:lang w:val="en-US"/>
              </w:rPr>
              <w:t>ace</w:t>
            </w:r>
          </w:p>
        </w:tc>
        <w:tc>
          <w:tcPr>
            <w:tcW w:w="1286" w:type="dxa"/>
            <w:shd w:val="clear" w:color="auto" w:fill="auto"/>
            <w:noWrap/>
            <w:vAlign w:val="bottom"/>
            <w:hideMark/>
          </w:tcPr>
          <w:p w14:paraId="6C5FC05F"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0.00</w:t>
            </w:r>
          </w:p>
        </w:tc>
        <w:tc>
          <w:tcPr>
            <w:tcW w:w="1322" w:type="dxa"/>
            <w:shd w:val="clear" w:color="auto" w:fill="auto"/>
            <w:noWrap/>
            <w:vAlign w:val="bottom"/>
            <w:hideMark/>
          </w:tcPr>
          <w:p w14:paraId="3063F2D3"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1.31</w:t>
            </w:r>
          </w:p>
        </w:tc>
        <w:tc>
          <w:tcPr>
            <w:tcW w:w="1350" w:type="dxa"/>
            <w:shd w:val="clear" w:color="auto" w:fill="auto"/>
            <w:noWrap/>
            <w:vAlign w:val="bottom"/>
            <w:hideMark/>
          </w:tcPr>
          <w:p w14:paraId="05675B4D"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2.85</w:t>
            </w:r>
          </w:p>
        </w:tc>
        <w:tc>
          <w:tcPr>
            <w:tcW w:w="1350" w:type="dxa"/>
            <w:shd w:val="clear" w:color="auto" w:fill="auto"/>
            <w:noWrap/>
            <w:vAlign w:val="bottom"/>
            <w:hideMark/>
          </w:tcPr>
          <w:p w14:paraId="692659DC"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2.86</w:t>
            </w:r>
          </w:p>
        </w:tc>
        <w:tc>
          <w:tcPr>
            <w:tcW w:w="1354" w:type="dxa"/>
            <w:shd w:val="clear" w:color="auto" w:fill="auto"/>
            <w:noWrap/>
            <w:vAlign w:val="bottom"/>
            <w:hideMark/>
          </w:tcPr>
          <w:p w14:paraId="7F52324C"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2.86</w:t>
            </w:r>
          </w:p>
        </w:tc>
      </w:tr>
      <w:tr w:rsidR="00426038" w:rsidRPr="009B2826" w14:paraId="1019C9E0" w14:textId="77777777" w:rsidTr="00214134">
        <w:trPr>
          <w:trHeight w:val="300"/>
        </w:trPr>
        <w:tc>
          <w:tcPr>
            <w:tcW w:w="2518" w:type="dxa"/>
            <w:shd w:val="clear" w:color="auto" w:fill="auto"/>
            <w:noWrap/>
            <w:vAlign w:val="bottom"/>
            <w:hideMark/>
          </w:tcPr>
          <w:p w14:paraId="04CBA625" w14:textId="77777777" w:rsidR="00426038" w:rsidRPr="009B2826" w:rsidRDefault="00426038" w:rsidP="00214134">
            <w:pPr>
              <w:ind w:left="154"/>
              <w:jc w:val="left"/>
              <w:rPr>
                <w:rFonts w:eastAsia="Times New Roman" w:cs="Times New Roman"/>
                <w:i/>
                <w:iCs/>
                <w:color w:val="000000"/>
                <w:sz w:val="22"/>
                <w:lang w:val="en-US"/>
              </w:rPr>
            </w:pPr>
            <w:r w:rsidRPr="009B2826">
              <w:rPr>
                <w:rFonts w:eastAsia="Times New Roman" w:cs="Times New Roman"/>
                <w:i/>
                <w:iCs/>
                <w:color w:val="000000"/>
                <w:sz w:val="22"/>
                <w:lang w:val="en-US"/>
              </w:rPr>
              <w:t>Age</w:t>
            </w:r>
            <w:r>
              <w:rPr>
                <w:rFonts w:eastAsia="Times New Roman" w:cs="Times New Roman"/>
                <w:i/>
                <w:iCs/>
                <w:color w:val="000000"/>
                <w:sz w:val="22"/>
                <w:lang w:val="en-US"/>
              </w:rPr>
              <w:t>,</w:t>
            </w:r>
            <w:r w:rsidRPr="009B2826">
              <w:rPr>
                <w:rFonts w:eastAsia="Times New Roman" w:cs="Times New Roman"/>
                <w:i/>
                <w:iCs/>
                <w:color w:val="000000"/>
                <w:sz w:val="22"/>
                <w:lang w:val="en-US"/>
              </w:rPr>
              <w:t xml:space="preserve"> </w:t>
            </w:r>
            <w:r>
              <w:rPr>
                <w:rFonts w:eastAsia="Times New Roman" w:cs="Times New Roman"/>
                <w:i/>
                <w:iCs/>
                <w:color w:val="000000"/>
                <w:sz w:val="22"/>
                <w:lang w:val="en-US"/>
              </w:rPr>
              <w:t>G</w:t>
            </w:r>
            <w:r w:rsidRPr="009B2826">
              <w:rPr>
                <w:rFonts w:eastAsia="Times New Roman" w:cs="Times New Roman"/>
                <w:i/>
                <w:iCs/>
                <w:color w:val="000000"/>
                <w:sz w:val="22"/>
                <w:lang w:val="en-US"/>
              </w:rPr>
              <w:t>ender</w:t>
            </w:r>
          </w:p>
        </w:tc>
        <w:tc>
          <w:tcPr>
            <w:tcW w:w="1286" w:type="dxa"/>
            <w:shd w:val="clear" w:color="auto" w:fill="auto"/>
            <w:noWrap/>
            <w:vAlign w:val="bottom"/>
            <w:hideMark/>
          </w:tcPr>
          <w:p w14:paraId="13B194A3"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3.87</w:t>
            </w:r>
          </w:p>
        </w:tc>
        <w:tc>
          <w:tcPr>
            <w:tcW w:w="1322" w:type="dxa"/>
            <w:shd w:val="clear" w:color="auto" w:fill="auto"/>
            <w:noWrap/>
            <w:vAlign w:val="bottom"/>
            <w:hideMark/>
          </w:tcPr>
          <w:p w14:paraId="1E9FF7BA"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7.34</w:t>
            </w:r>
          </w:p>
        </w:tc>
        <w:tc>
          <w:tcPr>
            <w:tcW w:w="1350" w:type="dxa"/>
            <w:shd w:val="clear" w:color="auto" w:fill="auto"/>
            <w:noWrap/>
            <w:vAlign w:val="bottom"/>
            <w:hideMark/>
          </w:tcPr>
          <w:p w14:paraId="79EF4B1F"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12.91</w:t>
            </w:r>
          </w:p>
        </w:tc>
        <w:tc>
          <w:tcPr>
            <w:tcW w:w="1350" w:type="dxa"/>
            <w:shd w:val="clear" w:color="auto" w:fill="auto"/>
            <w:noWrap/>
            <w:vAlign w:val="bottom"/>
            <w:hideMark/>
          </w:tcPr>
          <w:p w14:paraId="6C21D913"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12.91</w:t>
            </w:r>
          </w:p>
        </w:tc>
        <w:tc>
          <w:tcPr>
            <w:tcW w:w="1354" w:type="dxa"/>
            <w:shd w:val="clear" w:color="auto" w:fill="auto"/>
            <w:noWrap/>
            <w:vAlign w:val="bottom"/>
            <w:hideMark/>
          </w:tcPr>
          <w:p w14:paraId="69918EA2"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9.54</w:t>
            </w:r>
          </w:p>
        </w:tc>
      </w:tr>
      <w:tr w:rsidR="00426038" w:rsidRPr="009B2826" w14:paraId="5C99B53D" w14:textId="77777777" w:rsidTr="00214134">
        <w:trPr>
          <w:trHeight w:val="300"/>
        </w:trPr>
        <w:tc>
          <w:tcPr>
            <w:tcW w:w="2518" w:type="dxa"/>
            <w:shd w:val="clear" w:color="auto" w:fill="auto"/>
            <w:noWrap/>
            <w:vAlign w:val="bottom"/>
            <w:hideMark/>
          </w:tcPr>
          <w:p w14:paraId="486254DD" w14:textId="77777777" w:rsidR="00426038" w:rsidRPr="009B2826" w:rsidRDefault="00426038" w:rsidP="00214134">
            <w:pPr>
              <w:ind w:left="154"/>
              <w:jc w:val="left"/>
              <w:rPr>
                <w:rFonts w:eastAsia="Times New Roman" w:cs="Times New Roman"/>
                <w:i/>
                <w:iCs/>
                <w:color w:val="000000"/>
                <w:sz w:val="22"/>
                <w:lang w:val="en-US"/>
              </w:rPr>
            </w:pPr>
            <w:r w:rsidRPr="009B2826">
              <w:rPr>
                <w:rFonts w:eastAsia="Times New Roman" w:cs="Times New Roman"/>
                <w:i/>
                <w:iCs/>
                <w:color w:val="000000"/>
                <w:sz w:val="22"/>
                <w:lang w:val="en-US"/>
              </w:rPr>
              <w:t>Race</w:t>
            </w:r>
            <w:r>
              <w:rPr>
                <w:rFonts w:eastAsia="Times New Roman" w:cs="Times New Roman"/>
                <w:i/>
                <w:iCs/>
                <w:color w:val="000000"/>
                <w:sz w:val="22"/>
                <w:lang w:val="en-US"/>
              </w:rPr>
              <w:t>,</w:t>
            </w:r>
            <w:r w:rsidRPr="009B2826">
              <w:rPr>
                <w:rFonts w:eastAsia="Times New Roman" w:cs="Times New Roman"/>
                <w:i/>
                <w:iCs/>
                <w:color w:val="000000"/>
                <w:sz w:val="22"/>
                <w:lang w:val="en-US"/>
              </w:rPr>
              <w:t xml:space="preserve"> Gender</w:t>
            </w:r>
          </w:p>
        </w:tc>
        <w:tc>
          <w:tcPr>
            <w:tcW w:w="1286" w:type="dxa"/>
            <w:shd w:val="clear" w:color="auto" w:fill="auto"/>
            <w:noWrap/>
            <w:vAlign w:val="bottom"/>
            <w:hideMark/>
          </w:tcPr>
          <w:p w14:paraId="7F5E8EDA"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0.00</w:t>
            </w:r>
          </w:p>
        </w:tc>
        <w:tc>
          <w:tcPr>
            <w:tcW w:w="1322" w:type="dxa"/>
            <w:shd w:val="clear" w:color="auto" w:fill="auto"/>
            <w:noWrap/>
            <w:vAlign w:val="bottom"/>
            <w:hideMark/>
          </w:tcPr>
          <w:p w14:paraId="699B48F7"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0.00</w:t>
            </w:r>
          </w:p>
        </w:tc>
        <w:tc>
          <w:tcPr>
            <w:tcW w:w="1350" w:type="dxa"/>
            <w:shd w:val="clear" w:color="auto" w:fill="auto"/>
            <w:noWrap/>
            <w:vAlign w:val="bottom"/>
            <w:hideMark/>
          </w:tcPr>
          <w:p w14:paraId="054B0AAB"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2.03</w:t>
            </w:r>
          </w:p>
        </w:tc>
        <w:tc>
          <w:tcPr>
            <w:tcW w:w="1350" w:type="dxa"/>
            <w:shd w:val="clear" w:color="auto" w:fill="auto"/>
            <w:noWrap/>
            <w:vAlign w:val="bottom"/>
            <w:hideMark/>
          </w:tcPr>
          <w:p w14:paraId="2AE4FAEB"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3.11</w:t>
            </w:r>
          </w:p>
        </w:tc>
        <w:tc>
          <w:tcPr>
            <w:tcW w:w="1354" w:type="dxa"/>
            <w:shd w:val="clear" w:color="auto" w:fill="auto"/>
            <w:noWrap/>
            <w:vAlign w:val="bottom"/>
            <w:hideMark/>
          </w:tcPr>
          <w:p w14:paraId="2D7AD713"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2.76</w:t>
            </w:r>
          </w:p>
        </w:tc>
      </w:tr>
      <w:tr w:rsidR="00426038" w:rsidRPr="009B2826" w14:paraId="58521E57" w14:textId="77777777" w:rsidTr="00214134">
        <w:trPr>
          <w:trHeight w:val="300"/>
        </w:trPr>
        <w:tc>
          <w:tcPr>
            <w:tcW w:w="2518" w:type="dxa"/>
            <w:shd w:val="clear" w:color="auto" w:fill="auto"/>
            <w:noWrap/>
            <w:vAlign w:val="bottom"/>
            <w:hideMark/>
          </w:tcPr>
          <w:p w14:paraId="0FCACDFD" w14:textId="77777777" w:rsidR="00426038" w:rsidRPr="009B2826" w:rsidRDefault="00426038" w:rsidP="00214134">
            <w:pPr>
              <w:ind w:left="154"/>
              <w:jc w:val="left"/>
              <w:rPr>
                <w:rFonts w:eastAsia="Times New Roman" w:cs="Times New Roman"/>
                <w:i/>
                <w:iCs/>
                <w:color w:val="000000"/>
                <w:sz w:val="22"/>
                <w:lang w:val="en-US"/>
              </w:rPr>
            </w:pPr>
            <w:r w:rsidRPr="009B2826">
              <w:rPr>
                <w:rFonts w:eastAsia="Times New Roman" w:cs="Times New Roman"/>
                <w:i/>
                <w:iCs/>
                <w:color w:val="000000"/>
                <w:sz w:val="22"/>
                <w:lang w:val="en-US"/>
              </w:rPr>
              <w:t>Age</w:t>
            </w:r>
            <w:r>
              <w:rPr>
                <w:rFonts w:eastAsia="Times New Roman" w:cs="Times New Roman"/>
                <w:i/>
                <w:iCs/>
                <w:color w:val="000000"/>
                <w:sz w:val="22"/>
                <w:lang w:val="en-US"/>
              </w:rPr>
              <w:t>, I</w:t>
            </w:r>
            <w:r w:rsidRPr="009B2826">
              <w:rPr>
                <w:rFonts w:eastAsia="Times New Roman" w:cs="Times New Roman"/>
                <w:i/>
                <w:iCs/>
                <w:color w:val="000000"/>
                <w:sz w:val="22"/>
                <w:lang w:val="en-US"/>
              </w:rPr>
              <w:t>ncome</w:t>
            </w:r>
          </w:p>
        </w:tc>
        <w:tc>
          <w:tcPr>
            <w:tcW w:w="1286" w:type="dxa"/>
            <w:shd w:val="clear" w:color="auto" w:fill="auto"/>
            <w:noWrap/>
            <w:vAlign w:val="bottom"/>
            <w:hideMark/>
          </w:tcPr>
          <w:p w14:paraId="724D1ACE"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0.00</w:t>
            </w:r>
          </w:p>
        </w:tc>
        <w:tc>
          <w:tcPr>
            <w:tcW w:w="1322" w:type="dxa"/>
            <w:shd w:val="clear" w:color="auto" w:fill="auto"/>
            <w:noWrap/>
            <w:vAlign w:val="bottom"/>
            <w:hideMark/>
          </w:tcPr>
          <w:p w14:paraId="130A3E02"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1.11</w:t>
            </w:r>
          </w:p>
        </w:tc>
        <w:tc>
          <w:tcPr>
            <w:tcW w:w="1350" w:type="dxa"/>
            <w:shd w:val="clear" w:color="auto" w:fill="auto"/>
            <w:noWrap/>
            <w:vAlign w:val="bottom"/>
            <w:hideMark/>
          </w:tcPr>
          <w:p w14:paraId="0AF99F3B"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1.89</w:t>
            </w:r>
          </w:p>
        </w:tc>
        <w:tc>
          <w:tcPr>
            <w:tcW w:w="1350" w:type="dxa"/>
            <w:shd w:val="clear" w:color="auto" w:fill="auto"/>
            <w:noWrap/>
            <w:vAlign w:val="bottom"/>
            <w:hideMark/>
          </w:tcPr>
          <w:p w14:paraId="255E5F5F"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1.96</w:t>
            </w:r>
          </w:p>
        </w:tc>
        <w:tc>
          <w:tcPr>
            <w:tcW w:w="1354" w:type="dxa"/>
            <w:shd w:val="clear" w:color="auto" w:fill="auto"/>
            <w:noWrap/>
            <w:vAlign w:val="bottom"/>
            <w:hideMark/>
          </w:tcPr>
          <w:p w14:paraId="307D772F"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1.96</w:t>
            </w:r>
          </w:p>
        </w:tc>
      </w:tr>
      <w:tr w:rsidR="00426038" w:rsidRPr="009B2826" w14:paraId="373CD238" w14:textId="77777777" w:rsidTr="00214134">
        <w:trPr>
          <w:trHeight w:val="300"/>
        </w:trPr>
        <w:tc>
          <w:tcPr>
            <w:tcW w:w="2518" w:type="dxa"/>
            <w:shd w:val="clear" w:color="auto" w:fill="auto"/>
            <w:noWrap/>
            <w:vAlign w:val="bottom"/>
            <w:hideMark/>
          </w:tcPr>
          <w:p w14:paraId="6162C865" w14:textId="77777777" w:rsidR="00426038" w:rsidRPr="009B2826" w:rsidRDefault="00426038" w:rsidP="00214134">
            <w:pPr>
              <w:ind w:left="154"/>
              <w:jc w:val="left"/>
              <w:rPr>
                <w:rFonts w:eastAsia="Times New Roman" w:cs="Times New Roman"/>
                <w:i/>
                <w:iCs/>
                <w:color w:val="000000"/>
                <w:sz w:val="22"/>
                <w:lang w:val="en-US"/>
              </w:rPr>
            </w:pPr>
            <w:r w:rsidRPr="009B2826">
              <w:rPr>
                <w:rFonts w:eastAsia="Times New Roman" w:cs="Times New Roman"/>
                <w:i/>
                <w:iCs/>
                <w:color w:val="000000"/>
                <w:sz w:val="22"/>
                <w:lang w:val="en-US"/>
              </w:rPr>
              <w:t>Race</w:t>
            </w:r>
            <w:r>
              <w:rPr>
                <w:rFonts w:eastAsia="Times New Roman" w:cs="Times New Roman"/>
                <w:i/>
                <w:iCs/>
                <w:color w:val="000000"/>
                <w:sz w:val="22"/>
                <w:lang w:val="en-US"/>
              </w:rPr>
              <w:t xml:space="preserve">, </w:t>
            </w:r>
            <w:r w:rsidRPr="009B2826">
              <w:rPr>
                <w:rFonts w:eastAsia="Times New Roman" w:cs="Times New Roman"/>
                <w:i/>
                <w:iCs/>
                <w:color w:val="000000"/>
                <w:sz w:val="22"/>
                <w:lang w:val="en-US"/>
              </w:rPr>
              <w:t>Income</w:t>
            </w:r>
          </w:p>
        </w:tc>
        <w:tc>
          <w:tcPr>
            <w:tcW w:w="1286" w:type="dxa"/>
            <w:shd w:val="clear" w:color="auto" w:fill="auto"/>
            <w:noWrap/>
            <w:vAlign w:val="bottom"/>
            <w:hideMark/>
          </w:tcPr>
          <w:p w14:paraId="25AEADE6"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0.00</w:t>
            </w:r>
          </w:p>
        </w:tc>
        <w:tc>
          <w:tcPr>
            <w:tcW w:w="1322" w:type="dxa"/>
            <w:shd w:val="clear" w:color="auto" w:fill="auto"/>
            <w:noWrap/>
            <w:vAlign w:val="bottom"/>
            <w:hideMark/>
          </w:tcPr>
          <w:p w14:paraId="395216EA"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0.87</w:t>
            </w:r>
          </w:p>
        </w:tc>
        <w:tc>
          <w:tcPr>
            <w:tcW w:w="1350" w:type="dxa"/>
            <w:shd w:val="clear" w:color="auto" w:fill="auto"/>
            <w:noWrap/>
            <w:vAlign w:val="bottom"/>
            <w:hideMark/>
          </w:tcPr>
          <w:p w14:paraId="1D45D7FE"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2.35</w:t>
            </w:r>
          </w:p>
        </w:tc>
        <w:tc>
          <w:tcPr>
            <w:tcW w:w="1350" w:type="dxa"/>
            <w:shd w:val="clear" w:color="auto" w:fill="auto"/>
            <w:noWrap/>
            <w:vAlign w:val="bottom"/>
            <w:hideMark/>
          </w:tcPr>
          <w:p w14:paraId="1B7BDB9B"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2.39</w:t>
            </w:r>
          </w:p>
        </w:tc>
        <w:tc>
          <w:tcPr>
            <w:tcW w:w="1354" w:type="dxa"/>
            <w:shd w:val="clear" w:color="auto" w:fill="auto"/>
            <w:noWrap/>
            <w:vAlign w:val="bottom"/>
            <w:hideMark/>
          </w:tcPr>
          <w:p w14:paraId="79A482DA"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2.43</w:t>
            </w:r>
          </w:p>
        </w:tc>
      </w:tr>
      <w:tr w:rsidR="00426038" w:rsidRPr="009B2826" w14:paraId="21214C9D" w14:textId="77777777" w:rsidTr="00214134">
        <w:trPr>
          <w:trHeight w:val="300"/>
        </w:trPr>
        <w:tc>
          <w:tcPr>
            <w:tcW w:w="2518" w:type="dxa"/>
            <w:shd w:val="clear" w:color="auto" w:fill="auto"/>
            <w:noWrap/>
            <w:vAlign w:val="bottom"/>
            <w:hideMark/>
          </w:tcPr>
          <w:p w14:paraId="33596CE9" w14:textId="77777777" w:rsidR="00426038" w:rsidRPr="009B2826" w:rsidRDefault="00426038" w:rsidP="00214134">
            <w:pPr>
              <w:ind w:left="154"/>
              <w:jc w:val="left"/>
              <w:rPr>
                <w:rFonts w:eastAsia="Times New Roman" w:cs="Times New Roman"/>
                <w:i/>
                <w:iCs/>
                <w:color w:val="000000"/>
                <w:sz w:val="22"/>
                <w:lang w:val="en-US"/>
              </w:rPr>
            </w:pPr>
            <w:r w:rsidRPr="009B2826">
              <w:rPr>
                <w:rFonts w:eastAsia="Times New Roman" w:cs="Times New Roman"/>
                <w:i/>
                <w:iCs/>
                <w:color w:val="000000"/>
                <w:sz w:val="22"/>
                <w:lang w:val="en-US"/>
              </w:rPr>
              <w:t>Age</w:t>
            </w:r>
            <w:r>
              <w:rPr>
                <w:rFonts w:eastAsia="Times New Roman" w:cs="Times New Roman"/>
                <w:i/>
                <w:iCs/>
                <w:color w:val="000000"/>
                <w:sz w:val="22"/>
                <w:lang w:val="en-US"/>
              </w:rPr>
              <w:t>,</w:t>
            </w:r>
            <w:r w:rsidRPr="009B2826">
              <w:rPr>
                <w:rFonts w:eastAsia="Times New Roman" w:cs="Times New Roman"/>
                <w:i/>
                <w:iCs/>
                <w:color w:val="000000"/>
                <w:sz w:val="22"/>
                <w:lang w:val="en-US"/>
              </w:rPr>
              <w:t xml:space="preserve"> Education </w:t>
            </w:r>
          </w:p>
        </w:tc>
        <w:tc>
          <w:tcPr>
            <w:tcW w:w="1286" w:type="dxa"/>
            <w:shd w:val="clear" w:color="auto" w:fill="auto"/>
            <w:noWrap/>
            <w:vAlign w:val="bottom"/>
            <w:hideMark/>
          </w:tcPr>
          <w:p w14:paraId="08B3F3D3"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0.00</w:t>
            </w:r>
          </w:p>
        </w:tc>
        <w:tc>
          <w:tcPr>
            <w:tcW w:w="1322" w:type="dxa"/>
            <w:shd w:val="clear" w:color="auto" w:fill="auto"/>
            <w:noWrap/>
            <w:vAlign w:val="bottom"/>
            <w:hideMark/>
          </w:tcPr>
          <w:p w14:paraId="7A9D9C92"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0.00</w:t>
            </w:r>
          </w:p>
        </w:tc>
        <w:tc>
          <w:tcPr>
            <w:tcW w:w="1350" w:type="dxa"/>
            <w:shd w:val="clear" w:color="auto" w:fill="auto"/>
            <w:noWrap/>
            <w:vAlign w:val="bottom"/>
            <w:hideMark/>
          </w:tcPr>
          <w:p w14:paraId="0B8C92B7"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3.93</w:t>
            </w:r>
          </w:p>
        </w:tc>
        <w:tc>
          <w:tcPr>
            <w:tcW w:w="1350" w:type="dxa"/>
            <w:shd w:val="clear" w:color="auto" w:fill="auto"/>
            <w:noWrap/>
            <w:vAlign w:val="bottom"/>
            <w:hideMark/>
          </w:tcPr>
          <w:p w14:paraId="2AE52BC2"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3.91</w:t>
            </w:r>
          </w:p>
        </w:tc>
        <w:tc>
          <w:tcPr>
            <w:tcW w:w="1354" w:type="dxa"/>
            <w:shd w:val="clear" w:color="auto" w:fill="auto"/>
            <w:noWrap/>
            <w:vAlign w:val="bottom"/>
            <w:hideMark/>
          </w:tcPr>
          <w:p w14:paraId="34CC6A93"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3.91</w:t>
            </w:r>
          </w:p>
        </w:tc>
      </w:tr>
      <w:tr w:rsidR="00426038" w:rsidRPr="009B2826" w14:paraId="5FCF74B7" w14:textId="77777777" w:rsidTr="00214134">
        <w:trPr>
          <w:trHeight w:val="300"/>
        </w:trPr>
        <w:tc>
          <w:tcPr>
            <w:tcW w:w="2518" w:type="dxa"/>
            <w:shd w:val="clear" w:color="auto" w:fill="auto"/>
            <w:noWrap/>
            <w:vAlign w:val="bottom"/>
            <w:hideMark/>
          </w:tcPr>
          <w:p w14:paraId="1584FA41" w14:textId="77777777" w:rsidR="00426038" w:rsidRPr="009B2826" w:rsidRDefault="00426038" w:rsidP="00214134">
            <w:pPr>
              <w:ind w:left="154"/>
              <w:jc w:val="left"/>
              <w:rPr>
                <w:rFonts w:eastAsia="Times New Roman" w:cs="Times New Roman"/>
                <w:i/>
                <w:iCs/>
                <w:color w:val="000000"/>
                <w:sz w:val="22"/>
                <w:lang w:val="en-US"/>
              </w:rPr>
            </w:pPr>
            <w:r w:rsidRPr="009B2826">
              <w:rPr>
                <w:rFonts w:eastAsia="Times New Roman" w:cs="Times New Roman"/>
                <w:i/>
                <w:iCs/>
                <w:color w:val="000000"/>
                <w:sz w:val="22"/>
                <w:lang w:val="en-US"/>
              </w:rPr>
              <w:t>Gender</w:t>
            </w:r>
            <w:r>
              <w:rPr>
                <w:rFonts w:eastAsia="Times New Roman" w:cs="Times New Roman"/>
                <w:i/>
                <w:iCs/>
                <w:color w:val="000000"/>
                <w:sz w:val="22"/>
                <w:lang w:val="en-US"/>
              </w:rPr>
              <w:t>,</w:t>
            </w:r>
            <w:r w:rsidRPr="009B2826">
              <w:rPr>
                <w:rFonts w:eastAsia="Times New Roman" w:cs="Times New Roman"/>
                <w:i/>
                <w:iCs/>
                <w:color w:val="000000"/>
                <w:sz w:val="22"/>
                <w:lang w:val="en-US"/>
              </w:rPr>
              <w:t xml:space="preserve"> Income</w:t>
            </w:r>
          </w:p>
        </w:tc>
        <w:tc>
          <w:tcPr>
            <w:tcW w:w="1286" w:type="dxa"/>
            <w:shd w:val="clear" w:color="auto" w:fill="auto"/>
            <w:noWrap/>
            <w:vAlign w:val="bottom"/>
            <w:hideMark/>
          </w:tcPr>
          <w:p w14:paraId="29815393"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3.89</w:t>
            </w:r>
          </w:p>
        </w:tc>
        <w:tc>
          <w:tcPr>
            <w:tcW w:w="1322" w:type="dxa"/>
            <w:shd w:val="clear" w:color="auto" w:fill="auto"/>
            <w:noWrap/>
            <w:vAlign w:val="bottom"/>
            <w:hideMark/>
          </w:tcPr>
          <w:p w14:paraId="616FFE93"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8.75</w:t>
            </w:r>
          </w:p>
        </w:tc>
        <w:tc>
          <w:tcPr>
            <w:tcW w:w="1350" w:type="dxa"/>
            <w:shd w:val="clear" w:color="auto" w:fill="auto"/>
            <w:noWrap/>
            <w:vAlign w:val="bottom"/>
            <w:hideMark/>
          </w:tcPr>
          <w:p w14:paraId="208634E1"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11.13</w:t>
            </w:r>
          </w:p>
        </w:tc>
        <w:tc>
          <w:tcPr>
            <w:tcW w:w="1350" w:type="dxa"/>
            <w:shd w:val="clear" w:color="auto" w:fill="auto"/>
            <w:noWrap/>
            <w:vAlign w:val="bottom"/>
            <w:hideMark/>
          </w:tcPr>
          <w:p w14:paraId="57A76FA8"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15.16</w:t>
            </w:r>
          </w:p>
        </w:tc>
        <w:tc>
          <w:tcPr>
            <w:tcW w:w="1354" w:type="dxa"/>
            <w:shd w:val="clear" w:color="auto" w:fill="auto"/>
            <w:noWrap/>
            <w:vAlign w:val="bottom"/>
            <w:hideMark/>
          </w:tcPr>
          <w:p w14:paraId="4D736AA7"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16.17</w:t>
            </w:r>
          </w:p>
        </w:tc>
      </w:tr>
      <w:tr w:rsidR="00426038" w:rsidRPr="009B2826" w14:paraId="083A8463" w14:textId="77777777" w:rsidTr="00214134">
        <w:trPr>
          <w:trHeight w:val="300"/>
        </w:trPr>
        <w:tc>
          <w:tcPr>
            <w:tcW w:w="2518" w:type="dxa"/>
            <w:shd w:val="clear" w:color="auto" w:fill="auto"/>
            <w:noWrap/>
            <w:vAlign w:val="bottom"/>
            <w:hideMark/>
          </w:tcPr>
          <w:p w14:paraId="34BD6779" w14:textId="77777777" w:rsidR="00426038" w:rsidRPr="009B2826" w:rsidRDefault="00426038" w:rsidP="00214134">
            <w:pPr>
              <w:ind w:left="154"/>
              <w:jc w:val="left"/>
              <w:rPr>
                <w:rFonts w:eastAsia="Times New Roman" w:cs="Times New Roman"/>
                <w:b/>
                <w:bCs/>
                <w:i/>
                <w:iCs/>
                <w:color w:val="000000"/>
                <w:sz w:val="22"/>
                <w:lang w:val="en-US"/>
              </w:rPr>
            </w:pPr>
            <w:r w:rsidRPr="009B2826">
              <w:rPr>
                <w:rFonts w:eastAsia="Times New Roman" w:cs="Times New Roman"/>
                <w:b/>
                <w:bCs/>
                <w:i/>
                <w:iCs/>
                <w:color w:val="000000"/>
                <w:sz w:val="22"/>
                <w:lang w:val="en-US"/>
              </w:rPr>
              <w:t>Age</w:t>
            </w:r>
            <w:r>
              <w:rPr>
                <w:rFonts w:eastAsia="Times New Roman" w:cs="Times New Roman"/>
                <w:b/>
                <w:bCs/>
                <w:i/>
                <w:iCs/>
                <w:color w:val="000000"/>
                <w:sz w:val="22"/>
                <w:lang w:val="en-US"/>
              </w:rPr>
              <w:t>,</w:t>
            </w:r>
            <w:r w:rsidRPr="009B2826">
              <w:rPr>
                <w:rFonts w:eastAsia="Times New Roman" w:cs="Times New Roman"/>
                <w:b/>
                <w:bCs/>
                <w:i/>
                <w:iCs/>
                <w:color w:val="000000"/>
                <w:sz w:val="22"/>
                <w:lang w:val="en-US"/>
              </w:rPr>
              <w:t xml:space="preserve"> Race</w:t>
            </w:r>
            <w:r>
              <w:rPr>
                <w:rFonts w:eastAsia="Times New Roman" w:cs="Times New Roman"/>
                <w:b/>
                <w:bCs/>
                <w:i/>
                <w:iCs/>
                <w:color w:val="000000"/>
                <w:sz w:val="22"/>
                <w:lang w:val="en-US"/>
              </w:rPr>
              <w:t>,</w:t>
            </w:r>
            <w:r w:rsidRPr="009B2826">
              <w:rPr>
                <w:rFonts w:eastAsia="Times New Roman" w:cs="Times New Roman"/>
                <w:b/>
                <w:bCs/>
                <w:i/>
                <w:iCs/>
                <w:color w:val="000000"/>
                <w:sz w:val="22"/>
                <w:lang w:val="en-US"/>
              </w:rPr>
              <w:t xml:space="preserve"> Income</w:t>
            </w:r>
          </w:p>
        </w:tc>
        <w:tc>
          <w:tcPr>
            <w:tcW w:w="1286" w:type="dxa"/>
            <w:shd w:val="clear" w:color="auto" w:fill="auto"/>
            <w:noWrap/>
            <w:vAlign w:val="bottom"/>
            <w:hideMark/>
          </w:tcPr>
          <w:p w14:paraId="61376260" w14:textId="77777777" w:rsidR="00426038" w:rsidRPr="009B2826" w:rsidRDefault="00426038" w:rsidP="00214134">
            <w:pPr>
              <w:jc w:val="center"/>
              <w:rPr>
                <w:rFonts w:eastAsia="Times New Roman" w:cs="Times New Roman"/>
                <w:b/>
                <w:bCs/>
                <w:color w:val="000000"/>
                <w:sz w:val="22"/>
                <w:lang w:val="en-US"/>
              </w:rPr>
            </w:pPr>
            <w:r w:rsidRPr="00795638">
              <w:rPr>
                <w:rFonts w:eastAsia="Times New Roman" w:cs="Times New Roman"/>
                <w:b/>
                <w:bCs/>
                <w:color w:val="000000"/>
                <w:sz w:val="22"/>
                <w:lang w:val="en-US"/>
              </w:rPr>
              <w:t>235.81</w:t>
            </w:r>
          </w:p>
        </w:tc>
        <w:tc>
          <w:tcPr>
            <w:tcW w:w="1322" w:type="dxa"/>
            <w:shd w:val="clear" w:color="auto" w:fill="auto"/>
            <w:noWrap/>
            <w:vAlign w:val="bottom"/>
            <w:hideMark/>
          </w:tcPr>
          <w:p w14:paraId="24C5D96A" w14:textId="77777777" w:rsidR="00426038" w:rsidRPr="009B2826" w:rsidRDefault="00426038" w:rsidP="00214134">
            <w:pPr>
              <w:jc w:val="center"/>
              <w:rPr>
                <w:rFonts w:eastAsia="Times New Roman" w:cs="Times New Roman"/>
                <w:b/>
                <w:bCs/>
                <w:color w:val="000000"/>
                <w:sz w:val="22"/>
                <w:lang w:val="en-US"/>
              </w:rPr>
            </w:pPr>
            <w:r w:rsidRPr="00795638">
              <w:rPr>
                <w:rFonts w:eastAsia="Times New Roman" w:cs="Times New Roman"/>
                <w:b/>
                <w:bCs/>
                <w:color w:val="000000"/>
                <w:sz w:val="22"/>
                <w:lang w:val="en-US"/>
              </w:rPr>
              <w:t>322.78</w:t>
            </w:r>
          </w:p>
        </w:tc>
        <w:tc>
          <w:tcPr>
            <w:tcW w:w="1350" w:type="dxa"/>
            <w:shd w:val="clear" w:color="auto" w:fill="auto"/>
            <w:noWrap/>
            <w:vAlign w:val="bottom"/>
            <w:hideMark/>
          </w:tcPr>
          <w:p w14:paraId="5532777F" w14:textId="77777777" w:rsidR="00426038" w:rsidRPr="009B2826" w:rsidRDefault="00426038" w:rsidP="00214134">
            <w:pPr>
              <w:jc w:val="center"/>
              <w:rPr>
                <w:rFonts w:eastAsia="Times New Roman" w:cs="Times New Roman"/>
                <w:b/>
                <w:bCs/>
                <w:color w:val="000000"/>
                <w:sz w:val="22"/>
                <w:lang w:val="en-US"/>
              </w:rPr>
            </w:pPr>
            <w:r w:rsidRPr="00795638">
              <w:rPr>
                <w:rFonts w:eastAsia="Times New Roman" w:cs="Times New Roman"/>
                <w:b/>
                <w:bCs/>
                <w:color w:val="000000"/>
                <w:sz w:val="22"/>
                <w:lang w:val="en-US"/>
              </w:rPr>
              <w:t>375.98</w:t>
            </w:r>
          </w:p>
        </w:tc>
        <w:tc>
          <w:tcPr>
            <w:tcW w:w="1350" w:type="dxa"/>
            <w:shd w:val="clear" w:color="auto" w:fill="auto"/>
            <w:noWrap/>
            <w:vAlign w:val="bottom"/>
            <w:hideMark/>
          </w:tcPr>
          <w:p w14:paraId="0C1F21A0" w14:textId="77777777" w:rsidR="00426038" w:rsidRPr="009B2826" w:rsidRDefault="00426038" w:rsidP="00214134">
            <w:pPr>
              <w:jc w:val="center"/>
              <w:rPr>
                <w:rFonts w:eastAsia="Times New Roman" w:cs="Times New Roman"/>
                <w:b/>
                <w:bCs/>
                <w:color w:val="000000"/>
                <w:sz w:val="22"/>
                <w:lang w:val="en-US"/>
              </w:rPr>
            </w:pPr>
            <w:r w:rsidRPr="00795638">
              <w:rPr>
                <w:rFonts w:eastAsia="Times New Roman" w:cs="Times New Roman"/>
                <w:b/>
                <w:bCs/>
                <w:color w:val="000000"/>
                <w:sz w:val="22"/>
                <w:lang w:val="en-US"/>
              </w:rPr>
              <w:t>402.28</w:t>
            </w:r>
          </w:p>
        </w:tc>
        <w:tc>
          <w:tcPr>
            <w:tcW w:w="1354" w:type="dxa"/>
            <w:shd w:val="clear" w:color="auto" w:fill="auto"/>
            <w:noWrap/>
            <w:vAlign w:val="bottom"/>
            <w:hideMark/>
          </w:tcPr>
          <w:p w14:paraId="2159AC7A" w14:textId="77777777" w:rsidR="00426038" w:rsidRPr="009B2826" w:rsidRDefault="00426038" w:rsidP="00214134">
            <w:pPr>
              <w:jc w:val="center"/>
              <w:rPr>
                <w:rFonts w:eastAsia="Times New Roman" w:cs="Times New Roman"/>
                <w:b/>
                <w:bCs/>
                <w:color w:val="000000"/>
                <w:sz w:val="22"/>
                <w:lang w:val="en-US"/>
              </w:rPr>
            </w:pPr>
            <w:r w:rsidRPr="00795638">
              <w:rPr>
                <w:rFonts w:eastAsia="Times New Roman" w:cs="Times New Roman"/>
                <w:b/>
                <w:bCs/>
                <w:color w:val="000000"/>
                <w:sz w:val="22"/>
                <w:lang w:val="en-US"/>
              </w:rPr>
              <w:t>402.80</w:t>
            </w:r>
          </w:p>
        </w:tc>
      </w:tr>
      <w:tr w:rsidR="00426038" w:rsidRPr="009B2826" w14:paraId="65FD7038" w14:textId="77777777" w:rsidTr="00214134">
        <w:trPr>
          <w:trHeight w:val="300"/>
        </w:trPr>
        <w:tc>
          <w:tcPr>
            <w:tcW w:w="2518" w:type="dxa"/>
            <w:shd w:val="clear" w:color="auto" w:fill="auto"/>
            <w:noWrap/>
            <w:vAlign w:val="bottom"/>
            <w:hideMark/>
          </w:tcPr>
          <w:p w14:paraId="47F5890E" w14:textId="77777777" w:rsidR="00426038" w:rsidRPr="009B2826" w:rsidRDefault="00426038" w:rsidP="00214134">
            <w:pPr>
              <w:ind w:left="154"/>
              <w:jc w:val="left"/>
              <w:rPr>
                <w:rFonts w:eastAsia="Times New Roman" w:cs="Times New Roman"/>
                <w:i/>
                <w:iCs/>
                <w:color w:val="000000"/>
                <w:sz w:val="22"/>
                <w:lang w:val="en-US"/>
              </w:rPr>
            </w:pPr>
            <w:r w:rsidRPr="009B2826">
              <w:rPr>
                <w:rFonts w:eastAsia="Times New Roman" w:cs="Times New Roman"/>
                <w:i/>
                <w:iCs/>
                <w:color w:val="000000"/>
                <w:sz w:val="22"/>
                <w:lang w:val="en-US"/>
              </w:rPr>
              <w:t>Gender</w:t>
            </w:r>
            <w:r>
              <w:rPr>
                <w:rFonts w:eastAsia="Times New Roman" w:cs="Times New Roman"/>
                <w:i/>
                <w:iCs/>
                <w:color w:val="000000"/>
                <w:sz w:val="22"/>
                <w:lang w:val="en-US"/>
              </w:rPr>
              <w:t>,</w:t>
            </w:r>
            <w:r w:rsidRPr="009B2826">
              <w:rPr>
                <w:rFonts w:eastAsia="Times New Roman" w:cs="Times New Roman"/>
                <w:i/>
                <w:iCs/>
                <w:color w:val="000000"/>
                <w:sz w:val="22"/>
                <w:lang w:val="en-US"/>
              </w:rPr>
              <w:t xml:space="preserve"> Race</w:t>
            </w:r>
            <w:r>
              <w:rPr>
                <w:rFonts w:eastAsia="Times New Roman" w:cs="Times New Roman"/>
                <w:i/>
                <w:iCs/>
                <w:color w:val="000000"/>
                <w:sz w:val="22"/>
                <w:lang w:val="en-US"/>
              </w:rPr>
              <w:t>,</w:t>
            </w:r>
            <w:r w:rsidRPr="009B2826">
              <w:rPr>
                <w:rFonts w:eastAsia="Times New Roman" w:cs="Times New Roman"/>
                <w:i/>
                <w:iCs/>
                <w:color w:val="000000"/>
                <w:sz w:val="22"/>
                <w:lang w:val="en-US"/>
              </w:rPr>
              <w:t xml:space="preserve"> Income</w:t>
            </w:r>
          </w:p>
        </w:tc>
        <w:tc>
          <w:tcPr>
            <w:tcW w:w="1286" w:type="dxa"/>
            <w:shd w:val="clear" w:color="auto" w:fill="auto"/>
            <w:noWrap/>
            <w:vAlign w:val="bottom"/>
            <w:hideMark/>
          </w:tcPr>
          <w:p w14:paraId="3197B5AE"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6.57</w:t>
            </w:r>
          </w:p>
        </w:tc>
        <w:tc>
          <w:tcPr>
            <w:tcW w:w="1322" w:type="dxa"/>
            <w:shd w:val="clear" w:color="auto" w:fill="auto"/>
            <w:noWrap/>
            <w:vAlign w:val="bottom"/>
            <w:hideMark/>
          </w:tcPr>
          <w:p w14:paraId="242194A7"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7.65</w:t>
            </w:r>
          </w:p>
        </w:tc>
        <w:tc>
          <w:tcPr>
            <w:tcW w:w="1350" w:type="dxa"/>
            <w:shd w:val="clear" w:color="auto" w:fill="auto"/>
            <w:noWrap/>
            <w:vAlign w:val="bottom"/>
            <w:hideMark/>
          </w:tcPr>
          <w:p w14:paraId="3750863D"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8.31</w:t>
            </w:r>
          </w:p>
        </w:tc>
        <w:tc>
          <w:tcPr>
            <w:tcW w:w="1350" w:type="dxa"/>
            <w:shd w:val="clear" w:color="auto" w:fill="auto"/>
            <w:noWrap/>
            <w:vAlign w:val="bottom"/>
            <w:hideMark/>
          </w:tcPr>
          <w:p w14:paraId="273A9526"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11.12</w:t>
            </w:r>
          </w:p>
        </w:tc>
        <w:tc>
          <w:tcPr>
            <w:tcW w:w="1354" w:type="dxa"/>
            <w:shd w:val="clear" w:color="auto" w:fill="auto"/>
            <w:noWrap/>
            <w:vAlign w:val="bottom"/>
            <w:hideMark/>
          </w:tcPr>
          <w:p w14:paraId="0D78951F"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9.11</w:t>
            </w:r>
          </w:p>
        </w:tc>
      </w:tr>
      <w:tr w:rsidR="00426038" w:rsidRPr="009B2826" w14:paraId="5705B3AD" w14:textId="77777777" w:rsidTr="00214134">
        <w:trPr>
          <w:trHeight w:val="300"/>
        </w:trPr>
        <w:tc>
          <w:tcPr>
            <w:tcW w:w="2518" w:type="dxa"/>
            <w:shd w:val="clear" w:color="auto" w:fill="auto"/>
            <w:noWrap/>
            <w:vAlign w:val="bottom"/>
            <w:hideMark/>
          </w:tcPr>
          <w:p w14:paraId="46C709C2" w14:textId="77777777" w:rsidR="00426038" w:rsidRPr="009B2826" w:rsidRDefault="00426038" w:rsidP="00214134">
            <w:pPr>
              <w:ind w:left="154"/>
              <w:jc w:val="left"/>
              <w:rPr>
                <w:rFonts w:eastAsia="Times New Roman" w:cs="Times New Roman"/>
                <w:i/>
                <w:iCs/>
                <w:color w:val="000000"/>
                <w:sz w:val="22"/>
                <w:lang w:val="en-US"/>
              </w:rPr>
            </w:pPr>
            <w:r w:rsidRPr="009B2826">
              <w:rPr>
                <w:rFonts w:eastAsia="Times New Roman" w:cs="Times New Roman"/>
                <w:i/>
                <w:iCs/>
                <w:color w:val="000000"/>
                <w:sz w:val="22"/>
                <w:lang w:val="en-US"/>
              </w:rPr>
              <w:t>Age</w:t>
            </w:r>
            <w:r>
              <w:rPr>
                <w:rFonts w:eastAsia="Times New Roman" w:cs="Times New Roman"/>
                <w:i/>
                <w:iCs/>
                <w:color w:val="000000"/>
                <w:sz w:val="22"/>
                <w:lang w:val="en-US"/>
              </w:rPr>
              <w:t>,</w:t>
            </w:r>
            <w:r w:rsidRPr="009B2826">
              <w:rPr>
                <w:rFonts w:eastAsia="Times New Roman" w:cs="Times New Roman"/>
                <w:i/>
                <w:iCs/>
                <w:color w:val="000000"/>
                <w:sz w:val="22"/>
                <w:lang w:val="en-US"/>
              </w:rPr>
              <w:t xml:space="preserve"> Gender</w:t>
            </w:r>
            <w:r>
              <w:rPr>
                <w:rFonts w:eastAsia="Times New Roman" w:cs="Times New Roman"/>
                <w:i/>
                <w:iCs/>
                <w:color w:val="000000"/>
                <w:sz w:val="22"/>
                <w:lang w:val="en-US"/>
              </w:rPr>
              <w:t>,</w:t>
            </w:r>
            <w:r w:rsidRPr="009B2826">
              <w:rPr>
                <w:rFonts w:eastAsia="Times New Roman" w:cs="Times New Roman"/>
                <w:i/>
                <w:iCs/>
                <w:color w:val="000000"/>
                <w:sz w:val="22"/>
                <w:lang w:val="en-US"/>
              </w:rPr>
              <w:t xml:space="preserve"> Race</w:t>
            </w:r>
          </w:p>
        </w:tc>
        <w:tc>
          <w:tcPr>
            <w:tcW w:w="1286" w:type="dxa"/>
            <w:shd w:val="clear" w:color="auto" w:fill="auto"/>
            <w:noWrap/>
            <w:vAlign w:val="bottom"/>
            <w:hideMark/>
          </w:tcPr>
          <w:p w14:paraId="5CCE2327"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67.21</w:t>
            </w:r>
          </w:p>
        </w:tc>
        <w:tc>
          <w:tcPr>
            <w:tcW w:w="1322" w:type="dxa"/>
            <w:shd w:val="clear" w:color="auto" w:fill="auto"/>
            <w:noWrap/>
            <w:vAlign w:val="bottom"/>
            <w:hideMark/>
          </w:tcPr>
          <w:p w14:paraId="6B277A8A"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89.57</w:t>
            </w:r>
          </w:p>
        </w:tc>
        <w:tc>
          <w:tcPr>
            <w:tcW w:w="1350" w:type="dxa"/>
            <w:shd w:val="clear" w:color="auto" w:fill="auto"/>
            <w:noWrap/>
            <w:vAlign w:val="bottom"/>
            <w:hideMark/>
          </w:tcPr>
          <w:p w14:paraId="6494E522"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120.00</w:t>
            </w:r>
          </w:p>
        </w:tc>
        <w:tc>
          <w:tcPr>
            <w:tcW w:w="1350" w:type="dxa"/>
            <w:shd w:val="clear" w:color="auto" w:fill="auto"/>
            <w:noWrap/>
            <w:vAlign w:val="bottom"/>
            <w:hideMark/>
          </w:tcPr>
          <w:p w14:paraId="3F2743DC"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122.67</w:t>
            </w:r>
          </w:p>
        </w:tc>
        <w:tc>
          <w:tcPr>
            <w:tcW w:w="1354" w:type="dxa"/>
            <w:shd w:val="clear" w:color="auto" w:fill="auto"/>
            <w:noWrap/>
            <w:vAlign w:val="bottom"/>
            <w:hideMark/>
          </w:tcPr>
          <w:p w14:paraId="60632816"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122.43</w:t>
            </w:r>
          </w:p>
        </w:tc>
      </w:tr>
      <w:tr w:rsidR="00426038" w:rsidRPr="009B2826" w14:paraId="2452DAE2" w14:textId="77777777" w:rsidTr="00214134">
        <w:trPr>
          <w:trHeight w:val="300"/>
        </w:trPr>
        <w:tc>
          <w:tcPr>
            <w:tcW w:w="2518" w:type="dxa"/>
            <w:shd w:val="clear" w:color="auto" w:fill="auto"/>
            <w:noWrap/>
            <w:vAlign w:val="bottom"/>
            <w:hideMark/>
          </w:tcPr>
          <w:p w14:paraId="10CACBF7" w14:textId="77777777" w:rsidR="00426038" w:rsidRPr="009B2826" w:rsidRDefault="00426038" w:rsidP="00214134">
            <w:pPr>
              <w:ind w:left="154"/>
              <w:jc w:val="left"/>
              <w:rPr>
                <w:rFonts w:eastAsia="Times New Roman" w:cs="Times New Roman"/>
                <w:i/>
                <w:iCs/>
                <w:color w:val="000000"/>
                <w:sz w:val="22"/>
                <w:lang w:val="en-US"/>
              </w:rPr>
            </w:pPr>
            <w:r w:rsidRPr="009B2826">
              <w:rPr>
                <w:rFonts w:eastAsia="Times New Roman" w:cs="Times New Roman"/>
                <w:i/>
                <w:iCs/>
                <w:color w:val="000000"/>
                <w:sz w:val="22"/>
                <w:lang w:val="en-US"/>
              </w:rPr>
              <w:t>Age, Gender</w:t>
            </w:r>
            <w:r>
              <w:rPr>
                <w:rFonts w:eastAsia="Times New Roman" w:cs="Times New Roman"/>
                <w:i/>
                <w:iCs/>
                <w:color w:val="000000"/>
                <w:sz w:val="22"/>
                <w:lang w:val="en-US"/>
              </w:rPr>
              <w:t>,</w:t>
            </w:r>
            <w:r w:rsidRPr="009B2826">
              <w:rPr>
                <w:rFonts w:eastAsia="Times New Roman" w:cs="Times New Roman"/>
                <w:i/>
                <w:iCs/>
                <w:color w:val="000000"/>
                <w:sz w:val="22"/>
                <w:lang w:val="en-US"/>
              </w:rPr>
              <w:t xml:space="preserve"> Education</w:t>
            </w:r>
          </w:p>
        </w:tc>
        <w:tc>
          <w:tcPr>
            <w:tcW w:w="1286" w:type="dxa"/>
            <w:shd w:val="clear" w:color="auto" w:fill="auto"/>
            <w:noWrap/>
            <w:vAlign w:val="bottom"/>
            <w:hideMark/>
          </w:tcPr>
          <w:p w14:paraId="4EFF8D95"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0.00</w:t>
            </w:r>
          </w:p>
        </w:tc>
        <w:tc>
          <w:tcPr>
            <w:tcW w:w="1322" w:type="dxa"/>
            <w:shd w:val="clear" w:color="auto" w:fill="auto"/>
            <w:noWrap/>
            <w:vAlign w:val="bottom"/>
            <w:hideMark/>
          </w:tcPr>
          <w:p w14:paraId="3CE77894"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2.31</w:t>
            </w:r>
          </w:p>
        </w:tc>
        <w:tc>
          <w:tcPr>
            <w:tcW w:w="1350" w:type="dxa"/>
            <w:shd w:val="clear" w:color="auto" w:fill="auto"/>
            <w:noWrap/>
            <w:vAlign w:val="bottom"/>
            <w:hideMark/>
          </w:tcPr>
          <w:p w14:paraId="17098B60"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7.11</w:t>
            </w:r>
          </w:p>
        </w:tc>
        <w:tc>
          <w:tcPr>
            <w:tcW w:w="1350" w:type="dxa"/>
            <w:shd w:val="clear" w:color="auto" w:fill="auto"/>
            <w:noWrap/>
            <w:vAlign w:val="bottom"/>
            <w:hideMark/>
          </w:tcPr>
          <w:p w14:paraId="6434B1E6"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9.65</w:t>
            </w:r>
          </w:p>
        </w:tc>
        <w:tc>
          <w:tcPr>
            <w:tcW w:w="1354" w:type="dxa"/>
            <w:shd w:val="clear" w:color="auto" w:fill="auto"/>
            <w:noWrap/>
            <w:vAlign w:val="bottom"/>
            <w:hideMark/>
          </w:tcPr>
          <w:p w14:paraId="54999E18"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9.65</w:t>
            </w:r>
          </w:p>
        </w:tc>
      </w:tr>
      <w:tr w:rsidR="00426038" w:rsidRPr="009B2826" w14:paraId="2AF602C1" w14:textId="77777777" w:rsidTr="00214134">
        <w:trPr>
          <w:trHeight w:val="300"/>
        </w:trPr>
        <w:tc>
          <w:tcPr>
            <w:tcW w:w="2518" w:type="dxa"/>
            <w:shd w:val="clear" w:color="auto" w:fill="auto"/>
            <w:noWrap/>
            <w:vAlign w:val="bottom"/>
            <w:hideMark/>
          </w:tcPr>
          <w:p w14:paraId="19A3D39D" w14:textId="77777777" w:rsidR="00426038" w:rsidRPr="009B2826" w:rsidRDefault="00426038" w:rsidP="00214134">
            <w:pPr>
              <w:ind w:left="154"/>
              <w:jc w:val="left"/>
              <w:rPr>
                <w:rFonts w:eastAsia="Times New Roman" w:cs="Times New Roman"/>
                <w:i/>
                <w:iCs/>
                <w:color w:val="000000"/>
                <w:sz w:val="22"/>
                <w:lang w:val="en-US"/>
              </w:rPr>
            </w:pPr>
            <w:r w:rsidRPr="009B2826">
              <w:rPr>
                <w:rFonts w:eastAsia="Times New Roman" w:cs="Times New Roman"/>
                <w:i/>
                <w:iCs/>
                <w:color w:val="000000"/>
                <w:sz w:val="22"/>
                <w:lang w:val="en-US"/>
              </w:rPr>
              <w:t>Age</w:t>
            </w:r>
            <w:r>
              <w:rPr>
                <w:rFonts w:eastAsia="Times New Roman" w:cs="Times New Roman"/>
                <w:i/>
                <w:iCs/>
                <w:color w:val="000000"/>
                <w:sz w:val="22"/>
                <w:lang w:val="en-US"/>
              </w:rPr>
              <w:t>,</w:t>
            </w:r>
            <w:r w:rsidRPr="009B2826">
              <w:rPr>
                <w:rFonts w:eastAsia="Times New Roman" w:cs="Times New Roman"/>
                <w:i/>
                <w:iCs/>
                <w:color w:val="000000"/>
                <w:sz w:val="22"/>
                <w:lang w:val="en-US"/>
              </w:rPr>
              <w:t xml:space="preserve"> Education</w:t>
            </w:r>
            <w:r>
              <w:rPr>
                <w:rFonts w:eastAsia="Times New Roman" w:cs="Times New Roman"/>
                <w:i/>
                <w:iCs/>
                <w:color w:val="000000"/>
                <w:sz w:val="22"/>
                <w:lang w:val="en-US"/>
              </w:rPr>
              <w:t>,</w:t>
            </w:r>
            <w:r w:rsidRPr="009B2826">
              <w:rPr>
                <w:rFonts w:eastAsia="Times New Roman" w:cs="Times New Roman"/>
                <w:i/>
                <w:iCs/>
                <w:color w:val="000000"/>
                <w:sz w:val="22"/>
                <w:lang w:val="en-US"/>
              </w:rPr>
              <w:t xml:space="preserve"> Income</w:t>
            </w:r>
          </w:p>
        </w:tc>
        <w:tc>
          <w:tcPr>
            <w:tcW w:w="1286" w:type="dxa"/>
            <w:shd w:val="clear" w:color="auto" w:fill="auto"/>
            <w:noWrap/>
            <w:vAlign w:val="bottom"/>
            <w:hideMark/>
          </w:tcPr>
          <w:p w14:paraId="3CF9FAC3"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7.03</w:t>
            </w:r>
          </w:p>
        </w:tc>
        <w:tc>
          <w:tcPr>
            <w:tcW w:w="1322" w:type="dxa"/>
            <w:shd w:val="clear" w:color="auto" w:fill="auto"/>
            <w:noWrap/>
            <w:vAlign w:val="bottom"/>
            <w:hideMark/>
          </w:tcPr>
          <w:p w14:paraId="5D15E4AD"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7.31</w:t>
            </w:r>
          </w:p>
        </w:tc>
        <w:tc>
          <w:tcPr>
            <w:tcW w:w="1350" w:type="dxa"/>
            <w:shd w:val="clear" w:color="auto" w:fill="auto"/>
            <w:noWrap/>
            <w:vAlign w:val="bottom"/>
            <w:hideMark/>
          </w:tcPr>
          <w:p w14:paraId="2BF2B8E2"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7.65</w:t>
            </w:r>
          </w:p>
        </w:tc>
        <w:tc>
          <w:tcPr>
            <w:tcW w:w="1350" w:type="dxa"/>
            <w:shd w:val="clear" w:color="auto" w:fill="auto"/>
            <w:noWrap/>
            <w:vAlign w:val="bottom"/>
            <w:hideMark/>
          </w:tcPr>
          <w:p w14:paraId="19AB8F7E"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9.12</w:t>
            </w:r>
          </w:p>
        </w:tc>
        <w:tc>
          <w:tcPr>
            <w:tcW w:w="1354" w:type="dxa"/>
            <w:shd w:val="clear" w:color="auto" w:fill="auto"/>
            <w:noWrap/>
            <w:vAlign w:val="bottom"/>
            <w:hideMark/>
          </w:tcPr>
          <w:p w14:paraId="65ACA2FF" w14:textId="77777777" w:rsidR="00426038" w:rsidRPr="009B2826" w:rsidRDefault="00426038" w:rsidP="00214134">
            <w:pPr>
              <w:jc w:val="center"/>
              <w:rPr>
                <w:rFonts w:eastAsia="Times New Roman" w:cs="Times New Roman"/>
                <w:color w:val="000000"/>
                <w:sz w:val="22"/>
                <w:lang w:val="en-US"/>
              </w:rPr>
            </w:pPr>
            <w:r w:rsidRPr="009B2826">
              <w:rPr>
                <w:rFonts w:eastAsia="Times New Roman" w:cs="Times New Roman"/>
                <w:color w:val="000000"/>
                <w:sz w:val="22"/>
                <w:lang w:val="en-US"/>
              </w:rPr>
              <w:t>9.83</w:t>
            </w:r>
          </w:p>
        </w:tc>
      </w:tr>
    </w:tbl>
    <w:p w14:paraId="3AD47217" w14:textId="77777777" w:rsidR="00426038" w:rsidRDefault="00426038" w:rsidP="00426038">
      <w:pPr>
        <w:pStyle w:val="ListParagraph"/>
        <w:ind w:left="360"/>
        <w:rPr>
          <w:rFonts w:eastAsia="Times New Roman"/>
          <w:b/>
          <w:bCs/>
          <w:i/>
          <w:lang w:val="en-US"/>
        </w:rPr>
      </w:pPr>
    </w:p>
    <w:p w14:paraId="0329BD3E" w14:textId="6F840168" w:rsidR="00426038" w:rsidRPr="0033547F" w:rsidRDefault="00426038" w:rsidP="00426038">
      <w:pPr>
        <w:rPr>
          <w:rFonts w:eastAsia="Times New Roman"/>
          <w:i/>
          <w:lang w:val="en-US"/>
        </w:rPr>
      </w:pPr>
      <w:r w:rsidRPr="0033547F">
        <w:rPr>
          <w:rFonts w:eastAsia="Times New Roman"/>
          <w:i/>
          <w:lang w:val="en-US"/>
        </w:rPr>
        <w:t xml:space="preserve">Table </w:t>
      </w:r>
      <w:r w:rsidR="00226EB6" w:rsidRPr="0033547F">
        <w:rPr>
          <w:rFonts w:eastAsia="Times New Roman"/>
          <w:i/>
          <w:lang w:val="en-US"/>
        </w:rPr>
        <w:t>A.2</w:t>
      </w:r>
      <w:r w:rsidRPr="0033547F">
        <w:rPr>
          <w:rFonts w:eastAsia="Times New Roman"/>
          <w:i/>
          <w:lang w:val="en-US"/>
        </w:rPr>
        <w:t xml:space="preserve">: Model Performance Summary Under Different Fusion Records and Sample Size </w:t>
      </w:r>
    </w:p>
    <w:tbl>
      <w:tblPr>
        <w:tblW w:w="46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402"/>
        <w:gridCol w:w="1202"/>
        <w:gridCol w:w="1402"/>
        <w:gridCol w:w="1208"/>
        <w:gridCol w:w="1402"/>
        <w:gridCol w:w="1084"/>
      </w:tblGrid>
      <w:tr w:rsidR="00426038" w:rsidRPr="000D16A0" w14:paraId="050B2FFA" w14:textId="77777777" w:rsidTr="00214134">
        <w:trPr>
          <w:trHeight w:val="300"/>
        </w:trPr>
        <w:tc>
          <w:tcPr>
            <w:tcW w:w="896" w:type="dxa"/>
            <w:vMerge w:val="restart"/>
            <w:shd w:val="clear" w:color="auto" w:fill="auto"/>
            <w:noWrap/>
            <w:vAlign w:val="center"/>
            <w:hideMark/>
          </w:tcPr>
          <w:p w14:paraId="734DA1AD" w14:textId="77777777" w:rsidR="00426038" w:rsidRDefault="00426038" w:rsidP="00214134">
            <w:pPr>
              <w:jc w:val="center"/>
              <w:rPr>
                <w:rFonts w:eastAsia="Times New Roman" w:cs="Times New Roman"/>
                <w:sz w:val="20"/>
                <w:szCs w:val="24"/>
                <w:lang w:val="en-US"/>
              </w:rPr>
            </w:pPr>
          </w:p>
          <w:p w14:paraId="044065DC" w14:textId="77777777" w:rsidR="00426038" w:rsidRPr="000D16A0" w:rsidRDefault="00426038" w:rsidP="00214134">
            <w:pPr>
              <w:jc w:val="center"/>
              <w:rPr>
                <w:rFonts w:eastAsia="Times New Roman" w:cs="Times New Roman"/>
                <w:sz w:val="20"/>
                <w:szCs w:val="24"/>
                <w:lang w:val="en-US"/>
              </w:rPr>
            </w:pPr>
            <w:r w:rsidRPr="000D16A0">
              <w:rPr>
                <w:rFonts w:eastAsia="Times New Roman" w:cs="Times New Roman"/>
                <w:color w:val="000000"/>
                <w:sz w:val="22"/>
                <w:lang w:val="en-US"/>
              </w:rPr>
              <w:t>Sample</w:t>
            </w:r>
          </w:p>
        </w:tc>
        <w:tc>
          <w:tcPr>
            <w:tcW w:w="2604" w:type="dxa"/>
            <w:gridSpan w:val="2"/>
            <w:shd w:val="clear" w:color="auto" w:fill="auto"/>
            <w:noWrap/>
            <w:vAlign w:val="center"/>
            <w:hideMark/>
          </w:tcPr>
          <w:p w14:paraId="359064A4"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5 fusion</w:t>
            </w:r>
          </w:p>
        </w:tc>
        <w:tc>
          <w:tcPr>
            <w:tcW w:w="2610" w:type="dxa"/>
            <w:gridSpan w:val="2"/>
            <w:shd w:val="clear" w:color="auto" w:fill="auto"/>
            <w:noWrap/>
            <w:vAlign w:val="center"/>
            <w:hideMark/>
          </w:tcPr>
          <w:p w14:paraId="7F71B87F"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10 fusion</w:t>
            </w:r>
          </w:p>
        </w:tc>
        <w:tc>
          <w:tcPr>
            <w:tcW w:w="2610" w:type="dxa"/>
            <w:gridSpan w:val="2"/>
          </w:tcPr>
          <w:p w14:paraId="48BFE6EF" w14:textId="77777777" w:rsidR="00426038" w:rsidRPr="006816FD" w:rsidRDefault="00426038" w:rsidP="00214134">
            <w:pPr>
              <w:jc w:val="center"/>
              <w:rPr>
                <w:rFonts w:eastAsia="Times New Roman" w:cs="Times New Roman"/>
                <w:b/>
                <w:bCs/>
                <w:color w:val="000000"/>
                <w:sz w:val="22"/>
                <w:lang w:val="en-US"/>
              </w:rPr>
            </w:pPr>
            <w:r w:rsidRPr="000D16A0">
              <w:rPr>
                <w:rFonts w:eastAsia="Times New Roman" w:cs="Times New Roman"/>
                <w:color w:val="000000"/>
                <w:sz w:val="22"/>
                <w:lang w:val="en-US"/>
              </w:rPr>
              <w:t>1</w:t>
            </w:r>
            <w:r>
              <w:rPr>
                <w:rFonts w:eastAsia="Times New Roman" w:cs="Times New Roman"/>
                <w:color w:val="000000"/>
                <w:sz w:val="22"/>
                <w:lang w:val="en-US"/>
              </w:rPr>
              <w:t>5</w:t>
            </w:r>
            <w:r w:rsidRPr="000D16A0">
              <w:rPr>
                <w:rFonts w:eastAsia="Times New Roman" w:cs="Times New Roman"/>
                <w:color w:val="000000"/>
                <w:sz w:val="22"/>
                <w:lang w:val="en-US"/>
              </w:rPr>
              <w:t xml:space="preserve"> fusion</w:t>
            </w:r>
          </w:p>
        </w:tc>
      </w:tr>
      <w:tr w:rsidR="00426038" w:rsidRPr="000D16A0" w14:paraId="50EAB6CA" w14:textId="77777777" w:rsidTr="00214134">
        <w:trPr>
          <w:trHeight w:val="300"/>
        </w:trPr>
        <w:tc>
          <w:tcPr>
            <w:tcW w:w="896" w:type="dxa"/>
            <w:vMerge/>
            <w:shd w:val="clear" w:color="auto" w:fill="auto"/>
            <w:noWrap/>
            <w:vAlign w:val="center"/>
            <w:hideMark/>
          </w:tcPr>
          <w:p w14:paraId="193C326F" w14:textId="77777777" w:rsidR="00426038" w:rsidRPr="000D16A0" w:rsidRDefault="00426038" w:rsidP="00214134">
            <w:pPr>
              <w:jc w:val="center"/>
              <w:rPr>
                <w:rFonts w:eastAsia="Times New Roman" w:cs="Times New Roman"/>
                <w:color w:val="000000"/>
                <w:sz w:val="22"/>
                <w:lang w:val="en-US"/>
              </w:rPr>
            </w:pPr>
          </w:p>
        </w:tc>
        <w:tc>
          <w:tcPr>
            <w:tcW w:w="1402" w:type="dxa"/>
            <w:shd w:val="clear" w:color="auto" w:fill="auto"/>
            <w:noWrap/>
            <w:vAlign w:val="center"/>
            <w:hideMark/>
          </w:tcPr>
          <w:p w14:paraId="35679109"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Improvement</w:t>
            </w:r>
          </w:p>
        </w:tc>
        <w:tc>
          <w:tcPr>
            <w:tcW w:w="1202" w:type="dxa"/>
            <w:shd w:val="clear" w:color="auto" w:fill="auto"/>
            <w:noWrap/>
            <w:vAlign w:val="center"/>
            <w:hideMark/>
          </w:tcPr>
          <w:p w14:paraId="6133CF66"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Run Time (Minutes)</w:t>
            </w:r>
          </w:p>
        </w:tc>
        <w:tc>
          <w:tcPr>
            <w:tcW w:w="1402" w:type="dxa"/>
            <w:shd w:val="clear" w:color="auto" w:fill="auto"/>
            <w:noWrap/>
            <w:vAlign w:val="center"/>
            <w:hideMark/>
          </w:tcPr>
          <w:p w14:paraId="1BA860B0"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Improvement</w:t>
            </w:r>
          </w:p>
        </w:tc>
        <w:tc>
          <w:tcPr>
            <w:tcW w:w="1208" w:type="dxa"/>
            <w:shd w:val="clear" w:color="auto" w:fill="auto"/>
            <w:noWrap/>
            <w:vAlign w:val="center"/>
            <w:hideMark/>
          </w:tcPr>
          <w:p w14:paraId="2591F13E"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Run Time (Minutes)</w:t>
            </w:r>
          </w:p>
        </w:tc>
        <w:tc>
          <w:tcPr>
            <w:tcW w:w="1445" w:type="dxa"/>
            <w:vAlign w:val="center"/>
          </w:tcPr>
          <w:p w14:paraId="6AE09EEE" w14:textId="77777777" w:rsidR="00426038" w:rsidRPr="006816FD" w:rsidRDefault="00426038" w:rsidP="00214134">
            <w:pPr>
              <w:jc w:val="center"/>
              <w:rPr>
                <w:rFonts w:eastAsia="Times New Roman" w:cs="Times New Roman"/>
                <w:b/>
                <w:bCs/>
                <w:color w:val="000000"/>
                <w:sz w:val="22"/>
                <w:lang w:val="en-US"/>
              </w:rPr>
            </w:pPr>
            <w:r w:rsidRPr="000D16A0">
              <w:rPr>
                <w:rFonts w:eastAsia="Times New Roman" w:cs="Times New Roman"/>
                <w:color w:val="000000"/>
                <w:sz w:val="22"/>
                <w:lang w:val="en-US"/>
              </w:rPr>
              <w:t>Improvement</w:t>
            </w:r>
          </w:p>
        </w:tc>
        <w:tc>
          <w:tcPr>
            <w:tcW w:w="1165" w:type="dxa"/>
            <w:vAlign w:val="center"/>
          </w:tcPr>
          <w:p w14:paraId="463DEE45" w14:textId="77777777" w:rsidR="00426038" w:rsidRPr="006816FD" w:rsidRDefault="00426038" w:rsidP="00214134">
            <w:pPr>
              <w:jc w:val="center"/>
              <w:rPr>
                <w:rFonts w:eastAsia="Times New Roman" w:cs="Times New Roman"/>
                <w:b/>
                <w:bCs/>
                <w:color w:val="000000"/>
                <w:sz w:val="22"/>
                <w:lang w:val="en-US"/>
              </w:rPr>
            </w:pPr>
            <w:r w:rsidRPr="000D16A0">
              <w:rPr>
                <w:rFonts w:eastAsia="Times New Roman" w:cs="Times New Roman"/>
                <w:color w:val="000000"/>
                <w:sz w:val="22"/>
                <w:lang w:val="en-US"/>
              </w:rPr>
              <w:t>Run Time (Minutes)</w:t>
            </w:r>
          </w:p>
        </w:tc>
      </w:tr>
      <w:tr w:rsidR="00426038" w:rsidRPr="000D16A0" w14:paraId="1A07C979" w14:textId="77777777" w:rsidTr="00214134">
        <w:trPr>
          <w:trHeight w:val="300"/>
        </w:trPr>
        <w:tc>
          <w:tcPr>
            <w:tcW w:w="896" w:type="dxa"/>
            <w:shd w:val="clear" w:color="auto" w:fill="auto"/>
            <w:noWrap/>
            <w:vAlign w:val="center"/>
            <w:hideMark/>
          </w:tcPr>
          <w:p w14:paraId="57734889"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1</w:t>
            </w:r>
          </w:p>
        </w:tc>
        <w:tc>
          <w:tcPr>
            <w:tcW w:w="1402" w:type="dxa"/>
            <w:shd w:val="clear" w:color="auto" w:fill="auto"/>
            <w:noWrap/>
            <w:vAlign w:val="center"/>
            <w:hideMark/>
          </w:tcPr>
          <w:p w14:paraId="7CB291D9"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298.31</w:t>
            </w:r>
          </w:p>
        </w:tc>
        <w:tc>
          <w:tcPr>
            <w:tcW w:w="1202" w:type="dxa"/>
            <w:shd w:val="clear" w:color="auto" w:fill="auto"/>
            <w:noWrap/>
            <w:vAlign w:val="center"/>
            <w:hideMark/>
          </w:tcPr>
          <w:p w14:paraId="6992291E"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15</w:t>
            </w:r>
          </w:p>
        </w:tc>
        <w:tc>
          <w:tcPr>
            <w:tcW w:w="1402" w:type="dxa"/>
            <w:shd w:val="clear" w:color="auto" w:fill="auto"/>
            <w:noWrap/>
            <w:vAlign w:val="center"/>
            <w:hideMark/>
          </w:tcPr>
          <w:p w14:paraId="27404455"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378.32</w:t>
            </w:r>
          </w:p>
        </w:tc>
        <w:tc>
          <w:tcPr>
            <w:tcW w:w="1208" w:type="dxa"/>
            <w:shd w:val="clear" w:color="auto" w:fill="auto"/>
            <w:noWrap/>
            <w:vAlign w:val="center"/>
            <w:hideMark/>
          </w:tcPr>
          <w:p w14:paraId="678A41F3"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25</w:t>
            </w:r>
          </w:p>
        </w:tc>
        <w:tc>
          <w:tcPr>
            <w:tcW w:w="1445" w:type="dxa"/>
            <w:vAlign w:val="center"/>
          </w:tcPr>
          <w:p w14:paraId="3E10F5A6" w14:textId="77777777" w:rsidR="00426038" w:rsidRPr="00FD5FD0" w:rsidRDefault="00426038" w:rsidP="00214134">
            <w:pPr>
              <w:jc w:val="center"/>
              <w:rPr>
                <w:rFonts w:eastAsia="Times New Roman" w:cs="Times New Roman"/>
                <w:color w:val="000000"/>
                <w:sz w:val="22"/>
                <w:lang w:val="en-US"/>
              </w:rPr>
            </w:pPr>
            <w:r>
              <w:rPr>
                <w:rFonts w:eastAsia="Times New Roman" w:cs="Times New Roman"/>
                <w:color w:val="000000"/>
                <w:sz w:val="22"/>
                <w:lang w:val="en-US"/>
              </w:rPr>
              <w:t>39</w:t>
            </w:r>
            <w:r w:rsidRPr="00FD5FD0">
              <w:rPr>
                <w:rFonts w:eastAsia="Times New Roman" w:cs="Times New Roman"/>
                <w:color w:val="000000"/>
                <w:sz w:val="22"/>
                <w:lang w:val="en-US"/>
              </w:rPr>
              <w:t>7.32</w:t>
            </w:r>
          </w:p>
        </w:tc>
        <w:tc>
          <w:tcPr>
            <w:tcW w:w="1165" w:type="dxa"/>
            <w:vAlign w:val="center"/>
          </w:tcPr>
          <w:p w14:paraId="2BACAA23" w14:textId="77777777" w:rsidR="00426038" w:rsidRPr="006816FD" w:rsidRDefault="00426038" w:rsidP="00214134">
            <w:pPr>
              <w:jc w:val="center"/>
              <w:rPr>
                <w:rFonts w:eastAsia="Times New Roman" w:cs="Times New Roman"/>
                <w:b/>
                <w:bCs/>
                <w:color w:val="000000"/>
                <w:sz w:val="22"/>
                <w:lang w:val="en-US"/>
              </w:rPr>
            </w:pPr>
            <w:r>
              <w:rPr>
                <w:rFonts w:eastAsia="Times New Roman" w:cs="Times New Roman"/>
                <w:color w:val="000000"/>
                <w:sz w:val="22"/>
                <w:lang w:val="en-US"/>
              </w:rPr>
              <w:t>40</w:t>
            </w:r>
          </w:p>
        </w:tc>
      </w:tr>
      <w:tr w:rsidR="00426038" w:rsidRPr="000D16A0" w14:paraId="68045DD2" w14:textId="77777777" w:rsidTr="00214134">
        <w:trPr>
          <w:trHeight w:val="300"/>
        </w:trPr>
        <w:tc>
          <w:tcPr>
            <w:tcW w:w="896" w:type="dxa"/>
            <w:shd w:val="clear" w:color="auto" w:fill="auto"/>
            <w:noWrap/>
            <w:vAlign w:val="center"/>
            <w:hideMark/>
          </w:tcPr>
          <w:p w14:paraId="37C8E8BF"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3</w:t>
            </w:r>
          </w:p>
        </w:tc>
        <w:tc>
          <w:tcPr>
            <w:tcW w:w="1402" w:type="dxa"/>
            <w:shd w:val="clear" w:color="auto" w:fill="auto"/>
            <w:noWrap/>
            <w:vAlign w:val="center"/>
            <w:hideMark/>
          </w:tcPr>
          <w:p w14:paraId="3195AD4C"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304.98</w:t>
            </w:r>
          </w:p>
        </w:tc>
        <w:tc>
          <w:tcPr>
            <w:tcW w:w="1202" w:type="dxa"/>
            <w:shd w:val="clear" w:color="auto" w:fill="auto"/>
            <w:noWrap/>
            <w:vAlign w:val="center"/>
            <w:hideMark/>
          </w:tcPr>
          <w:p w14:paraId="56260224"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45</w:t>
            </w:r>
          </w:p>
        </w:tc>
        <w:tc>
          <w:tcPr>
            <w:tcW w:w="1402" w:type="dxa"/>
            <w:shd w:val="clear" w:color="auto" w:fill="auto"/>
            <w:noWrap/>
            <w:vAlign w:val="center"/>
            <w:hideMark/>
          </w:tcPr>
          <w:p w14:paraId="0B2D0E80"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367.57</w:t>
            </w:r>
          </w:p>
        </w:tc>
        <w:tc>
          <w:tcPr>
            <w:tcW w:w="1208" w:type="dxa"/>
            <w:shd w:val="clear" w:color="auto" w:fill="auto"/>
            <w:noWrap/>
            <w:vAlign w:val="center"/>
            <w:hideMark/>
          </w:tcPr>
          <w:p w14:paraId="5A91FBCC"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75</w:t>
            </w:r>
          </w:p>
        </w:tc>
        <w:tc>
          <w:tcPr>
            <w:tcW w:w="1445" w:type="dxa"/>
            <w:vAlign w:val="center"/>
          </w:tcPr>
          <w:p w14:paraId="2D759CE6" w14:textId="77777777" w:rsidR="00426038" w:rsidRPr="00FD5FD0" w:rsidRDefault="00426038" w:rsidP="00214134">
            <w:pPr>
              <w:jc w:val="center"/>
              <w:rPr>
                <w:rFonts w:eastAsia="Times New Roman" w:cs="Times New Roman"/>
                <w:color w:val="000000"/>
                <w:sz w:val="22"/>
                <w:lang w:val="en-US"/>
              </w:rPr>
            </w:pPr>
            <w:r>
              <w:rPr>
                <w:rFonts w:eastAsia="Times New Roman" w:cs="Times New Roman"/>
                <w:color w:val="000000"/>
                <w:sz w:val="22"/>
                <w:lang w:val="en-US"/>
              </w:rPr>
              <w:t>39</w:t>
            </w:r>
            <w:r w:rsidRPr="00FD5FD0">
              <w:rPr>
                <w:rFonts w:eastAsia="Times New Roman" w:cs="Times New Roman"/>
                <w:color w:val="000000"/>
                <w:sz w:val="22"/>
                <w:lang w:val="en-US"/>
              </w:rPr>
              <w:t>7.91</w:t>
            </w:r>
          </w:p>
        </w:tc>
        <w:tc>
          <w:tcPr>
            <w:tcW w:w="1165" w:type="dxa"/>
            <w:vAlign w:val="center"/>
          </w:tcPr>
          <w:p w14:paraId="1410EA97" w14:textId="77777777" w:rsidR="00426038" w:rsidRPr="006816FD" w:rsidRDefault="00426038" w:rsidP="00214134">
            <w:pPr>
              <w:jc w:val="center"/>
              <w:rPr>
                <w:rFonts w:eastAsia="Times New Roman" w:cs="Times New Roman"/>
                <w:b/>
                <w:bCs/>
                <w:color w:val="000000"/>
                <w:sz w:val="22"/>
                <w:lang w:val="en-US"/>
              </w:rPr>
            </w:pPr>
            <w:r>
              <w:rPr>
                <w:rFonts w:eastAsia="Times New Roman" w:cs="Times New Roman"/>
                <w:color w:val="000000"/>
                <w:sz w:val="22"/>
                <w:lang w:val="en-US"/>
              </w:rPr>
              <w:t>120</w:t>
            </w:r>
          </w:p>
        </w:tc>
      </w:tr>
      <w:tr w:rsidR="00426038" w:rsidRPr="000D16A0" w14:paraId="54738BAA" w14:textId="77777777" w:rsidTr="00214134">
        <w:trPr>
          <w:trHeight w:val="300"/>
        </w:trPr>
        <w:tc>
          <w:tcPr>
            <w:tcW w:w="896" w:type="dxa"/>
            <w:shd w:val="clear" w:color="auto" w:fill="auto"/>
            <w:noWrap/>
            <w:vAlign w:val="center"/>
            <w:hideMark/>
          </w:tcPr>
          <w:p w14:paraId="0A903F9F"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5</w:t>
            </w:r>
          </w:p>
        </w:tc>
        <w:tc>
          <w:tcPr>
            <w:tcW w:w="1402" w:type="dxa"/>
            <w:shd w:val="clear" w:color="auto" w:fill="auto"/>
            <w:noWrap/>
            <w:vAlign w:val="center"/>
            <w:hideMark/>
          </w:tcPr>
          <w:p w14:paraId="5AE573AD"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306.05</w:t>
            </w:r>
          </w:p>
        </w:tc>
        <w:tc>
          <w:tcPr>
            <w:tcW w:w="1202" w:type="dxa"/>
            <w:shd w:val="clear" w:color="auto" w:fill="auto"/>
            <w:noWrap/>
            <w:vAlign w:val="center"/>
            <w:hideMark/>
          </w:tcPr>
          <w:p w14:paraId="2F93A78A"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75</w:t>
            </w:r>
          </w:p>
        </w:tc>
        <w:tc>
          <w:tcPr>
            <w:tcW w:w="1402" w:type="dxa"/>
            <w:shd w:val="clear" w:color="auto" w:fill="auto"/>
            <w:noWrap/>
            <w:vAlign w:val="center"/>
            <w:hideMark/>
          </w:tcPr>
          <w:p w14:paraId="4E8F1DFE"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374.68</w:t>
            </w:r>
          </w:p>
        </w:tc>
        <w:tc>
          <w:tcPr>
            <w:tcW w:w="1208" w:type="dxa"/>
            <w:shd w:val="clear" w:color="auto" w:fill="auto"/>
            <w:noWrap/>
            <w:vAlign w:val="center"/>
            <w:hideMark/>
          </w:tcPr>
          <w:p w14:paraId="637E7057"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125</w:t>
            </w:r>
          </w:p>
        </w:tc>
        <w:tc>
          <w:tcPr>
            <w:tcW w:w="1445" w:type="dxa"/>
            <w:vAlign w:val="center"/>
          </w:tcPr>
          <w:p w14:paraId="04A895FF" w14:textId="77777777" w:rsidR="00426038" w:rsidRPr="00FD5FD0" w:rsidRDefault="00426038" w:rsidP="00214134">
            <w:pPr>
              <w:jc w:val="center"/>
              <w:rPr>
                <w:rFonts w:eastAsia="Times New Roman" w:cs="Times New Roman"/>
                <w:color w:val="000000"/>
                <w:sz w:val="22"/>
                <w:lang w:val="en-US"/>
              </w:rPr>
            </w:pPr>
            <w:r w:rsidRPr="00FD5FD0">
              <w:rPr>
                <w:rFonts w:eastAsia="Times New Roman" w:cs="Times New Roman"/>
                <w:color w:val="000000"/>
                <w:sz w:val="22"/>
                <w:lang w:val="en-US"/>
              </w:rPr>
              <w:t>4</w:t>
            </w:r>
            <w:r>
              <w:rPr>
                <w:rFonts w:eastAsia="Times New Roman" w:cs="Times New Roman"/>
                <w:color w:val="000000"/>
                <w:sz w:val="22"/>
                <w:lang w:val="en-US"/>
              </w:rPr>
              <w:t>01</w:t>
            </w:r>
            <w:r w:rsidRPr="00FD5FD0">
              <w:rPr>
                <w:rFonts w:eastAsia="Times New Roman" w:cs="Times New Roman"/>
                <w:color w:val="000000"/>
                <w:sz w:val="22"/>
                <w:lang w:val="en-US"/>
              </w:rPr>
              <w:t>.60</w:t>
            </w:r>
          </w:p>
        </w:tc>
        <w:tc>
          <w:tcPr>
            <w:tcW w:w="1165" w:type="dxa"/>
            <w:vAlign w:val="center"/>
          </w:tcPr>
          <w:p w14:paraId="528F09B0" w14:textId="77777777" w:rsidR="00426038" w:rsidRPr="006816FD" w:rsidRDefault="00426038" w:rsidP="00214134">
            <w:pPr>
              <w:jc w:val="center"/>
              <w:rPr>
                <w:rFonts w:eastAsia="Times New Roman" w:cs="Times New Roman"/>
                <w:b/>
                <w:bCs/>
                <w:color w:val="000000"/>
                <w:sz w:val="22"/>
                <w:lang w:val="en-US"/>
              </w:rPr>
            </w:pPr>
            <w:r>
              <w:rPr>
                <w:rFonts w:eastAsia="Times New Roman" w:cs="Times New Roman"/>
                <w:color w:val="000000"/>
                <w:sz w:val="22"/>
                <w:lang w:val="en-US"/>
              </w:rPr>
              <w:t>200</w:t>
            </w:r>
          </w:p>
        </w:tc>
      </w:tr>
      <w:tr w:rsidR="00426038" w:rsidRPr="000D16A0" w14:paraId="5745E714" w14:textId="77777777" w:rsidTr="00214134">
        <w:trPr>
          <w:trHeight w:val="330"/>
        </w:trPr>
        <w:tc>
          <w:tcPr>
            <w:tcW w:w="896" w:type="dxa"/>
            <w:shd w:val="clear" w:color="auto" w:fill="auto"/>
            <w:noWrap/>
            <w:vAlign w:val="center"/>
            <w:hideMark/>
          </w:tcPr>
          <w:p w14:paraId="6FC1D3B8" w14:textId="77777777" w:rsidR="00426038" w:rsidRPr="000D16A0" w:rsidRDefault="00426038" w:rsidP="00214134">
            <w:pPr>
              <w:jc w:val="center"/>
              <w:rPr>
                <w:rFonts w:eastAsia="Times New Roman" w:cs="Times New Roman"/>
                <w:b/>
                <w:bCs/>
                <w:color w:val="000000"/>
                <w:sz w:val="22"/>
                <w:lang w:val="en-US"/>
              </w:rPr>
            </w:pPr>
            <w:r w:rsidRPr="000D16A0">
              <w:rPr>
                <w:rFonts w:eastAsia="Times New Roman" w:cs="Times New Roman"/>
                <w:b/>
                <w:bCs/>
                <w:color w:val="000000"/>
                <w:sz w:val="22"/>
                <w:lang w:val="en-US"/>
              </w:rPr>
              <w:t>10</w:t>
            </w:r>
          </w:p>
        </w:tc>
        <w:tc>
          <w:tcPr>
            <w:tcW w:w="1402" w:type="dxa"/>
            <w:shd w:val="clear" w:color="auto" w:fill="auto"/>
            <w:noWrap/>
            <w:vAlign w:val="center"/>
            <w:hideMark/>
          </w:tcPr>
          <w:p w14:paraId="79E42750" w14:textId="77777777" w:rsidR="00426038" w:rsidRPr="000D16A0" w:rsidRDefault="00426038" w:rsidP="00214134">
            <w:pPr>
              <w:jc w:val="center"/>
              <w:rPr>
                <w:rFonts w:eastAsia="Times New Roman" w:cs="Times New Roman"/>
                <w:b/>
                <w:bCs/>
                <w:color w:val="000000"/>
                <w:sz w:val="22"/>
                <w:lang w:val="en-US"/>
              </w:rPr>
            </w:pPr>
            <w:r w:rsidRPr="000D16A0">
              <w:rPr>
                <w:rFonts w:eastAsia="Times New Roman" w:cs="Times New Roman"/>
                <w:b/>
                <w:bCs/>
                <w:color w:val="000000"/>
                <w:sz w:val="22"/>
                <w:lang w:val="en-US"/>
              </w:rPr>
              <w:t>324.40</w:t>
            </w:r>
          </w:p>
        </w:tc>
        <w:tc>
          <w:tcPr>
            <w:tcW w:w="1202" w:type="dxa"/>
            <w:shd w:val="clear" w:color="auto" w:fill="auto"/>
            <w:noWrap/>
            <w:vAlign w:val="center"/>
            <w:hideMark/>
          </w:tcPr>
          <w:p w14:paraId="40C51070" w14:textId="77777777" w:rsidR="00426038" w:rsidRPr="000D16A0" w:rsidRDefault="00426038" w:rsidP="00214134">
            <w:pPr>
              <w:jc w:val="center"/>
              <w:rPr>
                <w:rFonts w:eastAsia="Times New Roman" w:cs="Times New Roman"/>
                <w:b/>
                <w:bCs/>
                <w:color w:val="000000"/>
                <w:sz w:val="22"/>
                <w:lang w:val="en-US"/>
              </w:rPr>
            </w:pPr>
            <w:r w:rsidRPr="000D16A0">
              <w:rPr>
                <w:rFonts w:eastAsia="Times New Roman" w:cs="Times New Roman"/>
                <w:b/>
                <w:bCs/>
                <w:color w:val="000000"/>
                <w:sz w:val="22"/>
                <w:lang w:val="en-US"/>
              </w:rPr>
              <w:t>150</w:t>
            </w:r>
          </w:p>
        </w:tc>
        <w:tc>
          <w:tcPr>
            <w:tcW w:w="1402" w:type="dxa"/>
            <w:shd w:val="clear" w:color="auto" w:fill="auto"/>
            <w:noWrap/>
            <w:vAlign w:val="center"/>
            <w:hideMark/>
          </w:tcPr>
          <w:p w14:paraId="63147393" w14:textId="77777777" w:rsidR="00426038" w:rsidRPr="000D16A0" w:rsidRDefault="00426038" w:rsidP="00214134">
            <w:pPr>
              <w:jc w:val="center"/>
              <w:rPr>
                <w:rFonts w:eastAsia="Times New Roman" w:cs="Times New Roman"/>
                <w:b/>
                <w:bCs/>
                <w:color w:val="000000"/>
                <w:sz w:val="22"/>
                <w:lang w:val="en-US"/>
              </w:rPr>
            </w:pPr>
            <w:r w:rsidRPr="000D16A0">
              <w:rPr>
                <w:rFonts w:eastAsia="Times New Roman" w:cs="Times New Roman"/>
                <w:b/>
                <w:bCs/>
                <w:color w:val="000000"/>
                <w:sz w:val="22"/>
                <w:lang w:val="en-US"/>
              </w:rPr>
              <w:t>387.86</w:t>
            </w:r>
          </w:p>
        </w:tc>
        <w:tc>
          <w:tcPr>
            <w:tcW w:w="1208" w:type="dxa"/>
            <w:shd w:val="clear" w:color="auto" w:fill="auto"/>
            <w:noWrap/>
            <w:vAlign w:val="center"/>
            <w:hideMark/>
          </w:tcPr>
          <w:p w14:paraId="22A2B4E8" w14:textId="77777777" w:rsidR="00426038" w:rsidRPr="000D16A0" w:rsidRDefault="00426038" w:rsidP="00214134">
            <w:pPr>
              <w:jc w:val="center"/>
              <w:rPr>
                <w:rFonts w:eastAsia="Times New Roman" w:cs="Times New Roman"/>
                <w:b/>
                <w:bCs/>
                <w:color w:val="000000"/>
                <w:sz w:val="22"/>
                <w:lang w:val="en-US"/>
              </w:rPr>
            </w:pPr>
            <w:r w:rsidRPr="000D16A0">
              <w:rPr>
                <w:rFonts w:eastAsia="Times New Roman" w:cs="Times New Roman"/>
                <w:b/>
                <w:bCs/>
                <w:color w:val="000000"/>
                <w:sz w:val="22"/>
                <w:lang w:val="en-US"/>
              </w:rPr>
              <w:t>250</w:t>
            </w:r>
          </w:p>
        </w:tc>
        <w:tc>
          <w:tcPr>
            <w:tcW w:w="1445" w:type="dxa"/>
            <w:vAlign w:val="center"/>
          </w:tcPr>
          <w:p w14:paraId="5702EE57" w14:textId="77777777" w:rsidR="00426038" w:rsidRPr="0055689A" w:rsidRDefault="00426038" w:rsidP="00214134">
            <w:pPr>
              <w:jc w:val="center"/>
              <w:rPr>
                <w:rFonts w:eastAsia="Times New Roman" w:cs="Times New Roman"/>
                <w:b/>
                <w:bCs/>
                <w:color w:val="000000"/>
                <w:sz w:val="22"/>
                <w:lang w:val="en-US"/>
              </w:rPr>
            </w:pPr>
            <w:r w:rsidRPr="0055689A">
              <w:rPr>
                <w:rFonts w:eastAsia="Times New Roman" w:cs="Times New Roman"/>
                <w:b/>
                <w:bCs/>
                <w:color w:val="000000"/>
                <w:sz w:val="22"/>
                <w:lang w:val="en-US"/>
              </w:rPr>
              <w:t>402.28</w:t>
            </w:r>
          </w:p>
        </w:tc>
        <w:tc>
          <w:tcPr>
            <w:tcW w:w="1165" w:type="dxa"/>
            <w:vAlign w:val="center"/>
          </w:tcPr>
          <w:p w14:paraId="267E5314" w14:textId="77777777" w:rsidR="00426038" w:rsidRPr="006816FD" w:rsidRDefault="00426038" w:rsidP="00214134">
            <w:pPr>
              <w:jc w:val="center"/>
              <w:rPr>
                <w:rFonts w:eastAsia="Times New Roman" w:cs="Times New Roman"/>
                <w:b/>
                <w:bCs/>
                <w:color w:val="000000"/>
                <w:sz w:val="22"/>
                <w:lang w:val="en-US"/>
              </w:rPr>
            </w:pPr>
            <w:r>
              <w:rPr>
                <w:rFonts w:eastAsia="Times New Roman" w:cs="Times New Roman"/>
                <w:b/>
                <w:bCs/>
                <w:color w:val="000000"/>
                <w:sz w:val="22"/>
                <w:lang w:val="en-US"/>
              </w:rPr>
              <w:t>400</w:t>
            </w:r>
          </w:p>
        </w:tc>
      </w:tr>
      <w:tr w:rsidR="00426038" w:rsidRPr="000D16A0" w14:paraId="6656CCEE" w14:textId="77777777" w:rsidTr="00214134">
        <w:trPr>
          <w:trHeight w:val="300"/>
        </w:trPr>
        <w:tc>
          <w:tcPr>
            <w:tcW w:w="896" w:type="dxa"/>
            <w:shd w:val="clear" w:color="auto" w:fill="auto"/>
            <w:noWrap/>
            <w:vAlign w:val="center"/>
            <w:hideMark/>
          </w:tcPr>
          <w:p w14:paraId="2FBEC8AD"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15</w:t>
            </w:r>
          </w:p>
        </w:tc>
        <w:tc>
          <w:tcPr>
            <w:tcW w:w="1402" w:type="dxa"/>
            <w:shd w:val="clear" w:color="auto" w:fill="auto"/>
            <w:noWrap/>
            <w:vAlign w:val="center"/>
            <w:hideMark/>
          </w:tcPr>
          <w:p w14:paraId="45256997"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327.61</w:t>
            </w:r>
          </w:p>
        </w:tc>
        <w:tc>
          <w:tcPr>
            <w:tcW w:w="1202" w:type="dxa"/>
            <w:shd w:val="clear" w:color="auto" w:fill="auto"/>
            <w:noWrap/>
            <w:vAlign w:val="center"/>
            <w:hideMark/>
          </w:tcPr>
          <w:p w14:paraId="4750B067"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225</w:t>
            </w:r>
          </w:p>
        </w:tc>
        <w:tc>
          <w:tcPr>
            <w:tcW w:w="1402" w:type="dxa"/>
            <w:shd w:val="clear" w:color="auto" w:fill="auto"/>
            <w:noWrap/>
            <w:vAlign w:val="center"/>
            <w:hideMark/>
          </w:tcPr>
          <w:p w14:paraId="7D8C447E"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388.75</w:t>
            </w:r>
          </w:p>
        </w:tc>
        <w:tc>
          <w:tcPr>
            <w:tcW w:w="1208" w:type="dxa"/>
            <w:shd w:val="clear" w:color="auto" w:fill="auto"/>
            <w:noWrap/>
            <w:vAlign w:val="center"/>
            <w:hideMark/>
          </w:tcPr>
          <w:p w14:paraId="092C9741" w14:textId="77777777" w:rsidR="00426038" w:rsidRPr="000D16A0" w:rsidRDefault="00426038" w:rsidP="00214134">
            <w:pPr>
              <w:jc w:val="center"/>
              <w:rPr>
                <w:rFonts w:eastAsia="Times New Roman" w:cs="Times New Roman"/>
                <w:color w:val="000000"/>
                <w:sz w:val="22"/>
                <w:lang w:val="en-US"/>
              </w:rPr>
            </w:pPr>
            <w:r w:rsidRPr="000D16A0">
              <w:rPr>
                <w:rFonts w:eastAsia="Times New Roman" w:cs="Times New Roman"/>
                <w:color w:val="000000"/>
                <w:sz w:val="22"/>
                <w:lang w:val="en-US"/>
              </w:rPr>
              <w:t>375</w:t>
            </w:r>
          </w:p>
        </w:tc>
        <w:tc>
          <w:tcPr>
            <w:tcW w:w="1445" w:type="dxa"/>
            <w:vAlign w:val="center"/>
          </w:tcPr>
          <w:p w14:paraId="0EB3474C" w14:textId="77777777" w:rsidR="00426038" w:rsidRPr="00FD5FD0" w:rsidRDefault="00426038" w:rsidP="00214134">
            <w:pPr>
              <w:jc w:val="center"/>
              <w:rPr>
                <w:rFonts w:eastAsia="Times New Roman" w:cs="Times New Roman"/>
                <w:color w:val="000000"/>
                <w:sz w:val="22"/>
                <w:lang w:val="en-US"/>
              </w:rPr>
            </w:pPr>
            <w:r w:rsidRPr="00FD5FD0">
              <w:rPr>
                <w:rFonts w:eastAsia="Times New Roman" w:cs="Times New Roman"/>
                <w:color w:val="000000"/>
                <w:sz w:val="22"/>
                <w:lang w:val="en-US"/>
              </w:rPr>
              <w:t>4</w:t>
            </w:r>
            <w:r>
              <w:rPr>
                <w:rFonts w:eastAsia="Times New Roman" w:cs="Times New Roman"/>
                <w:color w:val="000000"/>
                <w:sz w:val="22"/>
                <w:lang w:val="en-US"/>
              </w:rPr>
              <w:t>05</w:t>
            </w:r>
            <w:r w:rsidRPr="00FD5FD0">
              <w:rPr>
                <w:rFonts w:eastAsia="Times New Roman" w:cs="Times New Roman"/>
                <w:color w:val="000000"/>
                <w:sz w:val="22"/>
                <w:lang w:val="en-US"/>
              </w:rPr>
              <w:t>.12</w:t>
            </w:r>
          </w:p>
        </w:tc>
        <w:tc>
          <w:tcPr>
            <w:tcW w:w="1165" w:type="dxa"/>
            <w:vAlign w:val="center"/>
          </w:tcPr>
          <w:p w14:paraId="0EC2E84F" w14:textId="77777777" w:rsidR="00426038" w:rsidRPr="006816FD" w:rsidRDefault="00426038" w:rsidP="00214134">
            <w:pPr>
              <w:jc w:val="center"/>
              <w:rPr>
                <w:rFonts w:eastAsia="Times New Roman" w:cs="Times New Roman"/>
                <w:b/>
                <w:bCs/>
                <w:color w:val="000000"/>
                <w:sz w:val="22"/>
                <w:lang w:val="en-US"/>
              </w:rPr>
            </w:pPr>
            <w:r>
              <w:rPr>
                <w:rFonts w:eastAsia="Times New Roman" w:cs="Times New Roman"/>
                <w:color w:val="000000"/>
                <w:sz w:val="22"/>
                <w:lang w:val="en-US"/>
              </w:rPr>
              <w:t>600</w:t>
            </w:r>
          </w:p>
        </w:tc>
      </w:tr>
    </w:tbl>
    <w:p w14:paraId="2CB582F2" w14:textId="77777777" w:rsidR="00426038" w:rsidRDefault="00426038" w:rsidP="003224C7">
      <w:pPr>
        <w:rPr>
          <w:rFonts w:cs="Times New Roman"/>
          <w:sz w:val="20"/>
          <w:szCs w:val="18"/>
          <w:lang w:val="en-US"/>
        </w:rPr>
      </w:pPr>
    </w:p>
    <w:p w14:paraId="05E0FC97" w14:textId="060C3D85" w:rsidR="0032780E" w:rsidRDefault="00B10C5E" w:rsidP="005F7ED7">
      <w:r>
        <w:rPr>
          <w:lang w:val="en-US"/>
        </w:rPr>
        <w:t xml:space="preserve">From Tables A.1 and A.2, three observations can be made as follows: </w:t>
      </w:r>
      <w:r w:rsidRPr="00B10C5E">
        <w:rPr>
          <w:u w:val="single"/>
          <w:lang w:val="en-US"/>
        </w:rPr>
        <w:t>First</w:t>
      </w:r>
      <w:r>
        <w:rPr>
          <w:lang w:val="en-US"/>
        </w:rPr>
        <w:t>,  t</w:t>
      </w:r>
      <w:r w:rsidRPr="00B10C5E">
        <w:rPr>
          <w:lang w:val="en-US"/>
        </w:rPr>
        <w:t xml:space="preserve">he best improvement in model performances is observed when the datasets are fused </w:t>
      </w:r>
      <w:r>
        <w:t xml:space="preserve">based on matching age, race and income </w:t>
      </w:r>
      <w:r w:rsidRPr="00B10C5E">
        <w:rPr>
          <w:b/>
          <w:bCs/>
        </w:rPr>
        <w:t>(X)</w:t>
      </w:r>
      <w:r>
        <w:t xml:space="preserve">. </w:t>
      </w:r>
      <w:r w:rsidRPr="00B10C5E">
        <w:rPr>
          <w:lang w:val="en-US"/>
        </w:rPr>
        <w:t xml:space="preserve"> </w:t>
      </w:r>
      <w:r w:rsidRPr="00B10C5E">
        <w:rPr>
          <w:u w:val="single"/>
          <w:lang w:val="en-US"/>
        </w:rPr>
        <w:t>Second</w:t>
      </w:r>
      <w:r>
        <w:rPr>
          <w:u w:val="single"/>
          <w:lang w:val="en-US"/>
        </w:rPr>
        <w:t>,</w:t>
      </w:r>
      <w:r w:rsidRPr="00B10C5E">
        <w:rPr>
          <w:lang w:val="en-US"/>
        </w:rPr>
        <w:t xml:space="preserve"> r</w:t>
      </w:r>
      <w:r w:rsidRPr="000F2762">
        <w:rPr>
          <w:lang w:val="en-US"/>
        </w:rPr>
        <w:t xml:space="preserve">egarding the number of fused records, it is observed that matching 15 </w:t>
      </w:r>
      <w:r>
        <w:rPr>
          <w:lang w:val="en-US"/>
        </w:rPr>
        <w:t xml:space="preserve">twitter </w:t>
      </w:r>
      <w:r w:rsidRPr="000F2762">
        <w:rPr>
          <w:lang w:val="en-US"/>
        </w:rPr>
        <w:t xml:space="preserve">records for each individual in the NHTS dataset leads to the best performance. However, this improvement comes at the cost of additional computational </w:t>
      </w:r>
      <w:r w:rsidRPr="000F2762">
        <w:rPr>
          <w:lang w:val="en-US"/>
        </w:rPr>
        <w:lastRenderedPageBreak/>
        <w:t>run time. Considering a trade-off between performance and computational efficiency, we identify 10</w:t>
      </w:r>
      <w:r>
        <w:rPr>
          <w:lang w:val="en-US"/>
        </w:rPr>
        <w:t xml:space="preserve"> </w:t>
      </w:r>
      <w:r w:rsidRPr="000F2762">
        <w:rPr>
          <w:b/>
          <w:bCs/>
          <w:lang w:val="en-US"/>
        </w:rPr>
        <w:t>(K)</w:t>
      </w:r>
      <w:r w:rsidRPr="000F2762">
        <w:rPr>
          <w:lang w:val="en-US"/>
        </w:rPr>
        <w:t xml:space="preserve"> as the optimal number of matched records for the subsequent analysis.</w:t>
      </w:r>
      <w:r>
        <w:rPr>
          <w:lang w:val="en-US"/>
        </w:rPr>
        <w:t xml:space="preserve"> </w:t>
      </w:r>
      <w:r w:rsidRPr="00B10C5E">
        <w:rPr>
          <w:u w:val="single"/>
          <w:lang w:val="en-US"/>
        </w:rPr>
        <w:t>Finally</w:t>
      </w:r>
      <w:r>
        <w:rPr>
          <w:lang w:val="en-US"/>
        </w:rPr>
        <w:t>, a</w:t>
      </w:r>
      <w:r w:rsidRPr="000F2762">
        <w:rPr>
          <w:lang w:val="en-US"/>
        </w:rPr>
        <w:t>nalyzing the impact of sample size (N) on model performance</w:t>
      </w:r>
      <w:r>
        <w:rPr>
          <w:lang w:val="en-US"/>
        </w:rPr>
        <w:t xml:space="preserve">, we observe that performance improves with higher sample size with an associated increase in run times. Considering the trade-off between the run time and model improvement, </w:t>
      </w:r>
      <w:r w:rsidRPr="000F2762">
        <w:rPr>
          <w:lang w:val="en-US"/>
        </w:rPr>
        <w:t>we select N=10 as the sample size for the current analysis.</w:t>
      </w:r>
      <w:r w:rsidR="005F7ED7">
        <w:rPr>
          <w:lang w:val="en-US"/>
        </w:rPr>
        <w:t xml:space="preserve"> </w:t>
      </w:r>
      <w:r w:rsidR="0032780E">
        <w:t>Further</w:t>
      </w:r>
      <w:r w:rsidR="0032780E" w:rsidRPr="00D04AAE">
        <w:t xml:space="preserve">, it is </w:t>
      </w:r>
      <w:r w:rsidR="0032780E">
        <w:t xml:space="preserve">important </w:t>
      </w:r>
      <w:r w:rsidR="0032780E" w:rsidRPr="00D04AAE">
        <w:t xml:space="preserve">to </w:t>
      </w:r>
      <w:r w:rsidR="0032780E">
        <w:t>note</w:t>
      </w:r>
      <w:r w:rsidR="0032780E" w:rsidRPr="00D04AAE">
        <w:t xml:space="preserve"> that the purpose of varying N is specifically geared towards conducting </w:t>
      </w:r>
      <w:r w:rsidR="0032780E">
        <w:t>the</w:t>
      </w:r>
      <w:r w:rsidR="0032780E" w:rsidRPr="00D04AAE">
        <w:t xml:space="preserve"> stability test</w:t>
      </w:r>
      <w:r w:rsidR="0032780E">
        <w:t xml:space="preserve"> of the fusion algorithm</w:t>
      </w:r>
      <w:r w:rsidR="0032780E" w:rsidRPr="00D04AAE">
        <w:t xml:space="preserve">. Once we identify our optimal values for X and K through the initial analysis, it becomes imperative to ascertain the reliability of our model results. To achieve this, we systematically run our analysis on multiple samples (N) and perform a stability test. The primary goal of this test is to investigate whether there are any significant differences in </w:t>
      </w:r>
      <w:r w:rsidR="0032780E">
        <w:t xml:space="preserve">model </w:t>
      </w:r>
      <w:r w:rsidR="0032780E" w:rsidRPr="00D04AAE">
        <w:t>parameter estimates across different N samples. If the results consistently demonstrate stability, indicating no significant deviations in parameter estimates, it signifies statistical validity of our proposed fusion approach</w:t>
      </w:r>
      <w:r w:rsidR="0032780E">
        <w:t>.</w:t>
      </w:r>
    </w:p>
    <w:p w14:paraId="0BC7C8D3" w14:textId="77777777" w:rsidR="00B10C5E" w:rsidRDefault="00B10C5E" w:rsidP="003224C7">
      <w:pPr>
        <w:rPr>
          <w:rFonts w:cs="Times New Roman"/>
          <w:sz w:val="20"/>
          <w:szCs w:val="18"/>
          <w:lang w:val="en-US"/>
        </w:rPr>
      </w:pPr>
    </w:p>
    <w:p w14:paraId="786241FF" w14:textId="77777777" w:rsidR="00B10C5E" w:rsidRDefault="00B10C5E" w:rsidP="003224C7">
      <w:pPr>
        <w:rPr>
          <w:rFonts w:cs="Times New Roman"/>
          <w:sz w:val="20"/>
          <w:szCs w:val="18"/>
          <w:lang w:val="en-US"/>
        </w:rPr>
      </w:pPr>
    </w:p>
    <w:p w14:paraId="476124AC" w14:textId="56C38691" w:rsidR="0018601C" w:rsidRDefault="00CC42A9" w:rsidP="0018601C">
      <w:pPr>
        <w:pStyle w:val="Heading2"/>
        <w:rPr>
          <w:lang w:val="en-US"/>
        </w:rPr>
      </w:pPr>
      <w:r>
        <w:rPr>
          <w:lang w:val="en-US"/>
        </w:rPr>
        <w:t xml:space="preserve">A.2 </w:t>
      </w:r>
      <w:r w:rsidR="0018601C">
        <w:rPr>
          <w:lang w:val="en-US"/>
        </w:rPr>
        <w:t>Log-Likelihood Ratio</w:t>
      </w:r>
      <w:r w:rsidR="00EB3A0F">
        <w:rPr>
          <w:lang w:val="en-US"/>
        </w:rPr>
        <w:t xml:space="preserve"> (LLR)</w:t>
      </w:r>
      <w:r w:rsidR="0018601C">
        <w:rPr>
          <w:lang w:val="en-US"/>
        </w:rPr>
        <w:t xml:space="preserve"> Test Results</w:t>
      </w:r>
    </w:p>
    <w:p w14:paraId="3B80CEC7" w14:textId="77777777" w:rsidR="002E0713" w:rsidRPr="00A34B2B" w:rsidRDefault="001C5D34" w:rsidP="002E0713">
      <w:r w:rsidRPr="001C5D34">
        <w:rPr>
          <w:lang w:val="en-US"/>
        </w:rPr>
        <w:t xml:space="preserve">In addition to the Bayesian Information Criterion (BIC) as our primary measure for model comparison, we have also conducted </w:t>
      </w:r>
      <w:proofErr w:type="gramStart"/>
      <w:r w:rsidR="005E66BF">
        <w:rPr>
          <w:lang w:val="en-US"/>
        </w:rPr>
        <w:t>log</w:t>
      </w:r>
      <w:proofErr w:type="gramEnd"/>
      <w:r w:rsidR="005E66BF">
        <w:rPr>
          <w:lang w:val="en-US"/>
        </w:rPr>
        <w:t>-likelihood ratio</w:t>
      </w:r>
      <w:r w:rsidRPr="001C5D34">
        <w:rPr>
          <w:lang w:val="en-US"/>
        </w:rPr>
        <w:t xml:space="preserve"> </w:t>
      </w:r>
      <w:r w:rsidR="005E66BF">
        <w:rPr>
          <w:lang w:val="en-US"/>
        </w:rPr>
        <w:t>tests</w:t>
      </w:r>
      <w:r w:rsidRPr="001C5D34">
        <w:rPr>
          <w:lang w:val="en-US"/>
        </w:rPr>
        <w:t xml:space="preserve"> (LLR) </w:t>
      </w:r>
      <w:r w:rsidR="00E5069B">
        <w:rPr>
          <w:lang w:val="en-US"/>
        </w:rPr>
        <w:t>across</w:t>
      </w:r>
      <w:r w:rsidRPr="001C5D34">
        <w:rPr>
          <w:lang w:val="en-US"/>
        </w:rPr>
        <w:t xml:space="preserve"> each pair of models</w:t>
      </w:r>
      <w:r w:rsidR="00E5069B">
        <w:rPr>
          <w:lang w:val="en-US"/>
        </w:rPr>
        <w:t xml:space="preserve"> for further evaluating the model performances</w:t>
      </w:r>
      <w:r>
        <w:rPr>
          <w:lang w:val="en-US"/>
        </w:rPr>
        <w:t xml:space="preserve">. The results are presented in Table A.3. </w:t>
      </w:r>
      <w:r w:rsidR="002E0713" w:rsidRPr="00133EAD">
        <w:t xml:space="preserve">The results </w:t>
      </w:r>
      <w:r w:rsidR="002E0713">
        <w:t>clearly highlight</w:t>
      </w:r>
      <w:r w:rsidR="002E0713" w:rsidRPr="00133EAD">
        <w:t xml:space="preserve"> the enhanced performance of the evacuation model through the proposed fusion algorithm and weighted contribution estimation proposed in the paper</w:t>
      </w:r>
    </w:p>
    <w:p w14:paraId="3B8963F5" w14:textId="77777777" w:rsidR="001C5D34" w:rsidRPr="0018601C" w:rsidRDefault="001C5D34" w:rsidP="0018601C">
      <w:pPr>
        <w:rPr>
          <w:lang w:val="en-US"/>
        </w:rPr>
      </w:pPr>
    </w:p>
    <w:p w14:paraId="474F0A7F" w14:textId="77777777" w:rsidR="00226EB6" w:rsidRPr="0033547F" w:rsidRDefault="00226EB6" w:rsidP="00226EB6">
      <w:pPr>
        <w:rPr>
          <w:rFonts w:eastAsia="Times New Roman"/>
          <w:i/>
          <w:lang w:val="en-US"/>
        </w:rPr>
      </w:pPr>
      <w:r w:rsidRPr="0033547F">
        <w:rPr>
          <w:rFonts w:eastAsia="Times New Roman"/>
          <w:i/>
          <w:lang w:val="en-US"/>
        </w:rPr>
        <w:t>Table A.3: LL ratio Results</w:t>
      </w:r>
    </w:p>
    <w:tbl>
      <w:tblPr>
        <w:tblStyle w:val="TableGrid"/>
        <w:tblW w:w="0" w:type="auto"/>
        <w:tblLook w:val="04A0" w:firstRow="1" w:lastRow="0" w:firstColumn="1" w:lastColumn="0" w:noHBand="0" w:noVBand="1"/>
      </w:tblPr>
      <w:tblGrid>
        <w:gridCol w:w="1255"/>
        <w:gridCol w:w="1455"/>
        <w:gridCol w:w="1565"/>
        <w:gridCol w:w="1800"/>
        <w:gridCol w:w="2560"/>
      </w:tblGrid>
      <w:tr w:rsidR="00226EB6" w14:paraId="066C197C" w14:textId="77777777" w:rsidTr="00214134">
        <w:tc>
          <w:tcPr>
            <w:tcW w:w="1255" w:type="dxa"/>
          </w:tcPr>
          <w:p w14:paraId="3E528A45" w14:textId="77777777" w:rsidR="00226EB6" w:rsidRPr="007F14AF" w:rsidRDefault="00226EB6" w:rsidP="00214134">
            <w:pPr>
              <w:jc w:val="center"/>
              <w:rPr>
                <w:vertAlign w:val="superscript"/>
              </w:rPr>
            </w:pPr>
            <w:r>
              <w:t>Model</w:t>
            </w:r>
            <w:r w:rsidRPr="007F14AF">
              <w:rPr>
                <w:vertAlign w:val="superscript"/>
              </w:rPr>
              <w:t>*</w:t>
            </w:r>
          </w:p>
        </w:tc>
        <w:tc>
          <w:tcPr>
            <w:tcW w:w="1455" w:type="dxa"/>
          </w:tcPr>
          <w:p w14:paraId="7F8F54A0" w14:textId="77777777" w:rsidR="00226EB6" w:rsidRDefault="00226EB6" w:rsidP="00214134">
            <w:pPr>
              <w:jc w:val="center"/>
            </w:pPr>
            <w:r>
              <w:t>Sample Size</w:t>
            </w:r>
          </w:p>
        </w:tc>
        <w:tc>
          <w:tcPr>
            <w:tcW w:w="1565" w:type="dxa"/>
          </w:tcPr>
          <w:p w14:paraId="38AE7CFB" w14:textId="77777777" w:rsidR="00226EB6" w:rsidRDefault="00226EB6" w:rsidP="00214134">
            <w:pPr>
              <w:jc w:val="center"/>
            </w:pPr>
            <w:r>
              <w:t>No. Variables</w:t>
            </w:r>
          </w:p>
        </w:tc>
        <w:tc>
          <w:tcPr>
            <w:tcW w:w="1800" w:type="dxa"/>
          </w:tcPr>
          <w:p w14:paraId="18FD7098" w14:textId="77777777" w:rsidR="00226EB6" w:rsidRDefault="00226EB6" w:rsidP="00214134">
            <w:pPr>
              <w:jc w:val="center"/>
            </w:pPr>
            <w:r>
              <w:t>Log-Likelihood</w:t>
            </w:r>
          </w:p>
        </w:tc>
        <w:tc>
          <w:tcPr>
            <w:tcW w:w="2560" w:type="dxa"/>
          </w:tcPr>
          <w:p w14:paraId="4DD52EAA" w14:textId="77777777" w:rsidR="00226EB6" w:rsidRDefault="00226EB6" w:rsidP="00214134">
            <w:pPr>
              <w:jc w:val="center"/>
            </w:pPr>
            <w:r>
              <w:t>LL ratio</w:t>
            </w:r>
          </w:p>
        </w:tc>
      </w:tr>
      <w:tr w:rsidR="00226EB6" w14:paraId="6D24B922" w14:textId="77777777" w:rsidTr="00214134">
        <w:tc>
          <w:tcPr>
            <w:tcW w:w="1255" w:type="dxa"/>
          </w:tcPr>
          <w:p w14:paraId="7C1A68D5" w14:textId="77777777" w:rsidR="00226EB6" w:rsidRDefault="00226EB6" w:rsidP="00214134">
            <w:pPr>
              <w:jc w:val="center"/>
            </w:pPr>
            <w:r>
              <w:t>EWSBL</w:t>
            </w:r>
          </w:p>
        </w:tc>
        <w:tc>
          <w:tcPr>
            <w:tcW w:w="1455" w:type="dxa"/>
          </w:tcPr>
          <w:p w14:paraId="1C34BBD3" w14:textId="77777777" w:rsidR="00226EB6" w:rsidRDefault="00226EB6" w:rsidP="00214134">
            <w:pPr>
              <w:jc w:val="center"/>
            </w:pPr>
            <w:r>
              <w:t>2,246</w:t>
            </w:r>
          </w:p>
        </w:tc>
        <w:tc>
          <w:tcPr>
            <w:tcW w:w="1565" w:type="dxa"/>
          </w:tcPr>
          <w:p w14:paraId="2E165EA7" w14:textId="77777777" w:rsidR="00226EB6" w:rsidRDefault="00226EB6" w:rsidP="00214134">
            <w:pPr>
              <w:jc w:val="center"/>
            </w:pPr>
            <w:r>
              <w:t>4</w:t>
            </w:r>
          </w:p>
        </w:tc>
        <w:tc>
          <w:tcPr>
            <w:tcW w:w="1800" w:type="dxa"/>
          </w:tcPr>
          <w:p w14:paraId="2B39EDB5" w14:textId="77777777" w:rsidR="00226EB6" w:rsidRDefault="00226EB6" w:rsidP="00214134">
            <w:pPr>
              <w:jc w:val="center"/>
            </w:pPr>
            <w:r>
              <w:t>-2961.31</w:t>
            </w:r>
          </w:p>
        </w:tc>
        <w:tc>
          <w:tcPr>
            <w:tcW w:w="2560" w:type="dxa"/>
          </w:tcPr>
          <w:p w14:paraId="686105B4" w14:textId="77777777" w:rsidR="00226EB6" w:rsidRDefault="00226EB6" w:rsidP="00214134">
            <w:pPr>
              <w:jc w:val="center"/>
            </w:pPr>
            <w:r>
              <w:t>--</w:t>
            </w:r>
          </w:p>
        </w:tc>
      </w:tr>
      <w:tr w:rsidR="00226EB6" w14:paraId="1ABC4479" w14:textId="77777777" w:rsidTr="00214134">
        <w:tc>
          <w:tcPr>
            <w:tcW w:w="1255" w:type="dxa"/>
            <w:vAlign w:val="center"/>
          </w:tcPr>
          <w:p w14:paraId="34DF3906" w14:textId="77777777" w:rsidR="00226EB6" w:rsidRDefault="00226EB6" w:rsidP="00214134">
            <w:pPr>
              <w:jc w:val="center"/>
            </w:pPr>
            <w:r>
              <w:t>EWFBL</w:t>
            </w:r>
          </w:p>
        </w:tc>
        <w:tc>
          <w:tcPr>
            <w:tcW w:w="1455" w:type="dxa"/>
            <w:vAlign w:val="center"/>
          </w:tcPr>
          <w:p w14:paraId="729B75C4" w14:textId="77777777" w:rsidR="00226EB6" w:rsidRDefault="00226EB6" w:rsidP="00214134">
            <w:pPr>
              <w:jc w:val="center"/>
            </w:pPr>
            <w:r>
              <w:t>2,246</w:t>
            </w:r>
          </w:p>
        </w:tc>
        <w:tc>
          <w:tcPr>
            <w:tcW w:w="1565" w:type="dxa"/>
            <w:vAlign w:val="center"/>
          </w:tcPr>
          <w:p w14:paraId="5101D132" w14:textId="77777777" w:rsidR="00226EB6" w:rsidRDefault="00226EB6" w:rsidP="00214134">
            <w:pPr>
              <w:jc w:val="center"/>
            </w:pPr>
            <w:r>
              <w:t>9</w:t>
            </w:r>
          </w:p>
        </w:tc>
        <w:tc>
          <w:tcPr>
            <w:tcW w:w="1800" w:type="dxa"/>
            <w:vAlign w:val="center"/>
          </w:tcPr>
          <w:p w14:paraId="4DC341B5" w14:textId="77777777" w:rsidR="00226EB6" w:rsidRDefault="00226EB6" w:rsidP="00214134">
            <w:pPr>
              <w:jc w:val="center"/>
            </w:pPr>
            <w:r>
              <w:t>-2908.36</w:t>
            </w:r>
          </w:p>
        </w:tc>
        <w:tc>
          <w:tcPr>
            <w:tcW w:w="2560" w:type="dxa"/>
            <w:vAlign w:val="center"/>
          </w:tcPr>
          <w:p w14:paraId="56BC8EB9" w14:textId="77777777" w:rsidR="00226EB6" w:rsidRDefault="00226EB6" w:rsidP="00214134">
            <w:pPr>
              <w:jc w:val="center"/>
            </w:pPr>
            <w:r>
              <w:t>105.9 (from EWSBLE)</w:t>
            </w:r>
            <w:r>
              <w:br/>
            </w:r>
            <w:r w:rsidRPr="00720A73">
              <w:rPr>
                <w:sz w:val="20"/>
                <w:szCs w:val="18"/>
                <w:u w:val="single"/>
              </w:rPr>
              <w:t>critical value is 11.07</w:t>
            </w:r>
            <w:r>
              <w:rPr>
                <w:sz w:val="20"/>
                <w:szCs w:val="18"/>
                <w:u w:val="single"/>
              </w:rPr>
              <w:t xml:space="preserve"> (5DF)</w:t>
            </w:r>
          </w:p>
        </w:tc>
      </w:tr>
      <w:tr w:rsidR="00226EB6" w14:paraId="4CB9E323" w14:textId="77777777" w:rsidTr="00214134">
        <w:tc>
          <w:tcPr>
            <w:tcW w:w="1255" w:type="dxa"/>
            <w:vAlign w:val="center"/>
          </w:tcPr>
          <w:p w14:paraId="439B93B3" w14:textId="77777777" w:rsidR="00226EB6" w:rsidRPr="00D92E64" w:rsidRDefault="00226EB6" w:rsidP="00214134">
            <w:pPr>
              <w:jc w:val="center"/>
              <w:rPr>
                <w:b/>
                <w:bCs/>
              </w:rPr>
            </w:pPr>
            <w:r w:rsidRPr="00D92E64">
              <w:rPr>
                <w:b/>
                <w:bCs/>
              </w:rPr>
              <w:t>LWFBL</w:t>
            </w:r>
          </w:p>
        </w:tc>
        <w:tc>
          <w:tcPr>
            <w:tcW w:w="1455" w:type="dxa"/>
            <w:vAlign w:val="center"/>
          </w:tcPr>
          <w:p w14:paraId="427E0747" w14:textId="77777777" w:rsidR="00226EB6" w:rsidRPr="00D92E64" w:rsidRDefault="00226EB6" w:rsidP="00214134">
            <w:pPr>
              <w:jc w:val="center"/>
              <w:rPr>
                <w:b/>
                <w:bCs/>
              </w:rPr>
            </w:pPr>
            <w:r w:rsidRPr="00D92E64">
              <w:rPr>
                <w:b/>
                <w:bCs/>
              </w:rPr>
              <w:t>2,246</w:t>
            </w:r>
          </w:p>
        </w:tc>
        <w:tc>
          <w:tcPr>
            <w:tcW w:w="1565" w:type="dxa"/>
            <w:vAlign w:val="center"/>
          </w:tcPr>
          <w:p w14:paraId="77EA130B" w14:textId="77777777" w:rsidR="00226EB6" w:rsidRPr="00D92E64" w:rsidRDefault="00226EB6" w:rsidP="00214134">
            <w:pPr>
              <w:jc w:val="center"/>
              <w:rPr>
                <w:b/>
                <w:bCs/>
              </w:rPr>
            </w:pPr>
            <w:r w:rsidRPr="00D92E64">
              <w:rPr>
                <w:b/>
                <w:bCs/>
              </w:rPr>
              <w:t>10</w:t>
            </w:r>
          </w:p>
        </w:tc>
        <w:tc>
          <w:tcPr>
            <w:tcW w:w="1800" w:type="dxa"/>
            <w:vAlign w:val="center"/>
          </w:tcPr>
          <w:p w14:paraId="69E98E8B" w14:textId="77777777" w:rsidR="00226EB6" w:rsidRPr="00D92E64" w:rsidRDefault="00226EB6" w:rsidP="00214134">
            <w:pPr>
              <w:jc w:val="center"/>
              <w:rPr>
                <w:b/>
                <w:bCs/>
              </w:rPr>
            </w:pPr>
            <w:r w:rsidRPr="00D92E64">
              <w:rPr>
                <w:b/>
                <w:bCs/>
              </w:rPr>
              <w:t>-2572.99</w:t>
            </w:r>
          </w:p>
        </w:tc>
        <w:tc>
          <w:tcPr>
            <w:tcW w:w="2560" w:type="dxa"/>
            <w:vAlign w:val="center"/>
          </w:tcPr>
          <w:p w14:paraId="400E6CF2" w14:textId="77777777" w:rsidR="00226EB6" w:rsidRPr="00D92E64" w:rsidRDefault="00226EB6" w:rsidP="00214134">
            <w:pPr>
              <w:jc w:val="center"/>
              <w:rPr>
                <w:b/>
                <w:bCs/>
              </w:rPr>
            </w:pPr>
            <w:r w:rsidRPr="00D92E64">
              <w:rPr>
                <w:b/>
                <w:bCs/>
              </w:rPr>
              <w:t>670.74 (from EWFBL)</w:t>
            </w:r>
          </w:p>
          <w:p w14:paraId="047662D3" w14:textId="77777777" w:rsidR="00226EB6" w:rsidRPr="00D92E64" w:rsidRDefault="00226EB6" w:rsidP="00214134">
            <w:pPr>
              <w:jc w:val="center"/>
              <w:rPr>
                <w:b/>
                <w:bCs/>
              </w:rPr>
            </w:pPr>
            <w:r w:rsidRPr="00D92E64">
              <w:rPr>
                <w:b/>
                <w:bCs/>
                <w:sz w:val="20"/>
                <w:szCs w:val="18"/>
                <w:u w:val="single"/>
              </w:rPr>
              <w:t>critical value is 3.84 (1DF)</w:t>
            </w:r>
          </w:p>
        </w:tc>
      </w:tr>
    </w:tbl>
    <w:p w14:paraId="124B8F2F" w14:textId="77777777" w:rsidR="00226EB6" w:rsidRPr="007F14AF" w:rsidRDefault="00226EB6" w:rsidP="00226EB6">
      <w:pPr>
        <w:rPr>
          <w:sz w:val="20"/>
          <w:szCs w:val="18"/>
        </w:rPr>
      </w:pPr>
      <w:r w:rsidRPr="007F14AF">
        <w:rPr>
          <w:sz w:val="20"/>
          <w:szCs w:val="18"/>
        </w:rPr>
        <w:t>Note: EWSBL =</w:t>
      </w:r>
      <w:r w:rsidRPr="007F14AF">
        <w:rPr>
          <w:rFonts w:cs="Times New Roman"/>
          <w:sz w:val="20"/>
          <w:szCs w:val="18"/>
          <w:lang w:val="en-US"/>
        </w:rPr>
        <w:t xml:space="preserve"> equal weight simple binary logit model</w:t>
      </w:r>
      <w:r>
        <w:rPr>
          <w:rFonts w:cs="Times New Roman"/>
          <w:sz w:val="20"/>
          <w:szCs w:val="18"/>
          <w:lang w:val="en-US"/>
        </w:rPr>
        <w:t xml:space="preserve">; </w:t>
      </w:r>
      <w:r w:rsidRPr="007F14AF">
        <w:rPr>
          <w:rFonts w:cs="Times New Roman"/>
          <w:sz w:val="20"/>
          <w:szCs w:val="18"/>
          <w:lang w:val="en-US"/>
        </w:rPr>
        <w:t>EWFBL = equal weight fused binary logit model</w:t>
      </w:r>
      <w:r w:rsidRPr="007F14AF">
        <w:rPr>
          <w:sz w:val="20"/>
          <w:szCs w:val="18"/>
        </w:rPr>
        <w:t xml:space="preserve"> </w:t>
      </w:r>
    </w:p>
    <w:p w14:paraId="77C0ACE7" w14:textId="77777777" w:rsidR="00226EB6" w:rsidRDefault="00226EB6" w:rsidP="00226EB6">
      <w:pPr>
        <w:rPr>
          <w:rFonts w:cs="Times New Roman"/>
          <w:sz w:val="20"/>
          <w:szCs w:val="18"/>
          <w:lang w:val="en-US"/>
        </w:rPr>
      </w:pPr>
      <w:r w:rsidRPr="007F14AF">
        <w:rPr>
          <w:rFonts w:cs="Times New Roman"/>
          <w:sz w:val="20"/>
          <w:szCs w:val="18"/>
          <w:lang w:val="en-US"/>
        </w:rPr>
        <w:t xml:space="preserve">          </w:t>
      </w:r>
      <w:r w:rsidRPr="007F14AF">
        <w:rPr>
          <w:sz w:val="20"/>
          <w:szCs w:val="18"/>
        </w:rPr>
        <w:t>LWFBL</w:t>
      </w:r>
      <w:r w:rsidRPr="007F14AF">
        <w:rPr>
          <w:rFonts w:cs="Times New Roman"/>
          <w:sz w:val="20"/>
          <w:szCs w:val="18"/>
          <w:lang w:val="en-US"/>
        </w:rPr>
        <w:t xml:space="preserve"> = Latent weight fused binary logit model</w:t>
      </w:r>
    </w:p>
    <w:p w14:paraId="64B8F928" w14:textId="77777777" w:rsidR="00133EAD" w:rsidRDefault="00133EAD" w:rsidP="00133EAD">
      <w:pPr>
        <w:ind w:firstLine="720"/>
      </w:pPr>
    </w:p>
    <w:sectPr w:rsidR="00133EAD" w:rsidSect="00492680">
      <w:pgSz w:w="11906" w:h="16838" w:code="9"/>
      <w:pgMar w:top="1440" w:right="1440" w:bottom="1440" w:left="1440" w:header="720" w:footer="1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D21E9" w14:textId="77777777" w:rsidR="00816CDD" w:rsidRDefault="00816CDD" w:rsidP="00A13DAE">
      <w:r>
        <w:separator/>
      </w:r>
    </w:p>
  </w:endnote>
  <w:endnote w:type="continuationSeparator" w:id="0">
    <w:p w14:paraId="6FEE9D95" w14:textId="77777777" w:rsidR="00816CDD" w:rsidRDefault="00816CDD" w:rsidP="00A1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7059814"/>
      <w:docPartObj>
        <w:docPartGallery w:val="Page Numbers (Bottom of Page)"/>
        <w:docPartUnique/>
      </w:docPartObj>
    </w:sdtPr>
    <w:sdtEndPr>
      <w:rPr>
        <w:noProof/>
      </w:rPr>
    </w:sdtEndPr>
    <w:sdtContent>
      <w:p w14:paraId="04856F79" w14:textId="4DA682D5" w:rsidR="00EA5C9B" w:rsidRDefault="00EA5C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73410A" w14:textId="77777777" w:rsidR="00EA5C9B" w:rsidRDefault="00EA5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168625"/>
      <w:docPartObj>
        <w:docPartGallery w:val="Page Numbers (Bottom of Page)"/>
        <w:docPartUnique/>
      </w:docPartObj>
    </w:sdtPr>
    <w:sdtEndPr>
      <w:rPr>
        <w:noProof/>
      </w:rPr>
    </w:sdtEndPr>
    <w:sdtContent>
      <w:p w14:paraId="45A06C0A" w14:textId="31B19A31" w:rsidR="007D1585" w:rsidRDefault="007D15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E1B0F8" w14:textId="77777777" w:rsidR="007D1585" w:rsidRDefault="007D1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EEA75" w14:textId="77777777" w:rsidR="00816CDD" w:rsidRDefault="00816CDD" w:rsidP="00A13DAE">
      <w:r>
        <w:separator/>
      </w:r>
    </w:p>
  </w:footnote>
  <w:footnote w:type="continuationSeparator" w:id="0">
    <w:p w14:paraId="587CDF78" w14:textId="77777777" w:rsidR="00816CDD" w:rsidRDefault="00816CDD" w:rsidP="00A13DAE">
      <w:r>
        <w:continuationSeparator/>
      </w:r>
    </w:p>
  </w:footnote>
  <w:footnote w:id="1">
    <w:p w14:paraId="55F38327" w14:textId="1F388721" w:rsidR="003770A6" w:rsidRPr="00D317CF" w:rsidRDefault="003770A6">
      <w:pPr>
        <w:pStyle w:val="FootnoteText"/>
        <w:rPr>
          <w:lang w:val="en-US"/>
        </w:rPr>
      </w:pPr>
      <w:r>
        <w:rPr>
          <w:rStyle w:val="FootnoteReference"/>
        </w:rPr>
        <w:footnoteRef/>
      </w:r>
      <w:r>
        <w:t xml:space="preserve"> </w:t>
      </w:r>
      <w:r w:rsidRPr="00E919D4">
        <w:t>The fusion process</w:t>
      </w:r>
      <w:r>
        <w:t xml:space="preserve"> is recently developed </w:t>
      </w:r>
      <w:r w:rsidR="00BC6144">
        <w:t xml:space="preserve">in </w:t>
      </w:r>
      <w:r>
        <w:fldChar w:fldCharType="begin" w:fldLock="1"/>
      </w:r>
      <w:r>
        <w:instrText>ADDIN CSL_CITATION {"citationItems":[{"id":"ITEM-1","itemData":{"author":[{"dropping-particle":"","family":"Bhowmik","given":"Tanmoy","non-dropping-particle":"","parse-names":false,"suffix":""},{"dropping-particle":"","family":"Iraganaboina","given":"Naveen Chandra","non-dropping-particle":"","parse-names":false,"suffix":""},{"dropping-particle":"","family":"Eluru","given":"Naveen","non-dropping-particle":"","parse-names":false,"suffix":""}],"container-title":"Applied Energy","id":"ITEM-1","issued":{"date-parts":[["2023"]]},"title":"A Novel Maximum Likelihood Based Probabilistic Behavioral Data Fusion Algorithm for Modeling Residential Energy Consumption","type":"article-journal"},"uris":["http://www.mendeley.com/documents/?uuid=a058a816-b80a-491a-8eaf-091a97f3df2d"]}],"mendeley":{"formattedCitation":"(Bhowmik et al., 2023)","plainTextFormattedCitation":"(Bhowmik et al., 2023)"},"properties":{"noteIndex":0},"schema":"https://github.com/citation-style-language/schema/raw/master/csl-citation.json"}</w:instrText>
      </w:r>
      <w:r>
        <w:fldChar w:fldCharType="separate"/>
      </w:r>
      <w:r w:rsidRPr="00E919D4">
        <w:rPr>
          <w:noProof/>
        </w:rPr>
        <w:t>Bhowmik et al., 2023</w:t>
      </w:r>
      <w:r>
        <w:fldChar w:fldCharType="end"/>
      </w:r>
      <w:r>
        <w:t xml:space="preserve"> to augment two distinct datasets: </w:t>
      </w:r>
      <w:r w:rsidRPr="00590F8E">
        <w:t xml:space="preserve">Residential Energy Consumption Survey </w:t>
      </w:r>
      <w:r>
        <w:t>(RECS) and NHTS to improve the quality of the energy model.</w:t>
      </w:r>
    </w:p>
  </w:footnote>
  <w:footnote w:id="2">
    <w:p w14:paraId="391FA56C" w14:textId="4220945B" w:rsidR="00607C25" w:rsidRPr="00607C25" w:rsidRDefault="00607C25">
      <w:pPr>
        <w:pStyle w:val="FootnoteText"/>
        <w:rPr>
          <w:lang w:val="en-US"/>
        </w:rPr>
      </w:pPr>
      <w:r>
        <w:rPr>
          <w:rStyle w:val="FootnoteReference"/>
        </w:rPr>
        <w:footnoteRef/>
      </w:r>
      <w:r>
        <w:t xml:space="preserve"> </w:t>
      </w:r>
      <w:r w:rsidRPr="001B6AF0">
        <w:t>The reader would note that different samples of fused records can potentially result in different parameters. To address this variation, we test the parameters from multiple samples to ensure that the results are stable across samples. The model parameters across these samples are compared using a modified Wald t-test to ensure that parameter variation is small across the samples i.e., there is no statistically significant difference in parameters across samples</w:t>
      </w:r>
    </w:p>
  </w:footnote>
  <w:footnote w:id="3">
    <w:p w14:paraId="71DDA679" w14:textId="212C869C" w:rsidR="0016133C" w:rsidRPr="00105B3C" w:rsidRDefault="0016133C" w:rsidP="00607C25">
      <w:pPr>
        <w:pStyle w:val="FootnoteText"/>
        <w:rPr>
          <w:lang w:val="en-US"/>
        </w:rPr>
      </w:pPr>
    </w:p>
  </w:footnote>
  <w:footnote w:id="4">
    <w:p w14:paraId="13E2F4E2" w14:textId="1D30A302" w:rsidR="00B35FBE" w:rsidRPr="00105B3C" w:rsidRDefault="00B35FBE">
      <w:pPr>
        <w:pStyle w:val="FootnoteText"/>
        <w:rPr>
          <w:lang w:val="en-US"/>
        </w:rPr>
      </w:pPr>
      <w:r>
        <w:rPr>
          <w:rStyle w:val="FootnoteReference"/>
        </w:rPr>
        <w:footnoteRef/>
      </w:r>
      <w:r>
        <w:t xml:space="preserve"> </w:t>
      </w:r>
      <w:r w:rsidR="00BE2E53" w:rsidRPr="00BE2E53">
        <w:t>In addition to BIC measures, we also conducted the log-likelihood ratio tests across each pair of models for further evaluating the model performance. To conserve space, we have detailed the results of these log-likelihood ratio tests in the Appendix (Section  A.2 in the appendix).</w:t>
      </w:r>
    </w:p>
  </w:footnote>
  <w:footnote w:id="5">
    <w:p w14:paraId="4683E610" w14:textId="6766A720" w:rsidR="006E0973" w:rsidRPr="00105B3C" w:rsidRDefault="006E0973">
      <w:pPr>
        <w:pStyle w:val="FootnoteText"/>
        <w:rPr>
          <w:lang w:val="en-US"/>
        </w:rPr>
      </w:pPr>
      <w:r>
        <w:rPr>
          <w:rStyle w:val="FootnoteReference"/>
        </w:rPr>
        <w:footnoteRef/>
      </w:r>
      <w:r>
        <w:t xml:space="preserve"> </w:t>
      </w:r>
      <w:r w:rsidRPr="006E0973">
        <w:t xml:space="preserve">The reader would note that as </w:t>
      </w:r>
      <w:r w:rsidR="00B14F07">
        <w:t xml:space="preserve">a </w:t>
      </w:r>
      <w:r w:rsidRPr="006E0973">
        <w:t>majority of the Twitter data were not geocoded, we did not employ inference algorithms for home (or work) location as they are likely to introduce potential stochasticity. In our analysis, we employed Core Based Statistical Areas (CBSA) information from the NHTS data as a surrogate for home location information.</w:t>
      </w:r>
    </w:p>
  </w:footnote>
  <w:footnote w:id="6">
    <w:p w14:paraId="45FF5084" w14:textId="689B3F5C" w:rsidR="001D76F6" w:rsidRPr="00105B3C" w:rsidRDefault="001D76F6">
      <w:pPr>
        <w:pStyle w:val="FootnoteText"/>
        <w:rPr>
          <w:lang w:val="en-US"/>
        </w:rPr>
      </w:pPr>
      <w:r>
        <w:rPr>
          <w:rStyle w:val="FootnoteReference"/>
        </w:rPr>
        <w:footnoteRef/>
      </w:r>
      <w:r>
        <w:t xml:space="preserve"> </w:t>
      </w:r>
      <w:r w:rsidRPr="001D76F6">
        <w:t xml:space="preserve">The reader will note that the analysis involves predicting evacuation rate for a </w:t>
      </w:r>
      <w:r w:rsidR="00FE0F7C" w:rsidRPr="001D76F6">
        <w:t>single record</w:t>
      </w:r>
      <w:r w:rsidRPr="001D76F6">
        <w:t xml:space="preserve"> with the NHTS dataset (as opposed to the ten record fusion exercise). Hence, we need to recalibrate the constant in all three models (Twitter-only, equal weight fusion, and latent weight fusion) to adjust from a 10-record fusion basis to a single-record basis. This recalibration ensures that our predictions accurately reflect the individual-level evacuation behavior.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2009148"/>
      <w:docPartObj>
        <w:docPartGallery w:val="Page Numbers (Top of Page)"/>
        <w:docPartUnique/>
      </w:docPartObj>
    </w:sdtPr>
    <w:sdtEndPr>
      <w:rPr>
        <w:noProof/>
      </w:rPr>
    </w:sdtEndPr>
    <w:sdtContent>
      <w:p w14:paraId="03D63D8D" w14:textId="66324861" w:rsidR="000771A0" w:rsidRDefault="00AD0F33" w:rsidP="008C5E86">
        <w:pPr>
          <w:pStyle w:val="Header"/>
        </w:pPr>
        <w:r w:rsidRPr="000E79FE">
          <w:t xml:space="preserve">Bhowmik, </w:t>
        </w:r>
        <w:r>
          <w:t xml:space="preserve">Eluru, </w:t>
        </w:r>
        <w:r>
          <w:rPr>
            <w:rFonts w:eastAsia="Calibri" w:cs="Times New Roman"/>
          </w:rPr>
          <w:t>Hasan</w:t>
        </w:r>
        <w:r>
          <w:t>, Culotta, and Roy</w:t>
        </w:r>
        <w:r w:rsidR="00026FEC">
          <w:tab/>
        </w:r>
        <w:r w:rsidR="00026FEC">
          <w:tab/>
        </w:r>
      </w:p>
    </w:sdtContent>
  </w:sdt>
  <w:p w14:paraId="708F56B0" w14:textId="77777777" w:rsidR="00455DDC" w:rsidRDefault="00455DDC" w:rsidP="007842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6CDF9" w14:textId="5B5DEA19" w:rsidR="00455DDC" w:rsidRPr="000E79FE" w:rsidRDefault="000E79FE" w:rsidP="000E79FE">
    <w:pPr>
      <w:pStyle w:val="Header"/>
      <w:jc w:val="right"/>
    </w:pPr>
    <w:r w:rsidRPr="000E79FE">
      <w:t xml:space="preserve">Bhowmik, </w:t>
    </w:r>
    <w:r w:rsidR="00D213F9">
      <w:t xml:space="preserve">Eluru, </w:t>
    </w:r>
    <w:r w:rsidR="00E15829">
      <w:rPr>
        <w:rFonts w:eastAsia="Calibri" w:cs="Times New Roman"/>
      </w:rPr>
      <w:t>Hasan</w:t>
    </w:r>
    <w:r w:rsidR="00D213F9">
      <w:t>, Culotta, and Roy</w:t>
    </w:r>
    <w:r w:rsidRPr="000E79FE">
      <w:tab/>
    </w:r>
    <w:r w:rsidRPr="000E79F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8E7AF" w14:textId="07981C42" w:rsidR="0030757B" w:rsidRPr="000E79FE" w:rsidRDefault="000C71C0" w:rsidP="000E79FE">
    <w:pPr>
      <w:pStyle w:val="Header"/>
      <w:jc w:val="right"/>
    </w:pPr>
    <w:r w:rsidRPr="000E79FE">
      <w:t xml:space="preserve">Bhowmik, </w:t>
    </w:r>
    <w:r>
      <w:t xml:space="preserve">Eluru, </w:t>
    </w:r>
    <w:r>
      <w:rPr>
        <w:rFonts w:eastAsia="Calibri" w:cs="Times New Roman"/>
      </w:rPr>
      <w:t>Hasan</w:t>
    </w:r>
    <w:r>
      <w:t>, Culotta, and Roy</w:t>
    </w:r>
    <w:r w:rsidR="0030757B" w:rsidRPr="000E79FE">
      <w:tab/>
    </w:r>
    <w:r w:rsidR="0030757B" w:rsidRPr="000E79FE">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B0395" w14:textId="6586D82D" w:rsidR="00B75354" w:rsidRPr="000E79FE" w:rsidRDefault="00AD0F33" w:rsidP="00B75354">
    <w:pPr>
      <w:pStyle w:val="Header"/>
    </w:pPr>
    <w:r w:rsidRPr="000E79FE">
      <w:t xml:space="preserve">Bhowmik, </w:t>
    </w:r>
    <w:r>
      <w:t xml:space="preserve">Eluru, </w:t>
    </w:r>
    <w:r>
      <w:rPr>
        <w:rFonts w:eastAsia="Calibri" w:cs="Times New Roman"/>
      </w:rPr>
      <w:t>Hasan</w:t>
    </w:r>
    <w:r>
      <w:t>, Culotta, and Roy</w:t>
    </w:r>
    <w:r w:rsidR="00B75354" w:rsidRPr="000E79FE">
      <w:tab/>
    </w:r>
    <w:r w:rsidR="00B75354" w:rsidRPr="000E79FE">
      <w:tab/>
    </w:r>
    <w:sdt>
      <w:sdtPr>
        <w:id w:val="-2009588956"/>
        <w:docPartObj>
          <w:docPartGallery w:val="Page Numbers (Top of Page)"/>
          <w:docPartUnique/>
        </w:docPartObj>
      </w:sdtPr>
      <w:sdtEndPr>
        <w:rPr>
          <w:noProof/>
        </w:rPr>
      </w:sdtEndP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DD853" w14:textId="39BB9C8D" w:rsidR="00CF4D0C" w:rsidRPr="000E79FE" w:rsidRDefault="00AD0F33" w:rsidP="00B75354">
    <w:pPr>
      <w:pStyle w:val="Header"/>
    </w:pPr>
    <w:r w:rsidRPr="000E79FE">
      <w:t xml:space="preserve">Bhowmik, </w:t>
    </w:r>
    <w:r>
      <w:t xml:space="preserve">Eluru, </w:t>
    </w:r>
    <w:r>
      <w:rPr>
        <w:rFonts w:eastAsia="Calibri" w:cs="Times New Roman"/>
      </w:rPr>
      <w:t>Hasan</w:t>
    </w:r>
    <w:r>
      <w:t>, Culotta, and Roy</w:t>
    </w:r>
    <w:r w:rsidR="00CF4D0C" w:rsidRPr="000E79FE">
      <w:tab/>
    </w:r>
    <w:sdt>
      <w:sdtPr>
        <w:id w:val="438411129"/>
        <w:docPartObj>
          <w:docPartGallery w:val="Page Numbers (Top of Page)"/>
          <w:docPartUnique/>
        </w:docPartObj>
      </w:sdtPr>
      <w:sdtEndPr>
        <w:rPr>
          <w:noProof/>
        </w:rPr>
      </w:sdtEndPr>
      <w:sdtContent>
        <w:r w:rsidR="00CF4D0C">
          <w:t xml:space="preserve">  </w:t>
        </w:r>
        <w:r w:rsidR="00CF4D0C">
          <w:tab/>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9EB0" w14:textId="6EE5CE4E" w:rsidR="00061C47" w:rsidRPr="000E79FE" w:rsidRDefault="00AD0F33" w:rsidP="00B75354">
    <w:pPr>
      <w:pStyle w:val="Header"/>
    </w:pPr>
    <w:r w:rsidRPr="000E79FE">
      <w:t xml:space="preserve">Bhowmik, </w:t>
    </w:r>
    <w:r>
      <w:t xml:space="preserve">Eluru, </w:t>
    </w:r>
    <w:r>
      <w:rPr>
        <w:rFonts w:eastAsia="Calibri" w:cs="Times New Roman"/>
      </w:rPr>
      <w:t>Hasan</w:t>
    </w:r>
    <w:r>
      <w:t>, Culotta, and Roy</w:t>
    </w:r>
    <w:r w:rsidR="00A86D49">
      <w:tab/>
    </w:r>
    <w:r w:rsidR="00A86D49">
      <w:tab/>
    </w:r>
    <w:r w:rsidR="00A86D49">
      <w:tab/>
    </w:r>
    <w:r w:rsidR="00A86D49">
      <w:tab/>
    </w:r>
    <w:r w:rsidR="00A86D49">
      <w:tab/>
    </w:r>
    <w:r w:rsidR="00A86D49">
      <w:tab/>
    </w:r>
    <w:r w:rsidR="00061C47" w:rsidRPr="000E79FE">
      <w:tab/>
    </w:r>
    <w:sdt>
      <w:sdtPr>
        <w:id w:val="1994057601"/>
        <w:docPartObj>
          <w:docPartGallery w:val="Page Numbers (Top of Page)"/>
          <w:docPartUnique/>
        </w:docPartObj>
      </w:sdtPr>
      <w:sdtEndPr>
        <w:rPr>
          <w:noProof/>
        </w:rPr>
      </w:sdtEndPr>
      <w:sdtContent>
        <w:r w:rsidR="00061C47">
          <w:t xml:space="preserve">  </w:t>
        </w:r>
        <w:r w:rsidR="00061C47">
          <w:tab/>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82159" w14:textId="4922C331" w:rsidR="00061C47" w:rsidRPr="000E79FE" w:rsidRDefault="00AD0F33" w:rsidP="00B75354">
    <w:pPr>
      <w:pStyle w:val="Header"/>
    </w:pPr>
    <w:r w:rsidRPr="000E79FE">
      <w:t xml:space="preserve">Bhowmik, </w:t>
    </w:r>
    <w:r>
      <w:t xml:space="preserve">Eluru, </w:t>
    </w:r>
    <w:r>
      <w:rPr>
        <w:rFonts w:eastAsia="Calibri" w:cs="Times New Roman"/>
      </w:rPr>
      <w:t>Hasan</w:t>
    </w:r>
    <w:r>
      <w:t>, Culotta, and Roy</w:t>
    </w:r>
    <w:r w:rsidR="00061C47" w:rsidRPr="000E79FE">
      <w:tab/>
    </w:r>
    <w:sdt>
      <w:sdtPr>
        <w:id w:val="1195657065"/>
        <w:docPartObj>
          <w:docPartGallery w:val="Page Numbers (Top of Page)"/>
          <w:docPartUnique/>
        </w:docPartObj>
      </w:sdtPr>
      <w:sdtEndPr>
        <w:rPr>
          <w:noProof/>
        </w:rPr>
      </w:sdtEndPr>
      <w:sdtContent>
        <w:r w:rsidR="00061C47">
          <w:t xml:space="preserve">  </w:t>
        </w:r>
        <w:r w:rsidR="00061C47">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F20360"/>
    <w:multiLevelType w:val="hybridMultilevel"/>
    <w:tmpl w:val="848ECE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951AFD"/>
    <w:multiLevelType w:val="hybridMultilevel"/>
    <w:tmpl w:val="396E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9C7311"/>
    <w:multiLevelType w:val="multilevel"/>
    <w:tmpl w:val="582A9FC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106536325">
    <w:abstractNumId w:val="2"/>
  </w:num>
  <w:num w:numId="2" w16cid:durableId="1235968045">
    <w:abstractNumId w:val="1"/>
  </w:num>
  <w:num w:numId="3" w16cid:durableId="209284519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es-MX"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en-US"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3MDExNTIwtzC1NDBW0lEKTi0uzszPAykwNDCpBQAp5TA9LgAAAA=="/>
  </w:docVars>
  <w:rsids>
    <w:rsidRoot w:val="00356193"/>
    <w:rsid w:val="0000009B"/>
    <w:rsid w:val="000004C1"/>
    <w:rsid w:val="00000777"/>
    <w:rsid w:val="00000ACF"/>
    <w:rsid w:val="0000104A"/>
    <w:rsid w:val="000013B6"/>
    <w:rsid w:val="00003181"/>
    <w:rsid w:val="00003224"/>
    <w:rsid w:val="00003D3C"/>
    <w:rsid w:val="00004578"/>
    <w:rsid w:val="00004773"/>
    <w:rsid w:val="0000523E"/>
    <w:rsid w:val="000053F6"/>
    <w:rsid w:val="00005664"/>
    <w:rsid w:val="0000575A"/>
    <w:rsid w:val="000066AB"/>
    <w:rsid w:val="00006735"/>
    <w:rsid w:val="00006829"/>
    <w:rsid w:val="0000714B"/>
    <w:rsid w:val="0000723A"/>
    <w:rsid w:val="000073AA"/>
    <w:rsid w:val="00011961"/>
    <w:rsid w:val="000130CF"/>
    <w:rsid w:val="00013454"/>
    <w:rsid w:val="000136B8"/>
    <w:rsid w:val="00013A17"/>
    <w:rsid w:val="00013AE0"/>
    <w:rsid w:val="00014617"/>
    <w:rsid w:val="000147A2"/>
    <w:rsid w:val="0001483D"/>
    <w:rsid w:val="000148D0"/>
    <w:rsid w:val="00015540"/>
    <w:rsid w:val="00015586"/>
    <w:rsid w:val="00015DBB"/>
    <w:rsid w:val="00016485"/>
    <w:rsid w:val="000168F3"/>
    <w:rsid w:val="00016C64"/>
    <w:rsid w:val="00016D79"/>
    <w:rsid w:val="00016E98"/>
    <w:rsid w:val="00017435"/>
    <w:rsid w:val="0001744B"/>
    <w:rsid w:val="0001798F"/>
    <w:rsid w:val="000209F7"/>
    <w:rsid w:val="00022094"/>
    <w:rsid w:val="000221FB"/>
    <w:rsid w:val="000227D0"/>
    <w:rsid w:val="0002297F"/>
    <w:rsid w:val="000229E2"/>
    <w:rsid w:val="00022D10"/>
    <w:rsid w:val="00022FEC"/>
    <w:rsid w:val="000239CB"/>
    <w:rsid w:val="00023B99"/>
    <w:rsid w:val="0002465D"/>
    <w:rsid w:val="00024883"/>
    <w:rsid w:val="0002492E"/>
    <w:rsid w:val="00024AA7"/>
    <w:rsid w:val="00024ABA"/>
    <w:rsid w:val="0002544B"/>
    <w:rsid w:val="00025C96"/>
    <w:rsid w:val="00025F32"/>
    <w:rsid w:val="000262F8"/>
    <w:rsid w:val="00026698"/>
    <w:rsid w:val="00026726"/>
    <w:rsid w:val="00026C42"/>
    <w:rsid w:val="00026FEC"/>
    <w:rsid w:val="000270E0"/>
    <w:rsid w:val="000272BD"/>
    <w:rsid w:val="00027BA0"/>
    <w:rsid w:val="00030016"/>
    <w:rsid w:val="0003099A"/>
    <w:rsid w:val="000312B8"/>
    <w:rsid w:val="0003133A"/>
    <w:rsid w:val="000324C7"/>
    <w:rsid w:val="00032556"/>
    <w:rsid w:val="00033751"/>
    <w:rsid w:val="00033A7C"/>
    <w:rsid w:val="000343C0"/>
    <w:rsid w:val="000346EE"/>
    <w:rsid w:val="00034AAC"/>
    <w:rsid w:val="00035593"/>
    <w:rsid w:val="00035EF6"/>
    <w:rsid w:val="000365F6"/>
    <w:rsid w:val="00036927"/>
    <w:rsid w:val="00036D82"/>
    <w:rsid w:val="00037465"/>
    <w:rsid w:val="000374D3"/>
    <w:rsid w:val="00037AD2"/>
    <w:rsid w:val="0004038E"/>
    <w:rsid w:val="00040433"/>
    <w:rsid w:val="00040896"/>
    <w:rsid w:val="00041B03"/>
    <w:rsid w:val="000420B7"/>
    <w:rsid w:val="00042191"/>
    <w:rsid w:val="000423B7"/>
    <w:rsid w:val="000424C3"/>
    <w:rsid w:val="00042913"/>
    <w:rsid w:val="0004293B"/>
    <w:rsid w:val="00042CFF"/>
    <w:rsid w:val="000434E1"/>
    <w:rsid w:val="000436D5"/>
    <w:rsid w:val="00043723"/>
    <w:rsid w:val="00043A51"/>
    <w:rsid w:val="00043C75"/>
    <w:rsid w:val="00043DCC"/>
    <w:rsid w:val="000442BA"/>
    <w:rsid w:val="0004473F"/>
    <w:rsid w:val="00044D54"/>
    <w:rsid w:val="00044FD2"/>
    <w:rsid w:val="00045120"/>
    <w:rsid w:val="0004561C"/>
    <w:rsid w:val="0004566C"/>
    <w:rsid w:val="000460A1"/>
    <w:rsid w:val="00046805"/>
    <w:rsid w:val="00047280"/>
    <w:rsid w:val="000472E5"/>
    <w:rsid w:val="000474D7"/>
    <w:rsid w:val="00047A6D"/>
    <w:rsid w:val="00047B3D"/>
    <w:rsid w:val="0005047C"/>
    <w:rsid w:val="00050741"/>
    <w:rsid w:val="00050DC4"/>
    <w:rsid w:val="00051312"/>
    <w:rsid w:val="000514AE"/>
    <w:rsid w:val="00051503"/>
    <w:rsid w:val="00051540"/>
    <w:rsid w:val="00051768"/>
    <w:rsid w:val="000517A7"/>
    <w:rsid w:val="00051F41"/>
    <w:rsid w:val="00052031"/>
    <w:rsid w:val="000520D2"/>
    <w:rsid w:val="000529A7"/>
    <w:rsid w:val="00052E98"/>
    <w:rsid w:val="00052F2E"/>
    <w:rsid w:val="0005394B"/>
    <w:rsid w:val="00053E6A"/>
    <w:rsid w:val="000543F4"/>
    <w:rsid w:val="00054F96"/>
    <w:rsid w:val="00055640"/>
    <w:rsid w:val="00055756"/>
    <w:rsid w:val="00055A9B"/>
    <w:rsid w:val="000560CF"/>
    <w:rsid w:val="0005674F"/>
    <w:rsid w:val="00056B7D"/>
    <w:rsid w:val="00056EC7"/>
    <w:rsid w:val="00056FB6"/>
    <w:rsid w:val="000579CC"/>
    <w:rsid w:val="00060C7D"/>
    <w:rsid w:val="00060F7F"/>
    <w:rsid w:val="00061246"/>
    <w:rsid w:val="000615E3"/>
    <w:rsid w:val="0006162F"/>
    <w:rsid w:val="00061807"/>
    <w:rsid w:val="00061C47"/>
    <w:rsid w:val="00061E98"/>
    <w:rsid w:val="00061F00"/>
    <w:rsid w:val="0006215A"/>
    <w:rsid w:val="00063376"/>
    <w:rsid w:val="000637F0"/>
    <w:rsid w:val="00064481"/>
    <w:rsid w:val="0006449D"/>
    <w:rsid w:val="000646A3"/>
    <w:rsid w:val="000656CE"/>
    <w:rsid w:val="00065BE8"/>
    <w:rsid w:val="00066176"/>
    <w:rsid w:val="000662E9"/>
    <w:rsid w:val="00066434"/>
    <w:rsid w:val="000664CC"/>
    <w:rsid w:val="00066B01"/>
    <w:rsid w:val="00066DF8"/>
    <w:rsid w:val="00067069"/>
    <w:rsid w:val="00070838"/>
    <w:rsid w:val="0007091A"/>
    <w:rsid w:val="00070DB3"/>
    <w:rsid w:val="00071F9C"/>
    <w:rsid w:val="00071FBF"/>
    <w:rsid w:val="0007234E"/>
    <w:rsid w:val="0007255C"/>
    <w:rsid w:val="00072D85"/>
    <w:rsid w:val="00072F78"/>
    <w:rsid w:val="00073252"/>
    <w:rsid w:val="000738D9"/>
    <w:rsid w:val="00073BB7"/>
    <w:rsid w:val="00074A53"/>
    <w:rsid w:val="00075198"/>
    <w:rsid w:val="000758CC"/>
    <w:rsid w:val="00075A75"/>
    <w:rsid w:val="00075CB5"/>
    <w:rsid w:val="00076969"/>
    <w:rsid w:val="000771A0"/>
    <w:rsid w:val="00077567"/>
    <w:rsid w:val="0007799E"/>
    <w:rsid w:val="00077BD1"/>
    <w:rsid w:val="000811EE"/>
    <w:rsid w:val="0008187C"/>
    <w:rsid w:val="00081B28"/>
    <w:rsid w:val="00081BDA"/>
    <w:rsid w:val="00081FB2"/>
    <w:rsid w:val="000820C1"/>
    <w:rsid w:val="000826EF"/>
    <w:rsid w:val="0008272B"/>
    <w:rsid w:val="0008289C"/>
    <w:rsid w:val="00083382"/>
    <w:rsid w:val="0008361E"/>
    <w:rsid w:val="0008388D"/>
    <w:rsid w:val="000839B5"/>
    <w:rsid w:val="000839D5"/>
    <w:rsid w:val="000839F2"/>
    <w:rsid w:val="0008432E"/>
    <w:rsid w:val="00084605"/>
    <w:rsid w:val="00086463"/>
    <w:rsid w:val="000868FA"/>
    <w:rsid w:val="00086C6F"/>
    <w:rsid w:val="000874C3"/>
    <w:rsid w:val="00087C94"/>
    <w:rsid w:val="00090753"/>
    <w:rsid w:val="00090B00"/>
    <w:rsid w:val="00090C17"/>
    <w:rsid w:val="00090D84"/>
    <w:rsid w:val="000912CC"/>
    <w:rsid w:val="00091D20"/>
    <w:rsid w:val="00092B7B"/>
    <w:rsid w:val="00092BE6"/>
    <w:rsid w:val="00092F6F"/>
    <w:rsid w:val="0009315E"/>
    <w:rsid w:val="00093AC3"/>
    <w:rsid w:val="00094471"/>
    <w:rsid w:val="000945BB"/>
    <w:rsid w:val="00094983"/>
    <w:rsid w:val="0009538A"/>
    <w:rsid w:val="00096940"/>
    <w:rsid w:val="00096FFB"/>
    <w:rsid w:val="00097292"/>
    <w:rsid w:val="000972F3"/>
    <w:rsid w:val="0009771F"/>
    <w:rsid w:val="00097A1C"/>
    <w:rsid w:val="000A04C2"/>
    <w:rsid w:val="000A0920"/>
    <w:rsid w:val="000A0DAA"/>
    <w:rsid w:val="000A1023"/>
    <w:rsid w:val="000A13C3"/>
    <w:rsid w:val="000A1E3E"/>
    <w:rsid w:val="000A2826"/>
    <w:rsid w:val="000A288F"/>
    <w:rsid w:val="000A296E"/>
    <w:rsid w:val="000A2A31"/>
    <w:rsid w:val="000A2F7A"/>
    <w:rsid w:val="000A36E8"/>
    <w:rsid w:val="000A494C"/>
    <w:rsid w:val="000A4F2B"/>
    <w:rsid w:val="000A519E"/>
    <w:rsid w:val="000A552C"/>
    <w:rsid w:val="000A55A1"/>
    <w:rsid w:val="000A5C6B"/>
    <w:rsid w:val="000A6367"/>
    <w:rsid w:val="000A6AF3"/>
    <w:rsid w:val="000A7B11"/>
    <w:rsid w:val="000A7DA8"/>
    <w:rsid w:val="000B0095"/>
    <w:rsid w:val="000B062F"/>
    <w:rsid w:val="000B0E6F"/>
    <w:rsid w:val="000B11F9"/>
    <w:rsid w:val="000B12DC"/>
    <w:rsid w:val="000B1E83"/>
    <w:rsid w:val="000B2976"/>
    <w:rsid w:val="000B2ABD"/>
    <w:rsid w:val="000B384E"/>
    <w:rsid w:val="000B394C"/>
    <w:rsid w:val="000B449B"/>
    <w:rsid w:val="000B477C"/>
    <w:rsid w:val="000B47D6"/>
    <w:rsid w:val="000B50BC"/>
    <w:rsid w:val="000B53B9"/>
    <w:rsid w:val="000B782A"/>
    <w:rsid w:val="000C0025"/>
    <w:rsid w:val="000C029B"/>
    <w:rsid w:val="000C0FFE"/>
    <w:rsid w:val="000C1036"/>
    <w:rsid w:val="000C1529"/>
    <w:rsid w:val="000C1BD3"/>
    <w:rsid w:val="000C1E11"/>
    <w:rsid w:val="000C20C7"/>
    <w:rsid w:val="000C2248"/>
    <w:rsid w:val="000C2B5F"/>
    <w:rsid w:val="000C2F4D"/>
    <w:rsid w:val="000C2FD9"/>
    <w:rsid w:val="000C4379"/>
    <w:rsid w:val="000C4DAC"/>
    <w:rsid w:val="000C56C2"/>
    <w:rsid w:val="000C57FD"/>
    <w:rsid w:val="000C5A10"/>
    <w:rsid w:val="000C5C1B"/>
    <w:rsid w:val="000C5C5C"/>
    <w:rsid w:val="000C5CCD"/>
    <w:rsid w:val="000C5DB0"/>
    <w:rsid w:val="000C6491"/>
    <w:rsid w:val="000C6A2D"/>
    <w:rsid w:val="000C6FE8"/>
    <w:rsid w:val="000C71C0"/>
    <w:rsid w:val="000C71F2"/>
    <w:rsid w:val="000C7EB3"/>
    <w:rsid w:val="000D1F7A"/>
    <w:rsid w:val="000D202E"/>
    <w:rsid w:val="000D2392"/>
    <w:rsid w:val="000D35F3"/>
    <w:rsid w:val="000D3E90"/>
    <w:rsid w:val="000D3F11"/>
    <w:rsid w:val="000D5C7E"/>
    <w:rsid w:val="000D5CF5"/>
    <w:rsid w:val="000D647F"/>
    <w:rsid w:val="000D67E3"/>
    <w:rsid w:val="000D6B6D"/>
    <w:rsid w:val="000D6CC7"/>
    <w:rsid w:val="000D7104"/>
    <w:rsid w:val="000D7856"/>
    <w:rsid w:val="000D7D42"/>
    <w:rsid w:val="000E0FCD"/>
    <w:rsid w:val="000E0FD3"/>
    <w:rsid w:val="000E14A2"/>
    <w:rsid w:val="000E1C1A"/>
    <w:rsid w:val="000E220D"/>
    <w:rsid w:val="000E2E80"/>
    <w:rsid w:val="000E3403"/>
    <w:rsid w:val="000E40C8"/>
    <w:rsid w:val="000E4599"/>
    <w:rsid w:val="000E5088"/>
    <w:rsid w:val="000E55E2"/>
    <w:rsid w:val="000E5969"/>
    <w:rsid w:val="000E5BB6"/>
    <w:rsid w:val="000E6434"/>
    <w:rsid w:val="000E6717"/>
    <w:rsid w:val="000E6E35"/>
    <w:rsid w:val="000E7266"/>
    <w:rsid w:val="000E7288"/>
    <w:rsid w:val="000E73E0"/>
    <w:rsid w:val="000E7710"/>
    <w:rsid w:val="000E79FE"/>
    <w:rsid w:val="000F00CD"/>
    <w:rsid w:val="000F0131"/>
    <w:rsid w:val="000F02AF"/>
    <w:rsid w:val="000F03D1"/>
    <w:rsid w:val="000F0436"/>
    <w:rsid w:val="000F0CAE"/>
    <w:rsid w:val="000F0F1D"/>
    <w:rsid w:val="000F1122"/>
    <w:rsid w:val="000F1778"/>
    <w:rsid w:val="000F1DD8"/>
    <w:rsid w:val="000F1DE2"/>
    <w:rsid w:val="000F2410"/>
    <w:rsid w:val="000F2A92"/>
    <w:rsid w:val="000F30AD"/>
    <w:rsid w:val="000F35A3"/>
    <w:rsid w:val="000F361D"/>
    <w:rsid w:val="000F37BF"/>
    <w:rsid w:val="000F3A33"/>
    <w:rsid w:val="000F3CE2"/>
    <w:rsid w:val="000F3EB0"/>
    <w:rsid w:val="000F4812"/>
    <w:rsid w:val="000F4A34"/>
    <w:rsid w:val="000F52AA"/>
    <w:rsid w:val="000F5F46"/>
    <w:rsid w:val="000F646B"/>
    <w:rsid w:val="000F6A0F"/>
    <w:rsid w:val="000F6AC7"/>
    <w:rsid w:val="000F70D3"/>
    <w:rsid w:val="000F76A5"/>
    <w:rsid w:val="000F77A8"/>
    <w:rsid w:val="000F7C6C"/>
    <w:rsid w:val="000F7DAA"/>
    <w:rsid w:val="0010013F"/>
    <w:rsid w:val="0010038C"/>
    <w:rsid w:val="0010082C"/>
    <w:rsid w:val="00100870"/>
    <w:rsid w:val="00100F49"/>
    <w:rsid w:val="00100FF4"/>
    <w:rsid w:val="00101054"/>
    <w:rsid w:val="001011A4"/>
    <w:rsid w:val="001020F3"/>
    <w:rsid w:val="00103F9C"/>
    <w:rsid w:val="00104439"/>
    <w:rsid w:val="0010504E"/>
    <w:rsid w:val="00105862"/>
    <w:rsid w:val="00105874"/>
    <w:rsid w:val="00105B3C"/>
    <w:rsid w:val="00105D87"/>
    <w:rsid w:val="00105F54"/>
    <w:rsid w:val="0010632C"/>
    <w:rsid w:val="00106974"/>
    <w:rsid w:val="00106A56"/>
    <w:rsid w:val="00106CD3"/>
    <w:rsid w:val="00107042"/>
    <w:rsid w:val="001077E3"/>
    <w:rsid w:val="00107FD3"/>
    <w:rsid w:val="001108F0"/>
    <w:rsid w:val="00111478"/>
    <w:rsid w:val="00111902"/>
    <w:rsid w:val="0011203F"/>
    <w:rsid w:val="00112D5C"/>
    <w:rsid w:val="0011348C"/>
    <w:rsid w:val="00113817"/>
    <w:rsid w:val="00113919"/>
    <w:rsid w:val="00113CFE"/>
    <w:rsid w:val="00113DFF"/>
    <w:rsid w:val="00113F1E"/>
    <w:rsid w:val="001142B7"/>
    <w:rsid w:val="00114A28"/>
    <w:rsid w:val="00114DB6"/>
    <w:rsid w:val="0011591C"/>
    <w:rsid w:val="00115FBF"/>
    <w:rsid w:val="00116E49"/>
    <w:rsid w:val="00117736"/>
    <w:rsid w:val="00117CF3"/>
    <w:rsid w:val="00120F27"/>
    <w:rsid w:val="00121675"/>
    <w:rsid w:val="00121CD9"/>
    <w:rsid w:val="00121FE2"/>
    <w:rsid w:val="00122239"/>
    <w:rsid w:val="001225DE"/>
    <w:rsid w:val="001232C0"/>
    <w:rsid w:val="00123E14"/>
    <w:rsid w:val="00124315"/>
    <w:rsid w:val="00124DA2"/>
    <w:rsid w:val="00125E8F"/>
    <w:rsid w:val="001272CC"/>
    <w:rsid w:val="001274F3"/>
    <w:rsid w:val="001301CE"/>
    <w:rsid w:val="00130756"/>
    <w:rsid w:val="0013081A"/>
    <w:rsid w:val="00131013"/>
    <w:rsid w:val="00131410"/>
    <w:rsid w:val="0013149B"/>
    <w:rsid w:val="00131557"/>
    <w:rsid w:val="001322A6"/>
    <w:rsid w:val="001324B8"/>
    <w:rsid w:val="00132895"/>
    <w:rsid w:val="00132E88"/>
    <w:rsid w:val="001331D6"/>
    <w:rsid w:val="00133576"/>
    <w:rsid w:val="00133746"/>
    <w:rsid w:val="00133EAD"/>
    <w:rsid w:val="00133FAB"/>
    <w:rsid w:val="0013493A"/>
    <w:rsid w:val="0013534F"/>
    <w:rsid w:val="00135ED4"/>
    <w:rsid w:val="00135FD3"/>
    <w:rsid w:val="0013608F"/>
    <w:rsid w:val="001365E8"/>
    <w:rsid w:val="00136B37"/>
    <w:rsid w:val="00136DE7"/>
    <w:rsid w:val="00137995"/>
    <w:rsid w:val="001400B8"/>
    <w:rsid w:val="001407A8"/>
    <w:rsid w:val="001410F7"/>
    <w:rsid w:val="00141585"/>
    <w:rsid w:val="0014176C"/>
    <w:rsid w:val="00141A9E"/>
    <w:rsid w:val="00141C00"/>
    <w:rsid w:val="00142D81"/>
    <w:rsid w:val="0014342B"/>
    <w:rsid w:val="00143472"/>
    <w:rsid w:val="00143887"/>
    <w:rsid w:val="00143B11"/>
    <w:rsid w:val="001441AC"/>
    <w:rsid w:val="001441DD"/>
    <w:rsid w:val="00144560"/>
    <w:rsid w:val="0014464E"/>
    <w:rsid w:val="00144CB0"/>
    <w:rsid w:val="00144E5C"/>
    <w:rsid w:val="0014512B"/>
    <w:rsid w:val="00145635"/>
    <w:rsid w:val="00146154"/>
    <w:rsid w:val="001462CC"/>
    <w:rsid w:val="0014678F"/>
    <w:rsid w:val="0014684F"/>
    <w:rsid w:val="00146B16"/>
    <w:rsid w:val="001471FC"/>
    <w:rsid w:val="00147E93"/>
    <w:rsid w:val="001501EB"/>
    <w:rsid w:val="00150528"/>
    <w:rsid w:val="00151839"/>
    <w:rsid w:val="0015190B"/>
    <w:rsid w:val="00151996"/>
    <w:rsid w:val="00151DB2"/>
    <w:rsid w:val="0015259A"/>
    <w:rsid w:val="001527F6"/>
    <w:rsid w:val="001528D3"/>
    <w:rsid w:val="00152A5D"/>
    <w:rsid w:val="00153ADF"/>
    <w:rsid w:val="00153AF2"/>
    <w:rsid w:val="00153E93"/>
    <w:rsid w:val="0015442E"/>
    <w:rsid w:val="00154BA5"/>
    <w:rsid w:val="001550DB"/>
    <w:rsid w:val="00155F84"/>
    <w:rsid w:val="0015614F"/>
    <w:rsid w:val="0015633E"/>
    <w:rsid w:val="00157421"/>
    <w:rsid w:val="0015792B"/>
    <w:rsid w:val="00157C71"/>
    <w:rsid w:val="00157DEA"/>
    <w:rsid w:val="00157FA8"/>
    <w:rsid w:val="00160A7A"/>
    <w:rsid w:val="00160D3A"/>
    <w:rsid w:val="00160F4F"/>
    <w:rsid w:val="001611BC"/>
    <w:rsid w:val="0016126C"/>
    <w:rsid w:val="0016133C"/>
    <w:rsid w:val="00161C79"/>
    <w:rsid w:val="00161EB5"/>
    <w:rsid w:val="00161ECD"/>
    <w:rsid w:val="00161F61"/>
    <w:rsid w:val="00162138"/>
    <w:rsid w:val="00162F17"/>
    <w:rsid w:val="00163486"/>
    <w:rsid w:val="001640F4"/>
    <w:rsid w:val="0016443B"/>
    <w:rsid w:val="00164A1F"/>
    <w:rsid w:val="00164BD9"/>
    <w:rsid w:val="00164D9E"/>
    <w:rsid w:val="00165049"/>
    <w:rsid w:val="0016563A"/>
    <w:rsid w:val="00166154"/>
    <w:rsid w:val="00166261"/>
    <w:rsid w:val="00167027"/>
    <w:rsid w:val="00167983"/>
    <w:rsid w:val="00167C00"/>
    <w:rsid w:val="0017043F"/>
    <w:rsid w:val="00170589"/>
    <w:rsid w:val="001719C5"/>
    <w:rsid w:val="00171ABB"/>
    <w:rsid w:val="00172541"/>
    <w:rsid w:val="001728B7"/>
    <w:rsid w:val="00172DAE"/>
    <w:rsid w:val="00173BA8"/>
    <w:rsid w:val="00173CC8"/>
    <w:rsid w:val="001741E5"/>
    <w:rsid w:val="001741EC"/>
    <w:rsid w:val="001743A8"/>
    <w:rsid w:val="001745AD"/>
    <w:rsid w:val="00174AA0"/>
    <w:rsid w:val="0017501B"/>
    <w:rsid w:val="001750F2"/>
    <w:rsid w:val="001753F1"/>
    <w:rsid w:val="001759A2"/>
    <w:rsid w:val="00175BAB"/>
    <w:rsid w:val="0017600A"/>
    <w:rsid w:val="0017682D"/>
    <w:rsid w:val="00176C4B"/>
    <w:rsid w:val="00177912"/>
    <w:rsid w:val="00177A8F"/>
    <w:rsid w:val="00177A9E"/>
    <w:rsid w:val="00177C74"/>
    <w:rsid w:val="0018109E"/>
    <w:rsid w:val="001810F6"/>
    <w:rsid w:val="0018157A"/>
    <w:rsid w:val="00181D53"/>
    <w:rsid w:val="00181ED0"/>
    <w:rsid w:val="00182135"/>
    <w:rsid w:val="00182886"/>
    <w:rsid w:val="0018294A"/>
    <w:rsid w:val="00182A6D"/>
    <w:rsid w:val="00182E51"/>
    <w:rsid w:val="0018312F"/>
    <w:rsid w:val="00183536"/>
    <w:rsid w:val="00183ACF"/>
    <w:rsid w:val="00183C2F"/>
    <w:rsid w:val="0018400E"/>
    <w:rsid w:val="0018420D"/>
    <w:rsid w:val="0018443E"/>
    <w:rsid w:val="0018453D"/>
    <w:rsid w:val="00184F4F"/>
    <w:rsid w:val="00184F8A"/>
    <w:rsid w:val="00185097"/>
    <w:rsid w:val="00185498"/>
    <w:rsid w:val="001859FA"/>
    <w:rsid w:val="00185B5D"/>
    <w:rsid w:val="00185BD4"/>
    <w:rsid w:val="00185DD0"/>
    <w:rsid w:val="0018601C"/>
    <w:rsid w:val="0018656A"/>
    <w:rsid w:val="00187A54"/>
    <w:rsid w:val="001903E7"/>
    <w:rsid w:val="00190B8F"/>
    <w:rsid w:val="00190D8D"/>
    <w:rsid w:val="00190F68"/>
    <w:rsid w:val="00191392"/>
    <w:rsid w:val="001914ED"/>
    <w:rsid w:val="001915C7"/>
    <w:rsid w:val="00191A92"/>
    <w:rsid w:val="00191D26"/>
    <w:rsid w:val="00192670"/>
    <w:rsid w:val="001926D3"/>
    <w:rsid w:val="0019271E"/>
    <w:rsid w:val="0019279A"/>
    <w:rsid w:val="00192CE4"/>
    <w:rsid w:val="00193009"/>
    <w:rsid w:val="001937ED"/>
    <w:rsid w:val="001939A1"/>
    <w:rsid w:val="00193B5A"/>
    <w:rsid w:val="00193CCB"/>
    <w:rsid w:val="001948A6"/>
    <w:rsid w:val="00194BC7"/>
    <w:rsid w:val="00194D34"/>
    <w:rsid w:val="00194FC5"/>
    <w:rsid w:val="001956F3"/>
    <w:rsid w:val="00195D10"/>
    <w:rsid w:val="001972A3"/>
    <w:rsid w:val="0019741A"/>
    <w:rsid w:val="00197468"/>
    <w:rsid w:val="0019757E"/>
    <w:rsid w:val="00197A4A"/>
    <w:rsid w:val="00197F33"/>
    <w:rsid w:val="00197F36"/>
    <w:rsid w:val="001A069D"/>
    <w:rsid w:val="001A0939"/>
    <w:rsid w:val="001A0997"/>
    <w:rsid w:val="001A0B80"/>
    <w:rsid w:val="001A1372"/>
    <w:rsid w:val="001A137F"/>
    <w:rsid w:val="001A1874"/>
    <w:rsid w:val="001A2773"/>
    <w:rsid w:val="001A2B11"/>
    <w:rsid w:val="001A2DDC"/>
    <w:rsid w:val="001A2F83"/>
    <w:rsid w:val="001A334F"/>
    <w:rsid w:val="001A42CA"/>
    <w:rsid w:val="001A4586"/>
    <w:rsid w:val="001A4715"/>
    <w:rsid w:val="001A5F23"/>
    <w:rsid w:val="001A6075"/>
    <w:rsid w:val="001A63AB"/>
    <w:rsid w:val="001A6568"/>
    <w:rsid w:val="001A6D5C"/>
    <w:rsid w:val="001A7B9A"/>
    <w:rsid w:val="001A7EE9"/>
    <w:rsid w:val="001B0BBC"/>
    <w:rsid w:val="001B12BE"/>
    <w:rsid w:val="001B1EAB"/>
    <w:rsid w:val="001B2A7E"/>
    <w:rsid w:val="001B2C97"/>
    <w:rsid w:val="001B2E63"/>
    <w:rsid w:val="001B33A7"/>
    <w:rsid w:val="001B3A4C"/>
    <w:rsid w:val="001B3F1F"/>
    <w:rsid w:val="001B3F3C"/>
    <w:rsid w:val="001B3FB5"/>
    <w:rsid w:val="001B5446"/>
    <w:rsid w:val="001B5FF9"/>
    <w:rsid w:val="001B6554"/>
    <w:rsid w:val="001B6798"/>
    <w:rsid w:val="001B6AF0"/>
    <w:rsid w:val="001C056E"/>
    <w:rsid w:val="001C0B1D"/>
    <w:rsid w:val="001C12FB"/>
    <w:rsid w:val="001C143C"/>
    <w:rsid w:val="001C1B73"/>
    <w:rsid w:val="001C1C62"/>
    <w:rsid w:val="001C1D9C"/>
    <w:rsid w:val="001C21BF"/>
    <w:rsid w:val="001C2AC9"/>
    <w:rsid w:val="001C326D"/>
    <w:rsid w:val="001C3605"/>
    <w:rsid w:val="001C3924"/>
    <w:rsid w:val="001C3A38"/>
    <w:rsid w:val="001C4573"/>
    <w:rsid w:val="001C4600"/>
    <w:rsid w:val="001C4AA8"/>
    <w:rsid w:val="001C4B3F"/>
    <w:rsid w:val="001C4CBB"/>
    <w:rsid w:val="001C50F2"/>
    <w:rsid w:val="001C5D07"/>
    <w:rsid w:val="001C5D34"/>
    <w:rsid w:val="001C66D7"/>
    <w:rsid w:val="001C6789"/>
    <w:rsid w:val="001C6921"/>
    <w:rsid w:val="001C715D"/>
    <w:rsid w:val="001C7528"/>
    <w:rsid w:val="001D055C"/>
    <w:rsid w:val="001D1740"/>
    <w:rsid w:val="001D186C"/>
    <w:rsid w:val="001D1B22"/>
    <w:rsid w:val="001D1C45"/>
    <w:rsid w:val="001D1DE7"/>
    <w:rsid w:val="001D1EBD"/>
    <w:rsid w:val="001D25AE"/>
    <w:rsid w:val="001D2885"/>
    <w:rsid w:val="001D29C9"/>
    <w:rsid w:val="001D2B4E"/>
    <w:rsid w:val="001D2C8A"/>
    <w:rsid w:val="001D4173"/>
    <w:rsid w:val="001D4556"/>
    <w:rsid w:val="001D48C1"/>
    <w:rsid w:val="001D4D66"/>
    <w:rsid w:val="001D4DE0"/>
    <w:rsid w:val="001D5D3E"/>
    <w:rsid w:val="001D6C03"/>
    <w:rsid w:val="001D6DA9"/>
    <w:rsid w:val="001D76F6"/>
    <w:rsid w:val="001D79A8"/>
    <w:rsid w:val="001D7EA6"/>
    <w:rsid w:val="001E0582"/>
    <w:rsid w:val="001E16EB"/>
    <w:rsid w:val="001E1FA4"/>
    <w:rsid w:val="001E20ED"/>
    <w:rsid w:val="001E25D1"/>
    <w:rsid w:val="001E285B"/>
    <w:rsid w:val="001E2A84"/>
    <w:rsid w:val="001E2FCA"/>
    <w:rsid w:val="001E33E0"/>
    <w:rsid w:val="001E3A98"/>
    <w:rsid w:val="001E4332"/>
    <w:rsid w:val="001E4B80"/>
    <w:rsid w:val="001E4C4E"/>
    <w:rsid w:val="001E4CB2"/>
    <w:rsid w:val="001E4DF8"/>
    <w:rsid w:val="001E5344"/>
    <w:rsid w:val="001E5FBD"/>
    <w:rsid w:val="001E6148"/>
    <w:rsid w:val="001E67FF"/>
    <w:rsid w:val="001E6D82"/>
    <w:rsid w:val="001E7FFC"/>
    <w:rsid w:val="001F009A"/>
    <w:rsid w:val="001F00C2"/>
    <w:rsid w:val="001F0483"/>
    <w:rsid w:val="001F0C21"/>
    <w:rsid w:val="001F1F58"/>
    <w:rsid w:val="001F1F75"/>
    <w:rsid w:val="001F2737"/>
    <w:rsid w:val="001F28B9"/>
    <w:rsid w:val="001F297E"/>
    <w:rsid w:val="001F2A4A"/>
    <w:rsid w:val="001F2C3E"/>
    <w:rsid w:val="001F34C9"/>
    <w:rsid w:val="001F397A"/>
    <w:rsid w:val="001F4054"/>
    <w:rsid w:val="001F41D7"/>
    <w:rsid w:val="001F4428"/>
    <w:rsid w:val="001F4DE2"/>
    <w:rsid w:val="001F5240"/>
    <w:rsid w:val="001F52C6"/>
    <w:rsid w:val="001F5369"/>
    <w:rsid w:val="001F5906"/>
    <w:rsid w:val="001F5A0E"/>
    <w:rsid w:val="001F5D05"/>
    <w:rsid w:val="001F5E50"/>
    <w:rsid w:val="001F5ECC"/>
    <w:rsid w:val="001F6002"/>
    <w:rsid w:val="001F6229"/>
    <w:rsid w:val="001F62EA"/>
    <w:rsid w:val="001F6402"/>
    <w:rsid w:val="001F6A9C"/>
    <w:rsid w:val="001F6DA2"/>
    <w:rsid w:val="001F7615"/>
    <w:rsid w:val="001F77C4"/>
    <w:rsid w:val="001F7B6A"/>
    <w:rsid w:val="001F7F8C"/>
    <w:rsid w:val="001F7FE3"/>
    <w:rsid w:val="002007C0"/>
    <w:rsid w:val="00201FAD"/>
    <w:rsid w:val="00202A24"/>
    <w:rsid w:val="00202DD0"/>
    <w:rsid w:val="00203575"/>
    <w:rsid w:val="00203E81"/>
    <w:rsid w:val="00204315"/>
    <w:rsid w:val="002045BD"/>
    <w:rsid w:val="002045E4"/>
    <w:rsid w:val="0020469B"/>
    <w:rsid w:val="00204F64"/>
    <w:rsid w:val="0020535C"/>
    <w:rsid w:val="0020556A"/>
    <w:rsid w:val="00206396"/>
    <w:rsid w:val="00206CA7"/>
    <w:rsid w:val="00207266"/>
    <w:rsid w:val="002106FE"/>
    <w:rsid w:val="0021095A"/>
    <w:rsid w:val="0021111A"/>
    <w:rsid w:val="00212D85"/>
    <w:rsid w:val="0021362C"/>
    <w:rsid w:val="00213740"/>
    <w:rsid w:val="00213D4E"/>
    <w:rsid w:val="00214A10"/>
    <w:rsid w:val="00214D51"/>
    <w:rsid w:val="00215953"/>
    <w:rsid w:val="002159AD"/>
    <w:rsid w:val="00215CFA"/>
    <w:rsid w:val="00216144"/>
    <w:rsid w:val="0021614F"/>
    <w:rsid w:val="00216476"/>
    <w:rsid w:val="00216791"/>
    <w:rsid w:val="00216AF2"/>
    <w:rsid w:val="00216BA5"/>
    <w:rsid w:val="002173E9"/>
    <w:rsid w:val="002174AD"/>
    <w:rsid w:val="00217E87"/>
    <w:rsid w:val="0022012D"/>
    <w:rsid w:val="002209C9"/>
    <w:rsid w:val="00220AD8"/>
    <w:rsid w:val="00220BBB"/>
    <w:rsid w:val="00220D52"/>
    <w:rsid w:val="00221361"/>
    <w:rsid w:val="0022140D"/>
    <w:rsid w:val="002219D5"/>
    <w:rsid w:val="00221DFD"/>
    <w:rsid w:val="0022258A"/>
    <w:rsid w:val="002225B5"/>
    <w:rsid w:val="0022267E"/>
    <w:rsid w:val="00222788"/>
    <w:rsid w:val="00222BFF"/>
    <w:rsid w:val="00222FD6"/>
    <w:rsid w:val="0022319C"/>
    <w:rsid w:val="0022405C"/>
    <w:rsid w:val="00224105"/>
    <w:rsid w:val="00224638"/>
    <w:rsid w:val="0022494B"/>
    <w:rsid w:val="00225793"/>
    <w:rsid w:val="00225CC4"/>
    <w:rsid w:val="00225D86"/>
    <w:rsid w:val="002262F9"/>
    <w:rsid w:val="00226398"/>
    <w:rsid w:val="00226749"/>
    <w:rsid w:val="00226CA5"/>
    <w:rsid w:val="00226CC9"/>
    <w:rsid w:val="00226EB6"/>
    <w:rsid w:val="00227602"/>
    <w:rsid w:val="00227FEB"/>
    <w:rsid w:val="002308CB"/>
    <w:rsid w:val="00231358"/>
    <w:rsid w:val="002317BB"/>
    <w:rsid w:val="00232273"/>
    <w:rsid w:val="002323BC"/>
    <w:rsid w:val="00232E6D"/>
    <w:rsid w:val="0023421F"/>
    <w:rsid w:val="002345B8"/>
    <w:rsid w:val="0023581F"/>
    <w:rsid w:val="00235992"/>
    <w:rsid w:val="00236064"/>
    <w:rsid w:val="00236948"/>
    <w:rsid w:val="00236B4A"/>
    <w:rsid w:val="002370AB"/>
    <w:rsid w:val="002370DC"/>
    <w:rsid w:val="00237494"/>
    <w:rsid w:val="002374CD"/>
    <w:rsid w:val="00237972"/>
    <w:rsid w:val="00237A39"/>
    <w:rsid w:val="00237CB0"/>
    <w:rsid w:val="00237D55"/>
    <w:rsid w:val="00240187"/>
    <w:rsid w:val="00240242"/>
    <w:rsid w:val="002402A4"/>
    <w:rsid w:val="002412EA"/>
    <w:rsid w:val="0024137C"/>
    <w:rsid w:val="0024195E"/>
    <w:rsid w:val="00241E98"/>
    <w:rsid w:val="00242154"/>
    <w:rsid w:val="0024271D"/>
    <w:rsid w:val="00242B2E"/>
    <w:rsid w:val="00242F2D"/>
    <w:rsid w:val="00242F6A"/>
    <w:rsid w:val="00243739"/>
    <w:rsid w:val="00243908"/>
    <w:rsid w:val="00244935"/>
    <w:rsid w:val="00244C15"/>
    <w:rsid w:val="0024519A"/>
    <w:rsid w:val="0024536B"/>
    <w:rsid w:val="002454EB"/>
    <w:rsid w:val="002460EF"/>
    <w:rsid w:val="00246199"/>
    <w:rsid w:val="00246235"/>
    <w:rsid w:val="0024627B"/>
    <w:rsid w:val="0024652C"/>
    <w:rsid w:val="002465E6"/>
    <w:rsid w:val="0024660F"/>
    <w:rsid w:val="00246ADC"/>
    <w:rsid w:val="00246C69"/>
    <w:rsid w:val="00247321"/>
    <w:rsid w:val="0024745D"/>
    <w:rsid w:val="00247759"/>
    <w:rsid w:val="002478D5"/>
    <w:rsid w:val="002500FE"/>
    <w:rsid w:val="00250C47"/>
    <w:rsid w:val="002513E5"/>
    <w:rsid w:val="00252DCA"/>
    <w:rsid w:val="00253273"/>
    <w:rsid w:val="00253358"/>
    <w:rsid w:val="00253573"/>
    <w:rsid w:val="0025380A"/>
    <w:rsid w:val="00253E68"/>
    <w:rsid w:val="00254702"/>
    <w:rsid w:val="002549D7"/>
    <w:rsid w:val="0025572C"/>
    <w:rsid w:val="0025653D"/>
    <w:rsid w:val="002566CB"/>
    <w:rsid w:val="0025682C"/>
    <w:rsid w:val="00256B35"/>
    <w:rsid w:val="00257151"/>
    <w:rsid w:val="00257392"/>
    <w:rsid w:val="002578A1"/>
    <w:rsid w:val="00257DE9"/>
    <w:rsid w:val="002604AE"/>
    <w:rsid w:val="00260EF6"/>
    <w:rsid w:val="002610B7"/>
    <w:rsid w:val="002611FB"/>
    <w:rsid w:val="00261EEF"/>
    <w:rsid w:val="00262B48"/>
    <w:rsid w:val="00262DAE"/>
    <w:rsid w:val="00262F99"/>
    <w:rsid w:val="00263567"/>
    <w:rsid w:val="002636A1"/>
    <w:rsid w:val="002639DA"/>
    <w:rsid w:val="002644A1"/>
    <w:rsid w:val="00264E03"/>
    <w:rsid w:val="00265DDC"/>
    <w:rsid w:val="00265F96"/>
    <w:rsid w:val="002661C6"/>
    <w:rsid w:val="0026657D"/>
    <w:rsid w:val="002666D0"/>
    <w:rsid w:val="00266A1A"/>
    <w:rsid w:val="00266EB3"/>
    <w:rsid w:val="002670C0"/>
    <w:rsid w:val="00267636"/>
    <w:rsid w:val="002704D7"/>
    <w:rsid w:val="00270965"/>
    <w:rsid w:val="00270B29"/>
    <w:rsid w:val="00270B85"/>
    <w:rsid w:val="002711BF"/>
    <w:rsid w:val="0027122F"/>
    <w:rsid w:val="002714E1"/>
    <w:rsid w:val="00271695"/>
    <w:rsid w:val="00271C9C"/>
    <w:rsid w:val="00271FCD"/>
    <w:rsid w:val="00271FFB"/>
    <w:rsid w:val="00272B0C"/>
    <w:rsid w:val="00272B40"/>
    <w:rsid w:val="00273B7B"/>
    <w:rsid w:val="002749C6"/>
    <w:rsid w:val="00275D95"/>
    <w:rsid w:val="00275EB8"/>
    <w:rsid w:val="00276102"/>
    <w:rsid w:val="0027635E"/>
    <w:rsid w:val="0027682D"/>
    <w:rsid w:val="00276981"/>
    <w:rsid w:val="00276DD9"/>
    <w:rsid w:val="00276DEF"/>
    <w:rsid w:val="00276F8F"/>
    <w:rsid w:val="0027702D"/>
    <w:rsid w:val="0028020A"/>
    <w:rsid w:val="00280823"/>
    <w:rsid w:val="0028088A"/>
    <w:rsid w:val="00280B16"/>
    <w:rsid w:val="0028193B"/>
    <w:rsid w:val="00282CF1"/>
    <w:rsid w:val="00282D92"/>
    <w:rsid w:val="00283102"/>
    <w:rsid w:val="00283E1D"/>
    <w:rsid w:val="00283F63"/>
    <w:rsid w:val="0028447D"/>
    <w:rsid w:val="00284C97"/>
    <w:rsid w:val="00284F97"/>
    <w:rsid w:val="00285614"/>
    <w:rsid w:val="00285B6B"/>
    <w:rsid w:val="002868B6"/>
    <w:rsid w:val="00286B41"/>
    <w:rsid w:val="00286F62"/>
    <w:rsid w:val="0028752E"/>
    <w:rsid w:val="002879BD"/>
    <w:rsid w:val="002902BA"/>
    <w:rsid w:val="00290631"/>
    <w:rsid w:val="0029188A"/>
    <w:rsid w:val="00291B9B"/>
    <w:rsid w:val="00292232"/>
    <w:rsid w:val="00292262"/>
    <w:rsid w:val="0029259B"/>
    <w:rsid w:val="002928C9"/>
    <w:rsid w:val="00292BCB"/>
    <w:rsid w:val="00292CBD"/>
    <w:rsid w:val="002931D9"/>
    <w:rsid w:val="002933EF"/>
    <w:rsid w:val="002939B6"/>
    <w:rsid w:val="00294609"/>
    <w:rsid w:val="00294CDA"/>
    <w:rsid w:val="002951A1"/>
    <w:rsid w:val="0029526C"/>
    <w:rsid w:val="00295F5C"/>
    <w:rsid w:val="00296089"/>
    <w:rsid w:val="002968F4"/>
    <w:rsid w:val="00296C81"/>
    <w:rsid w:val="00296F3B"/>
    <w:rsid w:val="00296F4E"/>
    <w:rsid w:val="00297012"/>
    <w:rsid w:val="002975E2"/>
    <w:rsid w:val="00297694"/>
    <w:rsid w:val="002976E0"/>
    <w:rsid w:val="00297A26"/>
    <w:rsid w:val="00297CE9"/>
    <w:rsid w:val="002A0319"/>
    <w:rsid w:val="002A0331"/>
    <w:rsid w:val="002A07F5"/>
    <w:rsid w:val="002A0ED7"/>
    <w:rsid w:val="002A11A0"/>
    <w:rsid w:val="002A2BFB"/>
    <w:rsid w:val="002A2EA4"/>
    <w:rsid w:val="002A336A"/>
    <w:rsid w:val="002A3384"/>
    <w:rsid w:val="002A3D74"/>
    <w:rsid w:val="002A3E8B"/>
    <w:rsid w:val="002A40B1"/>
    <w:rsid w:val="002A47E8"/>
    <w:rsid w:val="002A4851"/>
    <w:rsid w:val="002A4C54"/>
    <w:rsid w:val="002A5622"/>
    <w:rsid w:val="002A5998"/>
    <w:rsid w:val="002A65CB"/>
    <w:rsid w:val="002A6D8A"/>
    <w:rsid w:val="002A6F4E"/>
    <w:rsid w:val="002A7513"/>
    <w:rsid w:val="002A75C7"/>
    <w:rsid w:val="002B0079"/>
    <w:rsid w:val="002B015D"/>
    <w:rsid w:val="002B0C05"/>
    <w:rsid w:val="002B0C4E"/>
    <w:rsid w:val="002B213A"/>
    <w:rsid w:val="002B21BA"/>
    <w:rsid w:val="002B23B4"/>
    <w:rsid w:val="002B26B7"/>
    <w:rsid w:val="002B2A17"/>
    <w:rsid w:val="002B2E28"/>
    <w:rsid w:val="002B3290"/>
    <w:rsid w:val="002B32F7"/>
    <w:rsid w:val="002B3803"/>
    <w:rsid w:val="002B3BAA"/>
    <w:rsid w:val="002B3BC0"/>
    <w:rsid w:val="002B3D46"/>
    <w:rsid w:val="002B43DB"/>
    <w:rsid w:val="002B465E"/>
    <w:rsid w:val="002B49C8"/>
    <w:rsid w:val="002B55A6"/>
    <w:rsid w:val="002B5911"/>
    <w:rsid w:val="002B5A52"/>
    <w:rsid w:val="002B5E21"/>
    <w:rsid w:val="002B6482"/>
    <w:rsid w:val="002B69AD"/>
    <w:rsid w:val="002B7155"/>
    <w:rsid w:val="002B7CF7"/>
    <w:rsid w:val="002C0168"/>
    <w:rsid w:val="002C0176"/>
    <w:rsid w:val="002C01DB"/>
    <w:rsid w:val="002C1646"/>
    <w:rsid w:val="002C1DC5"/>
    <w:rsid w:val="002C1F1B"/>
    <w:rsid w:val="002C1F4D"/>
    <w:rsid w:val="002C2639"/>
    <w:rsid w:val="002C2CD8"/>
    <w:rsid w:val="002C2DDE"/>
    <w:rsid w:val="002C3166"/>
    <w:rsid w:val="002C32A4"/>
    <w:rsid w:val="002C361C"/>
    <w:rsid w:val="002C3787"/>
    <w:rsid w:val="002C4459"/>
    <w:rsid w:val="002C4A07"/>
    <w:rsid w:val="002C4F9D"/>
    <w:rsid w:val="002C50C7"/>
    <w:rsid w:val="002C579D"/>
    <w:rsid w:val="002C5849"/>
    <w:rsid w:val="002C5CA4"/>
    <w:rsid w:val="002C606F"/>
    <w:rsid w:val="002C611D"/>
    <w:rsid w:val="002C651A"/>
    <w:rsid w:val="002C677D"/>
    <w:rsid w:val="002C70B8"/>
    <w:rsid w:val="002C70FC"/>
    <w:rsid w:val="002C7178"/>
    <w:rsid w:val="002C7254"/>
    <w:rsid w:val="002C7288"/>
    <w:rsid w:val="002C7A93"/>
    <w:rsid w:val="002C7CC7"/>
    <w:rsid w:val="002D0510"/>
    <w:rsid w:val="002D0BFF"/>
    <w:rsid w:val="002D0D70"/>
    <w:rsid w:val="002D0DE2"/>
    <w:rsid w:val="002D0ECA"/>
    <w:rsid w:val="002D1CD9"/>
    <w:rsid w:val="002D286E"/>
    <w:rsid w:val="002D2ED3"/>
    <w:rsid w:val="002D2EEB"/>
    <w:rsid w:val="002D2F8C"/>
    <w:rsid w:val="002D35AA"/>
    <w:rsid w:val="002D3C0D"/>
    <w:rsid w:val="002D5327"/>
    <w:rsid w:val="002D54E0"/>
    <w:rsid w:val="002D5C09"/>
    <w:rsid w:val="002D6088"/>
    <w:rsid w:val="002D7491"/>
    <w:rsid w:val="002D7492"/>
    <w:rsid w:val="002D78AC"/>
    <w:rsid w:val="002D7B5E"/>
    <w:rsid w:val="002D7CDF"/>
    <w:rsid w:val="002E02A3"/>
    <w:rsid w:val="002E0713"/>
    <w:rsid w:val="002E0936"/>
    <w:rsid w:val="002E1588"/>
    <w:rsid w:val="002E1D22"/>
    <w:rsid w:val="002E1E0B"/>
    <w:rsid w:val="002E2B4C"/>
    <w:rsid w:val="002E2BA4"/>
    <w:rsid w:val="002E2CDC"/>
    <w:rsid w:val="002E32EF"/>
    <w:rsid w:val="002E3A97"/>
    <w:rsid w:val="002E46E4"/>
    <w:rsid w:val="002E54BC"/>
    <w:rsid w:val="002E5521"/>
    <w:rsid w:val="002E5992"/>
    <w:rsid w:val="002E60A5"/>
    <w:rsid w:val="002E63BA"/>
    <w:rsid w:val="002E67FC"/>
    <w:rsid w:val="002E6F57"/>
    <w:rsid w:val="002F026B"/>
    <w:rsid w:val="002F0841"/>
    <w:rsid w:val="002F0871"/>
    <w:rsid w:val="002F0BD8"/>
    <w:rsid w:val="002F0E8E"/>
    <w:rsid w:val="002F12DE"/>
    <w:rsid w:val="002F1758"/>
    <w:rsid w:val="002F1EE0"/>
    <w:rsid w:val="002F2253"/>
    <w:rsid w:val="002F2939"/>
    <w:rsid w:val="002F2CDE"/>
    <w:rsid w:val="002F2D19"/>
    <w:rsid w:val="002F2F13"/>
    <w:rsid w:val="002F378A"/>
    <w:rsid w:val="002F3893"/>
    <w:rsid w:val="002F3DA0"/>
    <w:rsid w:val="002F4276"/>
    <w:rsid w:val="002F4751"/>
    <w:rsid w:val="002F4ACA"/>
    <w:rsid w:val="002F589F"/>
    <w:rsid w:val="002F5EC8"/>
    <w:rsid w:val="002F6306"/>
    <w:rsid w:val="002F643C"/>
    <w:rsid w:val="002F6872"/>
    <w:rsid w:val="002F6ABE"/>
    <w:rsid w:val="002F6C48"/>
    <w:rsid w:val="002F747B"/>
    <w:rsid w:val="002F778D"/>
    <w:rsid w:val="002F7D85"/>
    <w:rsid w:val="002F7E1D"/>
    <w:rsid w:val="00300056"/>
    <w:rsid w:val="00300421"/>
    <w:rsid w:val="003007E2"/>
    <w:rsid w:val="0030083E"/>
    <w:rsid w:val="003015D5"/>
    <w:rsid w:val="00301AEE"/>
    <w:rsid w:val="00301D67"/>
    <w:rsid w:val="00302261"/>
    <w:rsid w:val="0030244A"/>
    <w:rsid w:val="0030291D"/>
    <w:rsid w:val="003029C9"/>
    <w:rsid w:val="00302A01"/>
    <w:rsid w:val="00302B60"/>
    <w:rsid w:val="0030320E"/>
    <w:rsid w:val="003035F7"/>
    <w:rsid w:val="00303785"/>
    <w:rsid w:val="003037F3"/>
    <w:rsid w:val="00303883"/>
    <w:rsid w:val="00303AED"/>
    <w:rsid w:val="00303B84"/>
    <w:rsid w:val="0030488C"/>
    <w:rsid w:val="00304CC4"/>
    <w:rsid w:val="003050C7"/>
    <w:rsid w:val="003050E0"/>
    <w:rsid w:val="0030512D"/>
    <w:rsid w:val="00305829"/>
    <w:rsid w:val="00305AFE"/>
    <w:rsid w:val="00305DB4"/>
    <w:rsid w:val="00306C62"/>
    <w:rsid w:val="00306C9C"/>
    <w:rsid w:val="00306E98"/>
    <w:rsid w:val="0030718F"/>
    <w:rsid w:val="0030757B"/>
    <w:rsid w:val="003100DB"/>
    <w:rsid w:val="00311428"/>
    <w:rsid w:val="003117DB"/>
    <w:rsid w:val="003118D3"/>
    <w:rsid w:val="00311B37"/>
    <w:rsid w:val="00311C93"/>
    <w:rsid w:val="00313147"/>
    <w:rsid w:val="00313298"/>
    <w:rsid w:val="0031333D"/>
    <w:rsid w:val="0031338A"/>
    <w:rsid w:val="00313636"/>
    <w:rsid w:val="00313670"/>
    <w:rsid w:val="00313770"/>
    <w:rsid w:val="003137BB"/>
    <w:rsid w:val="00313800"/>
    <w:rsid w:val="003143F5"/>
    <w:rsid w:val="003147E9"/>
    <w:rsid w:val="00315631"/>
    <w:rsid w:val="0031578C"/>
    <w:rsid w:val="00315BDC"/>
    <w:rsid w:val="0031630A"/>
    <w:rsid w:val="00316449"/>
    <w:rsid w:val="0031652A"/>
    <w:rsid w:val="00316F2B"/>
    <w:rsid w:val="00317424"/>
    <w:rsid w:val="003200F7"/>
    <w:rsid w:val="003201D1"/>
    <w:rsid w:val="0032072B"/>
    <w:rsid w:val="003213F0"/>
    <w:rsid w:val="0032169C"/>
    <w:rsid w:val="003217C6"/>
    <w:rsid w:val="00322433"/>
    <w:rsid w:val="003224C7"/>
    <w:rsid w:val="00323437"/>
    <w:rsid w:val="003234BD"/>
    <w:rsid w:val="0032436C"/>
    <w:rsid w:val="003244A6"/>
    <w:rsid w:val="003256E2"/>
    <w:rsid w:val="00326D15"/>
    <w:rsid w:val="00326F16"/>
    <w:rsid w:val="00327014"/>
    <w:rsid w:val="00327253"/>
    <w:rsid w:val="00327276"/>
    <w:rsid w:val="00327402"/>
    <w:rsid w:val="0032780E"/>
    <w:rsid w:val="00330497"/>
    <w:rsid w:val="0033073C"/>
    <w:rsid w:val="003307F0"/>
    <w:rsid w:val="00331407"/>
    <w:rsid w:val="003316C6"/>
    <w:rsid w:val="00331A51"/>
    <w:rsid w:val="00331A54"/>
    <w:rsid w:val="00332CFB"/>
    <w:rsid w:val="00332D6C"/>
    <w:rsid w:val="00332FC5"/>
    <w:rsid w:val="0033300B"/>
    <w:rsid w:val="003341DC"/>
    <w:rsid w:val="0033496A"/>
    <w:rsid w:val="00334E4E"/>
    <w:rsid w:val="00334E6E"/>
    <w:rsid w:val="00334F2C"/>
    <w:rsid w:val="0033547F"/>
    <w:rsid w:val="0033549D"/>
    <w:rsid w:val="00335781"/>
    <w:rsid w:val="0033582B"/>
    <w:rsid w:val="0033593B"/>
    <w:rsid w:val="00335BF8"/>
    <w:rsid w:val="00335D7C"/>
    <w:rsid w:val="00335F8F"/>
    <w:rsid w:val="00336063"/>
    <w:rsid w:val="003362FE"/>
    <w:rsid w:val="003368C1"/>
    <w:rsid w:val="003369AB"/>
    <w:rsid w:val="00336C77"/>
    <w:rsid w:val="00336EA7"/>
    <w:rsid w:val="0033765B"/>
    <w:rsid w:val="003405D1"/>
    <w:rsid w:val="003408A1"/>
    <w:rsid w:val="00341A48"/>
    <w:rsid w:val="00341C6C"/>
    <w:rsid w:val="00342387"/>
    <w:rsid w:val="00342BED"/>
    <w:rsid w:val="00342C3F"/>
    <w:rsid w:val="00343499"/>
    <w:rsid w:val="00343528"/>
    <w:rsid w:val="00343C7E"/>
    <w:rsid w:val="0034419F"/>
    <w:rsid w:val="003441F2"/>
    <w:rsid w:val="003443C8"/>
    <w:rsid w:val="00344508"/>
    <w:rsid w:val="00344687"/>
    <w:rsid w:val="00344C46"/>
    <w:rsid w:val="00344C67"/>
    <w:rsid w:val="00346A97"/>
    <w:rsid w:val="00346B78"/>
    <w:rsid w:val="00346E60"/>
    <w:rsid w:val="00347311"/>
    <w:rsid w:val="0034765F"/>
    <w:rsid w:val="00350164"/>
    <w:rsid w:val="003502B1"/>
    <w:rsid w:val="00350635"/>
    <w:rsid w:val="00350E6E"/>
    <w:rsid w:val="00351845"/>
    <w:rsid w:val="003518B9"/>
    <w:rsid w:val="00351C8A"/>
    <w:rsid w:val="0035216C"/>
    <w:rsid w:val="00352417"/>
    <w:rsid w:val="003529D0"/>
    <w:rsid w:val="00352FE8"/>
    <w:rsid w:val="00353C52"/>
    <w:rsid w:val="00353F08"/>
    <w:rsid w:val="00354EB1"/>
    <w:rsid w:val="00355D03"/>
    <w:rsid w:val="00355D0F"/>
    <w:rsid w:val="00356193"/>
    <w:rsid w:val="00356B2F"/>
    <w:rsid w:val="0035732A"/>
    <w:rsid w:val="003576DB"/>
    <w:rsid w:val="00360BF0"/>
    <w:rsid w:val="0036160E"/>
    <w:rsid w:val="00361E4F"/>
    <w:rsid w:val="003624BB"/>
    <w:rsid w:val="003638DA"/>
    <w:rsid w:val="0036391D"/>
    <w:rsid w:val="003642E1"/>
    <w:rsid w:val="00364664"/>
    <w:rsid w:val="003649E8"/>
    <w:rsid w:val="00364A1B"/>
    <w:rsid w:val="00366314"/>
    <w:rsid w:val="0036638B"/>
    <w:rsid w:val="00366B91"/>
    <w:rsid w:val="00366D9E"/>
    <w:rsid w:val="00366FAE"/>
    <w:rsid w:val="00366FC7"/>
    <w:rsid w:val="00367606"/>
    <w:rsid w:val="0037091A"/>
    <w:rsid w:val="00370EEC"/>
    <w:rsid w:val="00371302"/>
    <w:rsid w:val="00371448"/>
    <w:rsid w:val="00372231"/>
    <w:rsid w:val="003726F1"/>
    <w:rsid w:val="00372C13"/>
    <w:rsid w:val="0037445C"/>
    <w:rsid w:val="00374637"/>
    <w:rsid w:val="00375A28"/>
    <w:rsid w:val="00375BBC"/>
    <w:rsid w:val="00376A7B"/>
    <w:rsid w:val="00376B93"/>
    <w:rsid w:val="00376D14"/>
    <w:rsid w:val="00376E87"/>
    <w:rsid w:val="003770A6"/>
    <w:rsid w:val="00377338"/>
    <w:rsid w:val="00377891"/>
    <w:rsid w:val="00377CB7"/>
    <w:rsid w:val="00377EFC"/>
    <w:rsid w:val="003805A0"/>
    <w:rsid w:val="00381153"/>
    <w:rsid w:val="003813FA"/>
    <w:rsid w:val="00381448"/>
    <w:rsid w:val="003817F3"/>
    <w:rsid w:val="003819A6"/>
    <w:rsid w:val="00381CEC"/>
    <w:rsid w:val="00381F16"/>
    <w:rsid w:val="00381FEA"/>
    <w:rsid w:val="00382115"/>
    <w:rsid w:val="00382C58"/>
    <w:rsid w:val="003831A7"/>
    <w:rsid w:val="0038359E"/>
    <w:rsid w:val="003835CE"/>
    <w:rsid w:val="00383A4B"/>
    <w:rsid w:val="00383C5D"/>
    <w:rsid w:val="00383D0F"/>
    <w:rsid w:val="003848BE"/>
    <w:rsid w:val="00384D1A"/>
    <w:rsid w:val="00384F65"/>
    <w:rsid w:val="00384FC7"/>
    <w:rsid w:val="00385343"/>
    <w:rsid w:val="0038590D"/>
    <w:rsid w:val="0038596B"/>
    <w:rsid w:val="0038652E"/>
    <w:rsid w:val="003865AB"/>
    <w:rsid w:val="00386D07"/>
    <w:rsid w:val="003878A4"/>
    <w:rsid w:val="00387B17"/>
    <w:rsid w:val="00387B49"/>
    <w:rsid w:val="00387EDF"/>
    <w:rsid w:val="0039089B"/>
    <w:rsid w:val="00391455"/>
    <w:rsid w:val="003914DE"/>
    <w:rsid w:val="00391CEF"/>
    <w:rsid w:val="00391F85"/>
    <w:rsid w:val="00392041"/>
    <w:rsid w:val="003922A2"/>
    <w:rsid w:val="003927A6"/>
    <w:rsid w:val="00393BA8"/>
    <w:rsid w:val="00393DE2"/>
    <w:rsid w:val="00393F32"/>
    <w:rsid w:val="00393F99"/>
    <w:rsid w:val="00394273"/>
    <w:rsid w:val="00394865"/>
    <w:rsid w:val="003948BD"/>
    <w:rsid w:val="00394E02"/>
    <w:rsid w:val="00395053"/>
    <w:rsid w:val="0039505A"/>
    <w:rsid w:val="003955BD"/>
    <w:rsid w:val="00395BA7"/>
    <w:rsid w:val="00395FEF"/>
    <w:rsid w:val="003961F9"/>
    <w:rsid w:val="00396232"/>
    <w:rsid w:val="00396570"/>
    <w:rsid w:val="00396584"/>
    <w:rsid w:val="003972BD"/>
    <w:rsid w:val="003976F3"/>
    <w:rsid w:val="003979CA"/>
    <w:rsid w:val="003979D9"/>
    <w:rsid w:val="00397A4F"/>
    <w:rsid w:val="00397B26"/>
    <w:rsid w:val="00397D8B"/>
    <w:rsid w:val="00397E43"/>
    <w:rsid w:val="003A03B9"/>
    <w:rsid w:val="003A0D61"/>
    <w:rsid w:val="003A1164"/>
    <w:rsid w:val="003A13EF"/>
    <w:rsid w:val="003A13F7"/>
    <w:rsid w:val="003A22A4"/>
    <w:rsid w:val="003A2EC9"/>
    <w:rsid w:val="003A2F6E"/>
    <w:rsid w:val="003A33A5"/>
    <w:rsid w:val="003A3EF8"/>
    <w:rsid w:val="003A4279"/>
    <w:rsid w:val="003A45F6"/>
    <w:rsid w:val="003A4BBB"/>
    <w:rsid w:val="003A5123"/>
    <w:rsid w:val="003A53B3"/>
    <w:rsid w:val="003A556A"/>
    <w:rsid w:val="003A6545"/>
    <w:rsid w:val="003A66EC"/>
    <w:rsid w:val="003A72E3"/>
    <w:rsid w:val="003A7874"/>
    <w:rsid w:val="003A79E7"/>
    <w:rsid w:val="003B08B8"/>
    <w:rsid w:val="003B10F2"/>
    <w:rsid w:val="003B11C2"/>
    <w:rsid w:val="003B1502"/>
    <w:rsid w:val="003B1DA7"/>
    <w:rsid w:val="003B20DF"/>
    <w:rsid w:val="003B2C89"/>
    <w:rsid w:val="003B31FD"/>
    <w:rsid w:val="003B35F5"/>
    <w:rsid w:val="003B3639"/>
    <w:rsid w:val="003B3F87"/>
    <w:rsid w:val="003B4139"/>
    <w:rsid w:val="003B4260"/>
    <w:rsid w:val="003B4981"/>
    <w:rsid w:val="003B4ED1"/>
    <w:rsid w:val="003B5C74"/>
    <w:rsid w:val="003B6192"/>
    <w:rsid w:val="003B6230"/>
    <w:rsid w:val="003B6284"/>
    <w:rsid w:val="003B6A6D"/>
    <w:rsid w:val="003B6ED5"/>
    <w:rsid w:val="003B6F11"/>
    <w:rsid w:val="003B7213"/>
    <w:rsid w:val="003B774E"/>
    <w:rsid w:val="003B7A9D"/>
    <w:rsid w:val="003B7D91"/>
    <w:rsid w:val="003B7E45"/>
    <w:rsid w:val="003C0671"/>
    <w:rsid w:val="003C0AD2"/>
    <w:rsid w:val="003C12B3"/>
    <w:rsid w:val="003C141E"/>
    <w:rsid w:val="003C27E4"/>
    <w:rsid w:val="003C27EB"/>
    <w:rsid w:val="003C2903"/>
    <w:rsid w:val="003C292A"/>
    <w:rsid w:val="003C2B4D"/>
    <w:rsid w:val="003C2CE0"/>
    <w:rsid w:val="003C3087"/>
    <w:rsid w:val="003C385F"/>
    <w:rsid w:val="003C497D"/>
    <w:rsid w:val="003C4A35"/>
    <w:rsid w:val="003C539A"/>
    <w:rsid w:val="003C5E12"/>
    <w:rsid w:val="003C5F85"/>
    <w:rsid w:val="003C6702"/>
    <w:rsid w:val="003C7103"/>
    <w:rsid w:val="003C71B4"/>
    <w:rsid w:val="003C749F"/>
    <w:rsid w:val="003C7707"/>
    <w:rsid w:val="003C7849"/>
    <w:rsid w:val="003C7A94"/>
    <w:rsid w:val="003C7C33"/>
    <w:rsid w:val="003C7DA9"/>
    <w:rsid w:val="003D0429"/>
    <w:rsid w:val="003D0B63"/>
    <w:rsid w:val="003D151A"/>
    <w:rsid w:val="003D189E"/>
    <w:rsid w:val="003D1F2A"/>
    <w:rsid w:val="003D2624"/>
    <w:rsid w:val="003D3E3C"/>
    <w:rsid w:val="003D3F12"/>
    <w:rsid w:val="003D45A4"/>
    <w:rsid w:val="003D4F53"/>
    <w:rsid w:val="003D54A8"/>
    <w:rsid w:val="003D556F"/>
    <w:rsid w:val="003D5972"/>
    <w:rsid w:val="003D59DB"/>
    <w:rsid w:val="003D5C3D"/>
    <w:rsid w:val="003D5DAD"/>
    <w:rsid w:val="003D644B"/>
    <w:rsid w:val="003D6B89"/>
    <w:rsid w:val="003D6FD6"/>
    <w:rsid w:val="003D7BEF"/>
    <w:rsid w:val="003D7DD8"/>
    <w:rsid w:val="003E0057"/>
    <w:rsid w:val="003E1244"/>
    <w:rsid w:val="003E1419"/>
    <w:rsid w:val="003E153C"/>
    <w:rsid w:val="003E1F76"/>
    <w:rsid w:val="003E1FA8"/>
    <w:rsid w:val="003E23F3"/>
    <w:rsid w:val="003E2437"/>
    <w:rsid w:val="003E296F"/>
    <w:rsid w:val="003E2BE2"/>
    <w:rsid w:val="003E2C9B"/>
    <w:rsid w:val="003E31D6"/>
    <w:rsid w:val="003E3979"/>
    <w:rsid w:val="003E3C1F"/>
    <w:rsid w:val="003E4478"/>
    <w:rsid w:val="003E4802"/>
    <w:rsid w:val="003E4FF9"/>
    <w:rsid w:val="003E67CC"/>
    <w:rsid w:val="003E67F0"/>
    <w:rsid w:val="003E6B38"/>
    <w:rsid w:val="003E6C9A"/>
    <w:rsid w:val="003E7576"/>
    <w:rsid w:val="003E7707"/>
    <w:rsid w:val="003F0422"/>
    <w:rsid w:val="003F0D14"/>
    <w:rsid w:val="003F0D7E"/>
    <w:rsid w:val="003F0D85"/>
    <w:rsid w:val="003F0F86"/>
    <w:rsid w:val="003F18F7"/>
    <w:rsid w:val="003F1FD4"/>
    <w:rsid w:val="003F1FEA"/>
    <w:rsid w:val="003F2825"/>
    <w:rsid w:val="003F2C67"/>
    <w:rsid w:val="003F32CC"/>
    <w:rsid w:val="003F3DB2"/>
    <w:rsid w:val="003F453C"/>
    <w:rsid w:val="003F48B6"/>
    <w:rsid w:val="003F5902"/>
    <w:rsid w:val="003F593B"/>
    <w:rsid w:val="003F64A3"/>
    <w:rsid w:val="003F6EF8"/>
    <w:rsid w:val="003F7E83"/>
    <w:rsid w:val="0040046E"/>
    <w:rsid w:val="0040048C"/>
    <w:rsid w:val="004006AB"/>
    <w:rsid w:val="0040073E"/>
    <w:rsid w:val="00400A53"/>
    <w:rsid w:val="00401175"/>
    <w:rsid w:val="00401405"/>
    <w:rsid w:val="0040159A"/>
    <w:rsid w:val="00401630"/>
    <w:rsid w:val="00401663"/>
    <w:rsid w:val="0040205E"/>
    <w:rsid w:val="0040207A"/>
    <w:rsid w:val="00402292"/>
    <w:rsid w:val="004025EA"/>
    <w:rsid w:val="00402A16"/>
    <w:rsid w:val="00402A4C"/>
    <w:rsid w:val="00402C47"/>
    <w:rsid w:val="00402DA2"/>
    <w:rsid w:val="00402E18"/>
    <w:rsid w:val="00404533"/>
    <w:rsid w:val="00404756"/>
    <w:rsid w:val="0040592B"/>
    <w:rsid w:val="0040599A"/>
    <w:rsid w:val="004065EB"/>
    <w:rsid w:val="00406B9E"/>
    <w:rsid w:val="0040719B"/>
    <w:rsid w:val="00407235"/>
    <w:rsid w:val="004102F5"/>
    <w:rsid w:val="004107A2"/>
    <w:rsid w:val="00410D59"/>
    <w:rsid w:val="00410FC0"/>
    <w:rsid w:val="0041132D"/>
    <w:rsid w:val="00411A1A"/>
    <w:rsid w:val="004121AE"/>
    <w:rsid w:val="004123D0"/>
    <w:rsid w:val="00412BE5"/>
    <w:rsid w:val="00413631"/>
    <w:rsid w:val="00413E14"/>
    <w:rsid w:val="00414500"/>
    <w:rsid w:val="004149F8"/>
    <w:rsid w:val="00414A53"/>
    <w:rsid w:val="00416396"/>
    <w:rsid w:val="0041699E"/>
    <w:rsid w:val="00416C13"/>
    <w:rsid w:val="0041710C"/>
    <w:rsid w:val="00417859"/>
    <w:rsid w:val="004204B7"/>
    <w:rsid w:val="004212CA"/>
    <w:rsid w:val="00421495"/>
    <w:rsid w:val="00421535"/>
    <w:rsid w:val="0042198D"/>
    <w:rsid w:val="00421AE1"/>
    <w:rsid w:val="00421CC3"/>
    <w:rsid w:val="00421D18"/>
    <w:rsid w:val="00421F24"/>
    <w:rsid w:val="00422104"/>
    <w:rsid w:val="0042213A"/>
    <w:rsid w:val="0042296C"/>
    <w:rsid w:val="004229A8"/>
    <w:rsid w:val="00423624"/>
    <w:rsid w:val="00424412"/>
    <w:rsid w:val="00424715"/>
    <w:rsid w:val="00424D6D"/>
    <w:rsid w:val="004254F5"/>
    <w:rsid w:val="00425DFA"/>
    <w:rsid w:val="00425F9D"/>
    <w:rsid w:val="00426038"/>
    <w:rsid w:val="0042630F"/>
    <w:rsid w:val="0042648F"/>
    <w:rsid w:val="004269C9"/>
    <w:rsid w:val="00426F8B"/>
    <w:rsid w:val="0042724C"/>
    <w:rsid w:val="00427E99"/>
    <w:rsid w:val="00430342"/>
    <w:rsid w:val="004305E2"/>
    <w:rsid w:val="00430808"/>
    <w:rsid w:val="00430A87"/>
    <w:rsid w:val="00430F99"/>
    <w:rsid w:val="00431423"/>
    <w:rsid w:val="00431D6A"/>
    <w:rsid w:val="0043297E"/>
    <w:rsid w:val="00432B16"/>
    <w:rsid w:val="00432D1F"/>
    <w:rsid w:val="00433A7D"/>
    <w:rsid w:val="00433CD1"/>
    <w:rsid w:val="00433F1A"/>
    <w:rsid w:val="00434074"/>
    <w:rsid w:val="00434497"/>
    <w:rsid w:val="004353DF"/>
    <w:rsid w:val="00435413"/>
    <w:rsid w:val="0043647E"/>
    <w:rsid w:val="00436542"/>
    <w:rsid w:val="004365D3"/>
    <w:rsid w:val="0043663F"/>
    <w:rsid w:val="004375EF"/>
    <w:rsid w:val="00437A8B"/>
    <w:rsid w:val="00437C38"/>
    <w:rsid w:val="00440B2B"/>
    <w:rsid w:val="00441583"/>
    <w:rsid w:val="004416D6"/>
    <w:rsid w:val="004420BD"/>
    <w:rsid w:val="00442789"/>
    <w:rsid w:val="00442799"/>
    <w:rsid w:val="0044287D"/>
    <w:rsid w:val="00442ECC"/>
    <w:rsid w:val="004434C6"/>
    <w:rsid w:val="00443CAA"/>
    <w:rsid w:val="00443D0F"/>
    <w:rsid w:val="00444F89"/>
    <w:rsid w:val="00444FDC"/>
    <w:rsid w:val="0044561B"/>
    <w:rsid w:val="00445DF4"/>
    <w:rsid w:val="00445EB4"/>
    <w:rsid w:val="00445F85"/>
    <w:rsid w:val="004461A2"/>
    <w:rsid w:val="00446320"/>
    <w:rsid w:val="004464EF"/>
    <w:rsid w:val="0044670C"/>
    <w:rsid w:val="00446BE9"/>
    <w:rsid w:val="00446F20"/>
    <w:rsid w:val="004472EA"/>
    <w:rsid w:val="004477D2"/>
    <w:rsid w:val="004478EB"/>
    <w:rsid w:val="00447C78"/>
    <w:rsid w:val="00447CBC"/>
    <w:rsid w:val="00450233"/>
    <w:rsid w:val="004502A7"/>
    <w:rsid w:val="004504E8"/>
    <w:rsid w:val="00450AA9"/>
    <w:rsid w:val="00451C39"/>
    <w:rsid w:val="00451D97"/>
    <w:rsid w:val="004528D6"/>
    <w:rsid w:val="00452ADD"/>
    <w:rsid w:val="00453313"/>
    <w:rsid w:val="004536FA"/>
    <w:rsid w:val="00454092"/>
    <w:rsid w:val="004542A8"/>
    <w:rsid w:val="00454C31"/>
    <w:rsid w:val="00454EBF"/>
    <w:rsid w:val="00455CAE"/>
    <w:rsid w:val="00455D6D"/>
    <w:rsid w:val="00455DDC"/>
    <w:rsid w:val="00456A10"/>
    <w:rsid w:val="00456D9B"/>
    <w:rsid w:val="0045742A"/>
    <w:rsid w:val="00460015"/>
    <w:rsid w:val="004607BE"/>
    <w:rsid w:val="00460A26"/>
    <w:rsid w:val="00460D97"/>
    <w:rsid w:val="00461FB2"/>
    <w:rsid w:val="00462402"/>
    <w:rsid w:val="00462414"/>
    <w:rsid w:val="00462A09"/>
    <w:rsid w:val="00462D96"/>
    <w:rsid w:val="00463B6F"/>
    <w:rsid w:val="00464F22"/>
    <w:rsid w:val="00465095"/>
    <w:rsid w:val="004657A3"/>
    <w:rsid w:val="00465D14"/>
    <w:rsid w:val="00465EA8"/>
    <w:rsid w:val="00466467"/>
    <w:rsid w:val="004667FD"/>
    <w:rsid w:val="00466BD6"/>
    <w:rsid w:val="00466F14"/>
    <w:rsid w:val="004677C5"/>
    <w:rsid w:val="004702FB"/>
    <w:rsid w:val="0047053E"/>
    <w:rsid w:val="004705B2"/>
    <w:rsid w:val="004707A1"/>
    <w:rsid w:val="00470E80"/>
    <w:rsid w:val="00471094"/>
    <w:rsid w:val="00471477"/>
    <w:rsid w:val="00471DB8"/>
    <w:rsid w:val="0047306D"/>
    <w:rsid w:val="004737F1"/>
    <w:rsid w:val="00473B14"/>
    <w:rsid w:val="00474256"/>
    <w:rsid w:val="00474DA3"/>
    <w:rsid w:val="00474F16"/>
    <w:rsid w:val="00474FDA"/>
    <w:rsid w:val="00476BD9"/>
    <w:rsid w:val="00476E9F"/>
    <w:rsid w:val="00477D4A"/>
    <w:rsid w:val="004804A5"/>
    <w:rsid w:val="00480B31"/>
    <w:rsid w:val="00480C30"/>
    <w:rsid w:val="00480FD0"/>
    <w:rsid w:val="0048196C"/>
    <w:rsid w:val="00481C93"/>
    <w:rsid w:val="0048201C"/>
    <w:rsid w:val="0048258B"/>
    <w:rsid w:val="00482CDD"/>
    <w:rsid w:val="00483018"/>
    <w:rsid w:val="0048367D"/>
    <w:rsid w:val="00483690"/>
    <w:rsid w:val="004836D3"/>
    <w:rsid w:val="0048386D"/>
    <w:rsid w:val="00483ED3"/>
    <w:rsid w:val="00483F81"/>
    <w:rsid w:val="004843F6"/>
    <w:rsid w:val="004846E9"/>
    <w:rsid w:val="00485074"/>
    <w:rsid w:val="00485638"/>
    <w:rsid w:val="0048579B"/>
    <w:rsid w:val="00485F4D"/>
    <w:rsid w:val="0048652D"/>
    <w:rsid w:val="00486BDA"/>
    <w:rsid w:val="00486DAC"/>
    <w:rsid w:val="004870C6"/>
    <w:rsid w:val="0048727F"/>
    <w:rsid w:val="00487A2B"/>
    <w:rsid w:val="00487F41"/>
    <w:rsid w:val="00490B0A"/>
    <w:rsid w:val="0049117F"/>
    <w:rsid w:val="0049153A"/>
    <w:rsid w:val="004919D4"/>
    <w:rsid w:val="00491CB0"/>
    <w:rsid w:val="00491E43"/>
    <w:rsid w:val="0049247B"/>
    <w:rsid w:val="00492680"/>
    <w:rsid w:val="00493124"/>
    <w:rsid w:val="00493194"/>
    <w:rsid w:val="00493332"/>
    <w:rsid w:val="00493BC6"/>
    <w:rsid w:val="00494051"/>
    <w:rsid w:val="00494602"/>
    <w:rsid w:val="004952A7"/>
    <w:rsid w:val="00495FE9"/>
    <w:rsid w:val="004967A9"/>
    <w:rsid w:val="00496D4E"/>
    <w:rsid w:val="00496DFD"/>
    <w:rsid w:val="00496E8D"/>
    <w:rsid w:val="00497176"/>
    <w:rsid w:val="004971FA"/>
    <w:rsid w:val="0049729D"/>
    <w:rsid w:val="00497D43"/>
    <w:rsid w:val="004A0144"/>
    <w:rsid w:val="004A060E"/>
    <w:rsid w:val="004A0DCC"/>
    <w:rsid w:val="004A1B28"/>
    <w:rsid w:val="004A1D10"/>
    <w:rsid w:val="004A21C2"/>
    <w:rsid w:val="004A221E"/>
    <w:rsid w:val="004A2B70"/>
    <w:rsid w:val="004A3168"/>
    <w:rsid w:val="004A34E5"/>
    <w:rsid w:val="004A4417"/>
    <w:rsid w:val="004A4619"/>
    <w:rsid w:val="004A4C58"/>
    <w:rsid w:val="004A652F"/>
    <w:rsid w:val="004A71FE"/>
    <w:rsid w:val="004A76C9"/>
    <w:rsid w:val="004A778B"/>
    <w:rsid w:val="004A7B0B"/>
    <w:rsid w:val="004A7E1D"/>
    <w:rsid w:val="004B08A9"/>
    <w:rsid w:val="004B13E5"/>
    <w:rsid w:val="004B1716"/>
    <w:rsid w:val="004B178F"/>
    <w:rsid w:val="004B17B6"/>
    <w:rsid w:val="004B1A6F"/>
    <w:rsid w:val="004B26F6"/>
    <w:rsid w:val="004B2D9D"/>
    <w:rsid w:val="004B2F2A"/>
    <w:rsid w:val="004B445B"/>
    <w:rsid w:val="004B4555"/>
    <w:rsid w:val="004B4CA9"/>
    <w:rsid w:val="004B556C"/>
    <w:rsid w:val="004B557A"/>
    <w:rsid w:val="004B57C1"/>
    <w:rsid w:val="004B5D93"/>
    <w:rsid w:val="004B5F76"/>
    <w:rsid w:val="004B61FB"/>
    <w:rsid w:val="004B70A3"/>
    <w:rsid w:val="004B70D0"/>
    <w:rsid w:val="004B7424"/>
    <w:rsid w:val="004B779D"/>
    <w:rsid w:val="004C0410"/>
    <w:rsid w:val="004C0959"/>
    <w:rsid w:val="004C169C"/>
    <w:rsid w:val="004C1F7F"/>
    <w:rsid w:val="004C2151"/>
    <w:rsid w:val="004C232D"/>
    <w:rsid w:val="004C270E"/>
    <w:rsid w:val="004C2E56"/>
    <w:rsid w:val="004C3157"/>
    <w:rsid w:val="004C358F"/>
    <w:rsid w:val="004C3914"/>
    <w:rsid w:val="004C3F52"/>
    <w:rsid w:val="004C4102"/>
    <w:rsid w:val="004C43F0"/>
    <w:rsid w:val="004C45DD"/>
    <w:rsid w:val="004C46FB"/>
    <w:rsid w:val="004C5241"/>
    <w:rsid w:val="004C573E"/>
    <w:rsid w:val="004C5A15"/>
    <w:rsid w:val="004C5C08"/>
    <w:rsid w:val="004C6C0D"/>
    <w:rsid w:val="004C6C77"/>
    <w:rsid w:val="004C6C86"/>
    <w:rsid w:val="004C7470"/>
    <w:rsid w:val="004C751E"/>
    <w:rsid w:val="004C75D8"/>
    <w:rsid w:val="004C77F6"/>
    <w:rsid w:val="004C79C3"/>
    <w:rsid w:val="004C7DBE"/>
    <w:rsid w:val="004C7F7C"/>
    <w:rsid w:val="004D012A"/>
    <w:rsid w:val="004D037A"/>
    <w:rsid w:val="004D0989"/>
    <w:rsid w:val="004D0C9E"/>
    <w:rsid w:val="004D0CE8"/>
    <w:rsid w:val="004D0D25"/>
    <w:rsid w:val="004D0E33"/>
    <w:rsid w:val="004D0FE2"/>
    <w:rsid w:val="004D1390"/>
    <w:rsid w:val="004D1AF0"/>
    <w:rsid w:val="004D1EBD"/>
    <w:rsid w:val="004D340C"/>
    <w:rsid w:val="004D365A"/>
    <w:rsid w:val="004D3713"/>
    <w:rsid w:val="004D3995"/>
    <w:rsid w:val="004D3D2B"/>
    <w:rsid w:val="004D401C"/>
    <w:rsid w:val="004D4FDA"/>
    <w:rsid w:val="004D509A"/>
    <w:rsid w:val="004D5773"/>
    <w:rsid w:val="004D5D40"/>
    <w:rsid w:val="004D5D5B"/>
    <w:rsid w:val="004D6EA2"/>
    <w:rsid w:val="004D7211"/>
    <w:rsid w:val="004D7989"/>
    <w:rsid w:val="004D7F8B"/>
    <w:rsid w:val="004E0603"/>
    <w:rsid w:val="004E0E7E"/>
    <w:rsid w:val="004E1336"/>
    <w:rsid w:val="004E157B"/>
    <w:rsid w:val="004E198A"/>
    <w:rsid w:val="004E1BB3"/>
    <w:rsid w:val="004E1E77"/>
    <w:rsid w:val="004E2696"/>
    <w:rsid w:val="004E26A6"/>
    <w:rsid w:val="004E2C91"/>
    <w:rsid w:val="004E341A"/>
    <w:rsid w:val="004E3767"/>
    <w:rsid w:val="004E3775"/>
    <w:rsid w:val="004E3F07"/>
    <w:rsid w:val="004E45FE"/>
    <w:rsid w:val="004E461C"/>
    <w:rsid w:val="004E4AFA"/>
    <w:rsid w:val="004E4B90"/>
    <w:rsid w:val="004E5033"/>
    <w:rsid w:val="004E5269"/>
    <w:rsid w:val="004E5306"/>
    <w:rsid w:val="004E55CE"/>
    <w:rsid w:val="004E5943"/>
    <w:rsid w:val="004E6611"/>
    <w:rsid w:val="004E66B8"/>
    <w:rsid w:val="004E6738"/>
    <w:rsid w:val="004E6DC3"/>
    <w:rsid w:val="004E78AA"/>
    <w:rsid w:val="004E7CA5"/>
    <w:rsid w:val="004E7E2C"/>
    <w:rsid w:val="004F027A"/>
    <w:rsid w:val="004F156D"/>
    <w:rsid w:val="004F247D"/>
    <w:rsid w:val="004F279F"/>
    <w:rsid w:val="004F40D5"/>
    <w:rsid w:val="004F4198"/>
    <w:rsid w:val="004F42D5"/>
    <w:rsid w:val="004F45F2"/>
    <w:rsid w:val="004F46FD"/>
    <w:rsid w:val="004F4FDC"/>
    <w:rsid w:val="004F55B5"/>
    <w:rsid w:val="004F5837"/>
    <w:rsid w:val="004F5AB8"/>
    <w:rsid w:val="004F5BF9"/>
    <w:rsid w:val="004F5E76"/>
    <w:rsid w:val="004F6105"/>
    <w:rsid w:val="004F6C7C"/>
    <w:rsid w:val="004F6F0B"/>
    <w:rsid w:val="004F7BCF"/>
    <w:rsid w:val="004F7E14"/>
    <w:rsid w:val="004F7E94"/>
    <w:rsid w:val="0050020A"/>
    <w:rsid w:val="005004BA"/>
    <w:rsid w:val="00500BA1"/>
    <w:rsid w:val="00501311"/>
    <w:rsid w:val="0050144B"/>
    <w:rsid w:val="00501771"/>
    <w:rsid w:val="00501945"/>
    <w:rsid w:val="005024C6"/>
    <w:rsid w:val="00502600"/>
    <w:rsid w:val="0050265C"/>
    <w:rsid w:val="005026C1"/>
    <w:rsid w:val="00502BC3"/>
    <w:rsid w:val="00502E92"/>
    <w:rsid w:val="005031F2"/>
    <w:rsid w:val="0050329A"/>
    <w:rsid w:val="005032F6"/>
    <w:rsid w:val="00503712"/>
    <w:rsid w:val="005043A1"/>
    <w:rsid w:val="00504A44"/>
    <w:rsid w:val="00504C7C"/>
    <w:rsid w:val="00504F98"/>
    <w:rsid w:val="00505133"/>
    <w:rsid w:val="00505194"/>
    <w:rsid w:val="0050519E"/>
    <w:rsid w:val="005053D5"/>
    <w:rsid w:val="005054AE"/>
    <w:rsid w:val="00505602"/>
    <w:rsid w:val="00506B4E"/>
    <w:rsid w:val="00507529"/>
    <w:rsid w:val="00507839"/>
    <w:rsid w:val="00507B14"/>
    <w:rsid w:val="00510512"/>
    <w:rsid w:val="00510E72"/>
    <w:rsid w:val="00511CA8"/>
    <w:rsid w:val="00512623"/>
    <w:rsid w:val="0051262D"/>
    <w:rsid w:val="005128D7"/>
    <w:rsid w:val="00512B58"/>
    <w:rsid w:val="00512D77"/>
    <w:rsid w:val="00513780"/>
    <w:rsid w:val="00514971"/>
    <w:rsid w:val="00514CAD"/>
    <w:rsid w:val="00514D0A"/>
    <w:rsid w:val="00514E93"/>
    <w:rsid w:val="00515ABC"/>
    <w:rsid w:val="0051624C"/>
    <w:rsid w:val="00516359"/>
    <w:rsid w:val="0051642D"/>
    <w:rsid w:val="00516C18"/>
    <w:rsid w:val="00516D7F"/>
    <w:rsid w:val="00516FBC"/>
    <w:rsid w:val="005172AC"/>
    <w:rsid w:val="005175EF"/>
    <w:rsid w:val="00517920"/>
    <w:rsid w:val="00520149"/>
    <w:rsid w:val="005209D3"/>
    <w:rsid w:val="00520AA5"/>
    <w:rsid w:val="00520CC2"/>
    <w:rsid w:val="00521960"/>
    <w:rsid w:val="00521BFC"/>
    <w:rsid w:val="00521C7E"/>
    <w:rsid w:val="0052292E"/>
    <w:rsid w:val="00522C2A"/>
    <w:rsid w:val="005234AD"/>
    <w:rsid w:val="0052354E"/>
    <w:rsid w:val="00523581"/>
    <w:rsid w:val="00523748"/>
    <w:rsid w:val="00523963"/>
    <w:rsid w:val="00523D5C"/>
    <w:rsid w:val="00523E25"/>
    <w:rsid w:val="00523E9B"/>
    <w:rsid w:val="005241DB"/>
    <w:rsid w:val="00524B0A"/>
    <w:rsid w:val="00524E99"/>
    <w:rsid w:val="005253AE"/>
    <w:rsid w:val="0052632D"/>
    <w:rsid w:val="005267E4"/>
    <w:rsid w:val="00526A06"/>
    <w:rsid w:val="00526CFB"/>
    <w:rsid w:val="00527318"/>
    <w:rsid w:val="005276DD"/>
    <w:rsid w:val="005277DE"/>
    <w:rsid w:val="00527FBE"/>
    <w:rsid w:val="00527FC9"/>
    <w:rsid w:val="00530017"/>
    <w:rsid w:val="00530054"/>
    <w:rsid w:val="00530388"/>
    <w:rsid w:val="0053067D"/>
    <w:rsid w:val="00530934"/>
    <w:rsid w:val="00530A7B"/>
    <w:rsid w:val="00531F4B"/>
    <w:rsid w:val="00532479"/>
    <w:rsid w:val="005324ED"/>
    <w:rsid w:val="0053287F"/>
    <w:rsid w:val="00532D88"/>
    <w:rsid w:val="00534C09"/>
    <w:rsid w:val="00534DAD"/>
    <w:rsid w:val="0053555A"/>
    <w:rsid w:val="0053579A"/>
    <w:rsid w:val="00535CE6"/>
    <w:rsid w:val="00535D48"/>
    <w:rsid w:val="00535DA5"/>
    <w:rsid w:val="00536091"/>
    <w:rsid w:val="005368CF"/>
    <w:rsid w:val="00536AC9"/>
    <w:rsid w:val="00536E8E"/>
    <w:rsid w:val="005372DD"/>
    <w:rsid w:val="00537B8A"/>
    <w:rsid w:val="00537D2D"/>
    <w:rsid w:val="00537DB2"/>
    <w:rsid w:val="00540389"/>
    <w:rsid w:val="00540535"/>
    <w:rsid w:val="0054069B"/>
    <w:rsid w:val="00540BEF"/>
    <w:rsid w:val="00540C9F"/>
    <w:rsid w:val="0054144D"/>
    <w:rsid w:val="00541471"/>
    <w:rsid w:val="0054185C"/>
    <w:rsid w:val="005418C1"/>
    <w:rsid w:val="00542463"/>
    <w:rsid w:val="00542CB6"/>
    <w:rsid w:val="00542F7B"/>
    <w:rsid w:val="005435BF"/>
    <w:rsid w:val="00543CD0"/>
    <w:rsid w:val="0054429E"/>
    <w:rsid w:val="005447C8"/>
    <w:rsid w:val="00544859"/>
    <w:rsid w:val="00545C88"/>
    <w:rsid w:val="0054648F"/>
    <w:rsid w:val="00546814"/>
    <w:rsid w:val="0054743A"/>
    <w:rsid w:val="00547AEE"/>
    <w:rsid w:val="0055004D"/>
    <w:rsid w:val="005502E5"/>
    <w:rsid w:val="00550377"/>
    <w:rsid w:val="00550862"/>
    <w:rsid w:val="00550A9B"/>
    <w:rsid w:val="00550C9B"/>
    <w:rsid w:val="005512C0"/>
    <w:rsid w:val="005516A6"/>
    <w:rsid w:val="0055170A"/>
    <w:rsid w:val="0055199A"/>
    <w:rsid w:val="00551D04"/>
    <w:rsid w:val="00551F33"/>
    <w:rsid w:val="005522DA"/>
    <w:rsid w:val="00552CA9"/>
    <w:rsid w:val="00552D6F"/>
    <w:rsid w:val="005532FA"/>
    <w:rsid w:val="005533BB"/>
    <w:rsid w:val="00553859"/>
    <w:rsid w:val="00553ED8"/>
    <w:rsid w:val="00553FE2"/>
    <w:rsid w:val="0055464A"/>
    <w:rsid w:val="00554B21"/>
    <w:rsid w:val="00554F9B"/>
    <w:rsid w:val="00554F9E"/>
    <w:rsid w:val="00555BE5"/>
    <w:rsid w:val="00555C6C"/>
    <w:rsid w:val="00555FE4"/>
    <w:rsid w:val="00556865"/>
    <w:rsid w:val="005568A3"/>
    <w:rsid w:val="005578E3"/>
    <w:rsid w:val="005579EB"/>
    <w:rsid w:val="00557C37"/>
    <w:rsid w:val="00557E88"/>
    <w:rsid w:val="005603B9"/>
    <w:rsid w:val="005604FA"/>
    <w:rsid w:val="00561375"/>
    <w:rsid w:val="00561691"/>
    <w:rsid w:val="0056176D"/>
    <w:rsid w:val="005617F8"/>
    <w:rsid w:val="0056201E"/>
    <w:rsid w:val="00562370"/>
    <w:rsid w:val="00562724"/>
    <w:rsid w:val="00562CDB"/>
    <w:rsid w:val="005633D9"/>
    <w:rsid w:val="005635CE"/>
    <w:rsid w:val="00565074"/>
    <w:rsid w:val="00565086"/>
    <w:rsid w:val="005650FD"/>
    <w:rsid w:val="0056554B"/>
    <w:rsid w:val="00565866"/>
    <w:rsid w:val="00566197"/>
    <w:rsid w:val="005663EB"/>
    <w:rsid w:val="0056664C"/>
    <w:rsid w:val="00566BDE"/>
    <w:rsid w:val="005674EA"/>
    <w:rsid w:val="00567B86"/>
    <w:rsid w:val="005707C1"/>
    <w:rsid w:val="0057083C"/>
    <w:rsid w:val="00570C47"/>
    <w:rsid w:val="005711B8"/>
    <w:rsid w:val="005711D2"/>
    <w:rsid w:val="0057146F"/>
    <w:rsid w:val="005716F8"/>
    <w:rsid w:val="005718DF"/>
    <w:rsid w:val="00571A4D"/>
    <w:rsid w:val="0057213F"/>
    <w:rsid w:val="00572281"/>
    <w:rsid w:val="00572D75"/>
    <w:rsid w:val="00572F86"/>
    <w:rsid w:val="00572F8C"/>
    <w:rsid w:val="00574431"/>
    <w:rsid w:val="005745CA"/>
    <w:rsid w:val="00574785"/>
    <w:rsid w:val="00574A28"/>
    <w:rsid w:val="00574CC3"/>
    <w:rsid w:val="005757AC"/>
    <w:rsid w:val="00575803"/>
    <w:rsid w:val="00576A63"/>
    <w:rsid w:val="00576F6E"/>
    <w:rsid w:val="00577206"/>
    <w:rsid w:val="005804A8"/>
    <w:rsid w:val="00580B66"/>
    <w:rsid w:val="00580B99"/>
    <w:rsid w:val="00580CD7"/>
    <w:rsid w:val="00581716"/>
    <w:rsid w:val="00581967"/>
    <w:rsid w:val="00581D87"/>
    <w:rsid w:val="00582135"/>
    <w:rsid w:val="00583DC2"/>
    <w:rsid w:val="00584C13"/>
    <w:rsid w:val="00584E35"/>
    <w:rsid w:val="00584F5E"/>
    <w:rsid w:val="005856BA"/>
    <w:rsid w:val="00585D0B"/>
    <w:rsid w:val="00585E44"/>
    <w:rsid w:val="005860D5"/>
    <w:rsid w:val="00586212"/>
    <w:rsid w:val="00586617"/>
    <w:rsid w:val="00586A9B"/>
    <w:rsid w:val="00586B42"/>
    <w:rsid w:val="00586FEC"/>
    <w:rsid w:val="0058780E"/>
    <w:rsid w:val="00587E91"/>
    <w:rsid w:val="005900C8"/>
    <w:rsid w:val="005900CC"/>
    <w:rsid w:val="005900F1"/>
    <w:rsid w:val="005908AF"/>
    <w:rsid w:val="00590F8E"/>
    <w:rsid w:val="00590FAA"/>
    <w:rsid w:val="00591BFB"/>
    <w:rsid w:val="005938D6"/>
    <w:rsid w:val="0059411D"/>
    <w:rsid w:val="0059413C"/>
    <w:rsid w:val="005942F4"/>
    <w:rsid w:val="00595166"/>
    <w:rsid w:val="0059541B"/>
    <w:rsid w:val="00595EE0"/>
    <w:rsid w:val="00595F31"/>
    <w:rsid w:val="0059600B"/>
    <w:rsid w:val="00596D2C"/>
    <w:rsid w:val="00597009"/>
    <w:rsid w:val="005970CE"/>
    <w:rsid w:val="005A02DB"/>
    <w:rsid w:val="005A0803"/>
    <w:rsid w:val="005A09DF"/>
    <w:rsid w:val="005A0AF3"/>
    <w:rsid w:val="005A1468"/>
    <w:rsid w:val="005A1AA4"/>
    <w:rsid w:val="005A254A"/>
    <w:rsid w:val="005A27C9"/>
    <w:rsid w:val="005A2A73"/>
    <w:rsid w:val="005A3819"/>
    <w:rsid w:val="005A3E2E"/>
    <w:rsid w:val="005A3F59"/>
    <w:rsid w:val="005A51EF"/>
    <w:rsid w:val="005A52E4"/>
    <w:rsid w:val="005A52E6"/>
    <w:rsid w:val="005A5B63"/>
    <w:rsid w:val="005A5E0C"/>
    <w:rsid w:val="005A6985"/>
    <w:rsid w:val="005A709B"/>
    <w:rsid w:val="005A71D2"/>
    <w:rsid w:val="005A7440"/>
    <w:rsid w:val="005A75EB"/>
    <w:rsid w:val="005A77B5"/>
    <w:rsid w:val="005A7869"/>
    <w:rsid w:val="005A78BF"/>
    <w:rsid w:val="005B00E1"/>
    <w:rsid w:val="005B0437"/>
    <w:rsid w:val="005B0454"/>
    <w:rsid w:val="005B0E66"/>
    <w:rsid w:val="005B1183"/>
    <w:rsid w:val="005B1F5A"/>
    <w:rsid w:val="005B2179"/>
    <w:rsid w:val="005B249A"/>
    <w:rsid w:val="005B252C"/>
    <w:rsid w:val="005B2DB7"/>
    <w:rsid w:val="005B3B3F"/>
    <w:rsid w:val="005B3D08"/>
    <w:rsid w:val="005B44D1"/>
    <w:rsid w:val="005B4690"/>
    <w:rsid w:val="005B46FF"/>
    <w:rsid w:val="005B4BE6"/>
    <w:rsid w:val="005B5243"/>
    <w:rsid w:val="005B550B"/>
    <w:rsid w:val="005B56CD"/>
    <w:rsid w:val="005B5E3E"/>
    <w:rsid w:val="005B63C9"/>
    <w:rsid w:val="005B68E5"/>
    <w:rsid w:val="005B697A"/>
    <w:rsid w:val="005B6C7F"/>
    <w:rsid w:val="005B774D"/>
    <w:rsid w:val="005B7A5F"/>
    <w:rsid w:val="005C0085"/>
    <w:rsid w:val="005C0470"/>
    <w:rsid w:val="005C06EA"/>
    <w:rsid w:val="005C0832"/>
    <w:rsid w:val="005C0F97"/>
    <w:rsid w:val="005C119A"/>
    <w:rsid w:val="005C13C8"/>
    <w:rsid w:val="005C17E4"/>
    <w:rsid w:val="005C2337"/>
    <w:rsid w:val="005C318A"/>
    <w:rsid w:val="005C3ED1"/>
    <w:rsid w:val="005C41B1"/>
    <w:rsid w:val="005C4524"/>
    <w:rsid w:val="005C51CB"/>
    <w:rsid w:val="005C6782"/>
    <w:rsid w:val="005C6D26"/>
    <w:rsid w:val="005C6E15"/>
    <w:rsid w:val="005C7007"/>
    <w:rsid w:val="005C7539"/>
    <w:rsid w:val="005C75BD"/>
    <w:rsid w:val="005C7660"/>
    <w:rsid w:val="005C77FE"/>
    <w:rsid w:val="005C7B7A"/>
    <w:rsid w:val="005C7D22"/>
    <w:rsid w:val="005D0412"/>
    <w:rsid w:val="005D0E3C"/>
    <w:rsid w:val="005D14CA"/>
    <w:rsid w:val="005D162E"/>
    <w:rsid w:val="005D16BD"/>
    <w:rsid w:val="005D22E7"/>
    <w:rsid w:val="005D3243"/>
    <w:rsid w:val="005D3962"/>
    <w:rsid w:val="005D4796"/>
    <w:rsid w:val="005D4D2E"/>
    <w:rsid w:val="005D55A5"/>
    <w:rsid w:val="005D5861"/>
    <w:rsid w:val="005D5CAF"/>
    <w:rsid w:val="005D5D6B"/>
    <w:rsid w:val="005D5D96"/>
    <w:rsid w:val="005D69EF"/>
    <w:rsid w:val="005D6C6F"/>
    <w:rsid w:val="005D7182"/>
    <w:rsid w:val="005D7C15"/>
    <w:rsid w:val="005E0095"/>
    <w:rsid w:val="005E08BB"/>
    <w:rsid w:val="005E0B3E"/>
    <w:rsid w:val="005E0E5E"/>
    <w:rsid w:val="005E0EA9"/>
    <w:rsid w:val="005E16AC"/>
    <w:rsid w:val="005E2342"/>
    <w:rsid w:val="005E2345"/>
    <w:rsid w:val="005E2C34"/>
    <w:rsid w:val="005E2D6B"/>
    <w:rsid w:val="005E3089"/>
    <w:rsid w:val="005E3612"/>
    <w:rsid w:val="005E3DC2"/>
    <w:rsid w:val="005E455D"/>
    <w:rsid w:val="005E485A"/>
    <w:rsid w:val="005E4F8D"/>
    <w:rsid w:val="005E52FB"/>
    <w:rsid w:val="005E54E7"/>
    <w:rsid w:val="005E58A5"/>
    <w:rsid w:val="005E65A2"/>
    <w:rsid w:val="005E66BF"/>
    <w:rsid w:val="005E6A56"/>
    <w:rsid w:val="005E6FD0"/>
    <w:rsid w:val="005E7A24"/>
    <w:rsid w:val="005E7AD1"/>
    <w:rsid w:val="005F02FE"/>
    <w:rsid w:val="005F099A"/>
    <w:rsid w:val="005F0C69"/>
    <w:rsid w:val="005F10D5"/>
    <w:rsid w:val="005F1911"/>
    <w:rsid w:val="005F1E5D"/>
    <w:rsid w:val="005F21FF"/>
    <w:rsid w:val="005F236C"/>
    <w:rsid w:val="005F2619"/>
    <w:rsid w:val="005F279E"/>
    <w:rsid w:val="005F2A09"/>
    <w:rsid w:val="005F32FF"/>
    <w:rsid w:val="005F3509"/>
    <w:rsid w:val="005F3606"/>
    <w:rsid w:val="005F4370"/>
    <w:rsid w:val="005F439A"/>
    <w:rsid w:val="005F441A"/>
    <w:rsid w:val="005F47ED"/>
    <w:rsid w:val="005F4F67"/>
    <w:rsid w:val="005F5008"/>
    <w:rsid w:val="005F5351"/>
    <w:rsid w:val="005F5F6B"/>
    <w:rsid w:val="005F6585"/>
    <w:rsid w:val="005F663C"/>
    <w:rsid w:val="005F7057"/>
    <w:rsid w:val="005F7073"/>
    <w:rsid w:val="005F71BE"/>
    <w:rsid w:val="005F7ED7"/>
    <w:rsid w:val="005F7FC7"/>
    <w:rsid w:val="005F7FCE"/>
    <w:rsid w:val="00600142"/>
    <w:rsid w:val="006003FC"/>
    <w:rsid w:val="00600AD3"/>
    <w:rsid w:val="00600D9B"/>
    <w:rsid w:val="00601193"/>
    <w:rsid w:val="006011E6"/>
    <w:rsid w:val="00601280"/>
    <w:rsid w:val="00601827"/>
    <w:rsid w:val="00601B20"/>
    <w:rsid w:val="00601C51"/>
    <w:rsid w:val="00601E99"/>
    <w:rsid w:val="00602696"/>
    <w:rsid w:val="006029F9"/>
    <w:rsid w:val="006030AB"/>
    <w:rsid w:val="00603170"/>
    <w:rsid w:val="006047E7"/>
    <w:rsid w:val="00604CFD"/>
    <w:rsid w:val="006056B5"/>
    <w:rsid w:val="006063DB"/>
    <w:rsid w:val="00607101"/>
    <w:rsid w:val="0060734F"/>
    <w:rsid w:val="00607C25"/>
    <w:rsid w:val="00610533"/>
    <w:rsid w:val="006107FD"/>
    <w:rsid w:val="00610956"/>
    <w:rsid w:val="0061099D"/>
    <w:rsid w:val="0061100E"/>
    <w:rsid w:val="00611EB3"/>
    <w:rsid w:val="00611EDE"/>
    <w:rsid w:val="00612259"/>
    <w:rsid w:val="00612554"/>
    <w:rsid w:val="0061271A"/>
    <w:rsid w:val="0061281C"/>
    <w:rsid w:val="00612BEB"/>
    <w:rsid w:val="00612C3C"/>
    <w:rsid w:val="00613AFC"/>
    <w:rsid w:val="00613D87"/>
    <w:rsid w:val="006141E8"/>
    <w:rsid w:val="00614343"/>
    <w:rsid w:val="00614D1B"/>
    <w:rsid w:val="00614F30"/>
    <w:rsid w:val="0061504F"/>
    <w:rsid w:val="00615319"/>
    <w:rsid w:val="0061571B"/>
    <w:rsid w:val="006159CF"/>
    <w:rsid w:val="00615DB6"/>
    <w:rsid w:val="0061609C"/>
    <w:rsid w:val="006161D9"/>
    <w:rsid w:val="00616AE0"/>
    <w:rsid w:val="00616D5E"/>
    <w:rsid w:val="006174F6"/>
    <w:rsid w:val="00617CE1"/>
    <w:rsid w:val="00617D00"/>
    <w:rsid w:val="00621317"/>
    <w:rsid w:val="00621555"/>
    <w:rsid w:val="00621929"/>
    <w:rsid w:val="00621FDF"/>
    <w:rsid w:val="00622F67"/>
    <w:rsid w:val="0062387F"/>
    <w:rsid w:val="0062540A"/>
    <w:rsid w:val="006254E2"/>
    <w:rsid w:val="00625F49"/>
    <w:rsid w:val="00625F8A"/>
    <w:rsid w:val="0062679E"/>
    <w:rsid w:val="00626C5B"/>
    <w:rsid w:val="00627827"/>
    <w:rsid w:val="00631046"/>
    <w:rsid w:val="00631247"/>
    <w:rsid w:val="00631CC1"/>
    <w:rsid w:val="006326A1"/>
    <w:rsid w:val="006331D7"/>
    <w:rsid w:val="00633B2B"/>
    <w:rsid w:val="00633DF1"/>
    <w:rsid w:val="00634777"/>
    <w:rsid w:val="00634F0E"/>
    <w:rsid w:val="006350BB"/>
    <w:rsid w:val="0063527D"/>
    <w:rsid w:val="006358FB"/>
    <w:rsid w:val="00635C31"/>
    <w:rsid w:val="0063637E"/>
    <w:rsid w:val="00636417"/>
    <w:rsid w:val="00637844"/>
    <w:rsid w:val="006378B1"/>
    <w:rsid w:val="006404FE"/>
    <w:rsid w:val="00640C61"/>
    <w:rsid w:val="00640F4B"/>
    <w:rsid w:val="00641645"/>
    <w:rsid w:val="00641BB0"/>
    <w:rsid w:val="00641E20"/>
    <w:rsid w:val="00642513"/>
    <w:rsid w:val="00642573"/>
    <w:rsid w:val="00642912"/>
    <w:rsid w:val="00642BF4"/>
    <w:rsid w:val="00642D93"/>
    <w:rsid w:val="00642EE6"/>
    <w:rsid w:val="00643075"/>
    <w:rsid w:val="0064327B"/>
    <w:rsid w:val="00643D9C"/>
    <w:rsid w:val="00645039"/>
    <w:rsid w:val="006452D7"/>
    <w:rsid w:val="00645CBA"/>
    <w:rsid w:val="0064603F"/>
    <w:rsid w:val="0064688B"/>
    <w:rsid w:val="006468BA"/>
    <w:rsid w:val="00646A5D"/>
    <w:rsid w:val="006470BF"/>
    <w:rsid w:val="006473A3"/>
    <w:rsid w:val="0064786E"/>
    <w:rsid w:val="0064788A"/>
    <w:rsid w:val="00650B73"/>
    <w:rsid w:val="006511FA"/>
    <w:rsid w:val="00651213"/>
    <w:rsid w:val="006518A2"/>
    <w:rsid w:val="0065205A"/>
    <w:rsid w:val="00652F3B"/>
    <w:rsid w:val="00653803"/>
    <w:rsid w:val="00653989"/>
    <w:rsid w:val="0065398F"/>
    <w:rsid w:val="00653D5F"/>
    <w:rsid w:val="00654062"/>
    <w:rsid w:val="0065414D"/>
    <w:rsid w:val="006542FB"/>
    <w:rsid w:val="00654B19"/>
    <w:rsid w:val="00654CA4"/>
    <w:rsid w:val="00655099"/>
    <w:rsid w:val="0065531F"/>
    <w:rsid w:val="006557CE"/>
    <w:rsid w:val="0065592D"/>
    <w:rsid w:val="00655ECE"/>
    <w:rsid w:val="006562E8"/>
    <w:rsid w:val="00657381"/>
    <w:rsid w:val="006600E0"/>
    <w:rsid w:val="00660889"/>
    <w:rsid w:val="0066280A"/>
    <w:rsid w:val="00662F26"/>
    <w:rsid w:val="006632B1"/>
    <w:rsid w:val="00663BFE"/>
    <w:rsid w:val="006643FC"/>
    <w:rsid w:val="00664994"/>
    <w:rsid w:val="006651F9"/>
    <w:rsid w:val="00665793"/>
    <w:rsid w:val="00665B8B"/>
    <w:rsid w:val="0066695F"/>
    <w:rsid w:val="00666DCF"/>
    <w:rsid w:val="0066702D"/>
    <w:rsid w:val="0066734B"/>
    <w:rsid w:val="00667A55"/>
    <w:rsid w:val="00667B15"/>
    <w:rsid w:val="00670403"/>
    <w:rsid w:val="006704CD"/>
    <w:rsid w:val="006709C1"/>
    <w:rsid w:val="00670C83"/>
    <w:rsid w:val="00670F10"/>
    <w:rsid w:val="006713C9"/>
    <w:rsid w:val="006716A9"/>
    <w:rsid w:val="0067233B"/>
    <w:rsid w:val="006727E9"/>
    <w:rsid w:val="00672A5F"/>
    <w:rsid w:val="00673AFA"/>
    <w:rsid w:val="006744A0"/>
    <w:rsid w:val="006744AF"/>
    <w:rsid w:val="00674CB9"/>
    <w:rsid w:val="006756DF"/>
    <w:rsid w:val="00675CA9"/>
    <w:rsid w:val="0067653C"/>
    <w:rsid w:val="00676CD7"/>
    <w:rsid w:val="0067739F"/>
    <w:rsid w:val="006778E2"/>
    <w:rsid w:val="00680213"/>
    <w:rsid w:val="00680434"/>
    <w:rsid w:val="00680462"/>
    <w:rsid w:val="006818A2"/>
    <w:rsid w:val="00681BEF"/>
    <w:rsid w:val="00681F9A"/>
    <w:rsid w:val="00683249"/>
    <w:rsid w:val="006832B4"/>
    <w:rsid w:val="00683D92"/>
    <w:rsid w:val="006840B1"/>
    <w:rsid w:val="006845BF"/>
    <w:rsid w:val="00684902"/>
    <w:rsid w:val="00684B96"/>
    <w:rsid w:val="00685910"/>
    <w:rsid w:val="006859CD"/>
    <w:rsid w:val="00685B18"/>
    <w:rsid w:val="00686B2F"/>
    <w:rsid w:val="0068701B"/>
    <w:rsid w:val="006872D3"/>
    <w:rsid w:val="006874D2"/>
    <w:rsid w:val="00687A21"/>
    <w:rsid w:val="00687BDB"/>
    <w:rsid w:val="00687D72"/>
    <w:rsid w:val="00687DD6"/>
    <w:rsid w:val="006901ED"/>
    <w:rsid w:val="006908CD"/>
    <w:rsid w:val="00690B6D"/>
    <w:rsid w:val="00691490"/>
    <w:rsid w:val="00691B3A"/>
    <w:rsid w:val="00691EE0"/>
    <w:rsid w:val="00692202"/>
    <w:rsid w:val="006925D6"/>
    <w:rsid w:val="006929C9"/>
    <w:rsid w:val="00692D5A"/>
    <w:rsid w:val="00692EED"/>
    <w:rsid w:val="00692F63"/>
    <w:rsid w:val="006933D6"/>
    <w:rsid w:val="00693BFA"/>
    <w:rsid w:val="00693F80"/>
    <w:rsid w:val="0069408E"/>
    <w:rsid w:val="006946BD"/>
    <w:rsid w:val="00694731"/>
    <w:rsid w:val="00694AB0"/>
    <w:rsid w:val="00694D48"/>
    <w:rsid w:val="006955C7"/>
    <w:rsid w:val="006957C6"/>
    <w:rsid w:val="006958D0"/>
    <w:rsid w:val="0069618B"/>
    <w:rsid w:val="00696731"/>
    <w:rsid w:val="006968B8"/>
    <w:rsid w:val="00696C10"/>
    <w:rsid w:val="006A051A"/>
    <w:rsid w:val="006A056B"/>
    <w:rsid w:val="006A1477"/>
    <w:rsid w:val="006A14B2"/>
    <w:rsid w:val="006A190D"/>
    <w:rsid w:val="006A1B2A"/>
    <w:rsid w:val="006A29CA"/>
    <w:rsid w:val="006A2F2B"/>
    <w:rsid w:val="006A36EC"/>
    <w:rsid w:val="006A3A80"/>
    <w:rsid w:val="006A3CD3"/>
    <w:rsid w:val="006A449C"/>
    <w:rsid w:val="006A58C4"/>
    <w:rsid w:val="006A6AB8"/>
    <w:rsid w:val="006A6EC7"/>
    <w:rsid w:val="006A724C"/>
    <w:rsid w:val="006A7474"/>
    <w:rsid w:val="006A7869"/>
    <w:rsid w:val="006A7ADF"/>
    <w:rsid w:val="006A7C9A"/>
    <w:rsid w:val="006A7F14"/>
    <w:rsid w:val="006B0E34"/>
    <w:rsid w:val="006B1138"/>
    <w:rsid w:val="006B122E"/>
    <w:rsid w:val="006B1346"/>
    <w:rsid w:val="006B13FD"/>
    <w:rsid w:val="006B14AB"/>
    <w:rsid w:val="006B178A"/>
    <w:rsid w:val="006B1968"/>
    <w:rsid w:val="006B24ED"/>
    <w:rsid w:val="006B2738"/>
    <w:rsid w:val="006B2878"/>
    <w:rsid w:val="006B34D6"/>
    <w:rsid w:val="006B39A4"/>
    <w:rsid w:val="006B4992"/>
    <w:rsid w:val="006B527A"/>
    <w:rsid w:val="006B5385"/>
    <w:rsid w:val="006B59DC"/>
    <w:rsid w:val="006B5BF4"/>
    <w:rsid w:val="006B5FC6"/>
    <w:rsid w:val="006B5FF0"/>
    <w:rsid w:val="006B6510"/>
    <w:rsid w:val="006B75B7"/>
    <w:rsid w:val="006B7688"/>
    <w:rsid w:val="006B7696"/>
    <w:rsid w:val="006B7A25"/>
    <w:rsid w:val="006C02F4"/>
    <w:rsid w:val="006C03A4"/>
    <w:rsid w:val="006C13AC"/>
    <w:rsid w:val="006C15B5"/>
    <w:rsid w:val="006C17D9"/>
    <w:rsid w:val="006C216A"/>
    <w:rsid w:val="006C27F3"/>
    <w:rsid w:val="006C2834"/>
    <w:rsid w:val="006C2AAA"/>
    <w:rsid w:val="006C3706"/>
    <w:rsid w:val="006C3BE1"/>
    <w:rsid w:val="006C4589"/>
    <w:rsid w:val="006C4A6F"/>
    <w:rsid w:val="006C4E3F"/>
    <w:rsid w:val="006C4FD4"/>
    <w:rsid w:val="006C53E2"/>
    <w:rsid w:val="006C553F"/>
    <w:rsid w:val="006C570C"/>
    <w:rsid w:val="006C5FD8"/>
    <w:rsid w:val="006C6A80"/>
    <w:rsid w:val="006C731A"/>
    <w:rsid w:val="006C7532"/>
    <w:rsid w:val="006C7570"/>
    <w:rsid w:val="006C792D"/>
    <w:rsid w:val="006C7CCB"/>
    <w:rsid w:val="006D02B7"/>
    <w:rsid w:val="006D047D"/>
    <w:rsid w:val="006D0705"/>
    <w:rsid w:val="006D0C94"/>
    <w:rsid w:val="006D1294"/>
    <w:rsid w:val="006D17B8"/>
    <w:rsid w:val="006D17DE"/>
    <w:rsid w:val="006D18C5"/>
    <w:rsid w:val="006D23D9"/>
    <w:rsid w:val="006D2685"/>
    <w:rsid w:val="006D2772"/>
    <w:rsid w:val="006D2E46"/>
    <w:rsid w:val="006D3725"/>
    <w:rsid w:val="006D38DD"/>
    <w:rsid w:val="006D399B"/>
    <w:rsid w:val="006D3E6A"/>
    <w:rsid w:val="006D3F60"/>
    <w:rsid w:val="006D41AA"/>
    <w:rsid w:val="006D452E"/>
    <w:rsid w:val="006D48D5"/>
    <w:rsid w:val="006D513E"/>
    <w:rsid w:val="006D51AB"/>
    <w:rsid w:val="006D534D"/>
    <w:rsid w:val="006D57E4"/>
    <w:rsid w:val="006D7C46"/>
    <w:rsid w:val="006D7CA7"/>
    <w:rsid w:val="006D7D9B"/>
    <w:rsid w:val="006E0900"/>
    <w:rsid w:val="006E0973"/>
    <w:rsid w:val="006E108F"/>
    <w:rsid w:val="006E168B"/>
    <w:rsid w:val="006E176D"/>
    <w:rsid w:val="006E18B8"/>
    <w:rsid w:val="006E1D64"/>
    <w:rsid w:val="006E1DAF"/>
    <w:rsid w:val="006E20C6"/>
    <w:rsid w:val="006E21A0"/>
    <w:rsid w:val="006E278F"/>
    <w:rsid w:val="006E2FAB"/>
    <w:rsid w:val="006E3B0A"/>
    <w:rsid w:val="006E3EFD"/>
    <w:rsid w:val="006E45E4"/>
    <w:rsid w:val="006E49B5"/>
    <w:rsid w:val="006E4F66"/>
    <w:rsid w:val="006E4FF0"/>
    <w:rsid w:val="006E510B"/>
    <w:rsid w:val="006E5EA5"/>
    <w:rsid w:val="006E611B"/>
    <w:rsid w:val="006E6CDE"/>
    <w:rsid w:val="006E722A"/>
    <w:rsid w:val="006E731F"/>
    <w:rsid w:val="006E741C"/>
    <w:rsid w:val="006E747B"/>
    <w:rsid w:val="006E7A81"/>
    <w:rsid w:val="006E7B01"/>
    <w:rsid w:val="006E7E60"/>
    <w:rsid w:val="006F0482"/>
    <w:rsid w:val="006F0790"/>
    <w:rsid w:val="006F0D8D"/>
    <w:rsid w:val="006F0E9E"/>
    <w:rsid w:val="006F117E"/>
    <w:rsid w:val="006F1CA4"/>
    <w:rsid w:val="006F2066"/>
    <w:rsid w:val="006F218B"/>
    <w:rsid w:val="006F24C4"/>
    <w:rsid w:val="006F2537"/>
    <w:rsid w:val="006F29DE"/>
    <w:rsid w:val="006F3757"/>
    <w:rsid w:val="006F3CE7"/>
    <w:rsid w:val="006F3F34"/>
    <w:rsid w:val="006F3F69"/>
    <w:rsid w:val="006F408E"/>
    <w:rsid w:val="006F4A38"/>
    <w:rsid w:val="006F53EA"/>
    <w:rsid w:val="006F54EE"/>
    <w:rsid w:val="006F5A81"/>
    <w:rsid w:val="006F5AB7"/>
    <w:rsid w:val="006F65B4"/>
    <w:rsid w:val="006F6E2D"/>
    <w:rsid w:val="006F6EC6"/>
    <w:rsid w:val="006F7A5A"/>
    <w:rsid w:val="006F7AF2"/>
    <w:rsid w:val="006F7E78"/>
    <w:rsid w:val="00700045"/>
    <w:rsid w:val="00700EEA"/>
    <w:rsid w:val="0070118D"/>
    <w:rsid w:val="00701526"/>
    <w:rsid w:val="00701744"/>
    <w:rsid w:val="00701997"/>
    <w:rsid w:val="00701CDC"/>
    <w:rsid w:val="0070223A"/>
    <w:rsid w:val="00702E6F"/>
    <w:rsid w:val="00702F76"/>
    <w:rsid w:val="007031D4"/>
    <w:rsid w:val="007032B5"/>
    <w:rsid w:val="0070369A"/>
    <w:rsid w:val="00703A52"/>
    <w:rsid w:val="00703B75"/>
    <w:rsid w:val="00703E2D"/>
    <w:rsid w:val="00703EBD"/>
    <w:rsid w:val="00705215"/>
    <w:rsid w:val="00705472"/>
    <w:rsid w:val="0070692C"/>
    <w:rsid w:val="00706D5F"/>
    <w:rsid w:val="00707886"/>
    <w:rsid w:val="00707B85"/>
    <w:rsid w:val="007102B8"/>
    <w:rsid w:val="00710D44"/>
    <w:rsid w:val="007117F1"/>
    <w:rsid w:val="00711A4D"/>
    <w:rsid w:val="00711B68"/>
    <w:rsid w:val="00712A8B"/>
    <w:rsid w:val="00713C64"/>
    <w:rsid w:val="00713EA5"/>
    <w:rsid w:val="007141AC"/>
    <w:rsid w:val="007144F7"/>
    <w:rsid w:val="00714B40"/>
    <w:rsid w:val="00715102"/>
    <w:rsid w:val="00716025"/>
    <w:rsid w:val="007200AE"/>
    <w:rsid w:val="00721327"/>
    <w:rsid w:val="00721387"/>
    <w:rsid w:val="00721598"/>
    <w:rsid w:val="00721692"/>
    <w:rsid w:val="007218C6"/>
    <w:rsid w:val="00721AA7"/>
    <w:rsid w:val="00722A1D"/>
    <w:rsid w:val="007232DF"/>
    <w:rsid w:val="0072393C"/>
    <w:rsid w:val="007240AF"/>
    <w:rsid w:val="0072413B"/>
    <w:rsid w:val="007249DB"/>
    <w:rsid w:val="007256FF"/>
    <w:rsid w:val="0072582E"/>
    <w:rsid w:val="0072586C"/>
    <w:rsid w:val="00725A39"/>
    <w:rsid w:val="00725AC4"/>
    <w:rsid w:val="00725C07"/>
    <w:rsid w:val="007267A6"/>
    <w:rsid w:val="00726B0F"/>
    <w:rsid w:val="00726B39"/>
    <w:rsid w:val="0072798C"/>
    <w:rsid w:val="00727E8C"/>
    <w:rsid w:val="00730659"/>
    <w:rsid w:val="00730705"/>
    <w:rsid w:val="007313A0"/>
    <w:rsid w:val="00731C69"/>
    <w:rsid w:val="007326BF"/>
    <w:rsid w:val="00732C43"/>
    <w:rsid w:val="007338FB"/>
    <w:rsid w:val="00733EB0"/>
    <w:rsid w:val="00734470"/>
    <w:rsid w:val="00734C3D"/>
    <w:rsid w:val="00734E81"/>
    <w:rsid w:val="0073520E"/>
    <w:rsid w:val="007357E3"/>
    <w:rsid w:val="00735872"/>
    <w:rsid w:val="00736286"/>
    <w:rsid w:val="00736C70"/>
    <w:rsid w:val="00737B55"/>
    <w:rsid w:val="00737C5F"/>
    <w:rsid w:val="0074001C"/>
    <w:rsid w:val="00740684"/>
    <w:rsid w:val="007407DF"/>
    <w:rsid w:val="00740A76"/>
    <w:rsid w:val="00741144"/>
    <w:rsid w:val="00741C77"/>
    <w:rsid w:val="007421F9"/>
    <w:rsid w:val="00742764"/>
    <w:rsid w:val="0074345C"/>
    <w:rsid w:val="00743AD9"/>
    <w:rsid w:val="00743F0F"/>
    <w:rsid w:val="00744493"/>
    <w:rsid w:val="007446A8"/>
    <w:rsid w:val="007454CD"/>
    <w:rsid w:val="00745619"/>
    <w:rsid w:val="00745940"/>
    <w:rsid w:val="00746053"/>
    <w:rsid w:val="007463C2"/>
    <w:rsid w:val="00747435"/>
    <w:rsid w:val="00747688"/>
    <w:rsid w:val="00747848"/>
    <w:rsid w:val="007478BE"/>
    <w:rsid w:val="0075043B"/>
    <w:rsid w:val="0075124F"/>
    <w:rsid w:val="0075155C"/>
    <w:rsid w:val="0075206E"/>
    <w:rsid w:val="007523C0"/>
    <w:rsid w:val="00752751"/>
    <w:rsid w:val="0075378D"/>
    <w:rsid w:val="00753903"/>
    <w:rsid w:val="00753EB1"/>
    <w:rsid w:val="007547BB"/>
    <w:rsid w:val="007556F0"/>
    <w:rsid w:val="007566E5"/>
    <w:rsid w:val="00756BCF"/>
    <w:rsid w:val="00756DC1"/>
    <w:rsid w:val="007570AC"/>
    <w:rsid w:val="00757989"/>
    <w:rsid w:val="00760CBE"/>
    <w:rsid w:val="007615FA"/>
    <w:rsid w:val="0076163E"/>
    <w:rsid w:val="007624A3"/>
    <w:rsid w:val="00762563"/>
    <w:rsid w:val="00762655"/>
    <w:rsid w:val="00762838"/>
    <w:rsid w:val="00762E67"/>
    <w:rsid w:val="00762FCF"/>
    <w:rsid w:val="00763478"/>
    <w:rsid w:val="007637CC"/>
    <w:rsid w:val="007648D0"/>
    <w:rsid w:val="00764EBF"/>
    <w:rsid w:val="007656A3"/>
    <w:rsid w:val="007663EC"/>
    <w:rsid w:val="00766F8D"/>
    <w:rsid w:val="00767377"/>
    <w:rsid w:val="00767C21"/>
    <w:rsid w:val="00770AD2"/>
    <w:rsid w:val="007715D7"/>
    <w:rsid w:val="007715E4"/>
    <w:rsid w:val="00771CF2"/>
    <w:rsid w:val="0077261D"/>
    <w:rsid w:val="0077262C"/>
    <w:rsid w:val="00772894"/>
    <w:rsid w:val="0077293C"/>
    <w:rsid w:val="007729C3"/>
    <w:rsid w:val="00772EE6"/>
    <w:rsid w:val="00773006"/>
    <w:rsid w:val="00773218"/>
    <w:rsid w:val="00773963"/>
    <w:rsid w:val="007739B7"/>
    <w:rsid w:val="00773D51"/>
    <w:rsid w:val="0077432D"/>
    <w:rsid w:val="0077457D"/>
    <w:rsid w:val="00774AB1"/>
    <w:rsid w:val="00774FC7"/>
    <w:rsid w:val="007757A9"/>
    <w:rsid w:val="00775A5B"/>
    <w:rsid w:val="0077656C"/>
    <w:rsid w:val="007768CB"/>
    <w:rsid w:val="00776F6A"/>
    <w:rsid w:val="007806C6"/>
    <w:rsid w:val="007815E2"/>
    <w:rsid w:val="007816A6"/>
    <w:rsid w:val="007824E3"/>
    <w:rsid w:val="0078287B"/>
    <w:rsid w:val="00782F1E"/>
    <w:rsid w:val="00783017"/>
    <w:rsid w:val="0078386C"/>
    <w:rsid w:val="007839C6"/>
    <w:rsid w:val="00783C03"/>
    <w:rsid w:val="00783C3C"/>
    <w:rsid w:val="00783CCB"/>
    <w:rsid w:val="00783F65"/>
    <w:rsid w:val="00784212"/>
    <w:rsid w:val="0078469D"/>
    <w:rsid w:val="00784784"/>
    <w:rsid w:val="00784C40"/>
    <w:rsid w:val="00785655"/>
    <w:rsid w:val="00785A1E"/>
    <w:rsid w:val="00785B3D"/>
    <w:rsid w:val="00785B6E"/>
    <w:rsid w:val="00785D0B"/>
    <w:rsid w:val="00785E2A"/>
    <w:rsid w:val="007866FA"/>
    <w:rsid w:val="00786A15"/>
    <w:rsid w:val="00786BCE"/>
    <w:rsid w:val="00786C28"/>
    <w:rsid w:val="0078771B"/>
    <w:rsid w:val="00787747"/>
    <w:rsid w:val="007900A1"/>
    <w:rsid w:val="0079090D"/>
    <w:rsid w:val="007909EC"/>
    <w:rsid w:val="00790A72"/>
    <w:rsid w:val="00790F03"/>
    <w:rsid w:val="00790F05"/>
    <w:rsid w:val="00791517"/>
    <w:rsid w:val="0079245A"/>
    <w:rsid w:val="00792AD6"/>
    <w:rsid w:val="0079350F"/>
    <w:rsid w:val="00793518"/>
    <w:rsid w:val="007935F4"/>
    <w:rsid w:val="00793FEA"/>
    <w:rsid w:val="007944E1"/>
    <w:rsid w:val="00794515"/>
    <w:rsid w:val="007946DD"/>
    <w:rsid w:val="007946FF"/>
    <w:rsid w:val="007949F1"/>
    <w:rsid w:val="00795CF0"/>
    <w:rsid w:val="00796099"/>
    <w:rsid w:val="007966C7"/>
    <w:rsid w:val="00796EFC"/>
    <w:rsid w:val="007971BD"/>
    <w:rsid w:val="0079780F"/>
    <w:rsid w:val="0079787A"/>
    <w:rsid w:val="00797C7F"/>
    <w:rsid w:val="007A07E5"/>
    <w:rsid w:val="007A0858"/>
    <w:rsid w:val="007A0B1E"/>
    <w:rsid w:val="007A107E"/>
    <w:rsid w:val="007A1266"/>
    <w:rsid w:val="007A12A5"/>
    <w:rsid w:val="007A1484"/>
    <w:rsid w:val="007A24BA"/>
    <w:rsid w:val="007A2C67"/>
    <w:rsid w:val="007A2EC6"/>
    <w:rsid w:val="007A343F"/>
    <w:rsid w:val="007A36FE"/>
    <w:rsid w:val="007A3F55"/>
    <w:rsid w:val="007A613D"/>
    <w:rsid w:val="007A6379"/>
    <w:rsid w:val="007A6967"/>
    <w:rsid w:val="007A6E0B"/>
    <w:rsid w:val="007A6F66"/>
    <w:rsid w:val="007A7081"/>
    <w:rsid w:val="007A7CA7"/>
    <w:rsid w:val="007A7D28"/>
    <w:rsid w:val="007A7F58"/>
    <w:rsid w:val="007B105F"/>
    <w:rsid w:val="007B10CE"/>
    <w:rsid w:val="007B1373"/>
    <w:rsid w:val="007B2221"/>
    <w:rsid w:val="007B2D9A"/>
    <w:rsid w:val="007B3055"/>
    <w:rsid w:val="007B32C5"/>
    <w:rsid w:val="007B36E9"/>
    <w:rsid w:val="007B37B5"/>
    <w:rsid w:val="007B3864"/>
    <w:rsid w:val="007B4451"/>
    <w:rsid w:val="007B483A"/>
    <w:rsid w:val="007B4A84"/>
    <w:rsid w:val="007B4B71"/>
    <w:rsid w:val="007B516A"/>
    <w:rsid w:val="007B58C8"/>
    <w:rsid w:val="007B6CC9"/>
    <w:rsid w:val="007B6D52"/>
    <w:rsid w:val="007B706F"/>
    <w:rsid w:val="007C005D"/>
    <w:rsid w:val="007C024C"/>
    <w:rsid w:val="007C061F"/>
    <w:rsid w:val="007C21F5"/>
    <w:rsid w:val="007C2503"/>
    <w:rsid w:val="007C25F4"/>
    <w:rsid w:val="007C302C"/>
    <w:rsid w:val="007C338A"/>
    <w:rsid w:val="007C3E18"/>
    <w:rsid w:val="007C55D2"/>
    <w:rsid w:val="007C5C0D"/>
    <w:rsid w:val="007C62AF"/>
    <w:rsid w:val="007C6D48"/>
    <w:rsid w:val="007C7F5C"/>
    <w:rsid w:val="007D0353"/>
    <w:rsid w:val="007D08A0"/>
    <w:rsid w:val="007D0FE0"/>
    <w:rsid w:val="007D1585"/>
    <w:rsid w:val="007D1624"/>
    <w:rsid w:val="007D1DEB"/>
    <w:rsid w:val="007D1FD1"/>
    <w:rsid w:val="007D2196"/>
    <w:rsid w:val="007D2353"/>
    <w:rsid w:val="007D269F"/>
    <w:rsid w:val="007D2E3F"/>
    <w:rsid w:val="007D2E62"/>
    <w:rsid w:val="007D342D"/>
    <w:rsid w:val="007D4206"/>
    <w:rsid w:val="007D4413"/>
    <w:rsid w:val="007D4471"/>
    <w:rsid w:val="007D4852"/>
    <w:rsid w:val="007D48C6"/>
    <w:rsid w:val="007D4E42"/>
    <w:rsid w:val="007D508E"/>
    <w:rsid w:val="007D5332"/>
    <w:rsid w:val="007D53C5"/>
    <w:rsid w:val="007D53FA"/>
    <w:rsid w:val="007D5985"/>
    <w:rsid w:val="007D5F22"/>
    <w:rsid w:val="007D64CA"/>
    <w:rsid w:val="007D74A3"/>
    <w:rsid w:val="007D795D"/>
    <w:rsid w:val="007D7EA0"/>
    <w:rsid w:val="007E0532"/>
    <w:rsid w:val="007E0749"/>
    <w:rsid w:val="007E14DA"/>
    <w:rsid w:val="007E1AE3"/>
    <w:rsid w:val="007E2190"/>
    <w:rsid w:val="007E2406"/>
    <w:rsid w:val="007E2544"/>
    <w:rsid w:val="007E29E1"/>
    <w:rsid w:val="007E2DB8"/>
    <w:rsid w:val="007E3C5B"/>
    <w:rsid w:val="007E4528"/>
    <w:rsid w:val="007E45B8"/>
    <w:rsid w:val="007E45EE"/>
    <w:rsid w:val="007E485B"/>
    <w:rsid w:val="007E4D58"/>
    <w:rsid w:val="007E508A"/>
    <w:rsid w:val="007E55D9"/>
    <w:rsid w:val="007E5C2E"/>
    <w:rsid w:val="007E5CBF"/>
    <w:rsid w:val="007E5E3C"/>
    <w:rsid w:val="007E61D1"/>
    <w:rsid w:val="007E6E5C"/>
    <w:rsid w:val="007E7513"/>
    <w:rsid w:val="007E770A"/>
    <w:rsid w:val="007E79A6"/>
    <w:rsid w:val="007E7BA2"/>
    <w:rsid w:val="007E7ED1"/>
    <w:rsid w:val="007E7FE0"/>
    <w:rsid w:val="007F03F9"/>
    <w:rsid w:val="007F0660"/>
    <w:rsid w:val="007F0869"/>
    <w:rsid w:val="007F0A91"/>
    <w:rsid w:val="007F0E12"/>
    <w:rsid w:val="007F33B2"/>
    <w:rsid w:val="007F3F72"/>
    <w:rsid w:val="007F421E"/>
    <w:rsid w:val="007F4F79"/>
    <w:rsid w:val="007F572D"/>
    <w:rsid w:val="007F57E4"/>
    <w:rsid w:val="007F5E0C"/>
    <w:rsid w:val="007F61E2"/>
    <w:rsid w:val="007F66D3"/>
    <w:rsid w:val="007F6AFF"/>
    <w:rsid w:val="007F7290"/>
    <w:rsid w:val="007F7535"/>
    <w:rsid w:val="008000AC"/>
    <w:rsid w:val="00800BB1"/>
    <w:rsid w:val="0080121C"/>
    <w:rsid w:val="00801521"/>
    <w:rsid w:val="00801581"/>
    <w:rsid w:val="00801678"/>
    <w:rsid w:val="00801702"/>
    <w:rsid w:val="008023FC"/>
    <w:rsid w:val="0080280E"/>
    <w:rsid w:val="008035EC"/>
    <w:rsid w:val="008036A8"/>
    <w:rsid w:val="00803B2D"/>
    <w:rsid w:val="00803B9B"/>
    <w:rsid w:val="00803FD0"/>
    <w:rsid w:val="008045DE"/>
    <w:rsid w:val="008049F4"/>
    <w:rsid w:val="008055D7"/>
    <w:rsid w:val="00805C8B"/>
    <w:rsid w:val="008060E0"/>
    <w:rsid w:val="00806273"/>
    <w:rsid w:val="008062E5"/>
    <w:rsid w:val="008072DB"/>
    <w:rsid w:val="0080753C"/>
    <w:rsid w:val="00810994"/>
    <w:rsid w:val="008109E4"/>
    <w:rsid w:val="008110E5"/>
    <w:rsid w:val="00811EC6"/>
    <w:rsid w:val="0081319E"/>
    <w:rsid w:val="008132D2"/>
    <w:rsid w:val="00813F39"/>
    <w:rsid w:val="00814035"/>
    <w:rsid w:val="00814321"/>
    <w:rsid w:val="00814507"/>
    <w:rsid w:val="00814975"/>
    <w:rsid w:val="008152F4"/>
    <w:rsid w:val="00815781"/>
    <w:rsid w:val="00815B85"/>
    <w:rsid w:val="00816581"/>
    <w:rsid w:val="008169A9"/>
    <w:rsid w:val="00816B5A"/>
    <w:rsid w:val="00816C6C"/>
    <w:rsid w:val="00816CDD"/>
    <w:rsid w:val="008170D9"/>
    <w:rsid w:val="00817D9B"/>
    <w:rsid w:val="0082002C"/>
    <w:rsid w:val="00820062"/>
    <w:rsid w:val="0082103A"/>
    <w:rsid w:val="00821913"/>
    <w:rsid w:val="00821F2D"/>
    <w:rsid w:val="0082238C"/>
    <w:rsid w:val="00822474"/>
    <w:rsid w:val="0082321D"/>
    <w:rsid w:val="008233C9"/>
    <w:rsid w:val="00823C5E"/>
    <w:rsid w:val="00823D8C"/>
    <w:rsid w:val="00824233"/>
    <w:rsid w:val="00824747"/>
    <w:rsid w:val="00824FAD"/>
    <w:rsid w:val="008253BE"/>
    <w:rsid w:val="00825577"/>
    <w:rsid w:val="00825688"/>
    <w:rsid w:val="00825C31"/>
    <w:rsid w:val="00825FFE"/>
    <w:rsid w:val="00826403"/>
    <w:rsid w:val="008266A7"/>
    <w:rsid w:val="0082676D"/>
    <w:rsid w:val="0082744D"/>
    <w:rsid w:val="00827756"/>
    <w:rsid w:val="008278C6"/>
    <w:rsid w:val="00830226"/>
    <w:rsid w:val="00830826"/>
    <w:rsid w:val="0083097B"/>
    <w:rsid w:val="00830CAE"/>
    <w:rsid w:val="008315E7"/>
    <w:rsid w:val="0083177E"/>
    <w:rsid w:val="008319FE"/>
    <w:rsid w:val="00831D3D"/>
    <w:rsid w:val="00831DCD"/>
    <w:rsid w:val="0083218E"/>
    <w:rsid w:val="008321E8"/>
    <w:rsid w:val="008322C8"/>
    <w:rsid w:val="008322CD"/>
    <w:rsid w:val="00832A3D"/>
    <w:rsid w:val="00833136"/>
    <w:rsid w:val="008334D7"/>
    <w:rsid w:val="008339A8"/>
    <w:rsid w:val="00833C13"/>
    <w:rsid w:val="00833C17"/>
    <w:rsid w:val="00833E37"/>
    <w:rsid w:val="00833FAA"/>
    <w:rsid w:val="00834263"/>
    <w:rsid w:val="0083445E"/>
    <w:rsid w:val="008344EB"/>
    <w:rsid w:val="00834BA6"/>
    <w:rsid w:val="00835BA9"/>
    <w:rsid w:val="00835D6E"/>
    <w:rsid w:val="0083651E"/>
    <w:rsid w:val="0083717E"/>
    <w:rsid w:val="008377DD"/>
    <w:rsid w:val="00837AB9"/>
    <w:rsid w:val="00837BF5"/>
    <w:rsid w:val="00837D6D"/>
    <w:rsid w:val="008401C0"/>
    <w:rsid w:val="00840216"/>
    <w:rsid w:val="0084069A"/>
    <w:rsid w:val="00840756"/>
    <w:rsid w:val="008409D0"/>
    <w:rsid w:val="00841705"/>
    <w:rsid w:val="00841C01"/>
    <w:rsid w:val="00841EAC"/>
    <w:rsid w:val="00842228"/>
    <w:rsid w:val="00842BF4"/>
    <w:rsid w:val="00842C0C"/>
    <w:rsid w:val="00842E55"/>
    <w:rsid w:val="00842EDE"/>
    <w:rsid w:val="00842F3A"/>
    <w:rsid w:val="008443B9"/>
    <w:rsid w:val="008447B3"/>
    <w:rsid w:val="00844BB1"/>
    <w:rsid w:val="00844F86"/>
    <w:rsid w:val="008452B4"/>
    <w:rsid w:val="00845AC8"/>
    <w:rsid w:val="00845C83"/>
    <w:rsid w:val="00846E20"/>
    <w:rsid w:val="008472A4"/>
    <w:rsid w:val="00847FED"/>
    <w:rsid w:val="00850EA1"/>
    <w:rsid w:val="00851084"/>
    <w:rsid w:val="008510DD"/>
    <w:rsid w:val="008510F2"/>
    <w:rsid w:val="0085181A"/>
    <w:rsid w:val="00852AC5"/>
    <w:rsid w:val="00853063"/>
    <w:rsid w:val="0085363C"/>
    <w:rsid w:val="008540A8"/>
    <w:rsid w:val="00854317"/>
    <w:rsid w:val="0085442C"/>
    <w:rsid w:val="00854801"/>
    <w:rsid w:val="00854A48"/>
    <w:rsid w:val="00854C8C"/>
    <w:rsid w:val="00854D89"/>
    <w:rsid w:val="00854F28"/>
    <w:rsid w:val="0085524D"/>
    <w:rsid w:val="008553BA"/>
    <w:rsid w:val="0085588E"/>
    <w:rsid w:val="00855BDE"/>
    <w:rsid w:val="00855D91"/>
    <w:rsid w:val="0085664D"/>
    <w:rsid w:val="0085743E"/>
    <w:rsid w:val="00857662"/>
    <w:rsid w:val="00857E61"/>
    <w:rsid w:val="00860246"/>
    <w:rsid w:val="0086054B"/>
    <w:rsid w:val="00860ABA"/>
    <w:rsid w:val="008614D5"/>
    <w:rsid w:val="008617A4"/>
    <w:rsid w:val="00861B93"/>
    <w:rsid w:val="008626AC"/>
    <w:rsid w:val="00862D2C"/>
    <w:rsid w:val="00862E6E"/>
    <w:rsid w:val="00863EFB"/>
    <w:rsid w:val="00864AB3"/>
    <w:rsid w:val="00864D77"/>
    <w:rsid w:val="00864ED5"/>
    <w:rsid w:val="008651F4"/>
    <w:rsid w:val="008652CB"/>
    <w:rsid w:val="00865602"/>
    <w:rsid w:val="0086563D"/>
    <w:rsid w:val="00865BFB"/>
    <w:rsid w:val="00865DB8"/>
    <w:rsid w:val="00866AEE"/>
    <w:rsid w:val="0086773B"/>
    <w:rsid w:val="008678CC"/>
    <w:rsid w:val="00867B3F"/>
    <w:rsid w:val="0087052B"/>
    <w:rsid w:val="00870795"/>
    <w:rsid w:val="008707C0"/>
    <w:rsid w:val="0087083D"/>
    <w:rsid w:val="008710E4"/>
    <w:rsid w:val="008719F7"/>
    <w:rsid w:val="00871C4F"/>
    <w:rsid w:val="0087228F"/>
    <w:rsid w:val="00872F4E"/>
    <w:rsid w:val="008732E5"/>
    <w:rsid w:val="008734D3"/>
    <w:rsid w:val="008741CE"/>
    <w:rsid w:val="00874419"/>
    <w:rsid w:val="00874D65"/>
    <w:rsid w:val="008758E8"/>
    <w:rsid w:val="008763B1"/>
    <w:rsid w:val="008767E2"/>
    <w:rsid w:val="008768E5"/>
    <w:rsid w:val="00877F12"/>
    <w:rsid w:val="00880078"/>
    <w:rsid w:val="008802DD"/>
    <w:rsid w:val="00880876"/>
    <w:rsid w:val="00880E54"/>
    <w:rsid w:val="008814BC"/>
    <w:rsid w:val="0088167C"/>
    <w:rsid w:val="008818E3"/>
    <w:rsid w:val="00881912"/>
    <w:rsid w:val="0088212A"/>
    <w:rsid w:val="008822C9"/>
    <w:rsid w:val="00883716"/>
    <w:rsid w:val="0088388A"/>
    <w:rsid w:val="00883D25"/>
    <w:rsid w:val="00884A68"/>
    <w:rsid w:val="00884BAA"/>
    <w:rsid w:val="00884F18"/>
    <w:rsid w:val="00885882"/>
    <w:rsid w:val="00885AB5"/>
    <w:rsid w:val="00885E07"/>
    <w:rsid w:val="00885F80"/>
    <w:rsid w:val="00886897"/>
    <w:rsid w:val="00886FBC"/>
    <w:rsid w:val="00887195"/>
    <w:rsid w:val="0088729C"/>
    <w:rsid w:val="00887AAF"/>
    <w:rsid w:val="00887D73"/>
    <w:rsid w:val="00890623"/>
    <w:rsid w:val="00891465"/>
    <w:rsid w:val="008914C1"/>
    <w:rsid w:val="00892000"/>
    <w:rsid w:val="00892040"/>
    <w:rsid w:val="00892198"/>
    <w:rsid w:val="00892FB1"/>
    <w:rsid w:val="008934D8"/>
    <w:rsid w:val="00893517"/>
    <w:rsid w:val="00893976"/>
    <w:rsid w:val="00893BA8"/>
    <w:rsid w:val="00894ACF"/>
    <w:rsid w:val="00894E14"/>
    <w:rsid w:val="00895151"/>
    <w:rsid w:val="008963E1"/>
    <w:rsid w:val="00896724"/>
    <w:rsid w:val="008968DD"/>
    <w:rsid w:val="008969D1"/>
    <w:rsid w:val="00896A5D"/>
    <w:rsid w:val="008972A2"/>
    <w:rsid w:val="00897FEB"/>
    <w:rsid w:val="008A0B80"/>
    <w:rsid w:val="008A1150"/>
    <w:rsid w:val="008A20CD"/>
    <w:rsid w:val="008A2625"/>
    <w:rsid w:val="008A2D33"/>
    <w:rsid w:val="008A33A0"/>
    <w:rsid w:val="008A34EC"/>
    <w:rsid w:val="008A3AEA"/>
    <w:rsid w:val="008A3B7D"/>
    <w:rsid w:val="008A3CC3"/>
    <w:rsid w:val="008A4419"/>
    <w:rsid w:val="008A504E"/>
    <w:rsid w:val="008A587E"/>
    <w:rsid w:val="008A5E77"/>
    <w:rsid w:val="008A5EC9"/>
    <w:rsid w:val="008A5EED"/>
    <w:rsid w:val="008A6254"/>
    <w:rsid w:val="008A64C4"/>
    <w:rsid w:val="008A6595"/>
    <w:rsid w:val="008A6CCD"/>
    <w:rsid w:val="008A7600"/>
    <w:rsid w:val="008A766C"/>
    <w:rsid w:val="008A79E1"/>
    <w:rsid w:val="008B0135"/>
    <w:rsid w:val="008B0D1F"/>
    <w:rsid w:val="008B10F9"/>
    <w:rsid w:val="008B1131"/>
    <w:rsid w:val="008B1904"/>
    <w:rsid w:val="008B1E4C"/>
    <w:rsid w:val="008B24D6"/>
    <w:rsid w:val="008B25AE"/>
    <w:rsid w:val="008B2C13"/>
    <w:rsid w:val="008B300E"/>
    <w:rsid w:val="008B30E9"/>
    <w:rsid w:val="008B3539"/>
    <w:rsid w:val="008B37A1"/>
    <w:rsid w:val="008B3BC7"/>
    <w:rsid w:val="008B3C4C"/>
    <w:rsid w:val="008B3C80"/>
    <w:rsid w:val="008B4031"/>
    <w:rsid w:val="008B4595"/>
    <w:rsid w:val="008B4D66"/>
    <w:rsid w:val="008B5B03"/>
    <w:rsid w:val="008B618D"/>
    <w:rsid w:val="008B67BE"/>
    <w:rsid w:val="008B69EB"/>
    <w:rsid w:val="008B6BFC"/>
    <w:rsid w:val="008B7987"/>
    <w:rsid w:val="008B7A0E"/>
    <w:rsid w:val="008B7CDB"/>
    <w:rsid w:val="008B7D55"/>
    <w:rsid w:val="008B7F23"/>
    <w:rsid w:val="008C01A4"/>
    <w:rsid w:val="008C076C"/>
    <w:rsid w:val="008C0897"/>
    <w:rsid w:val="008C0F29"/>
    <w:rsid w:val="008C1E57"/>
    <w:rsid w:val="008C24EC"/>
    <w:rsid w:val="008C279A"/>
    <w:rsid w:val="008C27FC"/>
    <w:rsid w:val="008C3003"/>
    <w:rsid w:val="008C339A"/>
    <w:rsid w:val="008C3B1A"/>
    <w:rsid w:val="008C3CEB"/>
    <w:rsid w:val="008C3D34"/>
    <w:rsid w:val="008C48A3"/>
    <w:rsid w:val="008C4914"/>
    <w:rsid w:val="008C5044"/>
    <w:rsid w:val="008C536E"/>
    <w:rsid w:val="008C5BB2"/>
    <w:rsid w:val="008C5DC1"/>
    <w:rsid w:val="008C5E86"/>
    <w:rsid w:val="008C7056"/>
    <w:rsid w:val="008C7340"/>
    <w:rsid w:val="008C7720"/>
    <w:rsid w:val="008D01C4"/>
    <w:rsid w:val="008D0416"/>
    <w:rsid w:val="008D094F"/>
    <w:rsid w:val="008D0C3A"/>
    <w:rsid w:val="008D0F4F"/>
    <w:rsid w:val="008D12AF"/>
    <w:rsid w:val="008D27F1"/>
    <w:rsid w:val="008D2FFE"/>
    <w:rsid w:val="008D305E"/>
    <w:rsid w:val="008D3067"/>
    <w:rsid w:val="008D338B"/>
    <w:rsid w:val="008D39B9"/>
    <w:rsid w:val="008D3A77"/>
    <w:rsid w:val="008D3AEC"/>
    <w:rsid w:val="008D4A60"/>
    <w:rsid w:val="008D4B40"/>
    <w:rsid w:val="008D4EB7"/>
    <w:rsid w:val="008D51FE"/>
    <w:rsid w:val="008D5326"/>
    <w:rsid w:val="008D53E0"/>
    <w:rsid w:val="008D55D4"/>
    <w:rsid w:val="008D5624"/>
    <w:rsid w:val="008D57EE"/>
    <w:rsid w:val="008D5B69"/>
    <w:rsid w:val="008D5C46"/>
    <w:rsid w:val="008D628E"/>
    <w:rsid w:val="008D6386"/>
    <w:rsid w:val="008D6E47"/>
    <w:rsid w:val="008D73C8"/>
    <w:rsid w:val="008D749A"/>
    <w:rsid w:val="008D75F7"/>
    <w:rsid w:val="008D79C0"/>
    <w:rsid w:val="008D7B2B"/>
    <w:rsid w:val="008E011A"/>
    <w:rsid w:val="008E022F"/>
    <w:rsid w:val="008E06B7"/>
    <w:rsid w:val="008E0765"/>
    <w:rsid w:val="008E0E89"/>
    <w:rsid w:val="008E11BD"/>
    <w:rsid w:val="008E181F"/>
    <w:rsid w:val="008E1954"/>
    <w:rsid w:val="008E1A05"/>
    <w:rsid w:val="008E1B08"/>
    <w:rsid w:val="008E1B99"/>
    <w:rsid w:val="008E1D54"/>
    <w:rsid w:val="008E21D9"/>
    <w:rsid w:val="008E2B71"/>
    <w:rsid w:val="008E35EB"/>
    <w:rsid w:val="008E3752"/>
    <w:rsid w:val="008E3E85"/>
    <w:rsid w:val="008E418E"/>
    <w:rsid w:val="008E4694"/>
    <w:rsid w:val="008E4B57"/>
    <w:rsid w:val="008E5887"/>
    <w:rsid w:val="008E5A83"/>
    <w:rsid w:val="008E5DA0"/>
    <w:rsid w:val="008E60A4"/>
    <w:rsid w:val="008E62CE"/>
    <w:rsid w:val="008E78E5"/>
    <w:rsid w:val="008E7953"/>
    <w:rsid w:val="008F0A7C"/>
    <w:rsid w:val="008F0E04"/>
    <w:rsid w:val="008F111E"/>
    <w:rsid w:val="008F11FE"/>
    <w:rsid w:val="008F1D1B"/>
    <w:rsid w:val="008F1DFB"/>
    <w:rsid w:val="008F2296"/>
    <w:rsid w:val="008F277D"/>
    <w:rsid w:val="008F289D"/>
    <w:rsid w:val="008F2D21"/>
    <w:rsid w:val="008F3270"/>
    <w:rsid w:val="008F3845"/>
    <w:rsid w:val="008F3BDD"/>
    <w:rsid w:val="008F3EDE"/>
    <w:rsid w:val="008F4092"/>
    <w:rsid w:val="008F4460"/>
    <w:rsid w:val="008F4A42"/>
    <w:rsid w:val="008F5E99"/>
    <w:rsid w:val="008F6734"/>
    <w:rsid w:val="008F6887"/>
    <w:rsid w:val="008F69D8"/>
    <w:rsid w:val="008F6C05"/>
    <w:rsid w:val="008F6E92"/>
    <w:rsid w:val="008F79B2"/>
    <w:rsid w:val="008F7D41"/>
    <w:rsid w:val="009003A5"/>
    <w:rsid w:val="009005A7"/>
    <w:rsid w:val="00900DEF"/>
    <w:rsid w:val="00901070"/>
    <w:rsid w:val="009014E8"/>
    <w:rsid w:val="009020A2"/>
    <w:rsid w:val="009025AD"/>
    <w:rsid w:val="00902613"/>
    <w:rsid w:val="00902760"/>
    <w:rsid w:val="0090390E"/>
    <w:rsid w:val="00903BAC"/>
    <w:rsid w:val="00904686"/>
    <w:rsid w:val="00904A75"/>
    <w:rsid w:val="00904DC0"/>
    <w:rsid w:val="00905492"/>
    <w:rsid w:val="00906755"/>
    <w:rsid w:val="00906F23"/>
    <w:rsid w:val="00907CB7"/>
    <w:rsid w:val="00910237"/>
    <w:rsid w:val="009103BC"/>
    <w:rsid w:val="00910C35"/>
    <w:rsid w:val="009110EA"/>
    <w:rsid w:val="0091169B"/>
    <w:rsid w:val="00911A6E"/>
    <w:rsid w:val="00911FA7"/>
    <w:rsid w:val="009124B0"/>
    <w:rsid w:val="009124FE"/>
    <w:rsid w:val="00912E45"/>
    <w:rsid w:val="009135E1"/>
    <w:rsid w:val="00913673"/>
    <w:rsid w:val="00914EA3"/>
    <w:rsid w:val="009150A9"/>
    <w:rsid w:val="00915569"/>
    <w:rsid w:val="009155C0"/>
    <w:rsid w:val="009158E6"/>
    <w:rsid w:val="009161AE"/>
    <w:rsid w:val="00916603"/>
    <w:rsid w:val="009166AA"/>
    <w:rsid w:val="00916920"/>
    <w:rsid w:val="00916FA3"/>
    <w:rsid w:val="00917991"/>
    <w:rsid w:val="00917C6F"/>
    <w:rsid w:val="00917D38"/>
    <w:rsid w:val="00917D72"/>
    <w:rsid w:val="00917D89"/>
    <w:rsid w:val="00917E14"/>
    <w:rsid w:val="009200EA"/>
    <w:rsid w:val="00920924"/>
    <w:rsid w:val="00921A11"/>
    <w:rsid w:val="00921BD6"/>
    <w:rsid w:val="00921E06"/>
    <w:rsid w:val="00921E65"/>
    <w:rsid w:val="00922DA4"/>
    <w:rsid w:val="00923105"/>
    <w:rsid w:val="00923232"/>
    <w:rsid w:val="00923422"/>
    <w:rsid w:val="009237EF"/>
    <w:rsid w:val="00923BE3"/>
    <w:rsid w:val="009243DD"/>
    <w:rsid w:val="0092459A"/>
    <w:rsid w:val="00924720"/>
    <w:rsid w:val="0092525B"/>
    <w:rsid w:val="009252A9"/>
    <w:rsid w:val="00925853"/>
    <w:rsid w:val="009259CE"/>
    <w:rsid w:val="00925B81"/>
    <w:rsid w:val="00926422"/>
    <w:rsid w:val="00926EFA"/>
    <w:rsid w:val="00927378"/>
    <w:rsid w:val="009279E4"/>
    <w:rsid w:val="0093052B"/>
    <w:rsid w:val="00931937"/>
    <w:rsid w:val="00931F91"/>
    <w:rsid w:val="009320E2"/>
    <w:rsid w:val="009327EC"/>
    <w:rsid w:val="0093388F"/>
    <w:rsid w:val="00933A5A"/>
    <w:rsid w:val="00933DBD"/>
    <w:rsid w:val="00933DE6"/>
    <w:rsid w:val="009340BC"/>
    <w:rsid w:val="00935448"/>
    <w:rsid w:val="009365DD"/>
    <w:rsid w:val="00936AA8"/>
    <w:rsid w:val="00936C70"/>
    <w:rsid w:val="00936E80"/>
    <w:rsid w:val="00937658"/>
    <w:rsid w:val="00937956"/>
    <w:rsid w:val="00940B7A"/>
    <w:rsid w:val="00940E44"/>
    <w:rsid w:val="009417A8"/>
    <w:rsid w:val="009419DA"/>
    <w:rsid w:val="0094245E"/>
    <w:rsid w:val="0094264D"/>
    <w:rsid w:val="00942E7E"/>
    <w:rsid w:val="0094328A"/>
    <w:rsid w:val="0094376D"/>
    <w:rsid w:val="009439A8"/>
    <w:rsid w:val="0094405E"/>
    <w:rsid w:val="00944F45"/>
    <w:rsid w:val="00945AE3"/>
    <w:rsid w:val="00946014"/>
    <w:rsid w:val="009461B9"/>
    <w:rsid w:val="009465E5"/>
    <w:rsid w:val="00946FB5"/>
    <w:rsid w:val="0094730E"/>
    <w:rsid w:val="00947BEC"/>
    <w:rsid w:val="00947C49"/>
    <w:rsid w:val="00947EB3"/>
    <w:rsid w:val="00947F09"/>
    <w:rsid w:val="00950499"/>
    <w:rsid w:val="009508FF"/>
    <w:rsid w:val="0095098B"/>
    <w:rsid w:val="009512D7"/>
    <w:rsid w:val="00951F0A"/>
    <w:rsid w:val="0095243E"/>
    <w:rsid w:val="009528FE"/>
    <w:rsid w:val="00952CA1"/>
    <w:rsid w:val="0095322E"/>
    <w:rsid w:val="0095326F"/>
    <w:rsid w:val="00953770"/>
    <w:rsid w:val="00953E8D"/>
    <w:rsid w:val="00953FFC"/>
    <w:rsid w:val="00954077"/>
    <w:rsid w:val="009542A0"/>
    <w:rsid w:val="00954579"/>
    <w:rsid w:val="00954696"/>
    <w:rsid w:val="009549F5"/>
    <w:rsid w:val="0095517C"/>
    <w:rsid w:val="00955A32"/>
    <w:rsid w:val="00956105"/>
    <w:rsid w:val="0095628C"/>
    <w:rsid w:val="00957029"/>
    <w:rsid w:val="009574B0"/>
    <w:rsid w:val="00957608"/>
    <w:rsid w:val="009601BE"/>
    <w:rsid w:val="009605A9"/>
    <w:rsid w:val="00960C15"/>
    <w:rsid w:val="00960D40"/>
    <w:rsid w:val="009616C8"/>
    <w:rsid w:val="00962447"/>
    <w:rsid w:val="00962F7A"/>
    <w:rsid w:val="009637F0"/>
    <w:rsid w:val="00963B06"/>
    <w:rsid w:val="00963EC4"/>
    <w:rsid w:val="0096417D"/>
    <w:rsid w:val="009647F3"/>
    <w:rsid w:val="009654E3"/>
    <w:rsid w:val="00965C6C"/>
    <w:rsid w:val="00965F91"/>
    <w:rsid w:val="0096632A"/>
    <w:rsid w:val="009664A6"/>
    <w:rsid w:val="009665B5"/>
    <w:rsid w:val="00966963"/>
    <w:rsid w:val="00966CDD"/>
    <w:rsid w:val="00966E4A"/>
    <w:rsid w:val="00966F3D"/>
    <w:rsid w:val="00967199"/>
    <w:rsid w:val="009671E5"/>
    <w:rsid w:val="00967868"/>
    <w:rsid w:val="009678C8"/>
    <w:rsid w:val="00967D3A"/>
    <w:rsid w:val="00967EBD"/>
    <w:rsid w:val="00967FEB"/>
    <w:rsid w:val="0097063D"/>
    <w:rsid w:val="009708B5"/>
    <w:rsid w:val="00970ECE"/>
    <w:rsid w:val="0097101A"/>
    <w:rsid w:val="0097120E"/>
    <w:rsid w:val="00971B3E"/>
    <w:rsid w:val="00971B5F"/>
    <w:rsid w:val="009725B9"/>
    <w:rsid w:val="009727EC"/>
    <w:rsid w:val="0097337E"/>
    <w:rsid w:val="009734D5"/>
    <w:rsid w:val="00973D79"/>
    <w:rsid w:val="009742AE"/>
    <w:rsid w:val="009744BA"/>
    <w:rsid w:val="00974B0A"/>
    <w:rsid w:val="00974C20"/>
    <w:rsid w:val="009755B8"/>
    <w:rsid w:val="00975C3C"/>
    <w:rsid w:val="009760CD"/>
    <w:rsid w:val="009767A4"/>
    <w:rsid w:val="00976AD1"/>
    <w:rsid w:val="00976CF5"/>
    <w:rsid w:val="00977068"/>
    <w:rsid w:val="009770BA"/>
    <w:rsid w:val="00977A12"/>
    <w:rsid w:val="00977EFE"/>
    <w:rsid w:val="0098068B"/>
    <w:rsid w:val="00980ACA"/>
    <w:rsid w:val="00981161"/>
    <w:rsid w:val="00981BF5"/>
    <w:rsid w:val="00982808"/>
    <w:rsid w:val="00982F10"/>
    <w:rsid w:val="009833F7"/>
    <w:rsid w:val="009836F0"/>
    <w:rsid w:val="00983BA8"/>
    <w:rsid w:val="009840F1"/>
    <w:rsid w:val="0098495E"/>
    <w:rsid w:val="00986829"/>
    <w:rsid w:val="00986B0B"/>
    <w:rsid w:val="00986C91"/>
    <w:rsid w:val="00986E1F"/>
    <w:rsid w:val="00987314"/>
    <w:rsid w:val="00987501"/>
    <w:rsid w:val="00990619"/>
    <w:rsid w:val="00990B1E"/>
    <w:rsid w:val="00990B35"/>
    <w:rsid w:val="00991540"/>
    <w:rsid w:val="00991D1C"/>
    <w:rsid w:val="009925DE"/>
    <w:rsid w:val="00992ADE"/>
    <w:rsid w:val="00992BFB"/>
    <w:rsid w:val="0099370E"/>
    <w:rsid w:val="009938C0"/>
    <w:rsid w:val="00993C41"/>
    <w:rsid w:val="009945F8"/>
    <w:rsid w:val="009949B7"/>
    <w:rsid w:val="009951BF"/>
    <w:rsid w:val="00995BB4"/>
    <w:rsid w:val="00996461"/>
    <w:rsid w:val="00996574"/>
    <w:rsid w:val="00996947"/>
    <w:rsid w:val="00996A83"/>
    <w:rsid w:val="00996B33"/>
    <w:rsid w:val="00996CDB"/>
    <w:rsid w:val="0099767B"/>
    <w:rsid w:val="00997D37"/>
    <w:rsid w:val="00997D50"/>
    <w:rsid w:val="00997E12"/>
    <w:rsid w:val="009A0D90"/>
    <w:rsid w:val="009A1B81"/>
    <w:rsid w:val="009A2228"/>
    <w:rsid w:val="009A28C3"/>
    <w:rsid w:val="009A2DF2"/>
    <w:rsid w:val="009A2FC8"/>
    <w:rsid w:val="009A3417"/>
    <w:rsid w:val="009A3776"/>
    <w:rsid w:val="009A3D59"/>
    <w:rsid w:val="009A49E7"/>
    <w:rsid w:val="009A4BD3"/>
    <w:rsid w:val="009A4F90"/>
    <w:rsid w:val="009A51F8"/>
    <w:rsid w:val="009A5478"/>
    <w:rsid w:val="009A6555"/>
    <w:rsid w:val="009A660C"/>
    <w:rsid w:val="009A6D38"/>
    <w:rsid w:val="009A6E02"/>
    <w:rsid w:val="009A6FDE"/>
    <w:rsid w:val="009A7DBF"/>
    <w:rsid w:val="009B01E7"/>
    <w:rsid w:val="009B14E1"/>
    <w:rsid w:val="009B15A5"/>
    <w:rsid w:val="009B18BC"/>
    <w:rsid w:val="009B1936"/>
    <w:rsid w:val="009B1A76"/>
    <w:rsid w:val="009B1E37"/>
    <w:rsid w:val="009B1F64"/>
    <w:rsid w:val="009B3AB6"/>
    <w:rsid w:val="009B3D4B"/>
    <w:rsid w:val="009B3F2C"/>
    <w:rsid w:val="009B4178"/>
    <w:rsid w:val="009B42C6"/>
    <w:rsid w:val="009B4B52"/>
    <w:rsid w:val="009B5825"/>
    <w:rsid w:val="009B5BBF"/>
    <w:rsid w:val="009B5C4A"/>
    <w:rsid w:val="009B5D3E"/>
    <w:rsid w:val="009B5D9E"/>
    <w:rsid w:val="009B659C"/>
    <w:rsid w:val="009B6D50"/>
    <w:rsid w:val="009B71B0"/>
    <w:rsid w:val="009B73FD"/>
    <w:rsid w:val="009B7A40"/>
    <w:rsid w:val="009B7BA0"/>
    <w:rsid w:val="009B7CFC"/>
    <w:rsid w:val="009C02DD"/>
    <w:rsid w:val="009C03A3"/>
    <w:rsid w:val="009C05A2"/>
    <w:rsid w:val="009C05B6"/>
    <w:rsid w:val="009C0E33"/>
    <w:rsid w:val="009C11DB"/>
    <w:rsid w:val="009C1248"/>
    <w:rsid w:val="009C12CE"/>
    <w:rsid w:val="009C16CC"/>
    <w:rsid w:val="009C189C"/>
    <w:rsid w:val="009C1A2D"/>
    <w:rsid w:val="009C1BF8"/>
    <w:rsid w:val="009C2093"/>
    <w:rsid w:val="009C24F9"/>
    <w:rsid w:val="009C2902"/>
    <w:rsid w:val="009C3A03"/>
    <w:rsid w:val="009C418A"/>
    <w:rsid w:val="009C41F6"/>
    <w:rsid w:val="009C4415"/>
    <w:rsid w:val="009C48E7"/>
    <w:rsid w:val="009C4DE3"/>
    <w:rsid w:val="009C4FEB"/>
    <w:rsid w:val="009C5E51"/>
    <w:rsid w:val="009C6496"/>
    <w:rsid w:val="009C666D"/>
    <w:rsid w:val="009C6857"/>
    <w:rsid w:val="009C6DA6"/>
    <w:rsid w:val="009D05EB"/>
    <w:rsid w:val="009D096C"/>
    <w:rsid w:val="009D0A31"/>
    <w:rsid w:val="009D2F45"/>
    <w:rsid w:val="009D3C02"/>
    <w:rsid w:val="009D3F2D"/>
    <w:rsid w:val="009D4773"/>
    <w:rsid w:val="009D4FFB"/>
    <w:rsid w:val="009D53D6"/>
    <w:rsid w:val="009D56A9"/>
    <w:rsid w:val="009D5753"/>
    <w:rsid w:val="009D5933"/>
    <w:rsid w:val="009D5965"/>
    <w:rsid w:val="009D6165"/>
    <w:rsid w:val="009D655A"/>
    <w:rsid w:val="009D6849"/>
    <w:rsid w:val="009D6ED6"/>
    <w:rsid w:val="009D724D"/>
    <w:rsid w:val="009D73FE"/>
    <w:rsid w:val="009E0E2B"/>
    <w:rsid w:val="009E119D"/>
    <w:rsid w:val="009E121E"/>
    <w:rsid w:val="009E13FC"/>
    <w:rsid w:val="009E18AE"/>
    <w:rsid w:val="009E19EB"/>
    <w:rsid w:val="009E1B22"/>
    <w:rsid w:val="009E1DAB"/>
    <w:rsid w:val="009E2548"/>
    <w:rsid w:val="009E2A22"/>
    <w:rsid w:val="009E329B"/>
    <w:rsid w:val="009E460C"/>
    <w:rsid w:val="009E4B80"/>
    <w:rsid w:val="009E506A"/>
    <w:rsid w:val="009E5187"/>
    <w:rsid w:val="009E626B"/>
    <w:rsid w:val="009E6CCD"/>
    <w:rsid w:val="009E6EDE"/>
    <w:rsid w:val="009E7539"/>
    <w:rsid w:val="009E79FC"/>
    <w:rsid w:val="009E7D8B"/>
    <w:rsid w:val="009F00E2"/>
    <w:rsid w:val="009F0293"/>
    <w:rsid w:val="009F046E"/>
    <w:rsid w:val="009F09A8"/>
    <w:rsid w:val="009F0B03"/>
    <w:rsid w:val="009F0CE8"/>
    <w:rsid w:val="009F129E"/>
    <w:rsid w:val="009F1501"/>
    <w:rsid w:val="009F1D02"/>
    <w:rsid w:val="009F2227"/>
    <w:rsid w:val="009F27D6"/>
    <w:rsid w:val="009F2A5A"/>
    <w:rsid w:val="009F33E2"/>
    <w:rsid w:val="009F35C5"/>
    <w:rsid w:val="009F369F"/>
    <w:rsid w:val="009F3802"/>
    <w:rsid w:val="009F3896"/>
    <w:rsid w:val="009F3EEA"/>
    <w:rsid w:val="009F401F"/>
    <w:rsid w:val="009F42BC"/>
    <w:rsid w:val="009F4BE0"/>
    <w:rsid w:val="009F4D54"/>
    <w:rsid w:val="009F587B"/>
    <w:rsid w:val="009F59D9"/>
    <w:rsid w:val="009F5ADB"/>
    <w:rsid w:val="009F5D65"/>
    <w:rsid w:val="009F6811"/>
    <w:rsid w:val="009F6A04"/>
    <w:rsid w:val="009F6AD3"/>
    <w:rsid w:val="009F6D1B"/>
    <w:rsid w:val="009F73B4"/>
    <w:rsid w:val="009F7404"/>
    <w:rsid w:val="009F74D5"/>
    <w:rsid w:val="009F75F5"/>
    <w:rsid w:val="009F7740"/>
    <w:rsid w:val="009F7889"/>
    <w:rsid w:val="009F78BE"/>
    <w:rsid w:val="009F7962"/>
    <w:rsid w:val="00A00055"/>
    <w:rsid w:val="00A0031D"/>
    <w:rsid w:val="00A004C1"/>
    <w:rsid w:val="00A00D4D"/>
    <w:rsid w:val="00A01ECD"/>
    <w:rsid w:val="00A02A95"/>
    <w:rsid w:val="00A03422"/>
    <w:rsid w:val="00A03426"/>
    <w:rsid w:val="00A0397E"/>
    <w:rsid w:val="00A03A24"/>
    <w:rsid w:val="00A03C94"/>
    <w:rsid w:val="00A0498A"/>
    <w:rsid w:val="00A04E7E"/>
    <w:rsid w:val="00A0501C"/>
    <w:rsid w:val="00A051F9"/>
    <w:rsid w:val="00A05742"/>
    <w:rsid w:val="00A05834"/>
    <w:rsid w:val="00A05A73"/>
    <w:rsid w:val="00A060B6"/>
    <w:rsid w:val="00A0680F"/>
    <w:rsid w:val="00A06C4E"/>
    <w:rsid w:val="00A06CCB"/>
    <w:rsid w:val="00A06FE1"/>
    <w:rsid w:val="00A0735A"/>
    <w:rsid w:val="00A07419"/>
    <w:rsid w:val="00A07944"/>
    <w:rsid w:val="00A10766"/>
    <w:rsid w:val="00A10B24"/>
    <w:rsid w:val="00A11218"/>
    <w:rsid w:val="00A119B5"/>
    <w:rsid w:val="00A11A45"/>
    <w:rsid w:val="00A11B1E"/>
    <w:rsid w:val="00A11C58"/>
    <w:rsid w:val="00A11CD4"/>
    <w:rsid w:val="00A11FA0"/>
    <w:rsid w:val="00A12129"/>
    <w:rsid w:val="00A125F7"/>
    <w:rsid w:val="00A12D21"/>
    <w:rsid w:val="00A13373"/>
    <w:rsid w:val="00A13382"/>
    <w:rsid w:val="00A13737"/>
    <w:rsid w:val="00A13AE9"/>
    <w:rsid w:val="00A13DAE"/>
    <w:rsid w:val="00A13FE0"/>
    <w:rsid w:val="00A1415A"/>
    <w:rsid w:val="00A14240"/>
    <w:rsid w:val="00A14C77"/>
    <w:rsid w:val="00A14DC5"/>
    <w:rsid w:val="00A150FA"/>
    <w:rsid w:val="00A1544F"/>
    <w:rsid w:val="00A156E6"/>
    <w:rsid w:val="00A15E13"/>
    <w:rsid w:val="00A16877"/>
    <w:rsid w:val="00A17665"/>
    <w:rsid w:val="00A1795C"/>
    <w:rsid w:val="00A20C0C"/>
    <w:rsid w:val="00A20F5F"/>
    <w:rsid w:val="00A21E5D"/>
    <w:rsid w:val="00A226AE"/>
    <w:rsid w:val="00A23885"/>
    <w:rsid w:val="00A24658"/>
    <w:rsid w:val="00A24F7F"/>
    <w:rsid w:val="00A257A9"/>
    <w:rsid w:val="00A25C49"/>
    <w:rsid w:val="00A25D02"/>
    <w:rsid w:val="00A26087"/>
    <w:rsid w:val="00A2735B"/>
    <w:rsid w:val="00A27A7D"/>
    <w:rsid w:val="00A27B20"/>
    <w:rsid w:val="00A30044"/>
    <w:rsid w:val="00A30061"/>
    <w:rsid w:val="00A302E8"/>
    <w:rsid w:val="00A303A1"/>
    <w:rsid w:val="00A3042A"/>
    <w:rsid w:val="00A308EA"/>
    <w:rsid w:val="00A30A0A"/>
    <w:rsid w:val="00A30B2A"/>
    <w:rsid w:val="00A31818"/>
    <w:rsid w:val="00A31AA7"/>
    <w:rsid w:val="00A31B1C"/>
    <w:rsid w:val="00A31CE3"/>
    <w:rsid w:val="00A31D39"/>
    <w:rsid w:val="00A32E79"/>
    <w:rsid w:val="00A3301D"/>
    <w:rsid w:val="00A333F0"/>
    <w:rsid w:val="00A33580"/>
    <w:rsid w:val="00A339D0"/>
    <w:rsid w:val="00A33E48"/>
    <w:rsid w:val="00A344FB"/>
    <w:rsid w:val="00A346FB"/>
    <w:rsid w:val="00A34B2B"/>
    <w:rsid w:val="00A34F6C"/>
    <w:rsid w:val="00A35090"/>
    <w:rsid w:val="00A365C0"/>
    <w:rsid w:val="00A374CC"/>
    <w:rsid w:val="00A379D5"/>
    <w:rsid w:val="00A40103"/>
    <w:rsid w:val="00A40357"/>
    <w:rsid w:val="00A40AF1"/>
    <w:rsid w:val="00A40E44"/>
    <w:rsid w:val="00A41432"/>
    <w:rsid w:val="00A4210A"/>
    <w:rsid w:val="00A42AB8"/>
    <w:rsid w:val="00A42B64"/>
    <w:rsid w:val="00A42D02"/>
    <w:rsid w:val="00A433B1"/>
    <w:rsid w:val="00A43487"/>
    <w:rsid w:val="00A43901"/>
    <w:rsid w:val="00A44131"/>
    <w:rsid w:val="00A447D7"/>
    <w:rsid w:val="00A455D4"/>
    <w:rsid w:val="00A46758"/>
    <w:rsid w:val="00A46B00"/>
    <w:rsid w:val="00A46EC6"/>
    <w:rsid w:val="00A471A4"/>
    <w:rsid w:val="00A5027D"/>
    <w:rsid w:val="00A515F9"/>
    <w:rsid w:val="00A51C68"/>
    <w:rsid w:val="00A52138"/>
    <w:rsid w:val="00A5278C"/>
    <w:rsid w:val="00A52E0F"/>
    <w:rsid w:val="00A52E3E"/>
    <w:rsid w:val="00A531BB"/>
    <w:rsid w:val="00A53330"/>
    <w:rsid w:val="00A53623"/>
    <w:rsid w:val="00A53BD5"/>
    <w:rsid w:val="00A548C3"/>
    <w:rsid w:val="00A54D24"/>
    <w:rsid w:val="00A554DE"/>
    <w:rsid w:val="00A55D7B"/>
    <w:rsid w:val="00A56267"/>
    <w:rsid w:val="00A57DBD"/>
    <w:rsid w:val="00A6017B"/>
    <w:rsid w:val="00A60F14"/>
    <w:rsid w:val="00A615B7"/>
    <w:rsid w:val="00A61833"/>
    <w:rsid w:val="00A618C9"/>
    <w:rsid w:val="00A631A5"/>
    <w:rsid w:val="00A631BB"/>
    <w:rsid w:val="00A6337E"/>
    <w:rsid w:val="00A641A1"/>
    <w:rsid w:val="00A648EB"/>
    <w:rsid w:val="00A64A2C"/>
    <w:rsid w:val="00A65515"/>
    <w:rsid w:val="00A66167"/>
    <w:rsid w:val="00A6697A"/>
    <w:rsid w:val="00A670F2"/>
    <w:rsid w:val="00A6732D"/>
    <w:rsid w:val="00A67451"/>
    <w:rsid w:val="00A67B64"/>
    <w:rsid w:val="00A7021A"/>
    <w:rsid w:val="00A70678"/>
    <w:rsid w:val="00A707BF"/>
    <w:rsid w:val="00A70954"/>
    <w:rsid w:val="00A70E67"/>
    <w:rsid w:val="00A712D7"/>
    <w:rsid w:val="00A71AAB"/>
    <w:rsid w:val="00A71C7C"/>
    <w:rsid w:val="00A72041"/>
    <w:rsid w:val="00A72280"/>
    <w:rsid w:val="00A7232D"/>
    <w:rsid w:val="00A728AE"/>
    <w:rsid w:val="00A730EC"/>
    <w:rsid w:val="00A732BE"/>
    <w:rsid w:val="00A737B0"/>
    <w:rsid w:val="00A738C2"/>
    <w:rsid w:val="00A73A1B"/>
    <w:rsid w:val="00A73D75"/>
    <w:rsid w:val="00A75408"/>
    <w:rsid w:val="00A759B2"/>
    <w:rsid w:val="00A765CC"/>
    <w:rsid w:val="00A76C2F"/>
    <w:rsid w:val="00A76EE1"/>
    <w:rsid w:val="00A770A2"/>
    <w:rsid w:val="00A77610"/>
    <w:rsid w:val="00A77792"/>
    <w:rsid w:val="00A77932"/>
    <w:rsid w:val="00A803DB"/>
    <w:rsid w:val="00A804B2"/>
    <w:rsid w:val="00A816BE"/>
    <w:rsid w:val="00A81E87"/>
    <w:rsid w:val="00A82AED"/>
    <w:rsid w:val="00A82B3A"/>
    <w:rsid w:val="00A82F70"/>
    <w:rsid w:val="00A8334E"/>
    <w:rsid w:val="00A83A6F"/>
    <w:rsid w:val="00A83D5C"/>
    <w:rsid w:val="00A8449C"/>
    <w:rsid w:val="00A850DB"/>
    <w:rsid w:val="00A85713"/>
    <w:rsid w:val="00A8659A"/>
    <w:rsid w:val="00A86C09"/>
    <w:rsid w:val="00A86D49"/>
    <w:rsid w:val="00A86F70"/>
    <w:rsid w:val="00A875F1"/>
    <w:rsid w:val="00A87B9A"/>
    <w:rsid w:val="00A901F2"/>
    <w:rsid w:val="00A904D9"/>
    <w:rsid w:val="00A91893"/>
    <w:rsid w:val="00A91EB0"/>
    <w:rsid w:val="00A9298F"/>
    <w:rsid w:val="00A92BF9"/>
    <w:rsid w:val="00A94908"/>
    <w:rsid w:val="00A94C6B"/>
    <w:rsid w:val="00A94EA6"/>
    <w:rsid w:val="00A94F26"/>
    <w:rsid w:val="00A9544D"/>
    <w:rsid w:val="00A95874"/>
    <w:rsid w:val="00A96372"/>
    <w:rsid w:val="00A9641C"/>
    <w:rsid w:val="00A966BA"/>
    <w:rsid w:val="00A97446"/>
    <w:rsid w:val="00AA0802"/>
    <w:rsid w:val="00AA0CD1"/>
    <w:rsid w:val="00AA0E9E"/>
    <w:rsid w:val="00AA1F0A"/>
    <w:rsid w:val="00AA24E5"/>
    <w:rsid w:val="00AA298F"/>
    <w:rsid w:val="00AA3DA3"/>
    <w:rsid w:val="00AA46B3"/>
    <w:rsid w:val="00AA4AD7"/>
    <w:rsid w:val="00AA4D30"/>
    <w:rsid w:val="00AA4E3D"/>
    <w:rsid w:val="00AA5073"/>
    <w:rsid w:val="00AA5364"/>
    <w:rsid w:val="00AA5439"/>
    <w:rsid w:val="00AA55C1"/>
    <w:rsid w:val="00AA61C4"/>
    <w:rsid w:val="00AA6269"/>
    <w:rsid w:val="00AA69D1"/>
    <w:rsid w:val="00AA6B4B"/>
    <w:rsid w:val="00AA74CB"/>
    <w:rsid w:val="00AA7AD8"/>
    <w:rsid w:val="00AA7C79"/>
    <w:rsid w:val="00AB0447"/>
    <w:rsid w:val="00AB0873"/>
    <w:rsid w:val="00AB0BF1"/>
    <w:rsid w:val="00AB0EBD"/>
    <w:rsid w:val="00AB0F0E"/>
    <w:rsid w:val="00AB1168"/>
    <w:rsid w:val="00AB1231"/>
    <w:rsid w:val="00AB1680"/>
    <w:rsid w:val="00AB1A24"/>
    <w:rsid w:val="00AB1B19"/>
    <w:rsid w:val="00AB22EF"/>
    <w:rsid w:val="00AB28D0"/>
    <w:rsid w:val="00AB3858"/>
    <w:rsid w:val="00AB3E14"/>
    <w:rsid w:val="00AB4293"/>
    <w:rsid w:val="00AB4C27"/>
    <w:rsid w:val="00AB50C6"/>
    <w:rsid w:val="00AB581E"/>
    <w:rsid w:val="00AB5B7B"/>
    <w:rsid w:val="00AB62B9"/>
    <w:rsid w:val="00AB6A19"/>
    <w:rsid w:val="00AB6C43"/>
    <w:rsid w:val="00AB701D"/>
    <w:rsid w:val="00AB716E"/>
    <w:rsid w:val="00AB7482"/>
    <w:rsid w:val="00AB7D31"/>
    <w:rsid w:val="00AC03F7"/>
    <w:rsid w:val="00AC053C"/>
    <w:rsid w:val="00AC12E3"/>
    <w:rsid w:val="00AC1644"/>
    <w:rsid w:val="00AC2477"/>
    <w:rsid w:val="00AC26DD"/>
    <w:rsid w:val="00AC2BA3"/>
    <w:rsid w:val="00AC2EC4"/>
    <w:rsid w:val="00AC2EFA"/>
    <w:rsid w:val="00AC2FB4"/>
    <w:rsid w:val="00AC560C"/>
    <w:rsid w:val="00AC635E"/>
    <w:rsid w:val="00AC65B4"/>
    <w:rsid w:val="00AC66AF"/>
    <w:rsid w:val="00AC680D"/>
    <w:rsid w:val="00AC684B"/>
    <w:rsid w:val="00AC6D97"/>
    <w:rsid w:val="00AC6DFA"/>
    <w:rsid w:val="00AC6F8E"/>
    <w:rsid w:val="00AC72EB"/>
    <w:rsid w:val="00AC76B7"/>
    <w:rsid w:val="00AC7738"/>
    <w:rsid w:val="00AC78BA"/>
    <w:rsid w:val="00AD0EB2"/>
    <w:rsid w:val="00AD0F33"/>
    <w:rsid w:val="00AD156B"/>
    <w:rsid w:val="00AD172F"/>
    <w:rsid w:val="00AD17F7"/>
    <w:rsid w:val="00AD1B25"/>
    <w:rsid w:val="00AD1D50"/>
    <w:rsid w:val="00AD2108"/>
    <w:rsid w:val="00AD2195"/>
    <w:rsid w:val="00AD2B35"/>
    <w:rsid w:val="00AD3E46"/>
    <w:rsid w:val="00AD4388"/>
    <w:rsid w:val="00AD5725"/>
    <w:rsid w:val="00AD57EC"/>
    <w:rsid w:val="00AD5C77"/>
    <w:rsid w:val="00AD5FFD"/>
    <w:rsid w:val="00AD6E50"/>
    <w:rsid w:val="00AD75A1"/>
    <w:rsid w:val="00AD7928"/>
    <w:rsid w:val="00AD7A11"/>
    <w:rsid w:val="00AD7EA3"/>
    <w:rsid w:val="00AE0B8B"/>
    <w:rsid w:val="00AE0EA1"/>
    <w:rsid w:val="00AE1B53"/>
    <w:rsid w:val="00AE1DFB"/>
    <w:rsid w:val="00AE2899"/>
    <w:rsid w:val="00AE2DB5"/>
    <w:rsid w:val="00AE2EC1"/>
    <w:rsid w:val="00AE33ED"/>
    <w:rsid w:val="00AE3DBF"/>
    <w:rsid w:val="00AE6114"/>
    <w:rsid w:val="00AE69FD"/>
    <w:rsid w:val="00AE6C33"/>
    <w:rsid w:val="00AE7FE8"/>
    <w:rsid w:val="00AF031D"/>
    <w:rsid w:val="00AF0795"/>
    <w:rsid w:val="00AF1279"/>
    <w:rsid w:val="00AF1B20"/>
    <w:rsid w:val="00AF1C66"/>
    <w:rsid w:val="00AF1CC3"/>
    <w:rsid w:val="00AF1E20"/>
    <w:rsid w:val="00AF2262"/>
    <w:rsid w:val="00AF2E28"/>
    <w:rsid w:val="00AF3356"/>
    <w:rsid w:val="00AF34C4"/>
    <w:rsid w:val="00AF36D5"/>
    <w:rsid w:val="00AF4649"/>
    <w:rsid w:val="00AF4A3B"/>
    <w:rsid w:val="00AF4AFB"/>
    <w:rsid w:val="00AF56AC"/>
    <w:rsid w:val="00AF5EB0"/>
    <w:rsid w:val="00AF6059"/>
    <w:rsid w:val="00AF6DF8"/>
    <w:rsid w:val="00AF7130"/>
    <w:rsid w:val="00AF719B"/>
    <w:rsid w:val="00AF7E89"/>
    <w:rsid w:val="00AF7F9F"/>
    <w:rsid w:val="00B005F2"/>
    <w:rsid w:val="00B00943"/>
    <w:rsid w:val="00B009AF"/>
    <w:rsid w:val="00B00E05"/>
    <w:rsid w:val="00B00E8C"/>
    <w:rsid w:val="00B0147C"/>
    <w:rsid w:val="00B02316"/>
    <w:rsid w:val="00B0241E"/>
    <w:rsid w:val="00B02E41"/>
    <w:rsid w:val="00B034D1"/>
    <w:rsid w:val="00B03519"/>
    <w:rsid w:val="00B039D6"/>
    <w:rsid w:val="00B03BF9"/>
    <w:rsid w:val="00B03C6A"/>
    <w:rsid w:val="00B04E14"/>
    <w:rsid w:val="00B058C7"/>
    <w:rsid w:val="00B05C57"/>
    <w:rsid w:val="00B067A1"/>
    <w:rsid w:val="00B07193"/>
    <w:rsid w:val="00B072A2"/>
    <w:rsid w:val="00B07302"/>
    <w:rsid w:val="00B076B3"/>
    <w:rsid w:val="00B077DF"/>
    <w:rsid w:val="00B0788E"/>
    <w:rsid w:val="00B07F6E"/>
    <w:rsid w:val="00B10135"/>
    <w:rsid w:val="00B107A5"/>
    <w:rsid w:val="00B108F8"/>
    <w:rsid w:val="00B10C5E"/>
    <w:rsid w:val="00B111A6"/>
    <w:rsid w:val="00B11250"/>
    <w:rsid w:val="00B11417"/>
    <w:rsid w:val="00B11EA8"/>
    <w:rsid w:val="00B11F42"/>
    <w:rsid w:val="00B1286A"/>
    <w:rsid w:val="00B129CB"/>
    <w:rsid w:val="00B12A15"/>
    <w:rsid w:val="00B12A62"/>
    <w:rsid w:val="00B12A64"/>
    <w:rsid w:val="00B12D64"/>
    <w:rsid w:val="00B12F02"/>
    <w:rsid w:val="00B135AC"/>
    <w:rsid w:val="00B13A4B"/>
    <w:rsid w:val="00B13C81"/>
    <w:rsid w:val="00B14143"/>
    <w:rsid w:val="00B14480"/>
    <w:rsid w:val="00B1478F"/>
    <w:rsid w:val="00B14D95"/>
    <w:rsid w:val="00B14F07"/>
    <w:rsid w:val="00B15BB7"/>
    <w:rsid w:val="00B15D59"/>
    <w:rsid w:val="00B16C94"/>
    <w:rsid w:val="00B1748A"/>
    <w:rsid w:val="00B2038F"/>
    <w:rsid w:val="00B20C81"/>
    <w:rsid w:val="00B21372"/>
    <w:rsid w:val="00B22991"/>
    <w:rsid w:val="00B22FDE"/>
    <w:rsid w:val="00B23ECB"/>
    <w:rsid w:val="00B23F1B"/>
    <w:rsid w:val="00B242FB"/>
    <w:rsid w:val="00B249B7"/>
    <w:rsid w:val="00B254E5"/>
    <w:rsid w:val="00B2582C"/>
    <w:rsid w:val="00B2590D"/>
    <w:rsid w:val="00B25BD9"/>
    <w:rsid w:val="00B25D3E"/>
    <w:rsid w:val="00B2637F"/>
    <w:rsid w:val="00B2686F"/>
    <w:rsid w:val="00B26AAC"/>
    <w:rsid w:val="00B27506"/>
    <w:rsid w:val="00B27655"/>
    <w:rsid w:val="00B2790C"/>
    <w:rsid w:val="00B2794B"/>
    <w:rsid w:val="00B27FD3"/>
    <w:rsid w:val="00B30011"/>
    <w:rsid w:val="00B301AF"/>
    <w:rsid w:val="00B306F6"/>
    <w:rsid w:val="00B30DE5"/>
    <w:rsid w:val="00B3106F"/>
    <w:rsid w:val="00B3160A"/>
    <w:rsid w:val="00B3170B"/>
    <w:rsid w:val="00B31C75"/>
    <w:rsid w:val="00B32655"/>
    <w:rsid w:val="00B32B15"/>
    <w:rsid w:val="00B33020"/>
    <w:rsid w:val="00B33448"/>
    <w:rsid w:val="00B33D74"/>
    <w:rsid w:val="00B34165"/>
    <w:rsid w:val="00B34FF2"/>
    <w:rsid w:val="00B35146"/>
    <w:rsid w:val="00B3530F"/>
    <w:rsid w:val="00B35FBE"/>
    <w:rsid w:val="00B35FF7"/>
    <w:rsid w:val="00B36026"/>
    <w:rsid w:val="00B37868"/>
    <w:rsid w:val="00B37C8A"/>
    <w:rsid w:val="00B37D6B"/>
    <w:rsid w:val="00B37F57"/>
    <w:rsid w:val="00B4002E"/>
    <w:rsid w:val="00B40095"/>
    <w:rsid w:val="00B4045B"/>
    <w:rsid w:val="00B40B44"/>
    <w:rsid w:val="00B40C52"/>
    <w:rsid w:val="00B40C59"/>
    <w:rsid w:val="00B40E9E"/>
    <w:rsid w:val="00B410AD"/>
    <w:rsid w:val="00B413EA"/>
    <w:rsid w:val="00B41AA0"/>
    <w:rsid w:val="00B41ACC"/>
    <w:rsid w:val="00B41F99"/>
    <w:rsid w:val="00B42B90"/>
    <w:rsid w:val="00B42BA4"/>
    <w:rsid w:val="00B44392"/>
    <w:rsid w:val="00B44E27"/>
    <w:rsid w:val="00B4609C"/>
    <w:rsid w:val="00B46182"/>
    <w:rsid w:val="00B46266"/>
    <w:rsid w:val="00B46A29"/>
    <w:rsid w:val="00B46DA8"/>
    <w:rsid w:val="00B46F77"/>
    <w:rsid w:val="00B473D6"/>
    <w:rsid w:val="00B4768E"/>
    <w:rsid w:val="00B50A16"/>
    <w:rsid w:val="00B50A65"/>
    <w:rsid w:val="00B511EB"/>
    <w:rsid w:val="00B51218"/>
    <w:rsid w:val="00B5123A"/>
    <w:rsid w:val="00B51270"/>
    <w:rsid w:val="00B513DD"/>
    <w:rsid w:val="00B515BD"/>
    <w:rsid w:val="00B52304"/>
    <w:rsid w:val="00B52467"/>
    <w:rsid w:val="00B529F0"/>
    <w:rsid w:val="00B52EA4"/>
    <w:rsid w:val="00B548CD"/>
    <w:rsid w:val="00B554C9"/>
    <w:rsid w:val="00B55CBA"/>
    <w:rsid w:val="00B56789"/>
    <w:rsid w:val="00B56E6D"/>
    <w:rsid w:val="00B56E8A"/>
    <w:rsid w:val="00B573CF"/>
    <w:rsid w:val="00B57552"/>
    <w:rsid w:val="00B5756F"/>
    <w:rsid w:val="00B57735"/>
    <w:rsid w:val="00B603F5"/>
    <w:rsid w:val="00B607B8"/>
    <w:rsid w:val="00B6100A"/>
    <w:rsid w:val="00B61244"/>
    <w:rsid w:val="00B61A33"/>
    <w:rsid w:val="00B61BE5"/>
    <w:rsid w:val="00B61D95"/>
    <w:rsid w:val="00B62311"/>
    <w:rsid w:val="00B6240C"/>
    <w:rsid w:val="00B6285F"/>
    <w:rsid w:val="00B63179"/>
    <w:rsid w:val="00B63338"/>
    <w:rsid w:val="00B6357B"/>
    <w:rsid w:val="00B63EE4"/>
    <w:rsid w:val="00B63F45"/>
    <w:rsid w:val="00B64207"/>
    <w:rsid w:val="00B64217"/>
    <w:rsid w:val="00B6519A"/>
    <w:rsid w:val="00B65400"/>
    <w:rsid w:val="00B65488"/>
    <w:rsid w:val="00B6596F"/>
    <w:rsid w:val="00B65CC8"/>
    <w:rsid w:val="00B66699"/>
    <w:rsid w:val="00B66A9F"/>
    <w:rsid w:val="00B66BE2"/>
    <w:rsid w:val="00B66C53"/>
    <w:rsid w:val="00B67188"/>
    <w:rsid w:val="00B6723E"/>
    <w:rsid w:val="00B676CE"/>
    <w:rsid w:val="00B67D8B"/>
    <w:rsid w:val="00B7039F"/>
    <w:rsid w:val="00B70AC5"/>
    <w:rsid w:val="00B70B24"/>
    <w:rsid w:val="00B712FD"/>
    <w:rsid w:val="00B7149F"/>
    <w:rsid w:val="00B71596"/>
    <w:rsid w:val="00B71DC9"/>
    <w:rsid w:val="00B7203D"/>
    <w:rsid w:val="00B723CF"/>
    <w:rsid w:val="00B7353C"/>
    <w:rsid w:val="00B739F9"/>
    <w:rsid w:val="00B73DA4"/>
    <w:rsid w:val="00B7438C"/>
    <w:rsid w:val="00B7446E"/>
    <w:rsid w:val="00B74F53"/>
    <w:rsid w:val="00B75354"/>
    <w:rsid w:val="00B75639"/>
    <w:rsid w:val="00B757E0"/>
    <w:rsid w:val="00B75DD4"/>
    <w:rsid w:val="00B76652"/>
    <w:rsid w:val="00B767AE"/>
    <w:rsid w:val="00B76BCF"/>
    <w:rsid w:val="00B7739C"/>
    <w:rsid w:val="00B7743B"/>
    <w:rsid w:val="00B7799C"/>
    <w:rsid w:val="00B80035"/>
    <w:rsid w:val="00B80503"/>
    <w:rsid w:val="00B8194F"/>
    <w:rsid w:val="00B81C49"/>
    <w:rsid w:val="00B81FF4"/>
    <w:rsid w:val="00B8322D"/>
    <w:rsid w:val="00B8373C"/>
    <w:rsid w:val="00B8385D"/>
    <w:rsid w:val="00B8448D"/>
    <w:rsid w:val="00B85175"/>
    <w:rsid w:val="00B858C9"/>
    <w:rsid w:val="00B85A9D"/>
    <w:rsid w:val="00B85EC0"/>
    <w:rsid w:val="00B86F3A"/>
    <w:rsid w:val="00B87355"/>
    <w:rsid w:val="00B877A2"/>
    <w:rsid w:val="00B87B5F"/>
    <w:rsid w:val="00B87DCA"/>
    <w:rsid w:val="00B90A00"/>
    <w:rsid w:val="00B90DBF"/>
    <w:rsid w:val="00B9186D"/>
    <w:rsid w:val="00B91F99"/>
    <w:rsid w:val="00B92242"/>
    <w:rsid w:val="00B922AE"/>
    <w:rsid w:val="00B924FF"/>
    <w:rsid w:val="00B92759"/>
    <w:rsid w:val="00B92BBE"/>
    <w:rsid w:val="00B92FD5"/>
    <w:rsid w:val="00B93137"/>
    <w:rsid w:val="00B933DA"/>
    <w:rsid w:val="00B9385B"/>
    <w:rsid w:val="00B93877"/>
    <w:rsid w:val="00B9414A"/>
    <w:rsid w:val="00B9428E"/>
    <w:rsid w:val="00B943BE"/>
    <w:rsid w:val="00B94458"/>
    <w:rsid w:val="00B94766"/>
    <w:rsid w:val="00B953E1"/>
    <w:rsid w:val="00B95ABE"/>
    <w:rsid w:val="00B95D84"/>
    <w:rsid w:val="00B95E89"/>
    <w:rsid w:val="00B967DE"/>
    <w:rsid w:val="00BA170B"/>
    <w:rsid w:val="00BA189B"/>
    <w:rsid w:val="00BA1BC8"/>
    <w:rsid w:val="00BA1D9F"/>
    <w:rsid w:val="00BA1FC3"/>
    <w:rsid w:val="00BA2BF9"/>
    <w:rsid w:val="00BA2DD2"/>
    <w:rsid w:val="00BA314D"/>
    <w:rsid w:val="00BA39EF"/>
    <w:rsid w:val="00BA3FF2"/>
    <w:rsid w:val="00BA40EB"/>
    <w:rsid w:val="00BA40F0"/>
    <w:rsid w:val="00BA4172"/>
    <w:rsid w:val="00BA421A"/>
    <w:rsid w:val="00BA43F5"/>
    <w:rsid w:val="00BA4587"/>
    <w:rsid w:val="00BA4739"/>
    <w:rsid w:val="00BA47C3"/>
    <w:rsid w:val="00BA483B"/>
    <w:rsid w:val="00BA4B16"/>
    <w:rsid w:val="00BA4CF6"/>
    <w:rsid w:val="00BA5205"/>
    <w:rsid w:val="00BA524C"/>
    <w:rsid w:val="00BA5A48"/>
    <w:rsid w:val="00BA6004"/>
    <w:rsid w:val="00BA6079"/>
    <w:rsid w:val="00BA627C"/>
    <w:rsid w:val="00BA62EC"/>
    <w:rsid w:val="00BA6753"/>
    <w:rsid w:val="00BA6F34"/>
    <w:rsid w:val="00BA74ED"/>
    <w:rsid w:val="00BA76F1"/>
    <w:rsid w:val="00BA7829"/>
    <w:rsid w:val="00BB1028"/>
    <w:rsid w:val="00BB17FE"/>
    <w:rsid w:val="00BB2780"/>
    <w:rsid w:val="00BB3130"/>
    <w:rsid w:val="00BB437A"/>
    <w:rsid w:val="00BB469F"/>
    <w:rsid w:val="00BB5005"/>
    <w:rsid w:val="00BB5400"/>
    <w:rsid w:val="00BB5555"/>
    <w:rsid w:val="00BB6802"/>
    <w:rsid w:val="00BB6994"/>
    <w:rsid w:val="00BB699E"/>
    <w:rsid w:val="00BB6EAF"/>
    <w:rsid w:val="00BB73FB"/>
    <w:rsid w:val="00BB7505"/>
    <w:rsid w:val="00BB75FB"/>
    <w:rsid w:val="00BB79C0"/>
    <w:rsid w:val="00BB7D03"/>
    <w:rsid w:val="00BC0138"/>
    <w:rsid w:val="00BC03DB"/>
    <w:rsid w:val="00BC0CEB"/>
    <w:rsid w:val="00BC1548"/>
    <w:rsid w:val="00BC17BC"/>
    <w:rsid w:val="00BC1B1B"/>
    <w:rsid w:val="00BC26E5"/>
    <w:rsid w:val="00BC2A1A"/>
    <w:rsid w:val="00BC2B11"/>
    <w:rsid w:val="00BC3342"/>
    <w:rsid w:val="00BC38CD"/>
    <w:rsid w:val="00BC3DDA"/>
    <w:rsid w:val="00BC3F34"/>
    <w:rsid w:val="00BC42A7"/>
    <w:rsid w:val="00BC439F"/>
    <w:rsid w:val="00BC43E1"/>
    <w:rsid w:val="00BC440B"/>
    <w:rsid w:val="00BC44D7"/>
    <w:rsid w:val="00BC4553"/>
    <w:rsid w:val="00BC4F27"/>
    <w:rsid w:val="00BC5BB2"/>
    <w:rsid w:val="00BC6144"/>
    <w:rsid w:val="00BC6F84"/>
    <w:rsid w:val="00BC775D"/>
    <w:rsid w:val="00BC7A8F"/>
    <w:rsid w:val="00BC7B27"/>
    <w:rsid w:val="00BC7C89"/>
    <w:rsid w:val="00BD00C5"/>
    <w:rsid w:val="00BD1010"/>
    <w:rsid w:val="00BD21C8"/>
    <w:rsid w:val="00BD22A8"/>
    <w:rsid w:val="00BD24A2"/>
    <w:rsid w:val="00BD29D6"/>
    <w:rsid w:val="00BD415D"/>
    <w:rsid w:val="00BD4545"/>
    <w:rsid w:val="00BD46C4"/>
    <w:rsid w:val="00BD472E"/>
    <w:rsid w:val="00BD5520"/>
    <w:rsid w:val="00BD57EA"/>
    <w:rsid w:val="00BD5AE3"/>
    <w:rsid w:val="00BD6905"/>
    <w:rsid w:val="00BD79F1"/>
    <w:rsid w:val="00BD7A44"/>
    <w:rsid w:val="00BE0F3C"/>
    <w:rsid w:val="00BE1369"/>
    <w:rsid w:val="00BE16EA"/>
    <w:rsid w:val="00BE1AC2"/>
    <w:rsid w:val="00BE1D67"/>
    <w:rsid w:val="00BE1E5D"/>
    <w:rsid w:val="00BE1F78"/>
    <w:rsid w:val="00BE1FAD"/>
    <w:rsid w:val="00BE2917"/>
    <w:rsid w:val="00BE2AEB"/>
    <w:rsid w:val="00BE2E53"/>
    <w:rsid w:val="00BE3313"/>
    <w:rsid w:val="00BE3701"/>
    <w:rsid w:val="00BE3BCB"/>
    <w:rsid w:val="00BE441A"/>
    <w:rsid w:val="00BE46B3"/>
    <w:rsid w:val="00BE6919"/>
    <w:rsid w:val="00BE6976"/>
    <w:rsid w:val="00BE7508"/>
    <w:rsid w:val="00BE7EE5"/>
    <w:rsid w:val="00BF01E2"/>
    <w:rsid w:val="00BF039D"/>
    <w:rsid w:val="00BF0533"/>
    <w:rsid w:val="00BF1426"/>
    <w:rsid w:val="00BF17CC"/>
    <w:rsid w:val="00BF1894"/>
    <w:rsid w:val="00BF1A27"/>
    <w:rsid w:val="00BF1DEB"/>
    <w:rsid w:val="00BF21C9"/>
    <w:rsid w:val="00BF26A0"/>
    <w:rsid w:val="00BF2F25"/>
    <w:rsid w:val="00BF311A"/>
    <w:rsid w:val="00BF3B45"/>
    <w:rsid w:val="00BF476D"/>
    <w:rsid w:val="00BF4A13"/>
    <w:rsid w:val="00BF4D79"/>
    <w:rsid w:val="00BF5918"/>
    <w:rsid w:val="00BF5A8E"/>
    <w:rsid w:val="00BF5DA7"/>
    <w:rsid w:val="00BF6191"/>
    <w:rsid w:val="00BF6264"/>
    <w:rsid w:val="00BF6EC1"/>
    <w:rsid w:val="00BF7341"/>
    <w:rsid w:val="00BF7C66"/>
    <w:rsid w:val="00C000E6"/>
    <w:rsid w:val="00C004CC"/>
    <w:rsid w:val="00C013F3"/>
    <w:rsid w:val="00C0169E"/>
    <w:rsid w:val="00C01BBA"/>
    <w:rsid w:val="00C01C0C"/>
    <w:rsid w:val="00C01C10"/>
    <w:rsid w:val="00C01F7E"/>
    <w:rsid w:val="00C020B4"/>
    <w:rsid w:val="00C026C3"/>
    <w:rsid w:val="00C027D2"/>
    <w:rsid w:val="00C029F8"/>
    <w:rsid w:val="00C02E8E"/>
    <w:rsid w:val="00C030C9"/>
    <w:rsid w:val="00C032DE"/>
    <w:rsid w:val="00C0406F"/>
    <w:rsid w:val="00C040B3"/>
    <w:rsid w:val="00C0446E"/>
    <w:rsid w:val="00C04593"/>
    <w:rsid w:val="00C04647"/>
    <w:rsid w:val="00C049B4"/>
    <w:rsid w:val="00C04C4A"/>
    <w:rsid w:val="00C04CE1"/>
    <w:rsid w:val="00C05215"/>
    <w:rsid w:val="00C05300"/>
    <w:rsid w:val="00C05983"/>
    <w:rsid w:val="00C0628B"/>
    <w:rsid w:val="00C06789"/>
    <w:rsid w:val="00C0694E"/>
    <w:rsid w:val="00C069EB"/>
    <w:rsid w:val="00C06CE3"/>
    <w:rsid w:val="00C070D3"/>
    <w:rsid w:val="00C07131"/>
    <w:rsid w:val="00C07560"/>
    <w:rsid w:val="00C07764"/>
    <w:rsid w:val="00C079A5"/>
    <w:rsid w:val="00C07C0E"/>
    <w:rsid w:val="00C10749"/>
    <w:rsid w:val="00C11038"/>
    <w:rsid w:val="00C117B4"/>
    <w:rsid w:val="00C12009"/>
    <w:rsid w:val="00C121A5"/>
    <w:rsid w:val="00C12332"/>
    <w:rsid w:val="00C125E1"/>
    <w:rsid w:val="00C12863"/>
    <w:rsid w:val="00C13337"/>
    <w:rsid w:val="00C139BA"/>
    <w:rsid w:val="00C1407A"/>
    <w:rsid w:val="00C142C8"/>
    <w:rsid w:val="00C14303"/>
    <w:rsid w:val="00C15737"/>
    <w:rsid w:val="00C162B0"/>
    <w:rsid w:val="00C16D67"/>
    <w:rsid w:val="00C17121"/>
    <w:rsid w:val="00C17B42"/>
    <w:rsid w:val="00C17EAA"/>
    <w:rsid w:val="00C201D5"/>
    <w:rsid w:val="00C205EF"/>
    <w:rsid w:val="00C208FF"/>
    <w:rsid w:val="00C20EB6"/>
    <w:rsid w:val="00C21066"/>
    <w:rsid w:val="00C21222"/>
    <w:rsid w:val="00C21278"/>
    <w:rsid w:val="00C2218B"/>
    <w:rsid w:val="00C227B6"/>
    <w:rsid w:val="00C22C69"/>
    <w:rsid w:val="00C23AF9"/>
    <w:rsid w:val="00C25345"/>
    <w:rsid w:val="00C25460"/>
    <w:rsid w:val="00C2589A"/>
    <w:rsid w:val="00C25AE9"/>
    <w:rsid w:val="00C2617E"/>
    <w:rsid w:val="00C262E6"/>
    <w:rsid w:val="00C26692"/>
    <w:rsid w:val="00C26B6B"/>
    <w:rsid w:val="00C26C23"/>
    <w:rsid w:val="00C2738B"/>
    <w:rsid w:val="00C279D6"/>
    <w:rsid w:val="00C27FB3"/>
    <w:rsid w:val="00C300F7"/>
    <w:rsid w:val="00C301B6"/>
    <w:rsid w:val="00C30243"/>
    <w:rsid w:val="00C311C4"/>
    <w:rsid w:val="00C32137"/>
    <w:rsid w:val="00C32692"/>
    <w:rsid w:val="00C32916"/>
    <w:rsid w:val="00C32966"/>
    <w:rsid w:val="00C32A51"/>
    <w:rsid w:val="00C32FA5"/>
    <w:rsid w:val="00C338AF"/>
    <w:rsid w:val="00C33A2B"/>
    <w:rsid w:val="00C33B89"/>
    <w:rsid w:val="00C33F55"/>
    <w:rsid w:val="00C34898"/>
    <w:rsid w:val="00C34A28"/>
    <w:rsid w:val="00C34DD2"/>
    <w:rsid w:val="00C3515D"/>
    <w:rsid w:val="00C35996"/>
    <w:rsid w:val="00C35BD3"/>
    <w:rsid w:val="00C35CA8"/>
    <w:rsid w:val="00C35CAC"/>
    <w:rsid w:val="00C35ED1"/>
    <w:rsid w:val="00C36705"/>
    <w:rsid w:val="00C36985"/>
    <w:rsid w:val="00C369E3"/>
    <w:rsid w:val="00C36B8B"/>
    <w:rsid w:val="00C37535"/>
    <w:rsid w:val="00C37743"/>
    <w:rsid w:val="00C37F09"/>
    <w:rsid w:val="00C402C5"/>
    <w:rsid w:val="00C4096D"/>
    <w:rsid w:val="00C4105D"/>
    <w:rsid w:val="00C4139C"/>
    <w:rsid w:val="00C415FB"/>
    <w:rsid w:val="00C4163A"/>
    <w:rsid w:val="00C41A2E"/>
    <w:rsid w:val="00C4263B"/>
    <w:rsid w:val="00C42E72"/>
    <w:rsid w:val="00C438A9"/>
    <w:rsid w:val="00C438DE"/>
    <w:rsid w:val="00C43A0D"/>
    <w:rsid w:val="00C44575"/>
    <w:rsid w:val="00C44E1C"/>
    <w:rsid w:val="00C44FE6"/>
    <w:rsid w:val="00C45419"/>
    <w:rsid w:val="00C45574"/>
    <w:rsid w:val="00C45D7D"/>
    <w:rsid w:val="00C45F99"/>
    <w:rsid w:val="00C472D8"/>
    <w:rsid w:val="00C47537"/>
    <w:rsid w:val="00C47956"/>
    <w:rsid w:val="00C47DBE"/>
    <w:rsid w:val="00C5029D"/>
    <w:rsid w:val="00C50910"/>
    <w:rsid w:val="00C50924"/>
    <w:rsid w:val="00C50BB1"/>
    <w:rsid w:val="00C50C0F"/>
    <w:rsid w:val="00C50CE8"/>
    <w:rsid w:val="00C50D3D"/>
    <w:rsid w:val="00C51A9A"/>
    <w:rsid w:val="00C51E40"/>
    <w:rsid w:val="00C51E8E"/>
    <w:rsid w:val="00C521FE"/>
    <w:rsid w:val="00C52518"/>
    <w:rsid w:val="00C52FC3"/>
    <w:rsid w:val="00C531FB"/>
    <w:rsid w:val="00C536F9"/>
    <w:rsid w:val="00C53B32"/>
    <w:rsid w:val="00C54084"/>
    <w:rsid w:val="00C5448F"/>
    <w:rsid w:val="00C54787"/>
    <w:rsid w:val="00C54AC0"/>
    <w:rsid w:val="00C54BC3"/>
    <w:rsid w:val="00C5531E"/>
    <w:rsid w:val="00C55B87"/>
    <w:rsid w:val="00C55BB6"/>
    <w:rsid w:val="00C56C7B"/>
    <w:rsid w:val="00C56FCB"/>
    <w:rsid w:val="00C5763A"/>
    <w:rsid w:val="00C57A2C"/>
    <w:rsid w:val="00C60214"/>
    <w:rsid w:val="00C60288"/>
    <w:rsid w:val="00C60649"/>
    <w:rsid w:val="00C6096D"/>
    <w:rsid w:val="00C60CF6"/>
    <w:rsid w:val="00C6193F"/>
    <w:rsid w:val="00C61D4A"/>
    <w:rsid w:val="00C62007"/>
    <w:rsid w:val="00C621A5"/>
    <w:rsid w:val="00C62B5C"/>
    <w:rsid w:val="00C62C24"/>
    <w:rsid w:val="00C633C4"/>
    <w:rsid w:val="00C63A57"/>
    <w:rsid w:val="00C63C20"/>
    <w:rsid w:val="00C647D7"/>
    <w:rsid w:val="00C648A2"/>
    <w:rsid w:val="00C64A82"/>
    <w:rsid w:val="00C653B4"/>
    <w:rsid w:val="00C654DA"/>
    <w:rsid w:val="00C6630E"/>
    <w:rsid w:val="00C66B53"/>
    <w:rsid w:val="00C677E6"/>
    <w:rsid w:val="00C7034E"/>
    <w:rsid w:val="00C7078A"/>
    <w:rsid w:val="00C707DB"/>
    <w:rsid w:val="00C708C4"/>
    <w:rsid w:val="00C70D82"/>
    <w:rsid w:val="00C715A5"/>
    <w:rsid w:val="00C71696"/>
    <w:rsid w:val="00C71FD3"/>
    <w:rsid w:val="00C73018"/>
    <w:rsid w:val="00C73A82"/>
    <w:rsid w:val="00C73EC9"/>
    <w:rsid w:val="00C74388"/>
    <w:rsid w:val="00C74929"/>
    <w:rsid w:val="00C74B2A"/>
    <w:rsid w:val="00C75006"/>
    <w:rsid w:val="00C76032"/>
    <w:rsid w:val="00C76506"/>
    <w:rsid w:val="00C77748"/>
    <w:rsid w:val="00C77CE4"/>
    <w:rsid w:val="00C80787"/>
    <w:rsid w:val="00C807C7"/>
    <w:rsid w:val="00C815FA"/>
    <w:rsid w:val="00C81A1A"/>
    <w:rsid w:val="00C81C45"/>
    <w:rsid w:val="00C82622"/>
    <w:rsid w:val="00C82B63"/>
    <w:rsid w:val="00C82D4E"/>
    <w:rsid w:val="00C8301F"/>
    <w:rsid w:val="00C830E0"/>
    <w:rsid w:val="00C8363A"/>
    <w:rsid w:val="00C843E8"/>
    <w:rsid w:val="00C84DAF"/>
    <w:rsid w:val="00C84E3C"/>
    <w:rsid w:val="00C857D5"/>
    <w:rsid w:val="00C8588A"/>
    <w:rsid w:val="00C85C99"/>
    <w:rsid w:val="00C85E07"/>
    <w:rsid w:val="00C865D8"/>
    <w:rsid w:val="00C8667F"/>
    <w:rsid w:val="00C86D0F"/>
    <w:rsid w:val="00C87382"/>
    <w:rsid w:val="00C878D7"/>
    <w:rsid w:val="00C87B7C"/>
    <w:rsid w:val="00C87DA4"/>
    <w:rsid w:val="00C87FAE"/>
    <w:rsid w:val="00C90854"/>
    <w:rsid w:val="00C911A7"/>
    <w:rsid w:val="00C91453"/>
    <w:rsid w:val="00C91463"/>
    <w:rsid w:val="00C91880"/>
    <w:rsid w:val="00C925FF"/>
    <w:rsid w:val="00C92A86"/>
    <w:rsid w:val="00C92D1A"/>
    <w:rsid w:val="00C9338E"/>
    <w:rsid w:val="00C93558"/>
    <w:rsid w:val="00C9522F"/>
    <w:rsid w:val="00C953EC"/>
    <w:rsid w:val="00C954CD"/>
    <w:rsid w:val="00C95C52"/>
    <w:rsid w:val="00C95C9C"/>
    <w:rsid w:val="00C96030"/>
    <w:rsid w:val="00C9691E"/>
    <w:rsid w:val="00C97500"/>
    <w:rsid w:val="00C9791D"/>
    <w:rsid w:val="00CA0189"/>
    <w:rsid w:val="00CA026D"/>
    <w:rsid w:val="00CA07F1"/>
    <w:rsid w:val="00CA0BB5"/>
    <w:rsid w:val="00CA189F"/>
    <w:rsid w:val="00CA1B3E"/>
    <w:rsid w:val="00CA2650"/>
    <w:rsid w:val="00CA2920"/>
    <w:rsid w:val="00CA2C94"/>
    <w:rsid w:val="00CA36F0"/>
    <w:rsid w:val="00CA38E4"/>
    <w:rsid w:val="00CA39A7"/>
    <w:rsid w:val="00CA3C09"/>
    <w:rsid w:val="00CA3E08"/>
    <w:rsid w:val="00CA42FC"/>
    <w:rsid w:val="00CA450A"/>
    <w:rsid w:val="00CA455A"/>
    <w:rsid w:val="00CA45C9"/>
    <w:rsid w:val="00CA47F2"/>
    <w:rsid w:val="00CA4B5C"/>
    <w:rsid w:val="00CA4C5B"/>
    <w:rsid w:val="00CA59B1"/>
    <w:rsid w:val="00CA5A2D"/>
    <w:rsid w:val="00CA5EB5"/>
    <w:rsid w:val="00CA63E6"/>
    <w:rsid w:val="00CA6832"/>
    <w:rsid w:val="00CA6B8C"/>
    <w:rsid w:val="00CA6CB9"/>
    <w:rsid w:val="00CA79AB"/>
    <w:rsid w:val="00CA7C88"/>
    <w:rsid w:val="00CB0419"/>
    <w:rsid w:val="00CB09E1"/>
    <w:rsid w:val="00CB0B27"/>
    <w:rsid w:val="00CB140E"/>
    <w:rsid w:val="00CB1751"/>
    <w:rsid w:val="00CB3CA3"/>
    <w:rsid w:val="00CB3EB9"/>
    <w:rsid w:val="00CB42B3"/>
    <w:rsid w:val="00CB4AEC"/>
    <w:rsid w:val="00CB4AF6"/>
    <w:rsid w:val="00CB4C5F"/>
    <w:rsid w:val="00CB5929"/>
    <w:rsid w:val="00CB69F6"/>
    <w:rsid w:val="00CB6E0C"/>
    <w:rsid w:val="00CB72C3"/>
    <w:rsid w:val="00CB7F63"/>
    <w:rsid w:val="00CC0088"/>
    <w:rsid w:val="00CC03D2"/>
    <w:rsid w:val="00CC0FD3"/>
    <w:rsid w:val="00CC10CA"/>
    <w:rsid w:val="00CC10D2"/>
    <w:rsid w:val="00CC1276"/>
    <w:rsid w:val="00CC144D"/>
    <w:rsid w:val="00CC1452"/>
    <w:rsid w:val="00CC22FF"/>
    <w:rsid w:val="00CC2841"/>
    <w:rsid w:val="00CC3248"/>
    <w:rsid w:val="00CC37A4"/>
    <w:rsid w:val="00CC42A9"/>
    <w:rsid w:val="00CC45DD"/>
    <w:rsid w:val="00CC5251"/>
    <w:rsid w:val="00CC578B"/>
    <w:rsid w:val="00CC5C57"/>
    <w:rsid w:val="00CC5D86"/>
    <w:rsid w:val="00CC5F84"/>
    <w:rsid w:val="00CC6165"/>
    <w:rsid w:val="00CC6693"/>
    <w:rsid w:val="00CC70E1"/>
    <w:rsid w:val="00CD05FE"/>
    <w:rsid w:val="00CD0DB5"/>
    <w:rsid w:val="00CD0E6B"/>
    <w:rsid w:val="00CD11FC"/>
    <w:rsid w:val="00CD13E2"/>
    <w:rsid w:val="00CD195D"/>
    <w:rsid w:val="00CD1C64"/>
    <w:rsid w:val="00CD1D1E"/>
    <w:rsid w:val="00CD1D56"/>
    <w:rsid w:val="00CD2012"/>
    <w:rsid w:val="00CD22A0"/>
    <w:rsid w:val="00CD2C71"/>
    <w:rsid w:val="00CD311A"/>
    <w:rsid w:val="00CD351F"/>
    <w:rsid w:val="00CD3B28"/>
    <w:rsid w:val="00CD3DFD"/>
    <w:rsid w:val="00CD48E3"/>
    <w:rsid w:val="00CD4A38"/>
    <w:rsid w:val="00CD59B3"/>
    <w:rsid w:val="00CD5A39"/>
    <w:rsid w:val="00CD5E41"/>
    <w:rsid w:val="00CD5EFD"/>
    <w:rsid w:val="00CD6088"/>
    <w:rsid w:val="00CD6366"/>
    <w:rsid w:val="00CD6D50"/>
    <w:rsid w:val="00CD6FAB"/>
    <w:rsid w:val="00CD73D7"/>
    <w:rsid w:val="00CD767F"/>
    <w:rsid w:val="00CD76CE"/>
    <w:rsid w:val="00CD79C8"/>
    <w:rsid w:val="00CD7BD1"/>
    <w:rsid w:val="00CD7D49"/>
    <w:rsid w:val="00CE0599"/>
    <w:rsid w:val="00CE080F"/>
    <w:rsid w:val="00CE090E"/>
    <w:rsid w:val="00CE0ADF"/>
    <w:rsid w:val="00CE0C3F"/>
    <w:rsid w:val="00CE0F3A"/>
    <w:rsid w:val="00CE109C"/>
    <w:rsid w:val="00CE1124"/>
    <w:rsid w:val="00CE131F"/>
    <w:rsid w:val="00CE15F9"/>
    <w:rsid w:val="00CE2A1B"/>
    <w:rsid w:val="00CE2C94"/>
    <w:rsid w:val="00CE30BF"/>
    <w:rsid w:val="00CE3577"/>
    <w:rsid w:val="00CE3B6D"/>
    <w:rsid w:val="00CE3E9C"/>
    <w:rsid w:val="00CE4196"/>
    <w:rsid w:val="00CE422D"/>
    <w:rsid w:val="00CE6C50"/>
    <w:rsid w:val="00CE71C8"/>
    <w:rsid w:val="00CE75E2"/>
    <w:rsid w:val="00CE765F"/>
    <w:rsid w:val="00CE7AE0"/>
    <w:rsid w:val="00CE7CB9"/>
    <w:rsid w:val="00CF0024"/>
    <w:rsid w:val="00CF1378"/>
    <w:rsid w:val="00CF22AE"/>
    <w:rsid w:val="00CF2303"/>
    <w:rsid w:val="00CF2FB7"/>
    <w:rsid w:val="00CF32F3"/>
    <w:rsid w:val="00CF33F8"/>
    <w:rsid w:val="00CF38E7"/>
    <w:rsid w:val="00CF3D93"/>
    <w:rsid w:val="00CF4297"/>
    <w:rsid w:val="00CF433A"/>
    <w:rsid w:val="00CF45E3"/>
    <w:rsid w:val="00CF492F"/>
    <w:rsid w:val="00CF4A62"/>
    <w:rsid w:val="00CF4CFB"/>
    <w:rsid w:val="00CF4D0C"/>
    <w:rsid w:val="00CF4FD7"/>
    <w:rsid w:val="00CF5582"/>
    <w:rsid w:val="00CF5606"/>
    <w:rsid w:val="00CF60C7"/>
    <w:rsid w:val="00CF68FB"/>
    <w:rsid w:val="00CF6A05"/>
    <w:rsid w:val="00CF6ACD"/>
    <w:rsid w:val="00CF6B0C"/>
    <w:rsid w:val="00CF6C07"/>
    <w:rsid w:val="00CF71E5"/>
    <w:rsid w:val="00CF72C7"/>
    <w:rsid w:val="00CF737C"/>
    <w:rsid w:val="00CF75A7"/>
    <w:rsid w:val="00CF778D"/>
    <w:rsid w:val="00D00962"/>
    <w:rsid w:val="00D00D9A"/>
    <w:rsid w:val="00D014E8"/>
    <w:rsid w:val="00D01536"/>
    <w:rsid w:val="00D01F61"/>
    <w:rsid w:val="00D02063"/>
    <w:rsid w:val="00D0225C"/>
    <w:rsid w:val="00D026B9"/>
    <w:rsid w:val="00D02CA1"/>
    <w:rsid w:val="00D02E9F"/>
    <w:rsid w:val="00D03124"/>
    <w:rsid w:val="00D0320C"/>
    <w:rsid w:val="00D035F5"/>
    <w:rsid w:val="00D03806"/>
    <w:rsid w:val="00D03B03"/>
    <w:rsid w:val="00D03B09"/>
    <w:rsid w:val="00D03B59"/>
    <w:rsid w:val="00D03BD6"/>
    <w:rsid w:val="00D042BD"/>
    <w:rsid w:val="00D04324"/>
    <w:rsid w:val="00D04494"/>
    <w:rsid w:val="00D04644"/>
    <w:rsid w:val="00D05281"/>
    <w:rsid w:val="00D05A98"/>
    <w:rsid w:val="00D061B2"/>
    <w:rsid w:val="00D06817"/>
    <w:rsid w:val="00D06908"/>
    <w:rsid w:val="00D06FAF"/>
    <w:rsid w:val="00D0716A"/>
    <w:rsid w:val="00D07A51"/>
    <w:rsid w:val="00D07C6C"/>
    <w:rsid w:val="00D1008E"/>
    <w:rsid w:val="00D10118"/>
    <w:rsid w:val="00D101B4"/>
    <w:rsid w:val="00D10241"/>
    <w:rsid w:val="00D11FF1"/>
    <w:rsid w:val="00D122AB"/>
    <w:rsid w:val="00D12838"/>
    <w:rsid w:val="00D12F84"/>
    <w:rsid w:val="00D13686"/>
    <w:rsid w:val="00D14632"/>
    <w:rsid w:val="00D14B81"/>
    <w:rsid w:val="00D152BA"/>
    <w:rsid w:val="00D154DB"/>
    <w:rsid w:val="00D15573"/>
    <w:rsid w:val="00D15652"/>
    <w:rsid w:val="00D15911"/>
    <w:rsid w:val="00D15CF2"/>
    <w:rsid w:val="00D16437"/>
    <w:rsid w:val="00D1669E"/>
    <w:rsid w:val="00D16840"/>
    <w:rsid w:val="00D16CA5"/>
    <w:rsid w:val="00D175A6"/>
    <w:rsid w:val="00D1798A"/>
    <w:rsid w:val="00D17B81"/>
    <w:rsid w:val="00D209A4"/>
    <w:rsid w:val="00D20D3C"/>
    <w:rsid w:val="00D211A9"/>
    <w:rsid w:val="00D213F9"/>
    <w:rsid w:val="00D216C4"/>
    <w:rsid w:val="00D21703"/>
    <w:rsid w:val="00D21974"/>
    <w:rsid w:val="00D21C4F"/>
    <w:rsid w:val="00D21C5C"/>
    <w:rsid w:val="00D227DA"/>
    <w:rsid w:val="00D22B66"/>
    <w:rsid w:val="00D236AA"/>
    <w:rsid w:val="00D23C38"/>
    <w:rsid w:val="00D23C94"/>
    <w:rsid w:val="00D23D83"/>
    <w:rsid w:val="00D23E3B"/>
    <w:rsid w:val="00D25330"/>
    <w:rsid w:val="00D25334"/>
    <w:rsid w:val="00D254D2"/>
    <w:rsid w:val="00D2555F"/>
    <w:rsid w:val="00D2563D"/>
    <w:rsid w:val="00D25F0D"/>
    <w:rsid w:val="00D25FAC"/>
    <w:rsid w:val="00D261DA"/>
    <w:rsid w:val="00D262E6"/>
    <w:rsid w:val="00D26BEC"/>
    <w:rsid w:val="00D27F5B"/>
    <w:rsid w:val="00D3041D"/>
    <w:rsid w:val="00D30508"/>
    <w:rsid w:val="00D30869"/>
    <w:rsid w:val="00D30992"/>
    <w:rsid w:val="00D317CF"/>
    <w:rsid w:val="00D32461"/>
    <w:rsid w:val="00D32600"/>
    <w:rsid w:val="00D3313A"/>
    <w:rsid w:val="00D3328E"/>
    <w:rsid w:val="00D33346"/>
    <w:rsid w:val="00D33645"/>
    <w:rsid w:val="00D34376"/>
    <w:rsid w:val="00D34DAA"/>
    <w:rsid w:val="00D357A6"/>
    <w:rsid w:val="00D3593E"/>
    <w:rsid w:val="00D35CBF"/>
    <w:rsid w:val="00D35D33"/>
    <w:rsid w:val="00D35D49"/>
    <w:rsid w:val="00D36227"/>
    <w:rsid w:val="00D36C10"/>
    <w:rsid w:val="00D36C5C"/>
    <w:rsid w:val="00D36C6F"/>
    <w:rsid w:val="00D377F2"/>
    <w:rsid w:val="00D37F95"/>
    <w:rsid w:val="00D40094"/>
    <w:rsid w:val="00D40296"/>
    <w:rsid w:val="00D4040C"/>
    <w:rsid w:val="00D410EF"/>
    <w:rsid w:val="00D412E1"/>
    <w:rsid w:val="00D421BF"/>
    <w:rsid w:val="00D421C1"/>
    <w:rsid w:val="00D421ED"/>
    <w:rsid w:val="00D421FE"/>
    <w:rsid w:val="00D42296"/>
    <w:rsid w:val="00D426CE"/>
    <w:rsid w:val="00D428B5"/>
    <w:rsid w:val="00D42DED"/>
    <w:rsid w:val="00D43682"/>
    <w:rsid w:val="00D43A2E"/>
    <w:rsid w:val="00D43C79"/>
    <w:rsid w:val="00D4417B"/>
    <w:rsid w:val="00D44387"/>
    <w:rsid w:val="00D44679"/>
    <w:rsid w:val="00D45866"/>
    <w:rsid w:val="00D45EF9"/>
    <w:rsid w:val="00D45F6F"/>
    <w:rsid w:val="00D4625D"/>
    <w:rsid w:val="00D46429"/>
    <w:rsid w:val="00D465D9"/>
    <w:rsid w:val="00D46E36"/>
    <w:rsid w:val="00D46F12"/>
    <w:rsid w:val="00D4728D"/>
    <w:rsid w:val="00D4728F"/>
    <w:rsid w:val="00D47A1E"/>
    <w:rsid w:val="00D47FA4"/>
    <w:rsid w:val="00D5044E"/>
    <w:rsid w:val="00D506FC"/>
    <w:rsid w:val="00D5094D"/>
    <w:rsid w:val="00D50C7E"/>
    <w:rsid w:val="00D526DD"/>
    <w:rsid w:val="00D52B5C"/>
    <w:rsid w:val="00D52E14"/>
    <w:rsid w:val="00D536CA"/>
    <w:rsid w:val="00D53822"/>
    <w:rsid w:val="00D53AC3"/>
    <w:rsid w:val="00D54545"/>
    <w:rsid w:val="00D55BD6"/>
    <w:rsid w:val="00D55CEF"/>
    <w:rsid w:val="00D55F0F"/>
    <w:rsid w:val="00D55FCA"/>
    <w:rsid w:val="00D560E7"/>
    <w:rsid w:val="00D5625F"/>
    <w:rsid w:val="00D562A2"/>
    <w:rsid w:val="00D5667C"/>
    <w:rsid w:val="00D5716D"/>
    <w:rsid w:val="00D57470"/>
    <w:rsid w:val="00D57672"/>
    <w:rsid w:val="00D60646"/>
    <w:rsid w:val="00D60BAC"/>
    <w:rsid w:val="00D6188E"/>
    <w:rsid w:val="00D61A6E"/>
    <w:rsid w:val="00D6208C"/>
    <w:rsid w:val="00D62AE7"/>
    <w:rsid w:val="00D62BF7"/>
    <w:rsid w:val="00D63E5A"/>
    <w:rsid w:val="00D644DD"/>
    <w:rsid w:val="00D64E60"/>
    <w:rsid w:val="00D65357"/>
    <w:rsid w:val="00D65474"/>
    <w:rsid w:val="00D65803"/>
    <w:rsid w:val="00D65964"/>
    <w:rsid w:val="00D65980"/>
    <w:rsid w:val="00D65A61"/>
    <w:rsid w:val="00D65D1C"/>
    <w:rsid w:val="00D66EAD"/>
    <w:rsid w:val="00D66F50"/>
    <w:rsid w:val="00D672B9"/>
    <w:rsid w:val="00D67360"/>
    <w:rsid w:val="00D67688"/>
    <w:rsid w:val="00D70A58"/>
    <w:rsid w:val="00D70D5A"/>
    <w:rsid w:val="00D70E32"/>
    <w:rsid w:val="00D70EBB"/>
    <w:rsid w:val="00D70F88"/>
    <w:rsid w:val="00D718FA"/>
    <w:rsid w:val="00D7292B"/>
    <w:rsid w:val="00D73D15"/>
    <w:rsid w:val="00D73DFB"/>
    <w:rsid w:val="00D746A0"/>
    <w:rsid w:val="00D746D4"/>
    <w:rsid w:val="00D74D66"/>
    <w:rsid w:val="00D74E24"/>
    <w:rsid w:val="00D7657B"/>
    <w:rsid w:val="00D76D7C"/>
    <w:rsid w:val="00D76ED8"/>
    <w:rsid w:val="00D7711A"/>
    <w:rsid w:val="00D7768B"/>
    <w:rsid w:val="00D77F0F"/>
    <w:rsid w:val="00D80274"/>
    <w:rsid w:val="00D802C0"/>
    <w:rsid w:val="00D8058B"/>
    <w:rsid w:val="00D80661"/>
    <w:rsid w:val="00D80D11"/>
    <w:rsid w:val="00D8121D"/>
    <w:rsid w:val="00D814B3"/>
    <w:rsid w:val="00D816BD"/>
    <w:rsid w:val="00D8171D"/>
    <w:rsid w:val="00D8196A"/>
    <w:rsid w:val="00D81AB5"/>
    <w:rsid w:val="00D825D8"/>
    <w:rsid w:val="00D8295E"/>
    <w:rsid w:val="00D829EE"/>
    <w:rsid w:val="00D82B50"/>
    <w:rsid w:val="00D83C16"/>
    <w:rsid w:val="00D848E3"/>
    <w:rsid w:val="00D849B9"/>
    <w:rsid w:val="00D84A8D"/>
    <w:rsid w:val="00D84EE1"/>
    <w:rsid w:val="00D85434"/>
    <w:rsid w:val="00D856D0"/>
    <w:rsid w:val="00D8685E"/>
    <w:rsid w:val="00D87420"/>
    <w:rsid w:val="00D87AC2"/>
    <w:rsid w:val="00D87D15"/>
    <w:rsid w:val="00D90730"/>
    <w:rsid w:val="00D90982"/>
    <w:rsid w:val="00D90A14"/>
    <w:rsid w:val="00D91505"/>
    <w:rsid w:val="00D916EE"/>
    <w:rsid w:val="00D919C7"/>
    <w:rsid w:val="00D91ADD"/>
    <w:rsid w:val="00D91EBB"/>
    <w:rsid w:val="00D92188"/>
    <w:rsid w:val="00D92E64"/>
    <w:rsid w:val="00D92F37"/>
    <w:rsid w:val="00D93B08"/>
    <w:rsid w:val="00D94176"/>
    <w:rsid w:val="00D945BD"/>
    <w:rsid w:val="00D95177"/>
    <w:rsid w:val="00D9542D"/>
    <w:rsid w:val="00D95621"/>
    <w:rsid w:val="00D95893"/>
    <w:rsid w:val="00D95BAB"/>
    <w:rsid w:val="00D95EEB"/>
    <w:rsid w:val="00D95FF5"/>
    <w:rsid w:val="00D9600F"/>
    <w:rsid w:val="00D96B56"/>
    <w:rsid w:val="00D96DF8"/>
    <w:rsid w:val="00D96FAE"/>
    <w:rsid w:val="00D975B9"/>
    <w:rsid w:val="00D97B46"/>
    <w:rsid w:val="00D97EAF"/>
    <w:rsid w:val="00D97F6E"/>
    <w:rsid w:val="00DA0763"/>
    <w:rsid w:val="00DA0892"/>
    <w:rsid w:val="00DA0AF1"/>
    <w:rsid w:val="00DA0CA1"/>
    <w:rsid w:val="00DA1286"/>
    <w:rsid w:val="00DA15CF"/>
    <w:rsid w:val="00DA1BD6"/>
    <w:rsid w:val="00DA263F"/>
    <w:rsid w:val="00DA38D8"/>
    <w:rsid w:val="00DA3E5A"/>
    <w:rsid w:val="00DA434E"/>
    <w:rsid w:val="00DA444B"/>
    <w:rsid w:val="00DA4A3B"/>
    <w:rsid w:val="00DA6175"/>
    <w:rsid w:val="00DA61BF"/>
    <w:rsid w:val="00DA629C"/>
    <w:rsid w:val="00DA64FF"/>
    <w:rsid w:val="00DA65F8"/>
    <w:rsid w:val="00DA67CB"/>
    <w:rsid w:val="00DA6A97"/>
    <w:rsid w:val="00DA6C62"/>
    <w:rsid w:val="00DA704B"/>
    <w:rsid w:val="00DA70FF"/>
    <w:rsid w:val="00DA796E"/>
    <w:rsid w:val="00DB0087"/>
    <w:rsid w:val="00DB0121"/>
    <w:rsid w:val="00DB01BD"/>
    <w:rsid w:val="00DB05AA"/>
    <w:rsid w:val="00DB0D84"/>
    <w:rsid w:val="00DB0EB9"/>
    <w:rsid w:val="00DB10A1"/>
    <w:rsid w:val="00DB1321"/>
    <w:rsid w:val="00DB1C87"/>
    <w:rsid w:val="00DB1EB4"/>
    <w:rsid w:val="00DB35B1"/>
    <w:rsid w:val="00DB4BFF"/>
    <w:rsid w:val="00DB4C34"/>
    <w:rsid w:val="00DB526C"/>
    <w:rsid w:val="00DB627A"/>
    <w:rsid w:val="00DB6AB5"/>
    <w:rsid w:val="00DB6AEB"/>
    <w:rsid w:val="00DB6DA1"/>
    <w:rsid w:val="00DB6EE0"/>
    <w:rsid w:val="00DB7504"/>
    <w:rsid w:val="00DB78E3"/>
    <w:rsid w:val="00DB7E52"/>
    <w:rsid w:val="00DC03E0"/>
    <w:rsid w:val="00DC04CA"/>
    <w:rsid w:val="00DC0CB7"/>
    <w:rsid w:val="00DC10CF"/>
    <w:rsid w:val="00DC1150"/>
    <w:rsid w:val="00DC1773"/>
    <w:rsid w:val="00DC1C0D"/>
    <w:rsid w:val="00DC1FB7"/>
    <w:rsid w:val="00DC2647"/>
    <w:rsid w:val="00DC2697"/>
    <w:rsid w:val="00DC2AAB"/>
    <w:rsid w:val="00DC2BF2"/>
    <w:rsid w:val="00DC2CF5"/>
    <w:rsid w:val="00DC2ED0"/>
    <w:rsid w:val="00DC2F21"/>
    <w:rsid w:val="00DC3245"/>
    <w:rsid w:val="00DC543C"/>
    <w:rsid w:val="00DC57A3"/>
    <w:rsid w:val="00DC5813"/>
    <w:rsid w:val="00DC5969"/>
    <w:rsid w:val="00DC6410"/>
    <w:rsid w:val="00DC673F"/>
    <w:rsid w:val="00DC6B01"/>
    <w:rsid w:val="00DC6E3B"/>
    <w:rsid w:val="00DC6F2C"/>
    <w:rsid w:val="00DC72CD"/>
    <w:rsid w:val="00DC7496"/>
    <w:rsid w:val="00DD0195"/>
    <w:rsid w:val="00DD0753"/>
    <w:rsid w:val="00DD0A44"/>
    <w:rsid w:val="00DD0ABD"/>
    <w:rsid w:val="00DD0DC5"/>
    <w:rsid w:val="00DD0EFE"/>
    <w:rsid w:val="00DD0FBF"/>
    <w:rsid w:val="00DD13AB"/>
    <w:rsid w:val="00DD1487"/>
    <w:rsid w:val="00DD181F"/>
    <w:rsid w:val="00DD1E84"/>
    <w:rsid w:val="00DD21D8"/>
    <w:rsid w:val="00DD28B6"/>
    <w:rsid w:val="00DD28E2"/>
    <w:rsid w:val="00DD3124"/>
    <w:rsid w:val="00DD374C"/>
    <w:rsid w:val="00DD387B"/>
    <w:rsid w:val="00DD4552"/>
    <w:rsid w:val="00DD478C"/>
    <w:rsid w:val="00DD5102"/>
    <w:rsid w:val="00DD58A7"/>
    <w:rsid w:val="00DD5E06"/>
    <w:rsid w:val="00DD611D"/>
    <w:rsid w:val="00DD6128"/>
    <w:rsid w:val="00DD6804"/>
    <w:rsid w:val="00DD69F6"/>
    <w:rsid w:val="00DD72BC"/>
    <w:rsid w:val="00DD7912"/>
    <w:rsid w:val="00DD7FF0"/>
    <w:rsid w:val="00DE04DB"/>
    <w:rsid w:val="00DE0D4A"/>
    <w:rsid w:val="00DE172C"/>
    <w:rsid w:val="00DE2187"/>
    <w:rsid w:val="00DE2993"/>
    <w:rsid w:val="00DE2E64"/>
    <w:rsid w:val="00DE315E"/>
    <w:rsid w:val="00DE34C6"/>
    <w:rsid w:val="00DE38EA"/>
    <w:rsid w:val="00DE3F2C"/>
    <w:rsid w:val="00DE458F"/>
    <w:rsid w:val="00DE4A1C"/>
    <w:rsid w:val="00DE5786"/>
    <w:rsid w:val="00DE61A1"/>
    <w:rsid w:val="00DE6923"/>
    <w:rsid w:val="00DE6AEC"/>
    <w:rsid w:val="00DE7463"/>
    <w:rsid w:val="00DE7E8F"/>
    <w:rsid w:val="00DF00D3"/>
    <w:rsid w:val="00DF0978"/>
    <w:rsid w:val="00DF2746"/>
    <w:rsid w:val="00DF3104"/>
    <w:rsid w:val="00DF3197"/>
    <w:rsid w:val="00DF3850"/>
    <w:rsid w:val="00DF39EF"/>
    <w:rsid w:val="00DF46BF"/>
    <w:rsid w:val="00DF4B52"/>
    <w:rsid w:val="00DF4BAA"/>
    <w:rsid w:val="00DF4EB3"/>
    <w:rsid w:val="00DF5FB2"/>
    <w:rsid w:val="00DF6038"/>
    <w:rsid w:val="00DF659F"/>
    <w:rsid w:val="00DF6B5C"/>
    <w:rsid w:val="00DF7240"/>
    <w:rsid w:val="00DF72C3"/>
    <w:rsid w:val="00DF76FD"/>
    <w:rsid w:val="00DF79A5"/>
    <w:rsid w:val="00E00E52"/>
    <w:rsid w:val="00E014E0"/>
    <w:rsid w:val="00E01919"/>
    <w:rsid w:val="00E01FA6"/>
    <w:rsid w:val="00E026B2"/>
    <w:rsid w:val="00E039E1"/>
    <w:rsid w:val="00E03A70"/>
    <w:rsid w:val="00E04753"/>
    <w:rsid w:val="00E04FA8"/>
    <w:rsid w:val="00E05248"/>
    <w:rsid w:val="00E05359"/>
    <w:rsid w:val="00E05FB0"/>
    <w:rsid w:val="00E062AE"/>
    <w:rsid w:val="00E063A2"/>
    <w:rsid w:val="00E06788"/>
    <w:rsid w:val="00E06F60"/>
    <w:rsid w:val="00E070C7"/>
    <w:rsid w:val="00E07FC1"/>
    <w:rsid w:val="00E1066A"/>
    <w:rsid w:val="00E10989"/>
    <w:rsid w:val="00E10B93"/>
    <w:rsid w:val="00E115C4"/>
    <w:rsid w:val="00E116C0"/>
    <w:rsid w:val="00E119C8"/>
    <w:rsid w:val="00E1276E"/>
    <w:rsid w:val="00E12979"/>
    <w:rsid w:val="00E12A6F"/>
    <w:rsid w:val="00E12DAD"/>
    <w:rsid w:val="00E12E9F"/>
    <w:rsid w:val="00E12FEE"/>
    <w:rsid w:val="00E13438"/>
    <w:rsid w:val="00E13858"/>
    <w:rsid w:val="00E13AA2"/>
    <w:rsid w:val="00E13B1E"/>
    <w:rsid w:val="00E13FE9"/>
    <w:rsid w:val="00E1428B"/>
    <w:rsid w:val="00E14421"/>
    <w:rsid w:val="00E144BC"/>
    <w:rsid w:val="00E14AFD"/>
    <w:rsid w:val="00E14F70"/>
    <w:rsid w:val="00E156B2"/>
    <w:rsid w:val="00E15829"/>
    <w:rsid w:val="00E16305"/>
    <w:rsid w:val="00E16B00"/>
    <w:rsid w:val="00E16CC0"/>
    <w:rsid w:val="00E1709A"/>
    <w:rsid w:val="00E17854"/>
    <w:rsid w:val="00E208B2"/>
    <w:rsid w:val="00E20FFC"/>
    <w:rsid w:val="00E21082"/>
    <w:rsid w:val="00E2118D"/>
    <w:rsid w:val="00E214D6"/>
    <w:rsid w:val="00E21831"/>
    <w:rsid w:val="00E21B28"/>
    <w:rsid w:val="00E21C01"/>
    <w:rsid w:val="00E2288A"/>
    <w:rsid w:val="00E22BAD"/>
    <w:rsid w:val="00E235BF"/>
    <w:rsid w:val="00E23683"/>
    <w:rsid w:val="00E23AAE"/>
    <w:rsid w:val="00E244CC"/>
    <w:rsid w:val="00E24894"/>
    <w:rsid w:val="00E24FE3"/>
    <w:rsid w:val="00E25153"/>
    <w:rsid w:val="00E25647"/>
    <w:rsid w:val="00E258EA"/>
    <w:rsid w:val="00E25DEB"/>
    <w:rsid w:val="00E263B5"/>
    <w:rsid w:val="00E264FA"/>
    <w:rsid w:val="00E26962"/>
    <w:rsid w:val="00E26D29"/>
    <w:rsid w:val="00E26F1A"/>
    <w:rsid w:val="00E273B1"/>
    <w:rsid w:val="00E277DA"/>
    <w:rsid w:val="00E30AF7"/>
    <w:rsid w:val="00E310D7"/>
    <w:rsid w:val="00E31CEC"/>
    <w:rsid w:val="00E3220F"/>
    <w:rsid w:val="00E32EED"/>
    <w:rsid w:val="00E3335F"/>
    <w:rsid w:val="00E337EB"/>
    <w:rsid w:val="00E33C00"/>
    <w:rsid w:val="00E33FA6"/>
    <w:rsid w:val="00E340E3"/>
    <w:rsid w:val="00E3415B"/>
    <w:rsid w:val="00E34A2A"/>
    <w:rsid w:val="00E35DE0"/>
    <w:rsid w:val="00E35E9D"/>
    <w:rsid w:val="00E3619F"/>
    <w:rsid w:val="00E3622A"/>
    <w:rsid w:val="00E362E4"/>
    <w:rsid w:val="00E36CD0"/>
    <w:rsid w:val="00E3709E"/>
    <w:rsid w:val="00E3732F"/>
    <w:rsid w:val="00E37725"/>
    <w:rsid w:val="00E37F22"/>
    <w:rsid w:val="00E37FEC"/>
    <w:rsid w:val="00E402CB"/>
    <w:rsid w:val="00E40876"/>
    <w:rsid w:val="00E40C8C"/>
    <w:rsid w:val="00E413D8"/>
    <w:rsid w:val="00E416FE"/>
    <w:rsid w:val="00E419FC"/>
    <w:rsid w:val="00E41A12"/>
    <w:rsid w:val="00E42607"/>
    <w:rsid w:val="00E428FD"/>
    <w:rsid w:val="00E4383E"/>
    <w:rsid w:val="00E44545"/>
    <w:rsid w:val="00E4490E"/>
    <w:rsid w:val="00E4510B"/>
    <w:rsid w:val="00E45499"/>
    <w:rsid w:val="00E459DB"/>
    <w:rsid w:val="00E460B2"/>
    <w:rsid w:val="00E4616A"/>
    <w:rsid w:val="00E46E0B"/>
    <w:rsid w:val="00E46FB9"/>
    <w:rsid w:val="00E471DF"/>
    <w:rsid w:val="00E47360"/>
    <w:rsid w:val="00E47BAF"/>
    <w:rsid w:val="00E5019E"/>
    <w:rsid w:val="00E5040A"/>
    <w:rsid w:val="00E5055B"/>
    <w:rsid w:val="00E5069B"/>
    <w:rsid w:val="00E51121"/>
    <w:rsid w:val="00E51219"/>
    <w:rsid w:val="00E5188E"/>
    <w:rsid w:val="00E51BD4"/>
    <w:rsid w:val="00E52900"/>
    <w:rsid w:val="00E53936"/>
    <w:rsid w:val="00E53B59"/>
    <w:rsid w:val="00E53B89"/>
    <w:rsid w:val="00E54377"/>
    <w:rsid w:val="00E54981"/>
    <w:rsid w:val="00E54A03"/>
    <w:rsid w:val="00E55D63"/>
    <w:rsid w:val="00E55FD7"/>
    <w:rsid w:val="00E564C7"/>
    <w:rsid w:val="00E56BC5"/>
    <w:rsid w:val="00E56C1C"/>
    <w:rsid w:val="00E600D7"/>
    <w:rsid w:val="00E60C62"/>
    <w:rsid w:val="00E6117E"/>
    <w:rsid w:val="00E61291"/>
    <w:rsid w:val="00E613AA"/>
    <w:rsid w:val="00E619E4"/>
    <w:rsid w:val="00E62503"/>
    <w:rsid w:val="00E62729"/>
    <w:rsid w:val="00E62BD7"/>
    <w:rsid w:val="00E633A5"/>
    <w:rsid w:val="00E63568"/>
    <w:rsid w:val="00E63BAC"/>
    <w:rsid w:val="00E63E58"/>
    <w:rsid w:val="00E63E96"/>
    <w:rsid w:val="00E64010"/>
    <w:rsid w:val="00E64144"/>
    <w:rsid w:val="00E6490E"/>
    <w:rsid w:val="00E65775"/>
    <w:rsid w:val="00E65B1B"/>
    <w:rsid w:val="00E65C5A"/>
    <w:rsid w:val="00E66845"/>
    <w:rsid w:val="00E70154"/>
    <w:rsid w:val="00E70168"/>
    <w:rsid w:val="00E70F91"/>
    <w:rsid w:val="00E71154"/>
    <w:rsid w:val="00E71445"/>
    <w:rsid w:val="00E714D2"/>
    <w:rsid w:val="00E7159B"/>
    <w:rsid w:val="00E71902"/>
    <w:rsid w:val="00E71D0A"/>
    <w:rsid w:val="00E71DC7"/>
    <w:rsid w:val="00E72CDD"/>
    <w:rsid w:val="00E738F2"/>
    <w:rsid w:val="00E74173"/>
    <w:rsid w:val="00E7464D"/>
    <w:rsid w:val="00E74872"/>
    <w:rsid w:val="00E74CF6"/>
    <w:rsid w:val="00E7531A"/>
    <w:rsid w:val="00E7547B"/>
    <w:rsid w:val="00E75611"/>
    <w:rsid w:val="00E759C7"/>
    <w:rsid w:val="00E75BE5"/>
    <w:rsid w:val="00E7651B"/>
    <w:rsid w:val="00E772E4"/>
    <w:rsid w:val="00E80069"/>
    <w:rsid w:val="00E809D0"/>
    <w:rsid w:val="00E80BDF"/>
    <w:rsid w:val="00E811A3"/>
    <w:rsid w:val="00E813AD"/>
    <w:rsid w:val="00E8160F"/>
    <w:rsid w:val="00E81F00"/>
    <w:rsid w:val="00E8225E"/>
    <w:rsid w:val="00E82981"/>
    <w:rsid w:val="00E82C34"/>
    <w:rsid w:val="00E8368E"/>
    <w:rsid w:val="00E83838"/>
    <w:rsid w:val="00E84392"/>
    <w:rsid w:val="00E8465F"/>
    <w:rsid w:val="00E84B95"/>
    <w:rsid w:val="00E869BC"/>
    <w:rsid w:val="00E86E53"/>
    <w:rsid w:val="00E874CC"/>
    <w:rsid w:val="00E87CB1"/>
    <w:rsid w:val="00E902C5"/>
    <w:rsid w:val="00E913BE"/>
    <w:rsid w:val="00E91532"/>
    <w:rsid w:val="00E91789"/>
    <w:rsid w:val="00E919D4"/>
    <w:rsid w:val="00E91E9B"/>
    <w:rsid w:val="00E9204F"/>
    <w:rsid w:val="00E9280D"/>
    <w:rsid w:val="00E929D3"/>
    <w:rsid w:val="00E92E5B"/>
    <w:rsid w:val="00E93325"/>
    <w:rsid w:val="00E946C1"/>
    <w:rsid w:val="00E94880"/>
    <w:rsid w:val="00E9515E"/>
    <w:rsid w:val="00E953D2"/>
    <w:rsid w:val="00E963DD"/>
    <w:rsid w:val="00E96A63"/>
    <w:rsid w:val="00E96C21"/>
    <w:rsid w:val="00E96E0E"/>
    <w:rsid w:val="00E97014"/>
    <w:rsid w:val="00E9724F"/>
    <w:rsid w:val="00E9777E"/>
    <w:rsid w:val="00E9782F"/>
    <w:rsid w:val="00E97849"/>
    <w:rsid w:val="00E97EA6"/>
    <w:rsid w:val="00EA0031"/>
    <w:rsid w:val="00EA0C6D"/>
    <w:rsid w:val="00EA11EF"/>
    <w:rsid w:val="00EA1275"/>
    <w:rsid w:val="00EA1D90"/>
    <w:rsid w:val="00EA1EDE"/>
    <w:rsid w:val="00EA1FE4"/>
    <w:rsid w:val="00EA2242"/>
    <w:rsid w:val="00EA233A"/>
    <w:rsid w:val="00EA2975"/>
    <w:rsid w:val="00EA31A5"/>
    <w:rsid w:val="00EA33E3"/>
    <w:rsid w:val="00EA3D52"/>
    <w:rsid w:val="00EA4457"/>
    <w:rsid w:val="00EA4700"/>
    <w:rsid w:val="00EA488F"/>
    <w:rsid w:val="00EA4B97"/>
    <w:rsid w:val="00EA4D0B"/>
    <w:rsid w:val="00EA4F4B"/>
    <w:rsid w:val="00EA4F56"/>
    <w:rsid w:val="00EA5C9B"/>
    <w:rsid w:val="00EA6C9D"/>
    <w:rsid w:val="00EA6EC1"/>
    <w:rsid w:val="00EA718E"/>
    <w:rsid w:val="00EA732C"/>
    <w:rsid w:val="00EB04F4"/>
    <w:rsid w:val="00EB0A0E"/>
    <w:rsid w:val="00EB0C95"/>
    <w:rsid w:val="00EB2343"/>
    <w:rsid w:val="00EB2BF4"/>
    <w:rsid w:val="00EB3A0F"/>
    <w:rsid w:val="00EB3B21"/>
    <w:rsid w:val="00EB4465"/>
    <w:rsid w:val="00EB487E"/>
    <w:rsid w:val="00EB4DFF"/>
    <w:rsid w:val="00EB55AA"/>
    <w:rsid w:val="00EB583A"/>
    <w:rsid w:val="00EB6068"/>
    <w:rsid w:val="00EB63D8"/>
    <w:rsid w:val="00EB6E54"/>
    <w:rsid w:val="00EB7271"/>
    <w:rsid w:val="00EB7712"/>
    <w:rsid w:val="00EB7B33"/>
    <w:rsid w:val="00EC014E"/>
    <w:rsid w:val="00EC076E"/>
    <w:rsid w:val="00EC07C9"/>
    <w:rsid w:val="00EC0F2A"/>
    <w:rsid w:val="00EC1367"/>
    <w:rsid w:val="00EC1937"/>
    <w:rsid w:val="00EC1DDC"/>
    <w:rsid w:val="00EC1E39"/>
    <w:rsid w:val="00EC246B"/>
    <w:rsid w:val="00EC2EB5"/>
    <w:rsid w:val="00EC32A9"/>
    <w:rsid w:val="00EC3794"/>
    <w:rsid w:val="00EC3919"/>
    <w:rsid w:val="00EC40E3"/>
    <w:rsid w:val="00EC5803"/>
    <w:rsid w:val="00EC651E"/>
    <w:rsid w:val="00EC6565"/>
    <w:rsid w:val="00EC7C83"/>
    <w:rsid w:val="00ED044C"/>
    <w:rsid w:val="00ED0ABE"/>
    <w:rsid w:val="00ED0C80"/>
    <w:rsid w:val="00ED1308"/>
    <w:rsid w:val="00ED1552"/>
    <w:rsid w:val="00ED1CB8"/>
    <w:rsid w:val="00ED2D6A"/>
    <w:rsid w:val="00ED333C"/>
    <w:rsid w:val="00ED4359"/>
    <w:rsid w:val="00ED46CB"/>
    <w:rsid w:val="00ED4A58"/>
    <w:rsid w:val="00ED59AB"/>
    <w:rsid w:val="00ED5E04"/>
    <w:rsid w:val="00ED63A7"/>
    <w:rsid w:val="00ED6C8C"/>
    <w:rsid w:val="00ED6FDA"/>
    <w:rsid w:val="00ED773A"/>
    <w:rsid w:val="00ED7A2D"/>
    <w:rsid w:val="00EE0393"/>
    <w:rsid w:val="00EE18D6"/>
    <w:rsid w:val="00EE1A41"/>
    <w:rsid w:val="00EE2611"/>
    <w:rsid w:val="00EE2AA5"/>
    <w:rsid w:val="00EE3CF4"/>
    <w:rsid w:val="00EE3D1F"/>
    <w:rsid w:val="00EE5379"/>
    <w:rsid w:val="00EE6468"/>
    <w:rsid w:val="00EE6A03"/>
    <w:rsid w:val="00EE6D19"/>
    <w:rsid w:val="00EE6FAA"/>
    <w:rsid w:val="00EE7343"/>
    <w:rsid w:val="00EE7878"/>
    <w:rsid w:val="00EE7883"/>
    <w:rsid w:val="00EE797F"/>
    <w:rsid w:val="00EE7B54"/>
    <w:rsid w:val="00EF02C4"/>
    <w:rsid w:val="00EF0729"/>
    <w:rsid w:val="00EF0CB3"/>
    <w:rsid w:val="00EF0CBA"/>
    <w:rsid w:val="00EF10DC"/>
    <w:rsid w:val="00EF1BFE"/>
    <w:rsid w:val="00EF1D80"/>
    <w:rsid w:val="00EF1DAA"/>
    <w:rsid w:val="00EF1EDC"/>
    <w:rsid w:val="00EF21D3"/>
    <w:rsid w:val="00EF283F"/>
    <w:rsid w:val="00EF36E7"/>
    <w:rsid w:val="00EF37A0"/>
    <w:rsid w:val="00EF37BE"/>
    <w:rsid w:val="00EF3D0E"/>
    <w:rsid w:val="00EF3EE3"/>
    <w:rsid w:val="00EF467B"/>
    <w:rsid w:val="00EF4ABE"/>
    <w:rsid w:val="00EF4E3C"/>
    <w:rsid w:val="00EF5824"/>
    <w:rsid w:val="00EF585B"/>
    <w:rsid w:val="00EF5CA6"/>
    <w:rsid w:val="00EF65E3"/>
    <w:rsid w:val="00EF68E5"/>
    <w:rsid w:val="00EF6F62"/>
    <w:rsid w:val="00EF7125"/>
    <w:rsid w:val="00EF7D19"/>
    <w:rsid w:val="00EF7E93"/>
    <w:rsid w:val="00F005C5"/>
    <w:rsid w:val="00F01042"/>
    <w:rsid w:val="00F01148"/>
    <w:rsid w:val="00F014CA"/>
    <w:rsid w:val="00F01596"/>
    <w:rsid w:val="00F01C6B"/>
    <w:rsid w:val="00F0266A"/>
    <w:rsid w:val="00F039D2"/>
    <w:rsid w:val="00F03AD7"/>
    <w:rsid w:val="00F04587"/>
    <w:rsid w:val="00F04954"/>
    <w:rsid w:val="00F04C13"/>
    <w:rsid w:val="00F04D63"/>
    <w:rsid w:val="00F04DD3"/>
    <w:rsid w:val="00F05090"/>
    <w:rsid w:val="00F05323"/>
    <w:rsid w:val="00F05D4A"/>
    <w:rsid w:val="00F067CA"/>
    <w:rsid w:val="00F0682B"/>
    <w:rsid w:val="00F068F4"/>
    <w:rsid w:val="00F06A9A"/>
    <w:rsid w:val="00F06CAB"/>
    <w:rsid w:val="00F06DCE"/>
    <w:rsid w:val="00F06FDF"/>
    <w:rsid w:val="00F07149"/>
    <w:rsid w:val="00F07534"/>
    <w:rsid w:val="00F076F6"/>
    <w:rsid w:val="00F07B5C"/>
    <w:rsid w:val="00F07E3E"/>
    <w:rsid w:val="00F1059B"/>
    <w:rsid w:val="00F106CA"/>
    <w:rsid w:val="00F10E0D"/>
    <w:rsid w:val="00F11217"/>
    <w:rsid w:val="00F11B46"/>
    <w:rsid w:val="00F11BE0"/>
    <w:rsid w:val="00F11C7E"/>
    <w:rsid w:val="00F11CAE"/>
    <w:rsid w:val="00F12468"/>
    <w:rsid w:val="00F132CF"/>
    <w:rsid w:val="00F13564"/>
    <w:rsid w:val="00F13FDE"/>
    <w:rsid w:val="00F1424E"/>
    <w:rsid w:val="00F14319"/>
    <w:rsid w:val="00F14EFD"/>
    <w:rsid w:val="00F15BD5"/>
    <w:rsid w:val="00F15C2D"/>
    <w:rsid w:val="00F162DD"/>
    <w:rsid w:val="00F16819"/>
    <w:rsid w:val="00F16A14"/>
    <w:rsid w:val="00F1708C"/>
    <w:rsid w:val="00F17B25"/>
    <w:rsid w:val="00F20027"/>
    <w:rsid w:val="00F20A85"/>
    <w:rsid w:val="00F21AE2"/>
    <w:rsid w:val="00F21CDC"/>
    <w:rsid w:val="00F21D6E"/>
    <w:rsid w:val="00F220DA"/>
    <w:rsid w:val="00F222E2"/>
    <w:rsid w:val="00F22330"/>
    <w:rsid w:val="00F22450"/>
    <w:rsid w:val="00F237B7"/>
    <w:rsid w:val="00F23F02"/>
    <w:rsid w:val="00F23FC6"/>
    <w:rsid w:val="00F24D5D"/>
    <w:rsid w:val="00F25874"/>
    <w:rsid w:val="00F25A57"/>
    <w:rsid w:val="00F2615C"/>
    <w:rsid w:val="00F26259"/>
    <w:rsid w:val="00F26384"/>
    <w:rsid w:val="00F26482"/>
    <w:rsid w:val="00F26CB7"/>
    <w:rsid w:val="00F270A2"/>
    <w:rsid w:val="00F27663"/>
    <w:rsid w:val="00F3003C"/>
    <w:rsid w:val="00F30297"/>
    <w:rsid w:val="00F305BB"/>
    <w:rsid w:val="00F318D2"/>
    <w:rsid w:val="00F32568"/>
    <w:rsid w:val="00F32A47"/>
    <w:rsid w:val="00F32A75"/>
    <w:rsid w:val="00F33C12"/>
    <w:rsid w:val="00F33FD8"/>
    <w:rsid w:val="00F344EE"/>
    <w:rsid w:val="00F345E7"/>
    <w:rsid w:val="00F34B58"/>
    <w:rsid w:val="00F34C4E"/>
    <w:rsid w:val="00F34F97"/>
    <w:rsid w:val="00F35678"/>
    <w:rsid w:val="00F35881"/>
    <w:rsid w:val="00F35C61"/>
    <w:rsid w:val="00F35CC6"/>
    <w:rsid w:val="00F363C9"/>
    <w:rsid w:val="00F36752"/>
    <w:rsid w:val="00F36BCF"/>
    <w:rsid w:val="00F36C6D"/>
    <w:rsid w:val="00F36E3E"/>
    <w:rsid w:val="00F37201"/>
    <w:rsid w:val="00F3745A"/>
    <w:rsid w:val="00F37D92"/>
    <w:rsid w:val="00F4057B"/>
    <w:rsid w:val="00F40960"/>
    <w:rsid w:val="00F40A51"/>
    <w:rsid w:val="00F41196"/>
    <w:rsid w:val="00F412C6"/>
    <w:rsid w:val="00F417A0"/>
    <w:rsid w:val="00F418B9"/>
    <w:rsid w:val="00F41B8E"/>
    <w:rsid w:val="00F41B98"/>
    <w:rsid w:val="00F41D90"/>
    <w:rsid w:val="00F41F27"/>
    <w:rsid w:val="00F42480"/>
    <w:rsid w:val="00F4258C"/>
    <w:rsid w:val="00F42676"/>
    <w:rsid w:val="00F42C26"/>
    <w:rsid w:val="00F438F7"/>
    <w:rsid w:val="00F43BBD"/>
    <w:rsid w:val="00F43C3F"/>
    <w:rsid w:val="00F43D4F"/>
    <w:rsid w:val="00F43F12"/>
    <w:rsid w:val="00F44F88"/>
    <w:rsid w:val="00F452D4"/>
    <w:rsid w:val="00F453D1"/>
    <w:rsid w:val="00F45D5B"/>
    <w:rsid w:val="00F45E4A"/>
    <w:rsid w:val="00F45FB1"/>
    <w:rsid w:val="00F46282"/>
    <w:rsid w:val="00F462B5"/>
    <w:rsid w:val="00F467A0"/>
    <w:rsid w:val="00F469F8"/>
    <w:rsid w:val="00F46A38"/>
    <w:rsid w:val="00F4733D"/>
    <w:rsid w:val="00F474F8"/>
    <w:rsid w:val="00F478EA"/>
    <w:rsid w:val="00F47E30"/>
    <w:rsid w:val="00F47ECD"/>
    <w:rsid w:val="00F50A9B"/>
    <w:rsid w:val="00F50C52"/>
    <w:rsid w:val="00F5121C"/>
    <w:rsid w:val="00F5276E"/>
    <w:rsid w:val="00F53672"/>
    <w:rsid w:val="00F5441B"/>
    <w:rsid w:val="00F54D51"/>
    <w:rsid w:val="00F55306"/>
    <w:rsid w:val="00F55E53"/>
    <w:rsid w:val="00F55F17"/>
    <w:rsid w:val="00F56F6A"/>
    <w:rsid w:val="00F606D1"/>
    <w:rsid w:val="00F60896"/>
    <w:rsid w:val="00F60B60"/>
    <w:rsid w:val="00F60FC9"/>
    <w:rsid w:val="00F61639"/>
    <w:rsid w:val="00F61D5A"/>
    <w:rsid w:val="00F61F36"/>
    <w:rsid w:val="00F6417C"/>
    <w:rsid w:val="00F64462"/>
    <w:rsid w:val="00F66C46"/>
    <w:rsid w:val="00F66C6E"/>
    <w:rsid w:val="00F677AA"/>
    <w:rsid w:val="00F679C5"/>
    <w:rsid w:val="00F67E34"/>
    <w:rsid w:val="00F70023"/>
    <w:rsid w:val="00F70FC9"/>
    <w:rsid w:val="00F71AF7"/>
    <w:rsid w:val="00F71B28"/>
    <w:rsid w:val="00F72208"/>
    <w:rsid w:val="00F72E83"/>
    <w:rsid w:val="00F72F04"/>
    <w:rsid w:val="00F73716"/>
    <w:rsid w:val="00F73A8E"/>
    <w:rsid w:val="00F7577D"/>
    <w:rsid w:val="00F76999"/>
    <w:rsid w:val="00F8013F"/>
    <w:rsid w:val="00F80B7C"/>
    <w:rsid w:val="00F80E9E"/>
    <w:rsid w:val="00F81820"/>
    <w:rsid w:val="00F81F92"/>
    <w:rsid w:val="00F82421"/>
    <w:rsid w:val="00F82908"/>
    <w:rsid w:val="00F82AFD"/>
    <w:rsid w:val="00F8366E"/>
    <w:rsid w:val="00F84902"/>
    <w:rsid w:val="00F85169"/>
    <w:rsid w:val="00F8522B"/>
    <w:rsid w:val="00F854D8"/>
    <w:rsid w:val="00F85D46"/>
    <w:rsid w:val="00F864BE"/>
    <w:rsid w:val="00F86B48"/>
    <w:rsid w:val="00F86FF4"/>
    <w:rsid w:val="00F90137"/>
    <w:rsid w:val="00F90172"/>
    <w:rsid w:val="00F903FA"/>
    <w:rsid w:val="00F905F4"/>
    <w:rsid w:val="00F90D2C"/>
    <w:rsid w:val="00F90DAE"/>
    <w:rsid w:val="00F91467"/>
    <w:rsid w:val="00F9169B"/>
    <w:rsid w:val="00F916AC"/>
    <w:rsid w:val="00F9172C"/>
    <w:rsid w:val="00F91BC3"/>
    <w:rsid w:val="00F91CF3"/>
    <w:rsid w:val="00F92187"/>
    <w:rsid w:val="00F92A23"/>
    <w:rsid w:val="00F93358"/>
    <w:rsid w:val="00F935D3"/>
    <w:rsid w:val="00F9368D"/>
    <w:rsid w:val="00F93840"/>
    <w:rsid w:val="00F93F64"/>
    <w:rsid w:val="00F94001"/>
    <w:rsid w:val="00F9411A"/>
    <w:rsid w:val="00F9448C"/>
    <w:rsid w:val="00F94525"/>
    <w:rsid w:val="00F9496A"/>
    <w:rsid w:val="00F9571C"/>
    <w:rsid w:val="00F95B90"/>
    <w:rsid w:val="00F95C76"/>
    <w:rsid w:val="00F95E4E"/>
    <w:rsid w:val="00F963AB"/>
    <w:rsid w:val="00F971DA"/>
    <w:rsid w:val="00F97503"/>
    <w:rsid w:val="00F97788"/>
    <w:rsid w:val="00F9790E"/>
    <w:rsid w:val="00F97B88"/>
    <w:rsid w:val="00F97C1D"/>
    <w:rsid w:val="00F97F6E"/>
    <w:rsid w:val="00FA0719"/>
    <w:rsid w:val="00FA1B72"/>
    <w:rsid w:val="00FA1DA9"/>
    <w:rsid w:val="00FA1DFB"/>
    <w:rsid w:val="00FA1E13"/>
    <w:rsid w:val="00FA1F4A"/>
    <w:rsid w:val="00FA1FFE"/>
    <w:rsid w:val="00FA2565"/>
    <w:rsid w:val="00FA276E"/>
    <w:rsid w:val="00FA2ED0"/>
    <w:rsid w:val="00FA3211"/>
    <w:rsid w:val="00FA3346"/>
    <w:rsid w:val="00FA343C"/>
    <w:rsid w:val="00FA4477"/>
    <w:rsid w:val="00FA4879"/>
    <w:rsid w:val="00FA5049"/>
    <w:rsid w:val="00FA57D4"/>
    <w:rsid w:val="00FA5853"/>
    <w:rsid w:val="00FA5C05"/>
    <w:rsid w:val="00FA6182"/>
    <w:rsid w:val="00FA68EA"/>
    <w:rsid w:val="00FA6AA4"/>
    <w:rsid w:val="00FA6BCB"/>
    <w:rsid w:val="00FA6BFF"/>
    <w:rsid w:val="00FA6CF4"/>
    <w:rsid w:val="00FA6F29"/>
    <w:rsid w:val="00FA6FFC"/>
    <w:rsid w:val="00FA7507"/>
    <w:rsid w:val="00FA765F"/>
    <w:rsid w:val="00FA78C9"/>
    <w:rsid w:val="00FA7ADF"/>
    <w:rsid w:val="00FA7FCF"/>
    <w:rsid w:val="00FB00A5"/>
    <w:rsid w:val="00FB01C5"/>
    <w:rsid w:val="00FB04B2"/>
    <w:rsid w:val="00FB0791"/>
    <w:rsid w:val="00FB0DE0"/>
    <w:rsid w:val="00FB0E7F"/>
    <w:rsid w:val="00FB0EC4"/>
    <w:rsid w:val="00FB0F86"/>
    <w:rsid w:val="00FB13A2"/>
    <w:rsid w:val="00FB1566"/>
    <w:rsid w:val="00FB18C7"/>
    <w:rsid w:val="00FB1B74"/>
    <w:rsid w:val="00FB2B38"/>
    <w:rsid w:val="00FB2FD1"/>
    <w:rsid w:val="00FB3209"/>
    <w:rsid w:val="00FB36CF"/>
    <w:rsid w:val="00FB37E2"/>
    <w:rsid w:val="00FB3A8D"/>
    <w:rsid w:val="00FB3B0B"/>
    <w:rsid w:val="00FB47CA"/>
    <w:rsid w:val="00FB5422"/>
    <w:rsid w:val="00FB5EF9"/>
    <w:rsid w:val="00FB5F82"/>
    <w:rsid w:val="00FB68CE"/>
    <w:rsid w:val="00FB6ABB"/>
    <w:rsid w:val="00FB6BBD"/>
    <w:rsid w:val="00FB6D41"/>
    <w:rsid w:val="00FB7424"/>
    <w:rsid w:val="00FB7453"/>
    <w:rsid w:val="00FC0627"/>
    <w:rsid w:val="00FC2223"/>
    <w:rsid w:val="00FC2781"/>
    <w:rsid w:val="00FC294E"/>
    <w:rsid w:val="00FC2DF9"/>
    <w:rsid w:val="00FC328E"/>
    <w:rsid w:val="00FC3988"/>
    <w:rsid w:val="00FC3CD5"/>
    <w:rsid w:val="00FC3CD9"/>
    <w:rsid w:val="00FC3D5C"/>
    <w:rsid w:val="00FC4926"/>
    <w:rsid w:val="00FC49FB"/>
    <w:rsid w:val="00FC4DFC"/>
    <w:rsid w:val="00FC4F85"/>
    <w:rsid w:val="00FC5018"/>
    <w:rsid w:val="00FC5714"/>
    <w:rsid w:val="00FC6690"/>
    <w:rsid w:val="00FC69C6"/>
    <w:rsid w:val="00FC6A5C"/>
    <w:rsid w:val="00FC7207"/>
    <w:rsid w:val="00FC764B"/>
    <w:rsid w:val="00FC7705"/>
    <w:rsid w:val="00FD0165"/>
    <w:rsid w:val="00FD0615"/>
    <w:rsid w:val="00FD1058"/>
    <w:rsid w:val="00FD13BE"/>
    <w:rsid w:val="00FD1810"/>
    <w:rsid w:val="00FD2291"/>
    <w:rsid w:val="00FD2DD6"/>
    <w:rsid w:val="00FD34FB"/>
    <w:rsid w:val="00FD3D76"/>
    <w:rsid w:val="00FD4395"/>
    <w:rsid w:val="00FD4506"/>
    <w:rsid w:val="00FD5594"/>
    <w:rsid w:val="00FD5FE9"/>
    <w:rsid w:val="00FD6CA6"/>
    <w:rsid w:val="00FD6F7A"/>
    <w:rsid w:val="00FE08C6"/>
    <w:rsid w:val="00FE0A89"/>
    <w:rsid w:val="00FE0F7C"/>
    <w:rsid w:val="00FE1AC5"/>
    <w:rsid w:val="00FE1E25"/>
    <w:rsid w:val="00FE225E"/>
    <w:rsid w:val="00FE2411"/>
    <w:rsid w:val="00FE24E2"/>
    <w:rsid w:val="00FE3316"/>
    <w:rsid w:val="00FE3463"/>
    <w:rsid w:val="00FE34DF"/>
    <w:rsid w:val="00FE3545"/>
    <w:rsid w:val="00FE3EDC"/>
    <w:rsid w:val="00FE4530"/>
    <w:rsid w:val="00FE4794"/>
    <w:rsid w:val="00FE5B73"/>
    <w:rsid w:val="00FE626B"/>
    <w:rsid w:val="00FE7001"/>
    <w:rsid w:val="00FE7243"/>
    <w:rsid w:val="00FE7FF7"/>
    <w:rsid w:val="00FF06F2"/>
    <w:rsid w:val="00FF091C"/>
    <w:rsid w:val="00FF09AC"/>
    <w:rsid w:val="00FF0B89"/>
    <w:rsid w:val="00FF0C4F"/>
    <w:rsid w:val="00FF0DC5"/>
    <w:rsid w:val="00FF117F"/>
    <w:rsid w:val="00FF1607"/>
    <w:rsid w:val="00FF17BF"/>
    <w:rsid w:val="00FF2079"/>
    <w:rsid w:val="00FF2F98"/>
    <w:rsid w:val="00FF3103"/>
    <w:rsid w:val="00FF327E"/>
    <w:rsid w:val="00FF3A1B"/>
    <w:rsid w:val="00FF3E6D"/>
    <w:rsid w:val="00FF4224"/>
    <w:rsid w:val="00FF492D"/>
    <w:rsid w:val="00FF59D2"/>
    <w:rsid w:val="00FF5AEE"/>
    <w:rsid w:val="00FF5F93"/>
    <w:rsid w:val="00FF6BA3"/>
    <w:rsid w:val="00FF7041"/>
    <w:rsid w:val="00FF7203"/>
    <w:rsid w:val="00FF74D0"/>
    <w:rsid w:val="00FF76FB"/>
  </w:rsids>
  <m:mathPr>
    <m:mathFont m:val="Cambria Math"/>
    <m:brkBin m:val="before"/>
    <m:brkBinSub m:val="--"/>
    <m:smallFrac m:val="0"/>
    <m:dispDef/>
    <m:lMargin m:val="0"/>
    <m:rMargin m:val="0"/>
    <m:defJc m:val="centerGroup"/>
    <m:wrapIndent m:val="1440"/>
    <m:intLim m:val="subSup"/>
    <m:naryLim m:val="undOvr"/>
  </m:mathPr>
  <w:themeFontLang w:val="en-CA"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F0FAD"/>
  <w15:docId w15:val="{F0EC3C97-2A6D-45ED-A24D-903FE040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48C"/>
    <w:rPr>
      <w:rFonts w:cstheme="minorBidi"/>
      <w:szCs w:val="22"/>
    </w:rPr>
  </w:style>
  <w:style w:type="paragraph" w:styleId="Heading1">
    <w:name w:val="heading 1"/>
    <w:basedOn w:val="Normal"/>
    <w:next w:val="Normal"/>
    <w:link w:val="Heading1Char"/>
    <w:uiPriority w:val="9"/>
    <w:qFormat/>
    <w:rsid w:val="00C857D5"/>
    <w:pPr>
      <w:keepNext/>
      <w:keepLines/>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C857D5"/>
    <w:pPr>
      <w:keepNext/>
      <w:keepLines/>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C857D5"/>
    <w:pPr>
      <w:keepNext/>
      <w:outlineLvl w:val="2"/>
    </w:pPr>
    <w:rPr>
      <w:rFonts w:eastAsia="Times New Roman"/>
      <w:bCs/>
      <w:szCs w:val="26"/>
      <w:u w:val="single"/>
    </w:rPr>
  </w:style>
  <w:style w:type="paragraph" w:styleId="Heading4">
    <w:name w:val="heading 4"/>
    <w:basedOn w:val="Normal"/>
    <w:next w:val="Normal"/>
    <w:link w:val="Heading4Char"/>
    <w:uiPriority w:val="9"/>
    <w:unhideWhenUsed/>
    <w:qFormat/>
    <w:rsid w:val="00EB04F4"/>
    <w:pPr>
      <w:keepNext/>
      <w:keepLines/>
      <w:numPr>
        <w:ilvl w:val="3"/>
        <w:numId w:val="1"/>
      </w:numPr>
      <w:outlineLvl w:val="3"/>
    </w:pPr>
    <w:rPr>
      <w:rFonts w:eastAsiaTheme="majorEastAsia" w:cstheme="majorBidi"/>
      <w:bCs/>
      <w:i/>
      <w:iCs/>
    </w:rPr>
  </w:style>
  <w:style w:type="paragraph" w:styleId="Heading5">
    <w:name w:val="heading 5"/>
    <w:basedOn w:val="Normal"/>
    <w:next w:val="Normal"/>
    <w:link w:val="Heading5Char"/>
    <w:uiPriority w:val="9"/>
    <w:unhideWhenUsed/>
    <w:qFormat/>
    <w:rsid w:val="00C01BBA"/>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1BB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1BB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1BB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1BB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B04F4"/>
    <w:rPr>
      <w:rFonts w:eastAsia="Times New Roman" w:cstheme="minorBidi"/>
      <w:bCs/>
      <w:szCs w:val="26"/>
      <w:u w:val="single"/>
    </w:rPr>
  </w:style>
  <w:style w:type="paragraph" w:styleId="ListParagraph">
    <w:name w:val="List Paragraph"/>
    <w:basedOn w:val="Normal"/>
    <w:uiPriority w:val="34"/>
    <w:qFormat/>
    <w:rsid w:val="00DD387B"/>
    <w:pPr>
      <w:ind w:left="720"/>
      <w:contextualSpacing/>
    </w:pPr>
  </w:style>
  <w:style w:type="character" w:customStyle="1" w:styleId="Heading1Char">
    <w:name w:val="Heading 1 Char"/>
    <w:basedOn w:val="DefaultParagraphFont"/>
    <w:link w:val="Heading1"/>
    <w:uiPriority w:val="9"/>
    <w:rsid w:val="00B66C53"/>
    <w:rPr>
      <w:rFonts w:eastAsiaTheme="majorEastAsia" w:cstheme="majorBidi"/>
      <w:b/>
      <w:bCs/>
      <w:color w:val="000000" w:themeColor="text1"/>
      <w:szCs w:val="28"/>
    </w:rPr>
  </w:style>
  <w:style w:type="character" w:customStyle="1" w:styleId="Heading2Char">
    <w:name w:val="Heading 2 Char"/>
    <w:basedOn w:val="DefaultParagraphFont"/>
    <w:link w:val="Heading2"/>
    <w:uiPriority w:val="9"/>
    <w:rsid w:val="00641E20"/>
    <w:rPr>
      <w:rFonts w:eastAsiaTheme="majorEastAsia" w:cstheme="majorBidi"/>
      <w:b/>
      <w:bCs/>
      <w:color w:val="000000" w:themeColor="text1"/>
      <w:szCs w:val="26"/>
    </w:rPr>
  </w:style>
  <w:style w:type="paragraph" w:styleId="FootnoteText">
    <w:name w:val="footnote text"/>
    <w:basedOn w:val="Normal"/>
    <w:link w:val="FootnoteTextChar"/>
    <w:uiPriority w:val="99"/>
    <w:unhideWhenUsed/>
    <w:rsid w:val="00A13DAE"/>
    <w:rPr>
      <w:sz w:val="20"/>
      <w:szCs w:val="20"/>
    </w:rPr>
  </w:style>
  <w:style w:type="character" w:customStyle="1" w:styleId="FootnoteTextChar">
    <w:name w:val="Footnote Text Char"/>
    <w:basedOn w:val="DefaultParagraphFont"/>
    <w:link w:val="FootnoteText"/>
    <w:uiPriority w:val="99"/>
    <w:rsid w:val="00A13DAE"/>
    <w:rPr>
      <w:rFonts w:cstheme="minorBidi"/>
      <w:sz w:val="20"/>
      <w:szCs w:val="20"/>
    </w:rPr>
  </w:style>
  <w:style w:type="character" w:styleId="FootnoteReference">
    <w:name w:val="footnote reference"/>
    <w:basedOn w:val="DefaultParagraphFont"/>
    <w:uiPriority w:val="99"/>
    <w:semiHidden/>
    <w:unhideWhenUsed/>
    <w:rsid w:val="00A13DAE"/>
    <w:rPr>
      <w:vertAlign w:val="superscript"/>
    </w:rPr>
  </w:style>
  <w:style w:type="character" w:customStyle="1" w:styleId="Heading4Char">
    <w:name w:val="Heading 4 Char"/>
    <w:basedOn w:val="DefaultParagraphFont"/>
    <w:link w:val="Heading4"/>
    <w:uiPriority w:val="9"/>
    <w:rsid w:val="00EB04F4"/>
    <w:rPr>
      <w:rFonts w:eastAsiaTheme="majorEastAsia" w:cstheme="majorBidi"/>
      <w:bCs/>
      <w:i/>
      <w:iCs/>
      <w:szCs w:val="22"/>
    </w:rPr>
  </w:style>
  <w:style w:type="character" w:customStyle="1" w:styleId="Heading5Char">
    <w:name w:val="Heading 5 Char"/>
    <w:basedOn w:val="DefaultParagraphFont"/>
    <w:link w:val="Heading5"/>
    <w:uiPriority w:val="9"/>
    <w:rsid w:val="00C01BBA"/>
    <w:rPr>
      <w:rFonts w:asciiTheme="majorHAnsi" w:eastAsiaTheme="majorEastAsia" w:hAnsiTheme="majorHAnsi" w:cstheme="majorBidi"/>
      <w:color w:val="243F60" w:themeColor="accent1" w:themeShade="7F"/>
      <w:szCs w:val="22"/>
    </w:rPr>
  </w:style>
  <w:style w:type="character" w:customStyle="1" w:styleId="Heading6Char">
    <w:name w:val="Heading 6 Char"/>
    <w:basedOn w:val="DefaultParagraphFont"/>
    <w:link w:val="Heading6"/>
    <w:uiPriority w:val="9"/>
    <w:semiHidden/>
    <w:rsid w:val="00C01BBA"/>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C01BBA"/>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semiHidden/>
    <w:rsid w:val="00C01B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1BB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D57672"/>
    <w:rPr>
      <w:rFonts w:ascii="Tahoma" w:hAnsi="Tahoma" w:cs="Tahoma"/>
      <w:sz w:val="16"/>
      <w:szCs w:val="16"/>
    </w:rPr>
  </w:style>
  <w:style w:type="character" w:customStyle="1" w:styleId="BalloonTextChar">
    <w:name w:val="Balloon Text Char"/>
    <w:basedOn w:val="DefaultParagraphFont"/>
    <w:link w:val="BalloonText"/>
    <w:uiPriority w:val="99"/>
    <w:semiHidden/>
    <w:rsid w:val="00D57672"/>
    <w:rPr>
      <w:rFonts w:ascii="Tahoma" w:hAnsi="Tahoma" w:cs="Tahoma"/>
      <w:sz w:val="16"/>
      <w:szCs w:val="16"/>
    </w:rPr>
  </w:style>
  <w:style w:type="paragraph" w:styleId="Header">
    <w:name w:val="header"/>
    <w:basedOn w:val="Normal"/>
    <w:link w:val="HeaderChar"/>
    <w:uiPriority w:val="99"/>
    <w:unhideWhenUsed/>
    <w:rsid w:val="004846E9"/>
    <w:pPr>
      <w:tabs>
        <w:tab w:val="center" w:pos="4680"/>
        <w:tab w:val="right" w:pos="9360"/>
      </w:tabs>
    </w:pPr>
  </w:style>
  <w:style w:type="character" w:customStyle="1" w:styleId="HeaderChar">
    <w:name w:val="Header Char"/>
    <w:basedOn w:val="DefaultParagraphFont"/>
    <w:link w:val="Header"/>
    <w:uiPriority w:val="99"/>
    <w:rsid w:val="004846E9"/>
    <w:rPr>
      <w:rFonts w:cstheme="minorBidi"/>
      <w:szCs w:val="22"/>
    </w:rPr>
  </w:style>
  <w:style w:type="paragraph" w:styleId="Footer">
    <w:name w:val="footer"/>
    <w:basedOn w:val="Normal"/>
    <w:link w:val="FooterChar"/>
    <w:uiPriority w:val="99"/>
    <w:unhideWhenUsed/>
    <w:rsid w:val="004846E9"/>
    <w:pPr>
      <w:tabs>
        <w:tab w:val="center" w:pos="4680"/>
        <w:tab w:val="right" w:pos="9360"/>
      </w:tabs>
    </w:pPr>
  </w:style>
  <w:style w:type="character" w:customStyle="1" w:styleId="FooterChar">
    <w:name w:val="Footer Char"/>
    <w:basedOn w:val="DefaultParagraphFont"/>
    <w:link w:val="Footer"/>
    <w:uiPriority w:val="99"/>
    <w:rsid w:val="004846E9"/>
    <w:rPr>
      <w:rFonts w:cstheme="minorBidi"/>
      <w:szCs w:val="22"/>
    </w:rPr>
  </w:style>
  <w:style w:type="character" w:styleId="CommentReference">
    <w:name w:val="annotation reference"/>
    <w:basedOn w:val="DefaultParagraphFont"/>
    <w:uiPriority w:val="99"/>
    <w:rsid w:val="00FB3209"/>
    <w:rPr>
      <w:rFonts w:cs="Times New Roman"/>
      <w:sz w:val="16"/>
      <w:szCs w:val="16"/>
    </w:rPr>
  </w:style>
  <w:style w:type="paragraph" w:styleId="CommentText">
    <w:name w:val="annotation text"/>
    <w:basedOn w:val="Normal"/>
    <w:link w:val="CommentTextChar"/>
    <w:uiPriority w:val="99"/>
    <w:rsid w:val="00FB3209"/>
    <w:pPr>
      <w:spacing w:after="200" w:line="276" w:lineRule="auto"/>
      <w:jc w:val="left"/>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FB3209"/>
    <w:rPr>
      <w:rFonts w:ascii="Calibri" w:eastAsia="Times New Roman" w:hAnsi="Calibri"/>
      <w:sz w:val="20"/>
      <w:szCs w:val="20"/>
    </w:rPr>
  </w:style>
  <w:style w:type="paragraph" w:customStyle="1" w:styleId="Default">
    <w:name w:val="Default"/>
    <w:rsid w:val="00FB3209"/>
    <w:pPr>
      <w:autoSpaceDE w:val="0"/>
      <w:autoSpaceDN w:val="0"/>
      <w:adjustRightInd w:val="0"/>
      <w:jc w:val="left"/>
    </w:pPr>
    <w:rPr>
      <w:color w:val="000000"/>
    </w:rPr>
  </w:style>
  <w:style w:type="character" w:customStyle="1" w:styleId="apple-converted-space">
    <w:name w:val="apple-converted-space"/>
    <w:basedOn w:val="DefaultParagraphFont"/>
    <w:rsid w:val="001D1740"/>
  </w:style>
  <w:style w:type="table" w:styleId="TableGrid">
    <w:name w:val="Table Grid"/>
    <w:basedOn w:val="TableNormal"/>
    <w:uiPriority w:val="39"/>
    <w:rsid w:val="0034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6215A"/>
    <w:pPr>
      <w:jc w:val="left"/>
    </w:pPr>
    <w:rPr>
      <w:rFonts w:ascii="Book Antiqua" w:hAnsi="Book Antiqua"/>
      <w:sz w:val="22"/>
      <w:szCs w:val="21"/>
    </w:rPr>
  </w:style>
  <w:style w:type="character" w:customStyle="1" w:styleId="PlainTextChar">
    <w:name w:val="Plain Text Char"/>
    <w:basedOn w:val="DefaultParagraphFont"/>
    <w:link w:val="PlainText"/>
    <w:uiPriority w:val="99"/>
    <w:rsid w:val="0006215A"/>
    <w:rPr>
      <w:rFonts w:ascii="Book Antiqua" w:hAnsi="Book Antiqua" w:cstheme="minorBidi"/>
      <w:sz w:val="22"/>
      <w:szCs w:val="21"/>
    </w:rPr>
  </w:style>
  <w:style w:type="character" w:styleId="LineNumber">
    <w:name w:val="line number"/>
    <w:basedOn w:val="DefaultParagraphFont"/>
    <w:uiPriority w:val="99"/>
    <w:semiHidden/>
    <w:unhideWhenUsed/>
    <w:rsid w:val="0021362C"/>
  </w:style>
  <w:style w:type="paragraph" w:styleId="CommentSubject">
    <w:name w:val="annotation subject"/>
    <w:basedOn w:val="CommentText"/>
    <w:next w:val="CommentText"/>
    <w:link w:val="CommentSubjectChar"/>
    <w:uiPriority w:val="99"/>
    <w:semiHidden/>
    <w:unhideWhenUsed/>
    <w:rsid w:val="00DD5102"/>
    <w:pPr>
      <w:spacing w:after="0" w:line="240" w:lineRule="auto"/>
      <w:jc w:val="both"/>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DD5102"/>
    <w:rPr>
      <w:rFonts w:ascii="Calibri" w:eastAsia="Times New Roman" w:hAnsi="Calibri" w:cstheme="minorBidi"/>
      <w:b/>
      <w:bCs/>
      <w:sz w:val="20"/>
      <w:szCs w:val="20"/>
    </w:rPr>
  </w:style>
  <w:style w:type="paragraph" w:styleId="Revision">
    <w:name w:val="Revision"/>
    <w:hidden/>
    <w:uiPriority w:val="99"/>
    <w:semiHidden/>
    <w:rsid w:val="00DD5102"/>
    <w:pPr>
      <w:jc w:val="left"/>
    </w:pPr>
    <w:rPr>
      <w:rFonts w:cstheme="minorBidi"/>
      <w:szCs w:val="22"/>
    </w:rPr>
  </w:style>
  <w:style w:type="table" w:customStyle="1" w:styleId="TableGrid2">
    <w:name w:val="Table Grid2"/>
    <w:basedOn w:val="TableNormal"/>
    <w:next w:val="TableGrid"/>
    <w:uiPriority w:val="59"/>
    <w:rsid w:val="00847FED"/>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6C792D"/>
    <w:rPr>
      <w:color w:val="808080"/>
    </w:rPr>
  </w:style>
  <w:style w:type="paragraph" w:customStyle="1" w:styleId="Standard">
    <w:name w:val="Standard"/>
    <w:rsid w:val="00FC4DFC"/>
    <w:pPr>
      <w:suppressAutoHyphens/>
      <w:autoSpaceDN w:val="0"/>
      <w:spacing w:after="200" w:line="276" w:lineRule="auto"/>
      <w:jc w:val="left"/>
      <w:textAlignment w:val="baseline"/>
    </w:pPr>
    <w:rPr>
      <w:rFonts w:ascii="Calibri" w:eastAsia="SimSun" w:hAnsi="Calibri" w:cs="Calibri"/>
      <w:kern w:val="3"/>
      <w:sz w:val="22"/>
      <w:szCs w:val="22"/>
    </w:rPr>
  </w:style>
  <w:style w:type="character" w:styleId="EndnoteReference">
    <w:name w:val="endnote reference"/>
    <w:basedOn w:val="DefaultParagraphFont"/>
    <w:uiPriority w:val="99"/>
    <w:semiHidden/>
    <w:unhideWhenUsed/>
    <w:rsid w:val="00917991"/>
    <w:rPr>
      <w:vertAlign w:val="superscript"/>
    </w:rPr>
  </w:style>
  <w:style w:type="character" w:styleId="Hyperlink">
    <w:name w:val="Hyperlink"/>
    <w:basedOn w:val="DefaultParagraphFont"/>
    <w:uiPriority w:val="99"/>
    <w:unhideWhenUsed/>
    <w:rsid w:val="00A374CC"/>
    <w:rPr>
      <w:color w:val="0000FF" w:themeColor="hyperlink"/>
      <w:u w:val="single"/>
    </w:rPr>
  </w:style>
  <w:style w:type="character" w:customStyle="1" w:styleId="UnresolvedMention1">
    <w:name w:val="Unresolved Mention1"/>
    <w:basedOn w:val="DefaultParagraphFont"/>
    <w:uiPriority w:val="99"/>
    <w:semiHidden/>
    <w:unhideWhenUsed/>
    <w:rsid w:val="00A374CC"/>
    <w:rPr>
      <w:color w:val="605E5C"/>
      <w:shd w:val="clear" w:color="auto" w:fill="E1DFDD"/>
    </w:rPr>
  </w:style>
  <w:style w:type="table" w:customStyle="1" w:styleId="TableGrid1">
    <w:name w:val="Table Grid1"/>
    <w:basedOn w:val="TableNormal"/>
    <w:next w:val="TableGrid"/>
    <w:uiPriority w:val="59"/>
    <w:rsid w:val="00C87B7C"/>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6E45E4"/>
    <w:pPr>
      <w:spacing w:before="100" w:beforeAutospacing="1" w:after="100" w:afterAutospacing="1"/>
      <w:jc w:val="left"/>
    </w:pPr>
    <w:rPr>
      <w:rFonts w:eastAsia="Times New Roman" w:cs="Times New Roman"/>
      <w:szCs w:val="24"/>
      <w:lang w:val="en-US"/>
    </w:rPr>
  </w:style>
  <w:style w:type="paragraph" w:styleId="Caption">
    <w:name w:val="caption"/>
    <w:aliases w:val="Figures-chapter 3"/>
    <w:basedOn w:val="Normal"/>
    <w:next w:val="Normal"/>
    <w:link w:val="CaptionChar"/>
    <w:uiPriority w:val="35"/>
    <w:unhideWhenUsed/>
    <w:qFormat/>
    <w:rsid w:val="000D1F7A"/>
    <w:pPr>
      <w:spacing w:line="480" w:lineRule="auto"/>
      <w:contextualSpacing/>
      <w:jc w:val="center"/>
    </w:pPr>
    <w:rPr>
      <w:b/>
      <w:iCs/>
      <w:szCs w:val="18"/>
    </w:rPr>
  </w:style>
  <w:style w:type="character" w:customStyle="1" w:styleId="CaptionChar">
    <w:name w:val="Caption Char"/>
    <w:aliases w:val="Figures-chapter 3 Char"/>
    <w:basedOn w:val="DefaultParagraphFont"/>
    <w:link w:val="Caption"/>
    <w:uiPriority w:val="35"/>
    <w:rsid w:val="000D1F7A"/>
    <w:rPr>
      <w:rFonts w:cstheme="minorBidi"/>
      <w:b/>
      <w:iCs/>
      <w:szCs w:val="18"/>
    </w:rPr>
  </w:style>
  <w:style w:type="paragraph" w:styleId="NoSpacing">
    <w:name w:val="No Spacing"/>
    <w:uiPriority w:val="1"/>
    <w:qFormat/>
    <w:rsid w:val="0070369A"/>
    <w:rPr>
      <w:rFonts w:cstheme="minorBidi"/>
      <w:szCs w:val="22"/>
    </w:rPr>
  </w:style>
  <w:style w:type="character" w:styleId="UnresolvedMention">
    <w:name w:val="Unresolved Mention"/>
    <w:basedOn w:val="DefaultParagraphFont"/>
    <w:uiPriority w:val="99"/>
    <w:semiHidden/>
    <w:unhideWhenUsed/>
    <w:rsid w:val="00947C49"/>
    <w:rPr>
      <w:color w:val="605E5C"/>
      <w:shd w:val="clear" w:color="auto" w:fill="E1DFDD"/>
    </w:rPr>
  </w:style>
  <w:style w:type="character" w:styleId="FollowedHyperlink">
    <w:name w:val="FollowedHyperlink"/>
    <w:basedOn w:val="DefaultParagraphFont"/>
    <w:uiPriority w:val="99"/>
    <w:semiHidden/>
    <w:unhideWhenUsed/>
    <w:rsid w:val="00634777"/>
    <w:rPr>
      <w:color w:val="800080" w:themeColor="followedHyperlink"/>
      <w:u w:val="single"/>
    </w:rPr>
  </w:style>
  <w:style w:type="paragraph" w:customStyle="1" w:styleId="paragraph">
    <w:name w:val="paragraph"/>
    <w:basedOn w:val="Normal"/>
    <w:rsid w:val="005B4BE6"/>
    <w:pPr>
      <w:spacing w:before="100" w:beforeAutospacing="1" w:after="100" w:afterAutospacing="1"/>
      <w:jc w:val="left"/>
    </w:pPr>
    <w:rPr>
      <w:rFonts w:eastAsia="Times New Roman" w:cs="Times New Roman"/>
      <w:szCs w:val="24"/>
      <w:lang w:val="en-US"/>
    </w:rPr>
  </w:style>
  <w:style w:type="character" w:customStyle="1" w:styleId="normaltextrun">
    <w:name w:val="normaltextrun"/>
    <w:basedOn w:val="DefaultParagraphFont"/>
    <w:rsid w:val="005B4BE6"/>
  </w:style>
  <w:style w:type="character" w:customStyle="1" w:styleId="eop">
    <w:name w:val="eop"/>
    <w:basedOn w:val="DefaultParagraphFont"/>
    <w:rsid w:val="005B4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35139">
      <w:bodyDiv w:val="1"/>
      <w:marLeft w:val="0"/>
      <w:marRight w:val="0"/>
      <w:marTop w:val="0"/>
      <w:marBottom w:val="0"/>
      <w:divBdr>
        <w:top w:val="none" w:sz="0" w:space="0" w:color="auto"/>
        <w:left w:val="none" w:sz="0" w:space="0" w:color="auto"/>
        <w:bottom w:val="none" w:sz="0" w:space="0" w:color="auto"/>
        <w:right w:val="none" w:sz="0" w:space="0" w:color="auto"/>
      </w:divBdr>
    </w:div>
    <w:div w:id="214433798">
      <w:bodyDiv w:val="1"/>
      <w:marLeft w:val="0"/>
      <w:marRight w:val="0"/>
      <w:marTop w:val="0"/>
      <w:marBottom w:val="0"/>
      <w:divBdr>
        <w:top w:val="none" w:sz="0" w:space="0" w:color="auto"/>
        <w:left w:val="none" w:sz="0" w:space="0" w:color="auto"/>
        <w:bottom w:val="none" w:sz="0" w:space="0" w:color="auto"/>
        <w:right w:val="none" w:sz="0" w:space="0" w:color="auto"/>
      </w:divBdr>
    </w:div>
    <w:div w:id="252520288">
      <w:bodyDiv w:val="1"/>
      <w:marLeft w:val="0"/>
      <w:marRight w:val="0"/>
      <w:marTop w:val="0"/>
      <w:marBottom w:val="0"/>
      <w:divBdr>
        <w:top w:val="none" w:sz="0" w:space="0" w:color="auto"/>
        <w:left w:val="none" w:sz="0" w:space="0" w:color="auto"/>
        <w:bottom w:val="none" w:sz="0" w:space="0" w:color="auto"/>
        <w:right w:val="none" w:sz="0" w:space="0" w:color="auto"/>
      </w:divBdr>
    </w:div>
    <w:div w:id="259920409">
      <w:bodyDiv w:val="1"/>
      <w:marLeft w:val="0"/>
      <w:marRight w:val="0"/>
      <w:marTop w:val="0"/>
      <w:marBottom w:val="0"/>
      <w:divBdr>
        <w:top w:val="none" w:sz="0" w:space="0" w:color="auto"/>
        <w:left w:val="none" w:sz="0" w:space="0" w:color="auto"/>
        <w:bottom w:val="none" w:sz="0" w:space="0" w:color="auto"/>
        <w:right w:val="none" w:sz="0" w:space="0" w:color="auto"/>
      </w:divBdr>
      <w:divsChild>
        <w:div w:id="1297682186">
          <w:marLeft w:val="0"/>
          <w:marRight w:val="0"/>
          <w:marTop w:val="0"/>
          <w:marBottom w:val="0"/>
          <w:divBdr>
            <w:top w:val="none" w:sz="0" w:space="0" w:color="auto"/>
            <w:left w:val="none" w:sz="0" w:space="0" w:color="auto"/>
            <w:bottom w:val="none" w:sz="0" w:space="0" w:color="auto"/>
            <w:right w:val="none" w:sz="0" w:space="0" w:color="auto"/>
          </w:divBdr>
        </w:div>
      </w:divsChild>
    </w:div>
    <w:div w:id="265382399">
      <w:bodyDiv w:val="1"/>
      <w:marLeft w:val="0"/>
      <w:marRight w:val="0"/>
      <w:marTop w:val="0"/>
      <w:marBottom w:val="0"/>
      <w:divBdr>
        <w:top w:val="none" w:sz="0" w:space="0" w:color="auto"/>
        <w:left w:val="none" w:sz="0" w:space="0" w:color="auto"/>
        <w:bottom w:val="none" w:sz="0" w:space="0" w:color="auto"/>
        <w:right w:val="none" w:sz="0" w:space="0" w:color="auto"/>
      </w:divBdr>
      <w:divsChild>
        <w:div w:id="386145235">
          <w:marLeft w:val="0"/>
          <w:marRight w:val="0"/>
          <w:marTop w:val="0"/>
          <w:marBottom w:val="0"/>
          <w:divBdr>
            <w:top w:val="none" w:sz="0" w:space="0" w:color="auto"/>
            <w:left w:val="none" w:sz="0" w:space="0" w:color="auto"/>
            <w:bottom w:val="none" w:sz="0" w:space="0" w:color="auto"/>
            <w:right w:val="none" w:sz="0" w:space="0" w:color="auto"/>
          </w:divBdr>
        </w:div>
        <w:div w:id="87847592">
          <w:marLeft w:val="0"/>
          <w:marRight w:val="0"/>
          <w:marTop w:val="0"/>
          <w:marBottom w:val="0"/>
          <w:divBdr>
            <w:top w:val="none" w:sz="0" w:space="0" w:color="auto"/>
            <w:left w:val="none" w:sz="0" w:space="0" w:color="auto"/>
            <w:bottom w:val="none" w:sz="0" w:space="0" w:color="auto"/>
            <w:right w:val="none" w:sz="0" w:space="0" w:color="auto"/>
          </w:divBdr>
        </w:div>
        <w:div w:id="1339191977">
          <w:marLeft w:val="0"/>
          <w:marRight w:val="0"/>
          <w:marTop w:val="0"/>
          <w:marBottom w:val="0"/>
          <w:divBdr>
            <w:top w:val="none" w:sz="0" w:space="0" w:color="auto"/>
            <w:left w:val="none" w:sz="0" w:space="0" w:color="auto"/>
            <w:bottom w:val="none" w:sz="0" w:space="0" w:color="auto"/>
            <w:right w:val="none" w:sz="0" w:space="0" w:color="auto"/>
          </w:divBdr>
        </w:div>
        <w:div w:id="1639609131">
          <w:marLeft w:val="0"/>
          <w:marRight w:val="0"/>
          <w:marTop w:val="0"/>
          <w:marBottom w:val="0"/>
          <w:divBdr>
            <w:top w:val="none" w:sz="0" w:space="0" w:color="auto"/>
            <w:left w:val="none" w:sz="0" w:space="0" w:color="auto"/>
            <w:bottom w:val="none" w:sz="0" w:space="0" w:color="auto"/>
            <w:right w:val="none" w:sz="0" w:space="0" w:color="auto"/>
          </w:divBdr>
        </w:div>
        <w:div w:id="1464543265">
          <w:marLeft w:val="0"/>
          <w:marRight w:val="0"/>
          <w:marTop w:val="0"/>
          <w:marBottom w:val="0"/>
          <w:divBdr>
            <w:top w:val="none" w:sz="0" w:space="0" w:color="auto"/>
            <w:left w:val="none" w:sz="0" w:space="0" w:color="auto"/>
            <w:bottom w:val="none" w:sz="0" w:space="0" w:color="auto"/>
            <w:right w:val="none" w:sz="0" w:space="0" w:color="auto"/>
          </w:divBdr>
        </w:div>
      </w:divsChild>
    </w:div>
    <w:div w:id="314921129">
      <w:bodyDiv w:val="1"/>
      <w:marLeft w:val="0"/>
      <w:marRight w:val="0"/>
      <w:marTop w:val="0"/>
      <w:marBottom w:val="0"/>
      <w:divBdr>
        <w:top w:val="none" w:sz="0" w:space="0" w:color="auto"/>
        <w:left w:val="none" w:sz="0" w:space="0" w:color="auto"/>
        <w:bottom w:val="none" w:sz="0" w:space="0" w:color="auto"/>
        <w:right w:val="none" w:sz="0" w:space="0" w:color="auto"/>
      </w:divBdr>
    </w:div>
    <w:div w:id="328139944">
      <w:bodyDiv w:val="1"/>
      <w:marLeft w:val="0"/>
      <w:marRight w:val="0"/>
      <w:marTop w:val="0"/>
      <w:marBottom w:val="0"/>
      <w:divBdr>
        <w:top w:val="none" w:sz="0" w:space="0" w:color="auto"/>
        <w:left w:val="none" w:sz="0" w:space="0" w:color="auto"/>
        <w:bottom w:val="none" w:sz="0" w:space="0" w:color="auto"/>
        <w:right w:val="none" w:sz="0" w:space="0" w:color="auto"/>
      </w:divBdr>
      <w:divsChild>
        <w:div w:id="414204336">
          <w:marLeft w:val="0"/>
          <w:marRight w:val="0"/>
          <w:marTop w:val="0"/>
          <w:marBottom w:val="0"/>
          <w:divBdr>
            <w:top w:val="none" w:sz="0" w:space="0" w:color="auto"/>
            <w:left w:val="none" w:sz="0" w:space="0" w:color="auto"/>
            <w:bottom w:val="none" w:sz="0" w:space="0" w:color="auto"/>
            <w:right w:val="none" w:sz="0" w:space="0" w:color="auto"/>
          </w:divBdr>
        </w:div>
      </w:divsChild>
    </w:div>
    <w:div w:id="409622694">
      <w:bodyDiv w:val="1"/>
      <w:marLeft w:val="0"/>
      <w:marRight w:val="0"/>
      <w:marTop w:val="0"/>
      <w:marBottom w:val="0"/>
      <w:divBdr>
        <w:top w:val="none" w:sz="0" w:space="0" w:color="auto"/>
        <w:left w:val="none" w:sz="0" w:space="0" w:color="auto"/>
        <w:bottom w:val="none" w:sz="0" w:space="0" w:color="auto"/>
        <w:right w:val="none" w:sz="0" w:space="0" w:color="auto"/>
      </w:divBdr>
    </w:div>
    <w:div w:id="445082570">
      <w:bodyDiv w:val="1"/>
      <w:marLeft w:val="0"/>
      <w:marRight w:val="0"/>
      <w:marTop w:val="0"/>
      <w:marBottom w:val="0"/>
      <w:divBdr>
        <w:top w:val="none" w:sz="0" w:space="0" w:color="auto"/>
        <w:left w:val="none" w:sz="0" w:space="0" w:color="auto"/>
        <w:bottom w:val="none" w:sz="0" w:space="0" w:color="auto"/>
        <w:right w:val="none" w:sz="0" w:space="0" w:color="auto"/>
      </w:divBdr>
    </w:div>
    <w:div w:id="491683696">
      <w:bodyDiv w:val="1"/>
      <w:marLeft w:val="0"/>
      <w:marRight w:val="0"/>
      <w:marTop w:val="0"/>
      <w:marBottom w:val="0"/>
      <w:divBdr>
        <w:top w:val="none" w:sz="0" w:space="0" w:color="auto"/>
        <w:left w:val="none" w:sz="0" w:space="0" w:color="auto"/>
        <w:bottom w:val="none" w:sz="0" w:space="0" w:color="auto"/>
        <w:right w:val="none" w:sz="0" w:space="0" w:color="auto"/>
      </w:divBdr>
      <w:divsChild>
        <w:div w:id="1968663358">
          <w:marLeft w:val="0"/>
          <w:marRight w:val="0"/>
          <w:marTop w:val="0"/>
          <w:marBottom w:val="0"/>
          <w:divBdr>
            <w:top w:val="none" w:sz="0" w:space="0" w:color="auto"/>
            <w:left w:val="none" w:sz="0" w:space="0" w:color="auto"/>
            <w:bottom w:val="none" w:sz="0" w:space="0" w:color="auto"/>
            <w:right w:val="none" w:sz="0" w:space="0" w:color="auto"/>
          </w:divBdr>
        </w:div>
      </w:divsChild>
    </w:div>
    <w:div w:id="493499148">
      <w:bodyDiv w:val="1"/>
      <w:marLeft w:val="0"/>
      <w:marRight w:val="0"/>
      <w:marTop w:val="0"/>
      <w:marBottom w:val="0"/>
      <w:divBdr>
        <w:top w:val="none" w:sz="0" w:space="0" w:color="auto"/>
        <w:left w:val="none" w:sz="0" w:space="0" w:color="auto"/>
        <w:bottom w:val="none" w:sz="0" w:space="0" w:color="auto"/>
        <w:right w:val="none" w:sz="0" w:space="0" w:color="auto"/>
      </w:divBdr>
    </w:div>
    <w:div w:id="574315021">
      <w:bodyDiv w:val="1"/>
      <w:marLeft w:val="0"/>
      <w:marRight w:val="0"/>
      <w:marTop w:val="0"/>
      <w:marBottom w:val="0"/>
      <w:divBdr>
        <w:top w:val="none" w:sz="0" w:space="0" w:color="auto"/>
        <w:left w:val="none" w:sz="0" w:space="0" w:color="auto"/>
        <w:bottom w:val="none" w:sz="0" w:space="0" w:color="auto"/>
        <w:right w:val="none" w:sz="0" w:space="0" w:color="auto"/>
      </w:divBdr>
    </w:div>
    <w:div w:id="730999274">
      <w:bodyDiv w:val="1"/>
      <w:marLeft w:val="0"/>
      <w:marRight w:val="0"/>
      <w:marTop w:val="0"/>
      <w:marBottom w:val="0"/>
      <w:divBdr>
        <w:top w:val="none" w:sz="0" w:space="0" w:color="auto"/>
        <w:left w:val="none" w:sz="0" w:space="0" w:color="auto"/>
        <w:bottom w:val="none" w:sz="0" w:space="0" w:color="auto"/>
        <w:right w:val="none" w:sz="0" w:space="0" w:color="auto"/>
      </w:divBdr>
      <w:divsChild>
        <w:div w:id="1373455000">
          <w:marLeft w:val="0"/>
          <w:marRight w:val="0"/>
          <w:marTop w:val="0"/>
          <w:marBottom w:val="0"/>
          <w:divBdr>
            <w:top w:val="none" w:sz="0" w:space="0" w:color="auto"/>
            <w:left w:val="none" w:sz="0" w:space="0" w:color="auto"/>
            <w:bottom w:val="none" w:sz="0" w:space="0" w:color="auto"/>
            <w:right w:val="none" w:sz="0" w:space="0" w:color="auto"/>
          </w:divBdr>
        </w:div>
        <w:div w:id="1561478565">
          <w:marLeft w:val="0"/>
          <w:marRight w:val="0"/>
          <w:marTop w:val="0"/>
          <w:marBottom w:val="0"/>
          <w:divBdr>
            <w:top w:val="none" w:sz="0" w:space="0" w:color="auto"/>
            <w:left w:val="none" w:sz="0" w:space="0" w:color="auto"/>
            <w:bottom w:val="none" w:sz="0" w:space="0" w:color="auto"/>
            <w:right w:val="none" w:sz="0" w:space="0" w:color="auto"/>
          </w:divBdr>
        </w:div>
        <w:div w:id="1577126214">
          <w:marLeft w:val="0"/>
          <w:marRight w:val="0"/>
          <w:marTop w:val="0"/>
          <w:marBottom w:val="0"/>
          <w:divBdr>
            <w:top w:val="none" w:sz="0" w:space="0" w:color="auto"/>
            <w:left w:val="none" w:sz="0" w:space="0" w:color="auto"/>
            <w:bottom w:val="none" w:sz="0" w:space="0" w:color="auto"/>
            <w:right w:val="none" w:sz="0" w:space="0" w:color="auto"/>
          </w:divBdr>
        </w:div>
        <w:div w:id="1326936968">
          <w:marLeft w:val="0"/>
          <w:marRight w:val="0"/>
          <w:marTop w:val="0"/>
          <w:marBottom w:val="0"/>
          <w:divBdr>
            <w:top w:val="none" w:sz="0" w:space="0" w:color="auto"/>
            <w:left w:val="none" w:sz="0" w:space="0" w:color="auto"/>
            <w:bottom w:val="none" w:sz="0" w:space="0" w:color="auto"/>
            <w:right w:val="none" w:sz="0" w:space="0" w:color="auto"/>
          </w:divBdr>
        </w:div>
        <w:div w:id="1456296300">
          <w:marLeft w:val="0"/>
          <w:marRight w:val="0"/>
          <w:marTop w:val="0"/>
          <w:marBottom w:val="0"/>
          <w:divBdr>
            <w:top w:val="none" w:sz="0" w:space="0" w:color="auto"/>
            <w:left w:val="none" w:sz="0" w:space="0" w:color="auto"/>
            <w:bottom w:val="none" w:sz="0" w:space="0" w:color="auto"/>
            <w:right w:val="none" w:sz="0" w:space="0" w:color="auto"/>
          </w:divBdr>
        </w:div>
        <w:div w:id="917329947">
          <w:marLeft w:val="0"/>
          <w:marRight w:val="0"/>
          <w:marTop w:val="0"/>
          <w:marBottom w:val="0"/>
          <w:divBdr>
            <w:top w:val="none" w:sz="0" w:space="0" w:color="auto"/>
            <w:left w:val="none" w:sz="0" w:space="0" w:color="auto"/>
            <w:bottom w:val="none" w:sz="0" w:space="0" w:color="auto"/>
            <w:right w:val="none" w:sz="0" w:space="0" w:color="auto"/>
          </w:divBdr>
        </w:div>
        <w:div w:id="346686246">
          <w:marLeft w:val="0"/>
          <w:marRight w:val="0"/>
          <w:marTop w:val="0"/>
          <w:marBottom w:val="0"/>
          <w:divBdr>
            <w:top w:val="none" w:sz="0" w:space="0" w:color="auto"/>
            <w:left w:val="none" w:sz="0" w:space="0" w:color="auto"/>
            <w:bottom w:val="none" w:sz="0" w:space="0" w:color="auto"/>
            <w:right w:val="none" w:sz="0" w:space="0" w:color="auto"/>
          </w:divBdr>
        </w:div>
        <w:div w:id="1308902727">
          <w:marLeft w:val="0"/>
          <w:marRight w:val="0"/>
          <w:marTop w:val="0"/>
          <w:marBottom w:val="0"/>
          <w:divBdr>
            <w:top w:val="none" w:sz="0" w:space="0" w:color="auto"/>
            <w:left w:val="none" w:sz="0" w:space="0" w:color="auto"/>
            <w:bottom w:val="none" w:sz="0" w:space="0" w:color="auto"/>
            <w:right w:val="none" w:sz="0" w:space="0" w:color="auto"/>
          </w:divBdr>
        </w:div>
        <w:div w:id="1103646171">
          <w:marLeft w:val="0"/>
          <w:marRight w:val="0"/>
          <w:marTop w:val="0"/>
          <w:marBottom w:val="0"/>
          <w:divBdr>
            <w:top w:val="none" w:sz="0" w:space="0" w:color="auto"/>
            <w:left w:val="none" w:sz="0" w:space="0" w:color="auto"/>
            <w:bottom w:val="none" w:sz="0" w:space="0" w:color="auto"/>
            <w:right w:val="none" w:sz="0" w:space="0" w:color="auto"/>
          </w:divBdr>
        </w:div>
        <w:div w:id="1630430573">
          <w:marLeft w:val="0"/>
          <w:marRight w:val="0"/>
          <w:marTop w:val="0"/>
          <w:marBottom w:val="0"/>
          <w:divBdr>
            <w:top w:val="none" w:sz="0" w:space="0" w:color="auto"/>
            <w:left w:val="none" w:sz="0" w:space="0" w:color="auto"/>
            <w:bottom w:val="none" w:sz="0" w:space="0" w:color="auto"/>
            <w:right w:val="none" w:sz="0" w:space="0" w:color="auto"/>
          </w:divBdr>
        </w:div>
        <w:div w:id="443576481">
          <w:marLeft w:val="0"/>
          <w:marRight w:val="0"/>
          <w:marTop w:val="0"/>
          <w:marBottom w:val="0"/>
          <w:divBdr>
            <w:top w:val="none" w:sz="0" w:space="0" w:color="auto"/>
            <w:left w:val="none" w:sz="0" w:space="0" w:color="auto"/>
            <w:bottom w:val="none" w:sz="0" w:space="0" w:color="auto"/>
            <w:right w:val="none" w:sz="0" w:space="0" w:color="auto"/>
          </w:divBdr>
        </w:div>
        <w:div w:id="1862284355">
          <w:marLeft w:val="0"/>
          <w:marRight w:val="0"/>
          <w:marTop w:val="0"/>
          <w:marBottom w:val="0"/>
          <w:divBdr>
            <w:top w:val="none" w:sz="0" w:space="0" w:color="auto"/>
            <w:left w:val="none" w:sz="0" w:space="0" w:color="auto"/>
            <w:bottom w:val="none" w:sz="0" w:space="0" w:color="auto"/>
            <w:right w:val="none" w:sz="0" w:space="0" w:color="auto"/>
          </w:divBdr>
        </w:div>
        <w:div w:id="1965499276">
          <w:marLeft w:val="0"/>
          <w:marRight w:val="0"/>
          <w:marTop w:val="0"/>
          <w:marBottom w:val="0"/>
          <w:divBdr>
            <w:top w:val="none" w:sz="0" w:space="0" w:color="auto"/>
            <w:left w:val="none" w:sz="0" w:space="0" w:color="auto"/>
            <w:bottom w:val="none" w:sz="0" w:space="0" w:color="auto"/>
            <w:right w:val="none" w:sz="0" w:space="0" w:color="auto"/>
          </w:divBdr>
        </w:div>
        <w:div w:id="1364478439">
          <w:marLeft w:val="0"/>
          <w:marRight w:val="0"/>
          <w:marTop w:val="0"/>
          <w:marBottom w:val="0"/>
          <w:divBdr>
            <w:top w:val="none" w:sz="0" w:space="0" w:color="auto"/>
            <w:left w:val="none" w:sz="0" w:space="0" w:color="auto"/>
            <w:bottom w:val="none" w:sz="0" w:space="0" w:color="auto"/>
            <w:right w:val="none" w:sz="0" w:space="0" w:color="auto"/>
          </w:divBdr>
        </w:div>
        <w:div w:id="1401559407">
          <w:marLeft w:val="0"/>
          <w:marRight w:val="0"/>
          <w:marTop w:val="0"/>
          <w:marBottom w:val="0"/>
          <w:divBdr>
            <w:top w:val="none" w:sz="0" w:space="0" w:color="auto"/>
            <w:left w:val="none" w:sz="0" w:space="0" w:color="auto"/>
            <w:bottom w:val="none" w:sz="0" w:space="0" w:color="auto"/>
            <w:right w:val="none" w:sz="0" w:space="0" w:color="auto"/>
          </w:divBdr>
        </w:div>
        <w:div w:id="1099375226">
          <w:marLeft w:val="0"/>
          <w:marRight w:val="0"/>
          <w:marTop w:val="0"/>
          <w:marBottom w:val="0"/>
          <w:divBdr>
            <w:top w:val="none" w:sz="0" w:space="0" w:color="auto"/>
            <w:left w:val="none" w:sz="0" w:space="0" w:color="auto"/>
            <w:bottom w:val="none" w:sz="0" w:space="0" w:color="auto"/>
            <w:right w:val="none" w:sz="0" w:space="0" w:color="auto"/>
          </w:divBdr>
        </w:div>
        <w:div w:id="1157574347">
          <w:marLeft w:val="0"/>
          <w:marRight w:val="0"/>
          <w:marTop w:val="0"/>
          <w:marBottom w:val="0"/>
          <w:divBdr>
            <w:top w:val="none" w:sz="0" w:space="0" w:color="auto"/>
            <w:left w:val="none" w:sz="0" w:space="0" w:color="auto"/>
            <w:bottom w:val="none" w:sz="0" w:space="0" w:color="auto"/>
            <w:right w:val="none" w:sz="0" w:space="0" w:color="auto"/>
          </w:divBdr>
        </w:div>
        <w:div w:id="936716848">
          <w:marLeft w:val="0"/>
          <w:marRight w:val="0"/>
          <w:marTop w:val="0"/>
          <w:marBottom w:val="0"/>
          <w:divBdr>
            <w:top w:val="none" w:sz="0" w:space="0" w:color="auto"/>
            <w:left w:val="none" w:sz="0" w:space="0" w:color="auto"/>
            <w:bottom w:val="none" w:sz="0" w:space="0" w:color="auto"/>
            <w:right w:val="none" w:sz="0" w:space="0" w:color="auto"/>
          </w:divBdr>
        </w:div>
        <w:div w:id="2081125543">
          <w:marLeft w:val="0"/>
          <w:marRight w:val="0"/>
          <w:marTop w:val="0"/>
          <w:marBottom w:val="0"/>
          <w:divBdr>
            <w:top w:val="none" w:sz="0" w:space="0" w:color="auto"/>
            <w:left w:val="none" w:sz="0" w:space="0" w:color="auto"/>
            <w:bottom w:val="none" w:sz="0" w:space="0" w:color="auto"/>
            <w:right w:val="none" w:sz="0" w:space="0" w:color="auto"/>
          </w:divBdr>
        </w:div>
        <w:div w:id="1639988940">
          <w:marLeft w:val="0"/>
          <w:marRight w:val="0"/>
          <w:marTop w:val="0"/>
          <w:marBottom w:val="0"/>
          <w:divBdr>
            <w:top w:val="none" w:sz="0" w:space="0" w:color="auto"/>
            <w:left w:val="none" w:sz="0" w:space="0" w:color="auto"/>
            <w:bottom w:val="none" w:sz="0" w:space="0" w:color="auto"/>
            <w:right w:val="none" w:sz="0" w:space="0" w:color="auto"/>
          </w:divBdr>
        </w:div>
        <w:div w:id="785084337">
          <w:marLeft w:val="0"/>
          <w:marRight w:val="0"/>
          <w:marTop w:val="0"/>
          <w:marBottom w:val="0"/>
          <w:divBdr>
            <w:top w:val="none" w:sz="0" w:space="0" w:color="auto"/>
            <w:left w:val="none" w:sz="0" w:space="0" w:color="auto"/>
            <w:bottom w:val="none" w:sz="0" w:space="0" w:color="auto"/>
            <w:right w:val="none" w:sz="0" w:space="0" w:color="auto"/>
          </w:divBdr>
        </w:div>
        <w:div w:id="197664466">
          <w:marLeft w:val="0"/>
          <w:marRight w:val="0"/>
          <w:marTop w:val="0"/>
          <w:marBottom w:val="0"/>
          <w:divBdr>
            <w:top w:val="none" w:sz="0" w:space="0" w:color="auto"/>
            <w:left w:val="none" w:sz="0" w:space="0" w:color="auto"/>
            <w:bottom w:val="none" w:sz="0" w:space="0" w:color="auto"/>
            <w:right w:val="none" w:sz="0" w:space="0" w:color="auto"/>
          </w:divBdr>
        </w:div>
        <w:div w:id="1986153599">
          <w:marLeft w:val="0"/>
          <w:marRight w:val="0"/>
          <w:marTop w:val="0"/>
          <w:marBottom w:val="0"/>
          <w:divBdr>
            <w:top w:val="none" w:sz="0" w:space="0" w:color="auto"/>
            <w:left w:val="none" w:sz="0" w:space="0" w:color="auto"/>
            <w:bottom w:val="none" w:sz="0" w:space="0" w:color="auto"/>
            <w:right w:val="none" w:sz="0" w:space="0" w:color="auto"/>
          </w:divBdr>
        </w:div>
        <w:div w:id="869413619">
          <w:marLeft w:val="0"/>
          <w:marRight w:val="0"/>
          <w:marTop w:val="0"/>
          <w:marBottom w:val="0"/>
          <w:divBdr>
            <w:top w:val="none" w:sz="0" w:space="0" w:color="auto"/>
            <w:left w:val="none" w:sz="0" w:space="0" w:color="auto"/>
            <w:bottom w:val="none" w:sz="0" w:space="0" w:color="auto"/>
            <w:right w:val="none" w:sz="0" w:space="0" w:color="auto"/>
          </w:divBdr>
        </w:div>
      </w:divsChild>
    </w:div>
    <w:div w:id="762797093">
      <w:bodyDiv w:val="1"/>
      <w:marLeft w:val="0"/>
      <w:marRight w:val="0"/>
      <w:marTop w:val="0"/>
      <w:marBottom w:val="0"/>
      <w:divBdr>
        <w:top w:val="none" w:sz="0" w:space="0" w:color="auto"/>
        <w:left w:val="none" w:sz="0" w:space="0" w:color="auto"/>
        <w:bottom w:val="none" w:sz="0" w:space="0" w:color="auto"/>
        <w:right w:val="none" w:sz="0" w:space="0" w:color="auto"/>
      </w:divBdr>
    </w:div>
    <w:div w:id="916980839">
      <w:bodyDiv w:val="1"/>
      <w:marLeft w:val="0"/>
      <w:marRight w:val="0"/>
      <w:marTop w:val="0"/>
      <w:marBottom w:val="0"/>
      <w:divBdr>
        <w:top w:val="none" w:sz="0" w:space="0" w:color="auto"/>
        <w:left w:val="none" w:sz="0" w:space="0" w:color="auto"/>
        <w:bottom w:val="none" w:sz="0" w:space="0" w:color="auto"/>
        <w:right w:val="none" w:sz="0" w:space="0" w:color="auto"/>
      </w:divBdr>
    </w:div>
    <w:div w:id="962150726">
      <w:bodyDiv w:val="1"/>
      <w:marLeft w:val="0"/>
      <w:marRight w:val="0"/>
      <w:marTop w:val="0"/>
      <w:marBottom w:val="0"/>
      <w:divBdr>
        <w:top w:val="none" w:sz="0" w:space="0" w:color="auto"/>
        <w:left w:val="none" w:sz="0" w:space="0" w:color="auto"/>
        <w:bottom w:val="none" w:sz="0" w:space="0" w:color="auto"/>
        <w:right w:val="none" w:sz="0" w:space="0" w:color="auto"/>
      </w:divBdr>
    </w:div>
    <w:div w:id="1012803990">
      <w:bodyDiv w:val="1"/>
      <w:marLeft w:val="0"/>
      <w:marRight w:val="0"/>
      <w:marTop w:val="0"/>
      <w:marBottom w:val="0"/>
      <w:divBdr>
        <w:top w:val="none" w:sz="0" w:space="0" w:color="auto"/>
        <w:left w:val="none" w:sz="0" w:space="0" w:color="auto"/>
        <w:bottom w:val="none" w:sz="0" w:space="0" w:color="auto"/>
        <w:right w:val="none" w:sz="0" w:space="0" w:color="auto"/>
      </w:divBdr>
    </w:div>
    <w:div w:id="1400593130">
      <w:bodyDiv w:val="1"/>
      <w:marLeft w:val="0"/>
      <w:marRight w:val="0"/>
      <w:marTop w:val="0"/>
      <w:marBottom w:val="0"/>
      <w:divBdr>
        <w:top w:val="none" w:sz="0" w:space="0" w:color="auto"/>
        <w:left w:val="none" w:sz="0" w:space="0" w:color="auto"/>
        <w:bottom w:val="none" w:sz="0" w:space="0" w:color="auto"/>
        <w:right w:val="none" w:sz="0" w:space="0" w:color="auto"/>
      </w:divBdr>
    </w:div>
    <w:div w:id="1488476014">
      <w:bodyDiv w:val="1"/>
      <w:marLeft w:val="0"/>
      <w:marRight w:val="0"/>
      <w:marTop w:val="0"/>
      <w:marBottom w:val="0"/>
      <w:divBdr>
        <w:top w:val="none" w:sz="0" w:space="0" w:color="auto"/>
        <w:left w:val="none" w:sz="0" w:space="0" w:color="auto"/>
        <w:bottom w:val="none" w:sz="0" w:space="0" w:color="auto"/>
        <w:right w:val="none" w:sz="0" w:space="0" w:color="auto"/>
      </w:divBdr>
      <w:divsChild>
        <w:div w:id="936131549">
          <w:marLeft w:val="0"/>
          <w:marRight w:val="0"/>
          <w:marTop w:val="0"/>
          <w:marBottom w:val="0"/>
          <w:divBdr>
            <w:top w:val="none" w:sz="0" w:space="0" w:color="auto"/>
            <w:left w:val="none" w:sz="0" w:space="0" w:color="auto"/>
            <w:bottom w:val="none" w:sz="0" w:space="0" w:color="auto"/>
            <w:right w:val="none" w:sz="0" w:space="0" w:color="auto"/>
          </w:divBdr>
        </w:div>
      </w:divsChild>
    </w:div>
    <w:div w:id="1512256161">
      <w:bodyDiv w:val="1"/>
      <w:marLeft w:val="0"/>
      <w:marRight w:val="0"/>
      <w:marTop w:val="0"/>
      <w:marBottom w:val="0"/>
      <w:divBdr>
        <w:top w:val="none" w:sz="0" w:space="0" w:color="auto"/>
        <w:left w:val="none" w:sz="0" w:space="0" w:color="auto"/>
        <w:bottom w:val="none" w:sz="0" w:space="0" w:color="auto"/>
        <w:right w:val="none" w:sz="0" w:space="0" w:color="auto"/>
      </w:divBdr>
    </w:div>
    <w:div w:id="1642418463">
      <w:bodyDiv w:val="1"/>
      <w:marLeft w:val="0"/>
      <w:marRight w:val="0"/>
      <w:marTop w:val="0"/>
      <w:marBottom w:val="0"/>
      <w:divBdr>
        <w:top w:val="none" w:sz="0" w:space="0" w:color="auto"/>
        <w:left w:val="none" w:sz="0" w:space="0" w:color="auto"/>
        <w:bottom w:val="none" w:sz="0" w:space="0" w:color="auto"/>
        <w:right w:val="none" w:sz="0" w:space="0" w:color="auto"/>
      </w:divBdr>
    </w:div>
    <w:div w:id="18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05144140">
          <w:marLeft w:val="0"/>
          <w:marRight w:val="0"/>
          <w:marTop w:val="0"/>
          <w:marBottom w:val="0"/>
          <w:divBdr>
            <w:top w:val="none" w:sz="0" w:space="0" w:color="auto"/>
            <w:left w:val="none" w:sz="0" w:space="0" w:color="auto"/>
            <w:bottom w:val="none" w:sz="0" w:space="0" w:color="auto"/>
            <w:right w:val="none" w:sz="0" w:space="0" w:color="auto"/>
          </w:divBdr>
        </w:div>
      </w:divsChild>
    </w:div>
    <w:div w:id="1916864425">
      <w:bodyDiv w:val="1"/>
      <w:marLeft w:val="0"/>
      <w:marRight w:val="0"/>
      <w:marTop w:val="0"/>
      <w:marBottom w:val="0"/>
      <w:divBdr>
        <w:top w:val="none" w:sz="0" w:space="0" w:color="auto"/>
        <w:left w:val="none" w:sz="0" w:space="0" w:color="auto"/>
        <w:bottom w:val="none" w:sz="0" w:space="0" w:color="auto"/>
        <w:right w:val="none" w:sz="0" w:space="0" w:color="auto"/>
      </w:divBdr>
    </w:div>
    <w:div w:id="2004508538">
      <w:bodyDiv w:val="1"/>
      <w:marLeft w:val="0"/>
      <w:marRight w:val="0"/>
      <w:marTop w:val="0"/>
      <w:marBottom w:val="0"/>
      <w:divBdr>
        <w:top w:val="none" w:sz="0" w:space="0" w:color="auto"/>
        <w:left w:val="none" w:sz="0" w:space="0" w:color="auto"/>
        <w:bottom w:val="none" w:sz="0" w:space="0" w:color="auto"/>
        <w:right w:val="none" w:sz="0" w:space="0" w:color="auto"/>
      </w:divBdr>
    </w:div>
    <w:div w:id="203568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oy.kamol.@knights.ucf.edu" TargetMode="Externa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ulotta@tulane.edu" TargetMode="External"/><Relationship Id="rId24" Type="http://schemas.openxmlformats.org/officeDocument/2006/relationships/image" Target="media/image4.pn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mailto:samiul.hasan@ucf.edu" TargetMode="External"/><Relationship Id="rId19" Type="http://schemas.openxmlformats.org/officeDocument/2006/relationships/header" Target="header4.xml"/><Relationship Id="rId31" Type="http://schemas.openxmlformats.org/officeDocument/2006/relationships/hyperlink" Target="https://portal.floridadisaster.org/preparedness/RES/Studies/Shared%20Documents/Supporting%20Documents/Region-Specific%20Folders/East%20Central%20FL/2021_SRESP_BehavioralStudy_ECFRPC_Final.pdf" TargetMode="External"/><Relationship Id="rId4" Type="http://schemas.openxmlformats.org/officeDocument/2006/relationships/settings" Target="settings.xml"/><Relationship Id="rId9" Type="http://schemas.openxmlformats.org/officeDocument/2006/relationships/hyperlink" Target="mailto:naveen.eluru@ucf.edu"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hyperlink" Target="https://www.firstcoastnews.com/article/news/local/survey-25-percent-of-floridians-wont-evacuate-their-homes-for-hurricane/77-980465d8-54d0-4cd1-a866-6b332e2b2755" TargetMode="External"/><Relationship Id="rId8" Type="http://schemas.openxmlformats.org/officeDocument/2006/relationships/hyperlink" Target="mailto:tbhowmik@pdx.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71571-9C8C-4ADA-A445-44CA4929B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27</Pages>
  <Words>36830</Words>
  <Characters>209936</Characters>
  <Application>Microsoft Office Word</Application>
  <DocSecurity>0</DocSecurity>
  <Lines>1749</Lines>
  <Paragraphs>492</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246274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 Eluru, Prof</dc:creator>
  <cp:lastModifiedBy>Tanmoy Bhowmik</cp:lastModifiedBy>
  <cp:revision>431</cp:revision>
  <cp:lastPrinted>2020-07-31T04:00:00Z</cp:lastPrinted>
  <dcterms:created xsi:type="dcterms:W3CDTF">2022-07-24T01:55:00Z</dcterms:created>
  <dcterms:modified xsi:type="dcterms:W3CDTF">2024-07-03T21:30:00Z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http://www.zotero.org/styles/accident-analysis-and-prevention</vt:lpwstr>
  </property>
  <property fmtid="{D5CDD505-2E9C-101B-9397-08002B2CF9AE}" pid="3" name="Mendeley Recent Style Name 0_1">
    <vt:lpwstr>Accident Analysis and Prevention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http://www.zotero.org/styles/analytic-methods-in-accident-research</vt:lpwstr>
  </property>
  <property fmtid="{D5CDD505-2E9C-101B-9397-08002B2CF9AE}" pid="7" name="Mendeley Recent Style Name 2_1">
    <vt:lpwstr>Analytic Methods in Accident Research</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http://www.zotero.org/styles/transportation-research-part-b</vt:lpwstr>
  </property>
  <property fmtid="{D5CDD505-2E9C-101B-9397-08002B2CF9AE}" pid="17" name="Mendeley Recent Style Name 7_1">
    <vt:lpwstr>Transportation Research Part B</vt:lpwstr>
  </property>
  <property fmtid="{D5CDD505-2E9C-101B-9397-08002B2CF9AE}" pid="18" name="Mendeley Recent Style Id 8_1">
    <vt:lpwstr>http://www.zotero.org/styles/transportation-research-record</vt:lpwstr>
  </property>
  <property fmtid="{D5CDD505-2E9C-101B-9397-08002B2CF9AE}" pid="19" name="Mendeley Recent Style Name 8_1">
    <vt:lpwstr>Transportation Research Record: Journal of the Transportation Research Board</vt:lpwstr>
  </property>
  <property fmtid="{D5CDD505-2E9C-101B-9397-08002B2CF9AE}" pid="20" name="Mendeley Recent Style Id 9_1">
    <vt:lpwstr>http://csl.mendeley.com/styles/495441851/vancouver-2</vt:lpwstr>
  </property>
  <property fmtid="{D5CDD505-2E9C-101B-9397-08002B2CF9AE}" pid="21" name="Mendeley Recent Style Name 9_1">
    <vt:lpwstr>Vancouver - Tanmoy Bhowmik</vt:lpwstr>
  </property>
  <property fmtid="{D5CDD505-2E9C-101B-9397-08002B2CF9AE}" pid="22" name="Mendeley Document_1">
    <vt:lpwstr>True</vt:lpwstr>
  </property>
  <property fmtid="{D5CDD505-2E9C-101B-9397-08002B2CF9AE}" pid="23" name="Mendeley Unique User Id_1">
    <vt:lpwstr>ed493790-d9dc-30f4-8b52-f4c86545d5f4</vt:lpwstr>
  </property>
  <property fmtid="{D5CDD505-2E9C-101B-9397-08002B2CF9AE}" pid="24" name="Mendeley Citation Style_1">
    <vt:lpwstr>http://www.zotero.org/styles/accident-analysis-and-prevention</vt:lpwstr>
  </property>
</Properties>
</file>